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784575A">
      <w:pPr>
        <w:widowControl/>
        <w:spacing w:line="480" w:lineRule="auto"/>
        <w:ind w:firstLine="0" w:firstLineChars="0"/>
        <w:jc w:val="center"/>
        <w:rPr>
          <w:rFonts w:eastAsia="黑体"/>
          <w:b/>
          <w:color w:val="000000" w:themeColor="text1"/>
          <w:sz w:val="52"/>
          <w:szCs w:val="52"/>
          <w14:textFill>
            <w14:solidFill>
              <w14:schemeClr w14:val="tx1"/>
            </w14:solidFill>
          </w14:textFill>
        </w:rPr>
      </w:pPr>
      <w:bookmarkStart w:id="0" w:name="_Hlk126165377"/>
      <w:bookmarkEnd w:id="0"/>
      <w:bookmarkStart w:id="1" w:name="_Toc136878407"/>
      <w:bookmarkStart w:id="2" w:name="_Toc57218168"/>
      <w:bookmarkStart w:id="3" w:name="_Toc53605130"/>
      <w:bookmarkStart w:id="4" w:name="_Toc58769341"/>
      <w:bookmarkStart w:id="5" w:name="_Toc55483145"/>
    </w:p>
    <w:p w14:paraId="165239D1">
      <w:pPr>
        <w:widowControl/>
        <w:spacing w:line="480" w:lineRule="auto"/>
        <w:ind w:firstLine="0" w:firstLineChars="0"/>
        <w:jc w:val="center"/>
        <w:rPr>
          <w:rFonts w:eastAsia="黑体"/>
          <w:b/>
          <w:color w:val="000000" w:themeColor="text1"/>
          <w:sz w:val="52"/>
          <w:szCs w:val="52"/>
          <w14:textFill>
            <w14:solidFill>
              <w14:schemeClr w14:val="tx1"/>
            </w14:solidFill>
          </w14:textFill>
        </w:rPr>
      </w:pPr>
      <w:r>
        <w:rPr>
          <w:rFonts w:hint="eastAsia" w:eastAsia="黑体"/>
          <w:b/>
          <w:color w:val="000000" w:themeColor="text1"/>
          <w:sz w:val="52"/>
          <w:szCs w:val="52"/>
          <w14:textFill>
            <w14:solidFill>
              <w14:schemeClr w14:val="tx1"/>
            </w14:solidFill>
          </w14:textFill>
        </w:rPr>
        <w:t>北部湾港钦州港域金谷港区金鼓江作业区14号泊位扩建工程（新增液硫、苯乙烯等装卸设施</w:t>
      </w:r>
      <w:r>
        <w:rPr>
          <w:rFonts w:eastAsia="黑体"/>
          <w:b/>
          <w:color w:val="000000" w:themeColor="text1"/>
          <w:sz w:val="52"/>
          <w:szCs w:val="52"/>
          <w14:textFill>
            <w14:solidFill>
              <w14:schemeClr w14:val="tx1"/>
            </w14:solidFill>
          </w14:textFill>
        </w:rPr>
        <w:t>）</w:t>
      </w:r>
    </w:p>
    <w:p w14:paraId="0D6D20D1">
      <w:pPr>
        <w:widowControl/>
        <w:spacing w:line="480" w:lineRule="auto"/>
        <w:ind w:firstLine="0" w:firstLineChars="0"/>
        <w:jc w:val="center"/>
        <w:rPr>
          <w:rFonts w:eastAsia="黑体"/>
          <w:b/>
          <w:color w:val="000000" w:themeColor="text1"/>
          <w:sz w:val="52"/>
          <w:szCs w:val="52"/>
          <w14:textFill>
            <w14:solidFill>
              <w14:schemeClr w14:val="tx1"/>
            </w14:solidFill>
          </w14:textFill>
        </w:rPr>
      </w:pPr>
      <w:r>
        <w:rPr>
          <w:rFonts w:eastAsia="黑体"/>
          <w:b/>
          <w:color w:val="000000" w:themeColor="text1"/>
          <w:sz w:val="52"/>
          <w:szCs w:val="52"/>
          <w14:textFill>
            <w14:solidFill>
              <w14:schemeClr w14:val="tx1"/>
            </w14:solidFill>
          </w14:textFill>
        </w:rPr>
        <w:t>环境影响报告书</w:t>
      </w:r>
    </w:p>
    <w:p w14:paraId="205345D7">
      <w:pPr>
        <w:widowControl/>
        <w:spacing w:line="480" w:lineRule="auto"/>
        <w:ind w:firstLine="0" w:firstLineChars="0"/>
        <w:jc w:val="center"/>
        <w:rPr>
          <w:rFonts w:eastAsia="黑体"/>
          <w:b/>
          <w:color w:val="000000" w:themeColor="text1"/>
          <w:sz w:val="52"/>
          <w:szCs w:val="52"/>
          <w14:textFill>
            <w14:solidFill>
              <w14:schemeClr w14:val="tx1"/>
            </w14:solidFill>
          </w14:textFill>
        </w:rPr>
      </w:pPr>
      <w:r>
        <w:rPr>
          <w:rFonts w:eastAsia="黑体"/>
          <w:b/>
          <w:color w:val="000000" w:themeColor="text1"/>
          <w:sz w:val="52"/>
          <w:szCs w:val="52"/>
          <w14:textFill>
            <w14:solidFill>
              <w14:schemeClr w14:val="tx1"/>
            </w14:solidFill>
          </w14:textFill>
        </w:rPr>
        <w:t>（报批稿）</w:t>
      </w:r>
    </w:p>
    <w:p w14:paraId="3760C1FD">
      <w:pPr>
        <w:widowControl/>
        <w:spacing w:line="480" w:lineRule="auto"/>
        <w:ind w:firstLine="0" w:firstLineChars="0"/>
        <w:jc w:val="center"/>
        <w:rPr>
          <w:rFonts w:eastAsia="黑体"/>
          <w:b/>
          <w:color w:val="000000" w:themeColor="text1"/>
          <w:sz w:val="52"/>
          <w:szCs w:val="52"/>
          <w14:textFill>
            <w14:solidFill>
              <w14:schemeClr w14:val="tx1"/>
            </w14:solidFill>
          </w14:textFill>
        </w:rPr>
      </w:pPr>
    </w:p>
    <w:p w14:paraId="2AFE9711">
      <w:pPr>
        <w:widowControl/>
        <w:spacing w:line="480" w:lineRule="auto"/>
        <w:ind w:firstLine="0" w:firstLineChars="0"/>
        <w:jc w:val="center"/>
        <w:rPr>
          <w:rFonts w:eastAsia="黑体"/>
          <w:b/>
          <w:color w:val="000000" w:themeColor="text1"/>
          <w:sz w:val="52"/>
          <w:szCs w:val="52"/>
          <w14:textFill>
            <w14:solidFill>
              <w14:schemeClr w14:val="tx1"/>
            </w14:solidFill>
          </w14:textFill>
        </w:rPr>
      </w:pPr>
    </w:p>
    <w:p w14:paraId="12D79344">
      <w:pPr>
        <w:widowControl/>
        <w:spacing w:line="480" w:lineRule="auto"/>
        <w:ind w:firstLine="0" w:firstLineChars="0"/>
        <w:jc w:val="center"/>
        <w:rPr>
          <w:rFonts w:eastAsia="黑体"/>
          <w:b/>
          <w:color w:val="000000" w:themeColor="text1"/>
          <w:sz w:val="52"/>
          <w:szCs w:val="52"/>
          <w14:textFill>
            <w14:solidFill>
              <w14:schemeClr w14:val="tx1"/>
            </w14:solidFill>
          </w14:textFill>
        </w:rPr>
      </w:pPr>
    </w:p>
    <w:p w14:paraId="4DAC84DB">
      <w:pPr>
        <w:widowControl/>
        <w:spacing w:line="480" w:lineRule="auto"/>
        <w:ind w:firstLine="0" w:firstLineChars="0"/>
        <w:jc w:val="center"/>
        <w:rPr>
          <w:rFonts w:eastAsia="黑体"/>
          <w:b/>
          <w:color w:val="000000" w:themeColor="text1"/>
          <w:sz w:val="52"/>
          <w:szCs w:val="52"/>
          <w14:textFill>
            <w14:solidFill>
              <w14:schemeClr w14:val="tx1"/>
            </w14:solidFill>
          </w14:textFill>
        </w:rPr>
      </w:pPr>
    </w:p>
    <w:p w14:paraId="39CC870A">
      <w:pPr>
        <w:widowControl/>
        <w:spacing w:line="480" w:lineRule="auto"/>
        <w:ind w:firstLine="0" w:firstLineChars="0"/>
        <w:jc w:val="center"/>
        <w:rPr>
          <w:rFonts w:eastAsia="黑体"/>
          <w:b/>
          <w:color w:val="000000" w:themeColor="text1"/>
          <w:sz w:val="52"/>
          <w:szCs w:val="52"/>
          <w14:textFill>
            <w14:solidFill>
              <w14:schemeClr w14:val="tx1"/>
            </w14:solidFill>
          </w14:textFill>
        </w:rPr>
      </w:pPr>
    </w:p>
    <w:p w14:paraId="021F76D8">
      <w:pPr>
        <w:widowControl/>
        <w:spacing w:line="480" w:lineRule="auto"/>
        <w:ind w:firstLine="0" w:firstLineChars="0"/>
        <w:jc w:val="center"/>
        <w:rPr>
          <w:rFonts w:eastAsia="黑体"/>
          <w:b/>
          <w:color w:val="000000" w:themeColor="text1"/>
          <w:sz w:val="52"/>
          <w:szCs w:val="52"/>
          <w14:textFill>
            <w14:solidFill>
              <w14:schemeClr w14:val="tx1"/>
            </w14:solidFill>
          </w14:textFill>
        </w:rPr>
      </w:pPr>
    </w:p>
    <w:p w14:paraId="39352E79">
      <w:pPr>
        <w:widowControl/>
        <w:spacing w:line="480" w:lineRule="auto"/>
        <w:ind w:firstLine="0" w:firstLineChars="0"/>
        <w:jc w:val="center"/>
        <w:rPr>
          <w:rFonts w:eastAsia="黑体"/>
          <w:b/>
          <w:color w:val="000000" w:themeColor="text1"/>
          <w:sz w:val="52"/>
          <w:szCs w:val="52"/>
          <w14:textFill>
            <w14:solidFill>
              <w14:schemeClr w14:val="tx1"/>
            </w14:solidFill>
          </w14:textFill>
        </w:rPr>
      </w:pPr>
    </w:p>
    <w:p w14:paraId="586FDCF0">
      <w:pPr>
        <w:ind w:firstLine="640"/>
        <w:rPr>
          <w:rFonts w:eastAsia="黑体"/>
          <w:color w:val="000000" w:themeColor="text1"/>
          <w:sz w:val="32"/>
          <w:szCs w:val="32"/>
          <w14:textFill>
            <w14:solidFill>
              <w14:schemeClr w14:val="tx1"/>
            </w14:solidFill>
          </w14:textFill>
        </w:rPr>
      </w:pPr>
      <w:r>
        <w:rPr>
          <w:rFonts w:eastAsia="黑体"/>
          <w:color w:val="000000" w:themeColor="text1"/>
          <w:sz w:val="32"/>
          <w:szCs w:val="32"/>
          <w14:textFill>
            <w14:solidFill>
              <w14:schemeClr w14:val="tx1"/>
            </w14:solidFill>
          </w14:textFill>
        </w:rPr>
        <w:t>建设单位：</w:t>
      </w:r>
      <w:r>
        <w:rPr>
          <w:rFonts w:hint="eastAsia" w:eastAsia="黑体"/>
          <w:color w:val="000000" w:themeColor="text1"/>
          <w:sz w:val="32"/>
          <w:szCs w:val="32"/>
          <w14:textFill>
            <w14:solidFill>
              <w14:schemeClr w14:val="tx1"/>
            </w14:solidFill>
          </w14:textFill>
        </w:rPr>
        <w:t>广西自贸区逸海港务有限责任公司</w:t>
      </w:r>
    </w:p>
    <w:p w14:paraId="258F97A7">
      <w:pPr>
        <w:spacing w:line="240" w:lineRule="auto"/>
        <w:ind w:firstLine="640"/>
        <w:rPr>
          <w:rFonts w:eastAsia="黑体"/>
          <w:color w:val="000000" w:themeColor="text1"/>
          <w:sz w:val="32"/>
          <w:szCs w:val="32"/>
          <w14:textFill>
            <w14:solidFill>
              <w14:schemeClr w14:val="tx1"/>
            </w14:solidFill>
          </w14:textFill>
        </w:rPr>
      </w:pPr>
    </w:p>
    <w:p w14:paraId="4DB163B7">
      <w:pPr>
        <w:ind w:firstLine="640"/>
        <w:rPr>
          <w:rFonts w:eastAsia="黑体"/>
          <w:color w:val="000000" w:themeColor="text1"/>
          <w:sz w:val="32"/>
          <w:szCs w:val="32"/>
          <w14:textFill>
            <w14:solidFill>
              <w14:schemeClr w14:val="tx1"/>
            </w14:solidFill>
          </w14:textFill>
        </w:rPr>
      </w:pPr>
      <w:r>
        <w:rPr>
          <w:rFonts w:eastAsia="黑体"/>
          <w:color w:val="000000" w:themeColor="text1"/>
          <w:sz w:val="32"/>
          <w:szCs w:val="32"/>
          <w14:textFill>
            <w14:solidFill>
              <w14:schemeClr w14:val="tx1"/>
            </w14:solidFill>
          </w14:textFill>
        </w:rPr>
        <w:t>编制单位：广西漫越环保科技有限公司</w:t>
      </w:r>
    </w:p>
    <w:p w14:paraId="035C463D">
      <w:pPr>
        <w:ind w:firstLine="640"/>
        <w:rPr>
          <w:rFonts w:eastAsia="黑体"/>
          <w:color w:val="000000" w:themeColor="text1"/>
          <w:sz w:val="32"/>
          <w:szCs w:val="32"/>
          <w14:textFill>
            <w14:solidFill>
              <w14:schemeClr w14:val="tx1"/>
            </w14:solidFill>
          </w14:textFill>
        </w:rPr>
      </w:pPr>
    </w:p>
    <w:p w14:paraId="78D4F398">
      <w:pPr>
        <w:ind w:firstLine="640"/>
        <w:rPr>
          <w:color w:val="000000" w:themeColor="text1"/>
          <w14:textFill>
            <w14:solidFill>
              <w14:schemeClr w14:val="tx1"/>
            </w14:solidFill>
          </w14:textFill>
        </w:rPr>
      </w:pPr>
      <w:bookmarkStart w:id="6" w:name="_Toc17536"/>
      <w:r>
        <w:rPr>
          <w:rFonts w:eastAsia="黑体"/>
          <w:color w:val="000000" w:themeColor="text1"/>
          <w:sz w:val="32"/>
          <w:szCs w:val="32"/>
          <w14:textFill>
            <w14:solidFill>
              <w14:schemeClr w14:val="tx1"/>
            </w14:solidFill>
          </w14:textFill>
        </w:rPr>
        <w:t>编制时间：二〇二六年一月</w:t>
      </w:r>
      <w:bookmarkEnd w:id="6"/>
    </w:p>
    <w:p w14:paraId="2AB2AF55">
      <w:pPr>
        <w:ind w:firstLine="0" w:firstLineChars="0"/>
        <w:rPr>
          <w:color w:val="000000" w:themeColor="text1"/>
          <w14:textFill>
            <w14:solidFill>
              <w14:schemeClr w14:val="tx1"/>
            </w14:solidFill>
          </w14:textFill>
        </w:rPr>
      </w:pPr>
    </w:p>
    <w:p w14:paraId="232D3E0C">
      <w:pPr>
        <w:ind w:firstLine="0" w:firstLineChars="0"/>
        <w:jc w:val="center"/>
        <w:rPr>
          <w:color w:val="000000" w:themeColor="text1"/>
          <w14:textFill>
            <w14:solidFill>
              <w14:schemeClr w14:val="tx1"/>
            </w14:solidFill>
          </w14:textFill>
        </w:r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851" w:footer="992" w:gutter="0"/>
          <w:pgBorders>
            <w:top w:val="none" w:sz="0" w:space="0"/>
            <w:left w:val="none" w:sz="0" w:space="0"/>
            <w:bottom w:val="none" w:sz="0" w:space="0"/>
            <w:right w:val="none" w:sz="0" w:space="0"/>
          </w:pgBorders>
          <w:pgNumType w:fmt="numberInDash" w:start="1"/>
          <w:cols w:space="720" w:num="1"/>
          <w:docGrid w:type="lines" w:linePitch="326" w:charSpace="0"/>
        </w:sectPr>
      </w:pPr>
    </w:p>
    <w:tbl>
      <w:tblPr>
        <w:tblStyle w:val="44"/>
        <w:tblW w:w="92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0"/>
        <w:gridCol w:w="4817"/>
      </w:tblGrid>
      <w:tr w14:paraId="5A94B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0" w:type="dxa"/>
            <w:vAlign w:val="center"/>
          </w:tcPr>
          <w:p w14:paraId="1CB8ABC8">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lang w:val="en-US" w:bidi="ar-SA"/>
                <w14:textFill>
                  <w14:solidFill>
                    <w14:schemeClr w14:val="tx1"/>
                  </w14:solidFill>
                </w14:textFill>
              </w:rPr>
              <w:drawing>
                <wp:inline distT="0" distB="0" distL="114300" distR="114300">
                  <wp:extent cx="2879090" cy="1919605"/>
                  <wp:effectExtent l="0" t="0" r="16510" b="4445"/>
                  <wp:docPr id="44" name="图片 44" descr="DJI_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DJI_0541"/>
                          <pic:cNvPicPr>
                            <a:picLocks noChangeAspect="1"/>
                          </pic:cNvPicPr>
                        </pic:nvPicPr>
                        <pic:blipFill>
                          <a:blip r:embed="rId38"/>
                          <a:stretch>
                            <a:fillRect/>
                          </a:stretch>
                        </pic:blipFill>
                        <pic:spPr>
                          <a:xfrm>
                            <a:off x="0" y="0"/>
                            <a:ext cx="2879090" cy="1919605"/>
                          </a:xfrm>
                          <a:prstGeom prst="rect">
                            <a:avLst/>
                          </a:prstGeom>
                        </pic:spPr>
                      </pic:pic>
                    </a:graphicData>
                  </a:graphic>
                </wp:inline>
              </w:drawing>
            </w:r>
          </w:p>
        </w:tc>
        <w:tc>
          <w:tcPr>
            <w:tcW w:w="4817" w:type="dxa"/>
            <w:vAlign w:val="center"/>
          </w:tcPr>
          <w:p w14:paraId="7D03B4EB">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lang w:val="en-US" w:bidi="ar-SA"/>
                <w14:textFill>
                  <w14:solidFill>
                    <w14:schemeClr w14:val="tx1"/>
                  </w14:solidFill>
                </w14:textFill>
              </w:rPr>
              <w:drawing>
                <wp:inline distT="0" distB="0" distL="114300" distR="114300">
                  <wp:extent cx="2879090" cy="1919605"/>
                  <wp:effectExtent l="0" t="0" r="16510" b="4445"/>
                  <wp:docPr id="45" name="图片 45" descr="DJI_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DJI_0542"/>
                          <pic:cNvPicPr>
                            <a:picLocks noChangeAspect="1"/>
                          </pic:cNvPicPr>
                        </pic:nvPicPr>
                        <pic:blipFill>
                          <a:blip r:embed="rId39"/>
                          <a:stretch>
                            <a:fillRect/>
                          </a:stretch>
                        </pic:blipFill>
                        <pic:spPr>
                          <a:xfrm>
                            <a:off x="0" y="0"/>
                            <a:ext cx="2879090" cy="1919605"/>
                          </a:xfrm>
                          <a:prstGeom prst="rect">
                            <a:avLst/>
                          </a:prstGeom>
                        </pic:spPr>
                      </pic:pic>
                    </a:graphicData>
                  </a:graphic>
                </wp:inline>
              </w:drawing>
            </w:r>
          </w:p>
        </w:tc>
      </w:tr>
      <w:tr w14:paraId="24F74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0" w:type="dxa"/>
            <w:vAlign w:val="center"/>
          </w:tcPr>
          <w:p w14:paraId="232646D2">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14号泊位水工部分</w:t>
            </w:r>
          </w:p>
        </w:tc>
        <w:tc>
          <w:tcPr>
            <w:tcW w:w="4817" w:type="dxa"/>
            <w:vAlign w:val="center"/>
          </w:tcPr>
          <w:p w14:paraId="0488E243">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14号泊位陆域部分</w:t>
            </w:r>
          </w:p>
        </w:tc>
      </w:tr>
      <w:tr w14:paraId="44F42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0" w:type="dxa"/>
            <w:vAlign w:val="center"/>
          </w:tcPr>
          <w:p w14:paraId="1C779A62">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kern w:val="2"/>
                <w:lang w:val="en-US" w:bidi="ar-SA"/>
                <w14:textFill>
                  <w14:solidFill>
                    <w14:schemeClr w14:val="tx1"/>
                  </w14:solidFill>
                </w14:textFill>
              </w:rPr>
              <w:drawing>
                <wp:inline distT="0" distB="0" distL="114300" distR="114300">
                  <wp:extent cx="2879090" cy="2159635"/>
                  <wp:effectExtent l="0" t="0" r="16510" b="12065"/>
                  <wp:docPr id="46" name="图片 46" descr="IMG_20250915_11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20250915_110800"/>
                          <pic:cNvPicPr>
                            <a:picLocks noChangeAspect="1"/>
                          </pic:cNvPicPr>
                        </pic:nvPicPr>
                        <pic:blipFill>
                          <a:blip r:embed="rId40"/>
                          <a:stretch>
                            <a:fillRect/>
                          </a:stretch>
                        </pic:blipFill>
                        <pic:spPr>
                          <a:xfrm>
                            <a:off x="0" y="0"/>
                            <a:ext cx="2879090" cy="2159635"/>
                          </a:xfrm>
                          <a:prstGeom prst="rect">
                            <a:avLst/>
                          </a:prstGeom>
                        </pic:spPr>
                      </pic:pic>
                    </a:graphicData>
                  </a:graphic>
                </wp:inline>
              </w:drawing>
            </w:r>
          </w:p>
        </w:tc>
        <w:tc>
          <w:tcPr>
            <w:tcW w:w="4817" w:type="dxa"/>
            <w:vAlign w:val="center"/>
          </w:tcPr>
          <w:p w14:paraId="4BE71306">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kern w:val="2"/>
                <w:lang w:val="en-US" w:bidi="ar-SA"/>
                <w14:textFill>
                  <w14:solidFill>
                    <w14:schemeClr w14:val="tx1"/>
                  </w14:solidFill>
                </w14:textFill>
              </w:rPr>
              <w:drawing>
                <wp:inline distT="0" distB="0" distL="114300" distR="114300">
                  <wp:extent cx="2879090" cy="2159635"/>
                  <wp:effectExtent l="0" t="0" r="16510" b="12065"/>
                  <wp:docPr id="47" name="图片 47" descr="IMG_20250915_11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_20250915_110659"/>
                          <pic:cNvPicPr>
                            <a:picLocks noChangeAspect="1"/>
                          </pic:cNvPicPr>
                        </pic:nvPicPr>
                        <pic:blipFill>
                          <a:blip r:embed="rId41"/>
                          <a:stretch>
                            <a:fillRect/>
                          </a:stretch>
                        </pic:blipFill>
                        <pic:spPr>
                          <a:xfrm>
                            <a:off x="0" y="0"/>
                            <a:ext cx="2879090" cy="2159635"/>
                          </a:xfrm>
                          <a:prstGeom prst="rect">
                            <a:avLst/>
                          </a:prstGeom>
                        </pic:spPr>
                      </pic:pic>
                    </a:graphicData>
                  </a:graphic>
                </wp:inline>
              </w:drawing>
            </w:r>
          </w:p>
        </w:tc>
      </w:tr>
      <w:tr w14:paraId="0C8F5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0" w:type="dxa"/>
            <w:vAlign w:val="center"/>
          </w:tcPr>
          <w:p w14:paraId="5DAEF684">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装卸臂</w:t>
            </w:r>
          </w:p>
        </w:tc>
        <w:tc>
          <w:tcPr>
            <w:tcW w:w="4817" w:type="dxa"/>
            <w:vAlign w:val="center"/>
          </w:tcPr>
          <w:p w14:paraId="016F6EF6">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登船梯和消防炮楼</w:t>
            </w:r>
          </w:p>
        </w:tc>
      </w:tr>
      <w:tr w14:paraId="35924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0" w:type="dxa"/>
            <w:vAlign w:val="center"/>
          </w:tcPr>
          <w:p w14:paraId="52008E11">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lang w:val="en-US" w:bidi="ar-SA"/>
                <w14:textFill>
                  <w14:solidFill>
                    <w14:schemeClr w14:val="tx1"/>
                  </w14:solidFill>
                </w14:textFill>
              </w:rPr>
              <w:drawing>
                <wp:inline distT="0" distB="0" distL="114300" distR="114300">
                  <wp:extent cx="2879725" cy="1962150"/>
                  <wp:effectExtent l="0" t="0" r="15875" b="0"/>
                  <wp:docPr id="51" name="图片 51" descr="6229fa19-317f-4fc9-b86c-d874e0d88d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6229fa19-317f-4fc9-b86c-d874e0d88df6"/>
                          <pic:cNvPicPr>
                            <a:picLocks noChangeAspect="1"/>
                          </pic:cNvPicPr>
                        </pic:nvPicPr>
                        <pic:blipFill>
                          <a:blip r:embed="rId42"/>
                          <a:srcRect l="2712" r="2867"/>
                          <a:stretch>
                            <a:fillRect/>
                          </a:stretch>
                        </pic:blipFill>
                        <pic:spPr>
                          <a:xfrm>
                            <a:off x="0" y="0"/>
                            <a:ext cx="2879725" cy="1962150"/>
                          </a:xfrm>
                          <a:prstGeom prst="rect">
                            <a:avLst/>
                          </a:prstGeom>
                        </pic:spPr>
                      </pic:pic>
                    </a:graphicData>
                  </a:graphic>
                </wp:inline>
              </w:drawing>
            </w:r>
          </w:p>
        </w:tc>
        <w:tc>
          <w:tcPr>
            <w:tcW w:w="4817" w:type="dxa"/>
            <w:vAlign w:val="center"/>
          </w:tcPr>
          <w:p w14:paraId="49299ACF">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lang w:val="en-US" w:bidi="ar-SA"/>
                <w14:textFill>
                  <w14:solidFill>
                    <w14:schemeClr w14:val="tx1"/>
                  </w14:solidFill>
                </w14:textFill>
              </w:rPr>
              <w:drawing>
                <wp:inline distT="0" distB="0" distL="114300" distR="114300">
                  <wp:extent cx="2877820" cy="2159635"/>
                  <wp:effectExtent l="0" t="0" r="17780" b="12065"/>
                  <wp:docPr id="2" name="图片 2" descr="75aff663b625d72703b46bcb99a9bf33-4506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75aff663b625d72703b46bcb99a9bf33-4506735"/>
                          <pic:cNvPicPr>
                            <a:picLocks noChangeAspect="1"/>
                          </pic:cNvPicPr>
                        </pic:nvPicPr>
                        <pic:blipFill>
                          <a:blip r:embed="rId43"/>
                          <a:stretch>
                            <a:fillRect/>
                          </a:stretch>
                        </pic:blipFill>
                        <pic:spPr>
                          <a:xfrm>
                            <a:off x="0" y="0"/>
                            <a:ext cx="2877820" cy="2159635"/>
                          </a:xfrm>
                          <a:prstGeom prst="rect">
                            <a:avLst/>
                          </a:prstGeom>
                        </pic:spPr>
                      </pic:pic>
                    </a:graphicData>
                  </a:graphic>
                </wp:inline>
              </w:drawing>
            </w:r>
          </w:p>
        </w:tc>
      </w:tr>
      <w:tr w14:paraId="5A165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0" w:type="dxa"/>
            <w:vAlign w:val="center"/>
          </w:tcPr>
          <w:p w14:paraId="4A009DBB">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液氨储罐</w:t>
            </w:r>
          </w:p>
        </w:tc>
        <w:tc>
          <w:tcPr>
            <w:tcW w:w="4817" w:type="dxa"/>
            <w:vAlign w:val="center"/>
          </w:tcPr>
          <w:p w14:paraId="02713C39">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厂区管廊系统</w:t>
            </w:r>
          </w:p>
        </w:tc>
      </w:tr>
      <w:tr w14:paraId="68FC2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7" w:type="dxa"/>
            <w:gridSpan w:val="2"/>
            <w:vAlign w:val="center"/>
          </w:tcPr>
          <w:p w14:paraId="6676EA96">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lang w:val="en-US" w:bidi="ar-SA"/>
                <w14:textFill>
                  <w14:solidFill>
                    <w14:schemeClr w14:val="tx1"/>
                  </w14:solidFill>
                </w14:textFill>
              </w:rPr>
              <w:drawing>
                <wp:inline distT="0" distB="0" distL="114300" distR="114300">
                  <wp:extent cx="5698490" cy="3798570"/>
                  <wp:effectExtent l="0" t="0" r="16510" b="11430"/>
                  <wp:docPr id="49" name="图片 49" descr="DJI_0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DJI_0559"/>
                          <pic:cNvPicPr>
                            <a:picLocks noChangeAspect="1"/>
                          </pic:cNvPicPr>
                        </pic:nvPicPr>
                        <pic:blipFill>
                          <a:blip r:embed="rId44"/>
                          <a:stretch>
                            <a:fillRect/>
                          </a:stretch>
                        </pic:blipFill>
                        <pic:spPr>
                          <a:xfrm>
                            <a:off x="0" y="0"/>
                            <a:ext cx="5698490" cy="3798570"/>
                          </a:xfrm>
                          <a:prstGeom prst="rect">
                            <a:avLst/>
                          </a:prstGeom>
                        </pic:spPr>
                      </pic:pic>
                    </a:graphicData>
                  </a:graphic>
                </wp:inline>
              </w:drawing>
            </w:r>
          </w:p>
        </w:tc>
      </w:tr>
      <w:tr w14:paraId="41138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7" w:type="dxa"/>
            <w:gridSpan w:val="2"/>
            <w:vAlign w:val="center"/>
          </w:tcPr>
          <w:p w14:paraId="08C825E7">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项目俯瞰视角</w:t>
            </w:r>
          </w:p>
        </w:tc>
      </w:tr>
      <w:tr w14:paraId="60C34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7" w:type="dxa"/>
            <w:gridSpan w:val="2"/>
            <w:vAlign w:val="center"/>
          </w:tcPr>
          <w:p w14:paraId="11A3ED8A">
            <w:pPr>
              <w:pStyle w:val="18"/>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lang w:val="en-US" w:bidi="ar-SA"/>
                <w14:textFill>
                  <w14:solidFill>
                    <w14:schemeClr w14:val="tx1"/>
                  </w14:solidFill>
                </w14:textFill>
              </w:rPr>
              <w:drawing>
                <wp:inline distT="0" distB="0" distL="114300" distR="114300">
                  <wp:extent cx="5698490" cy="3799205"/>
                  <wp:effectExtent l="0" t="0" r="16510" b="10795"/>
                  <wp:docPr id="54" name="图片 54" descr="DJI_0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DJI_0537"/>
                          <pic:cNvPicPr>
                            <a:picLocks noChangeAspect="1"/>
                          </pic:cNvPicPr>
                        </pic:nvPicPr>
                        <pic:blipFill>
                          <a:blip r:embed="rId45"/>
                          <a:stretch>
                            <a:fillRect/>
                          </a:stretch>
                        </pic:blipFill>
                        <pic:spPr>
                          <a:xfrm>
                            <a:off x="0" y="0"/>
                            <a:ext cx="5698490" cy="3799205"/>
                          </a:xfrm>
                          <a:prstGeom prst="rect">
                            <a:avLst/>
                          </a:prstGeom>
                        </pic:spPr>
                      </pic:pic>
                    </a:graphicData>
                  </a:graphic>
                </wp:inline>
              </w:drawing>
            </w:r>
          </w:p>
        </w:tc>
      </w:tr>
      <w:tr w14:paraId="64A73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7" w:type="dxa"/>
            <w:gridSpan w:val="2"/>
            <w:vAlign w:val="center"/>
          </w:tcPr>
          <w:p w14:paraId="00B4DF9C">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项目俯瞰视角</w:t>
            </w:r>
          </w:p>
        </w:tc>
      </w:tr>
    </w:tbl>
    <w:p w14:paraId="6F0F7CF7">
      <w:pPr>
        <w:widowControl/>
        <w:spacing w:line="240" w:lineRule="auto"/>
        <w:ind w:firstLine="0" w:firstLineChars="0"/>
        <w:jc w:val="left"/>
        <w:rPr>
          <w:color w:val="000000" w:themeColor="text1"/>
          <w14:textFill>
            <w14:solidFill>
              <w14:schemeClr w14:val="tx1"/>
            </w14:solidFill>
          </w14:textFill>
        </w:rPr>
      </w:pPr>
    </w:p>
    <w:p w14:paraId="6DB42A6E">
      <w:pPr>
        <w:widowControl/>
        <w:spacing w:line="240" w:lineRule="auto"/>
        <w:ind w:firstLine="0" w:firstLineChars="0"/>
        <w:jc w:val="left"/>
        <w:rPr>
          <w:color w:val="000000" w:themeColor="text1"/>
          <w14:textFill>
            <w14:solidFill>
              <w14:schemeClr w14:val="tx1"/>
            </w14:solidFill>
          </w14:textFill>
        </w:rPr>
      </w:pPr>
    </w:p>
    <w:p w14:paraId="1836B381">
      <w:pPr>
        <w:pStyle w:val="101"/>
        <w:ind w:firstLine="0"/>
        <w:rPr>
          <w:color w:val="000000" w:themeColor="text1"/>
          <w:sz w:val="36"/>
          <w:szCs w:val="36"/>
          <w14:textFill>
            <w14:solidFill>
              <w14:schemeClr w14:val="tx1"/>
            </w14:solidFill>
          </w14:textFill>
        </w:rPr>
      </w:pPr>
      <w:bookmarkStart w:id="7" w:name="_Toc216620319"/>
      <w:bookmarkStart w:id="8" w:name="_Toc216103160"/>
      <w:r>
        <w:rPr>
          <w:color w:val="000000" w:themeColor="text1"/>
          <w:sz w:val="36"/>
          <w:szCs w:val="36"/>
          <w14:textFill>
            <w14:solidFill>
              <w14:schemeClr w14:val="tx1"/>
            </w14:solidFill>
          </w14:textFill>
        </w:rPr>
        <w:t>概 述</w:t>
      </w:r>
      <w:bookmarkEnd w:id="1"/>
      <w:bookmarkEnd w:id="2"/>
      <w:bookmarkEnd w:id="3"/>
      <w:bookmarkEnd w:id="4"/>
      <w:bookmarkEnd w:id="5"/>
      <w:bookmarkEnd w:id="7"/>
      <w:bookmarkEnd w:id="8"/>
    </w:p>
    <w:p w14:paraId="115B5084">
      <w:pPr>
        <w:autoSpaceDE w:val="0"/>
        <w:autoSpaceDN w:val="0"/>
        <w:ind w:firstLine="482"/>
        <w:jc w:val="left"/>
        <w:rPr>
          <w:b/>
          <w:color w:val="000000" w:themeColor="text1"/>
          <w14:textFill>
            <w14:solidFill>
              <w14:schemeClr w14:val="tx1"/>
            </w14:solidFill>
          </w14:textFill>
        </w:rPr>
      </w:pPr>
    </w:p>
    <w:p w14:paraId="4C754784">
      <w:pPr>
        <w:autoSpaceDE w:val="0"/>
        <w:autoSpaceDN w:val="0"/>
        <w:ind w:firstLine="482"/>
        <w:jc w:val="left"/>
        <w:rPr>
          <w:b/>
          <w:color w:val="000000" w:themeColor="text1"/>
          <w14:textFill>
            <w14:solidFill>
              <w14:schemeClr w14:val="tx1"/>
            </w14:solidFill>
          </w14:textFill>
        </w:rPr>
      </w:pPr>
      <w:r>
        <w:rPr>
          <w:b/>
          <w:color w:val="000000" w:themeColor="text1"/>
          <w14:textFill>
            <w14:solidFill>
              <w14:schemeClr w14:val="tx1"/>
            </w14:solidFill>
          </w14:textFill>
        </w:rPr>
        <w:t>一、</w:t>
      </w:r>
      <w:r>
        <w:rPr>
          <w:rFonts w:hint="eastAsia"/>
          <w:b/>
          <w:color w:val="000000" w:themeColor="text1"/>
          <w14:textFill>
            <w14:solidFill>
              <w14:schemeClr w14:val="tx1"/>
            </w14:solidFill>
          </w14:textFill>
        </w:rPr>
        <w:t>广西自贸区逸海港务有限责任公司</w:t>
      </w:r>
      <w:r>
        <w:rPr>
          <w:b/>
          <w:color w:val="000000" w:themeColor="text1"/>
          <w14:textFill>
            <w14:solidFill>
              <w14:schemeClr w14:val="tx1"/>
            </w14:solidFill>
          </w14:textFill>
        </w:rPr>
        <w:t>建设单位基本情况</w:t>
      </w:r>
    </w:p>
    <w:p w14:paraId="425FF6E9">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广西自贸区逸海港务有限责任公司位于广西钦州港经济技术开发区石化产业园区内，2022年3月由广西恒逸新材料有限公司持股66%，广西临海工业投资集团有限公司持股34%，共同出资组建。</w:t>
      </w:r>
    </w:p>
    <w:p w14:paraId="130AC5AE">
      <w:pPr>
        <w:autoSpaceDE w:val="0"/>
        <w:autoSpaceDN w:val="0"/>
        <w:ind w:firstLine="482"/>
        <w:jc w:val="left"/>
        <w:rPr>
          <w:b/>
          <w:color w:val="000000" w:themeColor="text1"/>
          <w14:textFill>
            <w14:solidFill>
              <w14:schemeClr w14:val="tx1"/>
            </w14:solidFill>
          </w14:textFill>
        </w:rPr>
      </w:pPr>
      <w:r>
        <w:rPr>
          <w:rFonts w:hint="eastAsia"/>
          <w:b/>
          <w:color w:val="000000" w:themeColor="text1"/>
          <w14:textFill>
            <w14:solidFill>
              <w14:schemeClr w14:val="tx1"/>
            </w14:solidFill>
          </w14:textFill>
        </w:rPr>
        <w:t>二、钦州港金谷港区金鼓江作业区14号、15号泊位工程基本情况</w:t>
      </w:r>
    </w:p>
    <w:p w14:paraId="57B77476">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1、2018年，获得广西壮族自治区发</w:t>
      </w:r>
      <w:r>
        <w:rPr>
          <w:rFonts w:hint="eastAsia"/>
          <w:color w:val="000000" w:themeColor="text1"/>
          <w:lang w:eastAsia="zh-CN"/>
          <w14:textFill>
            <w14:solidFill>
              <w14:schemeClr w14:val="tx1"/>
            </w14:solidFill>
          </w14:textFill>
        </w:rPr>
        <w:t>展和</w:t>
      </w:r>
      <w:r>
        <w:rPr>
          <w:rFonts w:hint="eastAsia"/>
          <w:color w:val="000000" w:themeColor="text1"/>
          <w14:textFill>
            <w14:solidFill>
              <w14:schemeClr w14:val="tx1"/>
            </w14:solidFill>
          </w14:textFill>
        </w:rPr>
        <w:t>改革委员会信息登记单。确定建设内容：建设2个5万吨级化工散杂货泊位。建设单位：广西临海工业投资集团有限公司。</w:t>
      </w:r>
    </w:p>
    <w:p w14:paraId="5308DEF4">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2023年</w:t>
      </w:r>
      <w:r>
        <w:rPr>
          <w:rFonts w:hint="eastAsia"/>
          <w:color w:val="000000" w:themeColor="text1"/>
          <w14:textFill>
            <w14:solidFill>
              <w14:schemeClr w14:val="tx1"/>
            </w14:solidFill>
          </w14:textFill>
        </w:rPr>
        <w:t>8月，钦州市生态环境局批复《钦州港金谷港区金鼓江作业区14号、15号泊位工程（重大变动）环境影响报告书》（自贸钦审批环〔2023〕42号）。批复内容主要如下：</w:t>
      </w:r>
    </w:p>
    <w:p w14:paraId="3158C60B">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项目由码头及后方陆域组成。建设2个5万吨级液体散货泊位，使用码头岸线531米，设计年吞吐量 533 万吨，水工结构采用“部分重力墩式+三座引桥的透水建筑”结构，码头长度 531米，平台宽 25 米，码头前沿通过长 55 米、宽 13.5 米的引桥与后方连接。后方陆域配套8个罐组71座储罐，总库容31.8万立方米。吞吐货种包括液氨等共6类76种货种。</w:t>
      </w:r>
    </w:p>
    <w:p w14:paraId="2ADAAD56">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2023年</w:t>
      </w:r>
      <w:r>
        <w:rPr>
          <w:rFonts w:hint="eastAsia"/>
          <w:color w:val="000000" w:themeColor="text1"/>
          <w14:textFill>
            <w14:solidFill>
              <w14:schemeClr w14:val="tx1"/>
            </w14:solidFill>
          </w14:textFill>
        </w:rPr>
        <w:t>12月，广西壮族自治区发展和改革委员会以《广西壮族自治区发展和改革委员会关于钦州港金谷港区金鼓江作业区14号15号泊位工程项目核准的批复》（桂发改交通〔2023〕1071号）。工程仅核准批复码头工程。</w:t>
      </w:r>
    </w:p>
    <w:p w14:paraId="79319F19">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2023年12月，</w:t>
      </w:r>
      <w:r>
        <w:rPr>
          <w:rFonts w:hint="eastAsia"/>
          <w:color w:val="000000" w:themeColor="text1"/>
          <w14:textFill>
            <w14:solidFill>
              <w14:schemeClr w14:val="tx1"/>
            </w14:solidFill>
          </w14:textFill>
        </w:rPr>
        <w:t>中国（广西）自由贸易试验区钦州港片区行政审批局《关于钦州港金谷港区金鼓江作业区14号15号泊位工程（储罐区）立项的批复》（自贸钦审批立〔2023〕96号）。工程立项批复储罐区工程内容。</w:t>
      </w:r>
    </w:p>
    <w:p w14:paraId="163781BD">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5、2024年1月，广西壮族自治区交通运输厅以《广西壮族自治区交通运输厅关于钦州港金谷港区金鼓江作业区14号15号泊位工程(14号泊位码头水工部分)初步设计的批复》（桂交行审〔2024〕9号）。</w:t>
      </w:r>
    </w:p>
    <w:p w14:paraId="5A08167B">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2024年</w:t>
      </w:r>
      <w:r>
        <w:rPr>
          <w:rFonts w:hint="eastAsia"/>
          <w:color w:val="000000" w:themeColor="text1"/>
          <w14:textFill>
            <w14:solidFill>
              <w14:schemeClr w14:val="tx1"/>
            </w14:solidFill>
          </w14:textFill>
        </w:rPr>
        <w:t>6月，广西壮族自治区交通运输厅以《广西壮族自治区交通运输厅关于钦州港金谷港区金鼓江作业区14号15号泊位工程(14号泊位码头水工部分)施工图设计的批复》（桂交行审〔2024〕126号）。</w:t>
      </w:r>
    </w:p>
    <w:p w14:paraId="29188D4D">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7、根据建设计划，金鼓江作业区14号泊位工程采取分期建设的方式（见附件20），《钦州港金谷港区金鼓江作业区14号泊位码头（一期工程）》建设内容具体包括14号泊位水工工程、20000m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液氨储罐、配套公用及环保设施（管廊工程、BOG压缩机组、高架火炬、消防水罐及泵站、行政办公楼及配电室、应急物资库、危废暂存间、初期雨水池、事故应急池等）。</w:t>
      </w:r>
    </w:p>
    <w:p w14:paraId="61FA7BD2">
      <w:pPr>
        <w:autoSpaceDE w:val="0"/>
        <w:autoSpaceDN w:val="0"/>
        <w:ind w:firstLine="482"/>
        <w:jc w:val="left"/>
        <w:rPr>
          <w:b/>
          <w:color w:val="000000" w:themeColor="text1"/>
          <w14:textFill>
            <w14:solidFill>
              <w14:schemeClr w14:val="tx1"/>
            </w14:solidFill>
          </w14:textFill>
        </w:rPr>
      </w:pPr>
      <w:r>
        <w:rPr>
          <w:rFonts w:hint="eastAsia"/>
          <w:b/>
          <w:color w:val="000000" w:themeColor="text1"/>
          <w14:textFill>
            <w14:solidFill>
              <w14:schemeClr w14:val="tx1"/>
            </w14:solidFill>
          </w14:textFill>
        </w:rPr>
        <w:t>三、钦州港金谷港区金鼓江作业区14号泊位码头（一期工程）基本情况</w:t>
      </w:r>
    </w:p>
    <w:p w14:paraId="47EE393D">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建设地点：位于钦州港金鼓江西岸，距金鼓江航道口门约3km，北端与金鼓江作业区13#泊位相邻，南端与金鼓江作业区15#泊位相邻，对岸为大榄坪作业区。</w:t>
      </w:r>
    </w:p>
    <w:p w14:paraId="16370982">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建设规模：14号</w:t>
      </w:r>
      <w:r>
        <w:rPr>
          <w:rFonts w:hint="eastAsia"/>
          <w:color w:val="000000" w:themeColor="text1"/>
          <w:lang w:eastAsia="zh-CN"/>
          <w14:textFill>
            <w14:solidFill>
              <w14:schemeClr w14:val="tx1"/>
            </w14:solidFill>
          </w14:textFill>
        </w:rPr>
        <w:t>泊位</w:t>
      </w:r>
      <w:r>
        <w:rPr>
          <w:rFonts w:hint="eastAsia"/>
          <w:color w:val="000000" w:themeColor="text1"/>
          <w14:textFill>
            <w14:solidFill>
              <w14:schemeClr w14:val="tx1"/>
            </w14:solidFill>
          </w14:textFill>
        </w:rPr>
        <w:t>工程为1个5万吨级液体散货泊位，码头岸线总长度为240m，设计吞吐量276万吨/年，设计年通过能力300万吨/年；货种包括乙二醇、对二甲苯、甲醇、苯、甲苯、粗苯、混二甲苯、叔丁醇、环己烷、环己酮、液氨11种化学品。目前建设了苯、环己酮、粗苯、液氨装卸。</w:t>
      </w:r>
    </w:p>
    <w:p w14:paraId="6BF9029D">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陆域部分设置1座20000m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低温液氨储罐，配套建设公用、环保设施（包括管廊工程、BOG压缩机组、高架火炬、消防水罐及泵站、行政办公楼及配电室、应急物资库、危废暂存间、初期雨水池、事故应急池等）。</w:t>
      </w:r>
    </w:p>
    <w:p w14:paraId="5F9E4E4A">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水工部分码头结构采用圆筒墩式平台+引桥方案，码头面高程为6.30m，前沿停泊地底高程-13.70m。前沿布置1个34m×51m作业平台和4个17m×17m的靠船墩（系缆墩）。作业平台与靠船墩（系缆墩）之间的栈桥净跨30.25m，宽6m。作业平台与后方陆域连接设1座引桥，长46m，宽15m。码头前沿停泊水域宽度为65m，底高程-13.7m，回旋水域底高程为-11.3m，回旋水域采用圆形布置，直径为330m。</w:t>
      </w:r>
    </w:p>
    <w:p w14:paraId="3721C9D6">
      <w:pPr>
        <w:autoSpaceDE w:val="0"/>
        <w:autoSpaceDN w:val="0"/>
        <w:ind w:firstLine="480"/>
        <w:jc w:val="left"/>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2025年12月，建设单位广西自贸区逸海港务有限责任公司组织通过《钦州港金谷港区金鼓江作业区14号泊位码头（一期工程）》竣工环保验收（见附件9）。</w:t>
      </w:r>
    </w:p>
    <w:p w14:paraId="7621D816">
      <w:pPr>
        <w:autoSpaceDE w:val="0"/>
        <w:autoSpaceDN w:val="0"/>
        <w:ind w:firstLine="482"/>
        <w:jc w:val="left"/>
        <w:rPr>
          <w:b/>
          <w:color w:val="000000" w:themeColor="text1"/>
          <w14:textFill>
            <w14:solidFill>
              <w14:schemeClr w14:val="tx1"/>
            </w14:solidFill>
          </w14:textFill>
        </w:rPr>
      </w:pPr>
      <w:r>
        <w:rPr>
          <w:rFonts w:hint="eastAsia"/>
          <w:b/>
          <w:color w:val="000000" w:themeColor="text1"/>
          <w14:textFill>
            <w14:solidFill>
              <w14:schemeClr w14:val="tx1"/>
            </w14:solidFill>
          </w14:textFill>
        </w:rPr>
        <w:t>四、项目由来</w:t>
      </w:r>
    </w:p>
    <w:p w14:paraId="659C1966">
      <w:pPr>
        <w:autoSpaceDE w:val="0"/>
        <w:autoSpaceDN w:val="0"/>
        <w:ind w:firstLine="480"/>
        <w:jc w:val="left"/>
        <w:rPr>
          <w:rFonts w:ascii="宋体" w:hAnsi="宋体"/>
          <w:color w:val="000000" w:themeColor="text1"/>
          <w:u w:val="single"/>
          <w14:textFill>
            <w14:solidFill>
              <w14:schemeClr w14:val="tx1"/>
            </w14:solidFill>
          </w14:textFill>
        </w:rPr>
      </w:pPr>
      <w:r>
        <w:rPr>
          <w:rFonts w:hint="eastAsia" w:ascii="宋体" w:hAnsi="宋体"/>
          <w:color w:val="000000" w:themeColor="text1"/>
          <w:u w:val="single"/>
          <w14:textFill>
            <w14:solidFill>
              <w14:schemeClr w14:val="tx1"/>
            </w14:solidFill>
          </w14:textFill>
        </w:rPr>
        <w:t>随着区域产业升级，钦州港石化园区及企业化学品运输需求发生结构性变化，广西自贸区逸海港务有限责任公司拟在14号泊位11个货种情况下增加12个货种，同时调整各货种运输量，调整后吞吐量251万吨/年。</w:t>
      </w:r>
    </w:p>
    <w:p w14:paraId="050D722F">
      <w:pPr>
        <w:autoSpaceDE w:val="0"/>
        <w:autoSpaceDN w:val="0"/>
        <w:ind w:firstLine="480"/>
        <w:jc w:val="left"/>
        <w:rPr>
          <w:rFonts w:ascii="宋体" w:hAnsi="宋体"/>
          <w:color w:val="000000" w:themeColor="text1"/>
          <w:u w:val="single"/>
          <w14:textFill>
            <w14:solidFill>
              <w14:schemeClr w14:val="tx1"/>
            </w14:solidFill>
          </w14:textFill>
        </w:rPr>
      </w:pPr>
      <w:r>
        <w:rPr>
          <w:rFonts w:hint="eastAsia" w:ascii="宋体" w:hAnsi="宋体"/>
          <w:color w:val="000000" w:themeColor="text1"/>
          <w:u w:val="single"/>
          <w14:textFill>
            <w14:solidFill>
              <w14:schemeClr w14:val="tx1"/>
            </w14:solidFill>
          </w14:textFill>
        </w:rPr>
        <w:t>其中新增苯乙烯利用现有</w:t>
      </w:r>
      <w:r>
        <w:rPr>
          <w:rFonts w:hint="eastAsia" w:ascii="宋体" w:hAnsi="宋体"/>
          <w:color w:val="000000" w:themeColor="text1"/>
          <w:u w:val="single"/>
          <w:lang w:val="en-US" w:eastAsia="zh-CN"/>
          <w14:textFill>
            <w14:solidFill>
              <w14:schemeClr w14:val="tx1"/>
            </w14:solidFill>
          </w14:textFill>
        </w:rPr>
        <w:t>苯</w:t>
      </w:r>
      <w:r>
        <w:rPr>
          <w:rFonts w:hint="eastAsia" w:ascii="宋体" w:hAnsi="宋体"/>
          <w:color w:val="000000" w:themeColor="text1"/>
          <w:u w:val="single"/>
          <w14:textFill>
            <w14:solidFill>
              <w14:schemeClr w14:val="tx1"/>
            </w14:solidFill>
          </w14:textFill>
        </w:rPr>
        <w:t>装卸臂进行装卸，均为卸船后经管道至后方</w:t>
      </w:r>
      <w:r>
        <w:rPr>
          <w:rFonts w:hint="eastAsia"/>
          <w:color w:val="000000" w:themeColor="text1"/>
          <w:u w:val="single"/>
          <w14:textFill>
            <w14:solidFill>
              <w14:schemeClr w14:val="tx1"/>
            </w14:solidFill>
          </w14:textFill>
        </w:rPr>
        <w:t>台湾见龙钦州高端聚苯乙烯新材料项目</w:t>
      </w:r>
      <w:r>
        <w:rPr>
          <w:rFonts w:hint="eastAsia" w:ascii="宋体" w:hAnsi="宋体"/>
          <w:color w:val="000000" w:themeColor="text1"/>
          <w:u w:val="single"/>
          <w14:textFill>
            <w14:solidFill>
              <w14:schemeClr w14:val="tx1"/>
            </w14:solidFill>
          </w14:textFill>
        </w:rPr>
        <w:t>厂区。</w:t>
      </w:r>
    </w:p>
    <w:p w14:paraId="463505DA">
      <w:pPr>
        <w:autoSpaceDE w:val="0"/>
        <w:autoSpaceDN w:val="0"/>
        <w:ind w:firstLine="480"/>
        <w:jc w:val="left"/>
        <w:rPr>
          <w:rFonts w:ascii="宋体" w:hAnsi="宋体"/>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棕榈酸化油、脂肪酸混合物由</w:t>
      </w:r>
      <w:r>
        <w:rPr>
          <w:rFonts w:hint="eastAsia" w:ascii="宋体" w:hAnsi="宋体"/>
          <w:color w:val="000000" w:themeColor="text1"/>
          <w:u w:val="single"/>
          <w14:textFill>
            <w14:solidFill>
              <w14:schemeClr w14:val="tx1"/>
            </w14:solidFill>
          </w14:textFill>
        </w:rPr>
        <w:t>新建装卸臂</w:t>
      </w:r>
      <w:r>
        <w:rPr>
          <w:rFonts w:hint="eastAsia"/>
          <w:color w:val="000000" w:themeColor="text1"/>
          <w:u w:val="single"/>
          <w14:textFill>
            <w14:solidFill>
              <w14:schemeClr w14:val="tx1"/>
            </w14:solidFill>
          </w14:textFill>
        </w:rPr>
        <w:t>卸船至后方欧德年产 30 万吨生物柴油生产线项目厂区。</w:t>
      </w:r>
    </w:p>
    <w:p w14:paraId="3599CCC8">
      <w:pPr>
        <w:autoSpaceDE w:val="0"/>
        <w:autoSpaceDN w:val="0"/>
        <w:ind w:firstLine="480"/>
        <w:jc w:val="left"/>
        <w:rPr>
          <w:rFonts w:ascii="宋体" w:hAnsi="宋体"/>
          <w:color w:val="000000" w:themeColor="text1"/>
          <w:u w:val="single"/>
          <w14:textFill>
            <w14:solidFill>
              <w14:schemeClr w14:val="tx1"/>
            </w14:solidFill>
          </w14:textFill>
        </w:rPr>
      </w:pPr>
      <w:r>
        <w:rPr>
          <w:rFonts w:hint="eastAsia" w:ascii="宋体" w:hAnsi="宋体"/>
          <w:color w:val="000000" w:themeColor="text1"/>
          <w:u w:val="single"/>
          <w14:textFill>
            <w14:solidFill>
              <w14:schemeClr w14:val="tx1"/>
            </w14:solidFill>
          </w14:textFill>
        </w:rPr>
        <w:t>裂解C9、工业级混合油、脂肪酸甲酯、纯生物柴油、航空煤油由后方厂区及公共管廊至码头管廊后至新建装卸臂进行装船。</w:t>
      </w:r>
    </w:p>
    <w:p w14:paraId="579BE908">
      <w:pPr>
        <w:autoSpaceDE w:val="0"/>
        <w:autoSpaceDN w:val="0"/>
        <w:ind w:firstLine="480"/>
        <w:jc w:val="left"/>
        <w:rPr>
          <w:color w:val="000000" w:themeColor="text1"/>
          <w:u w:val="single"/>
          <w14:textFill>
            <w14:solidFill>
              <w14:schemeClr w14:val="tx1"/>
            </w14:solidFill>
          </w14:textFill>
        </w:rPr>
      </w:pPr>
      <w:r>
        <w:rPr>
          <w:rFonts w:hint="eastAsia" w:ascii="宋体" w:hAnsi="宋体"/>
          <w:color w:val="000000" w:themeColor="text1"/>
          <w:u w:val="single"/>
          <w14:textFill>
            <w14:solidFill>
              <w14:schemeClr w14:val="tx1"/>
            </w14:solidFill>
          </w14:textFill>
        </w:rPr>
        <w:t>液硫、碱液、发烟硫酸、硫酸经卸船经管道至后方陆域罐区（新增罐区环境影响评价报告同步进行种）。</w:t>
      </w:r>
    </w:p>
    <w:p w14:paraId="2AA2645E">
      <w:pPr>
        <w:ind w:firstLine="480"/>
        <w:rPr>
          <w:color w:val="000000" w:themeColor="text1"/>
          <w14:textFill>
            <w14:solidFill>
              <w14:schemeClr w14:val="tx1"/>
            </w14:solidFill>
          </w14:textFill>
        </w:rPr>
      </w:pPr>
      <w:r>
        <w:rPr>
          <w:color w:val="000000" w:themeColor="text1"/>
          <w14:textFill>
            <w14:solidFill>
              <w14:schemeClr w14:val="tx1"/>
            </w14:solidFill>
          </w14:textFill>
        </w:rPr>
        <w:br w:type="page"/>
      </w:r>
    </w:p>
    <w:p w14:paraId="2187E163">
      <w:pPr>
        <w:pStyle w:val="7"/>
        <w:numPr>
          <w:ilvl w:val="0"/>
          <w:numId w:val="0"/>
        </w:numPr>
        <w:rPr>
          <w:color w:val="000000" w:themeColor="text1"/>
          <w14:textFill>
            <w14:solidFill>
              <w14:schemeClr w14:val="tx1"/>
            </w14:solidFill>
          </w14:textFill>
        </w:rPr>
        <w:sectPr>
          <w:footerReference r:id="rId11" w:type="default"/>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p>
    <w:p w14:paraId="4660EE27">
      <w:pPr>
        <w:pStyle w:val="7"/>
        <w:numPr>
          <w:ilvl w:val="0"/>
          <w:numId w:val="0"/>
        </w:numPr>
        <w:rPr>
          <w:color w:val="000000" w:themeColor="text1"/>
          <w:u w:val="single"/>
          <w14:textFill>
            <w14:solidFill>
              <w14:schemeClr w14:val="tx1"/>
            </w14:solidFill>
          </w14:textFill>
        </w:rPr>
      </w:pPr>
      <w:r>
        <w:rPr>
          <w:color w:val="000000" w:themeColor="text1"/>
          <w:u w:val="single"/>
          <w14:textFill>
            <w14:solidFill>
              <w14:schemeClr w14:val="tx1"/>
            </w14:solidFill>
          </w14:textFill>
        </w:rPr>
        <w:t>表1  新增货种后</w:t>
      </w:r>
      <w:r>
        <w:rPr>
          <w:rFonts w:hint="eastAsia"/>
          <w:color w:val="000000" w:themeColor="text1"/>
          <w:u w:val="single"/>
          <w14:textFill>
            <w14:solidFill>
              <w14:schemeClr w14:val="tx1"/>
            </w14:solidFill>
          </w14:textFill>
        </w:rPr>
        <w:t>14号泊位</w:t>
      </w:r>
      <w:r>
        <w:rPr>
          <w:color w:val="000000" w:themeColor="text1"/>
          <w:u w:val="single"/>
          <w14:textFill>
            <w14:solidFill>
              <w14:schemeClr w14:val="tx1"/>
            </w14:solidFill>
          </w14:textFill>
        </w:rPr>
        <w:t>项目货种装卸情况一览表</w:t>
      </w:r>
    </w:p>
    <w:tbl>
      <w:tblPr>
        <w:tblStyle w:val="43"/>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7" w:type="dxa"/>
          <w:bottom w:w="0" w:type="dxa"/>
          <w:right w:w="17" w:type="dxa"/>
        </w:tblCellMar>
      </w:tblPr>
      <w:tblGrid>
        <w:gridCol w:w="456"/>
        <w:gridCol w:w="878"/>
        <w:gridCol w:w="667"/>
        <w:gridCol w:w="1779"/>
        <w:gridCol w:w="1089"/>
        <w:gridCol w:w="878"/>
        <w:gridCol w:w="878"/>
        <w:gridCol w:w="874"/>
        <w:gridCol w:w="1294"/>
        <w:gridCol w:w="667"/>
        <w:gridCol w:w="1147"/>
        <w:gridCol w:w="751"/>
        <w:gridCol w:w="1005"/>
        <w:gridCol w:w="630"/>
        <w:gridCol w:w="915"/>
      </w:tblGrid>
      <w:tr w14:paraId="5BC7907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463" w:hRule="atLeast"/>
          <w:tblHeader/>
          <w:jc w:val="center"/>
        </w:trPr>
        <w:tc>
          <w:tcPr>
            <w:tcW w:w="0" w:type="auto"/>
            <w:gridSpan w:val="8"/>
            <w:shd w:val="clear" w:color="auto" w:fill="auto"/>
            <w:vAlign w:val="center"/>
          </w:tcPr>
          <w:p w14:paraId="374656B7">
            <w:pPr>
              <w:pStyle w:val="73"/>
              <w:spacing w:line="240" w:lineRule="exact"/>
              <w:rPr>
                <w:rFonts w:eastAsia="宋体"/>
                <w:b/>
                <w:color w:val="000000" w:themeColor="text1"/>
                <w:sz w:val="21"/>
                <w:lang w:val="en-US"/>
                <w14:textFill>
                  <w14:solidFill>
                    <w14:schemeClr w14:val="tx1"/>
                  </w14:solidFill>
                </w14:textFill>
              </w:rPr>
            </w:pPr>
            <w:r>
              <w:rPr>
                <w:rFonts w:hint="eastAsia" w:eastAsia="宋体"/>
                <w:b/>
                <w:color w:val="000000" w:themeColor="text1"/>
                <w:sz w:val="21"/>
                <w:lang w:val="en-US"/>
                <w14:textFill>
                  <w14:solidFill>
                    <w14:schemeClr w14:val="tx1"/>
                  </w14:solidFill>
                </w14:textFill>
              </w:rPr>
              <w:t>调整前</w:t>
            </w:r>
          </w:p>
        </w:tc>
        <w:tc>
          <w:tcPr>
            <w:tcW w:w="0" w:type="auto"/>
            <w:gridSpan w:val="7"/>
            <w:shd w:val="clear" w:color="auto" w:fill="auto"/>
            <w:vAlign w:val="center"/>
          </w:tcPr>
          <w:p w14:paraId="6EA2BEC4">
            <w:pPr>
              <w:pStyle w:val="73"/>
              <w:spacing w:line="240" w:lineRule="exact"/>
              <w:rPr>
                <w:rFonts w:eastAsia="宋体"/>
                <w:b/>
                <w:color w:val="000000" w:themeColor="text1"/>
                <w:sz w:val="21"/>
                <w:lang w:val="en-US"/>
                <w14:textFill>
                  <w14:solidFill>
                    <w14:schemeClr w14:val="tx1"/>
                  </w14:solidFill>
                </w14:textFill>
              </w:rPr>
            </w:pPr>
            <w:r>
              <w:rPr>
                <w:rFonts w:hint="eastAsia" w:eastAsia="宋体"/>
                <w:b/>
                <w:color w:val="000000" w:themeColor="text1"/>
                <w:sz w:val="21"/>
                <w:lang w:val="en-US"/>
                <w14:textFill>
                  <w14:solidFill>
                    <w14:schemeClr w14:val="tx1"/>
                  </w14:solidFill>
                </w14:textFill>
              </w:rPr>
              <w:t>调整后</w:t>
            </w:r>
          </w:p>
        </w:tc>
      </w:tr>
      <w:tr w14:paraId="2263E05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736" w:hRule="atLeast"/>
          <w:tblHeader/>
          <w:jc w:val="center"/>
        </w:trPr>
        <w:tc>
          <w:tcPr>
            <w:tcW w:w="0" w:type="auto"/>
            <w:shd w:val="clear" w:color="auto" w:fill="auto"/>
            <w:vAlign w:val="center"/>
          </w:tcPr>
          <w:p w14:paraId="26AFD231">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序号</w:t>
            </w:r>
          </w:p>
        </w:tc>
        <w:tc>
          <w:tcPr>
            <w:tcW w:w="0" w:type="auto"/>
            <w:shd w:val="clear" w:color="auto" w:fill="auto"/>
            <w:vAlign w:val="center"/>
          </w:tcPr>
          <w:p w14:paraId="16C2E07A">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货种名称</w:t>
            </w:r>
          </w:p>
        </w:tc>
        <w:tc>
          <w:tcPr>
            <w:tcW w:w="0" w:type="auto"/>
            <w:shd w:val="clear" w:color="auto" w:fill="auto"/>
            <w:vAlign w:val="center"/>
          </w:tcPr>
          <w:p w14:paraId="25C03613">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lang w:val="en-US"/>
                <w14:textFill>
                  <w14:solidFill>
                    <w14:schemeClr w14:val="tx1"/>
                  </w14:solidFill>
                </w14:textFill>
              </w:rPr>
              <w:t>进出口</w:t>
            </w:r>
          </w:p>
        </w:tc>
        <w:tc>
          <w:tcPr>
            <w:tcW w:w="0" w:type="auto"/>
            <w:shd w:val="clear" w:color="auto" w:fill="auto"/>
            <w:vAlign w:val="center"/>
          </w:tcPr>
          <w:p w14:paraId="27DED108">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lang w:val="en-US"/>
                <w14:textFill>
                  <w14:solidFill>
                    <w14:schemeClr w14:val="tx1"/>
                  </w14:solidFill>
                </w14:textFill>
              </w:rPr>
              <w:t>吞吐量（万吨/年）</w:t>
            </w:r>
          </w:p>
        </w:tc>
        <w:tc>
          <w:tcPr>
            <w:tcW w:w="0" w:type="auto"/>
            <w:shd w:val="clear" w:color="auto" w:fill="auto"/>
            <w:vAlign w:val="center"/>
          </w:tcPr>
          <w:p w14:paraId="28D491D2">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装卸船方式</w:t>
            </w:r>
          </w:p>
        </w:tc>
        <w:tc>
          <w:tcPr>
            <w:tcW w:w="0" w:type="auto"/>
            <w:shd w:val="clear" w:color="auto" w:fill="auto"/>
            <w:vAlign w:val="center"/>
          </w:tcPr>
          <w:p w14:paraId="4E2F8989">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是否设码</w:t>
            </w:r>
          </w:p>
          <w:p w14:paraId="13F74162">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头罐区储</w:t>
            </w:r>
          </w:p>
          <w:p w14:paraId="1FCD9FD8">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罐</w:t>
            </w:r>
          </w:p>
        </w:tc>
        <w:tc>
          <w:tcPr>
            <w:tcW w:w="0" w:type="auto"/>
            <w:shd w:val="clear" w:color="auto" w:fill="auto"/>
            <w:vAlign w:val="center"/>
          </w:tcPr>
          <w:p w14:paraId="18E8FD3F">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是否装汽</w:t>
            </w:r>
          </w:p>
          <w:p w14:paraId="533D1C00">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车</w:t>
            </w:r>
          </w:p>
        </w:tc>
        <w:tc>
          <w:tcPr>
            <w:tcW w:w="0" w:type="auto"/>
            <w:shd w:val="clear" w:color="auto" w:fill="auto"/>
            <w:vAlign w:val="center"/>
          </w:tcPr>
          <w:p w14:paraId="145442B1">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备注</w:t>
            </w:r>
          </w:p>
        </w:tc>
        <w:tc>
          <w:tcPr>
            <w:tcW w:w="0" w:type="auto"/>
            <w:shd w:val="clear" w:color="auto" w:fill="auto"/>
            <w:vAlign w:val="center"/>
          </w:tcPr>
          <w:p w14:paraId="585FC581">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货种名称</w:t>
            </w:r>
          </w:p>
        </w:tc>
        <w:tc>
          <w:tcPr>
            <w:tcW w:w="0" w:type="auto"/>
            <w:shd w:val="clear" w:color="auto" w:fill="auto"/>
            <w:vAlign w:val="center"/>
          </w:tcPr>
          <w:p w14:paraId="19E9E771">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lang w:val="en-US"/>
                <w14:textFill>
                  <w14:solidFill>
                    <w14:schemeClr w14:val="tx1"/>
                  </w14:solidFill>
                </w14:textFill>
              </w:rPr>
              <w:t>进出口</w:t>
            </w:r>
          </w:p>
        </w:tc>
        <w:tc>
          <w:tcPr>
            <w:tcW w:w="0" w:type="auto"/>
            <w:shd w:val="clear" w:color="auto" w:fill="auto"/>
            <w:vAlign w:val="center"/>
          </w:tcPr>
          <w:p w14:paraId="40ABA047">
            <w:pPr>
              <w:pStyle w:val="73"/>
              <w:spacing w:line="240" w:lineRule="exact"/>
              <w:rPr>
                <w:rFonts w:eastAsia="宋体"/>
                <w:b/>
                <w:color w:val="000000" w:themeColor="text1"/>
                <w:sz w:val="21"/>
                <w:lang w:val="en-US"/>
                <w14:textFill>
                  <w14:solidFill>
                    <w14:schemeClr w14:val="tx1"/>
                  </w14:solidFill>
                </w14:textFill>
              </w:rPr>
            </w:pPr>
            <w:r>
              <w:rPr>
                <w:rFonts w:hint="eastAsia" w:eastAsia="宋体"/>
                <w:b/>
                <w:color w:val="000000" w:themeColor="text1"/>
                <w:sz w:val="21"/>
                <w:lang w:val="en-US"/>
                <w14:textFill>
                  <w14:solidFill>
                    <w14:schemeClr w14:val="tx1"/>
                  </w14:solidFill>
                </w14:textFill>
              </w:rPr>
              <w:t>吞吐量</w:t>
            </w:r>
          </w:p>
          <w:p w14:paraId="2AEE8465">
            <w:pPr>
              <w:pStyle w:val="73"/>
              <w:spacing w:line="240" w:lineRule="exact"/>
              <w:rPr>
                <w:rFonts w:eastAsia="宋体"/>
                <w:b/>
                <w:color w:val="000000" w:themeColor="text1"/>
                <w:sz w:val="21"/>
                <w:lang w:val="en-US"/>
                <w14:textFill>
                  <w14:solidFill>
                    <w14:schemeClr w14:val="tx1"/>
                  </w14:solidFill>
                </w14:textFill>
              </w:rPr>
            </w:pPr>
            <w:r>
              <w:rPr>
                <w:rFonts w:hint="eastAsia" w:eastAsia="宋体"/>
                <w:b/>
                <w:color w:val="000000" w:themeColor="text1"/>
                <w:sz w:val="21"/>
                <w:lang w:val="en-US"/>
                <w14:textFill>
                  <w14:solidFill>
                    <w14:schemeClr w14:val="tx1"/>
                  </w14:solidFill>
                </w14:textFill>
              </w:rPr>
              <w:t>（万吨/年）</w:t>
            </w:r>
          </w:p>
        </w:tc>
        <w:tc>
          <w:tcPr>
            <w:tcW w:w="751" w:type="dxa"/>
            <w:shd w:val="clear" w:color="auto" w:fill="auto"/>
            <w:vAlign w:val="center"/>
          </w:tcPr>
          <w:p w14:paraId="1DCDD795">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装卸船方式</w:t>
            </w:r>
          </w:p>
        </w:tc>
        <w:tc>
          <w:tcPr>
            <w:tcW w:w="1005" w:type="dxa"/>
            <w:shd w:val="clear" w:color="auto" w:fill="auto"/>
            <w:vAlign w:val="center"/>
          </w:tcPr>
          <w:p w14:paraId="3CDB7030">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是否设码</w:t>
            </w:r>
          </w:p>
          <w:p w14:paraId="051B51F2">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头罐区储</w:t>
            </w:r>
          </w:p>
          <w:p w14:paraId="5119443F">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罐</w:t>
            </w:r>
          </w:p>
        </w:tc>
        <w:tc>
          <w:tcPr>
            <w:tcW w:w="630" w:type="dxa"/>
            <w:shd w:val="clear" w:color="auto" w:fill="auto"/>
            <w:vAlign w:val="center"/>
          </w:tcPr>
          <w:p w14:paraId="23576516">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是否装汽</w:t>
            </w:r>
          </w:p>
          <w:p w14:paraId="7C682882">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车</w:t>
            </w:r>
          </w:p>
        </w:tc>
        <w:tc>
          <w:tcPr>
            <w:tcW w:w="915" w:type="dxa"/>
            <w:shd w:val="clear" w:color="auto" w:fill="auto"/>
            <w:vAlign w:val="center"/>
          </w:tcPr>
          <w:p w14:paraId="3628B832">
            <w:pPr>
              <w:pStyle w:val="73"/>
              <w:spacing w:line="240" w:lineRule="exact"/>
              <w:rPr>
                <w:rFonts w:eastAsia="宋体"/>
                <w:b/>
                <w:color w:val="000000" w:themeColor="text1"/>
                <w:sz w:val="21"/>
                <w:lang w:val="en-US"/>
                <w14:textFill>
                  <w14:solidFill>
                    <w14:schemeClr w14:val="tx1"/>
                  </w14:solidFill>
                </w14:textFill>
              </w:rPr>
            </w:pPr>
            <w:r>
              <w:rPr>
                <w:rFonts w:hint="eastAsia" w:eastAsia="宋体"/>
                <w:b/>
                <w:color w:val="000000" w:themeColor="text1"/>
                <w:sz w:val="21"/>
                <w:lang w:val="en-US"/>
                <w14:textFill>
                  <w14:solidFill>
                    <w14:schemeClr w14:val="tx1"/>
                  </w14:solidFill>
                </w14:textFill>
              </w:rPr>
              <w:t>备注</w:t>
            </w:r>
          </w:p>
        </w:tc>
      </w:tr>
      <w:tr w14:paraId="64A969A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shd w:val="clear" w:color="auto" w:fill="auto"/>
            <w:vAlign w:val="center"/>
          </w:tcPr>
          <w:p w14:paraId="7C79FC4A">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1</w:t>
            </w:r>
          </w:p>
        </w:tc>
        <w:tc>
          <w:tcPr>
            <w:tcW w:w="0" w:type="auto"/>
            <w:shd w:val="clear" w:color="auto" w:fill="auto"/>
            <w:vAlign w:val="center"/>
          </w:tcPr>
          <w:p w14:paraId="06C4B640">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苯</w:t>
            </w:r>
          </w:p>
        </w:tc>
        <w:tc>
          <w:tcPr>
            <w:tcW w:w="0" w:type="auto"/>
            <w:shd w:val="clear" w:color="auto" w:fill="auto"/>
            <w:vAlign w:val="center"/>
          </w:tcPr>
          <w:p w14:paraId="2F0C171C">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5DC3E8DC">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120</w:t>
            </w:r>
          </w:p>
        </w:tc>
        <w:tc>
          <w:tcPr>
            <w:tcW w:w="0" w:type="auto"/>
            <w:shd w:val="clear" w:color="auto" w:fill="auto"/>
            <w:vAlign w:val="center"/>
          </w:tcPr>
          <w:p w14:paraId="20CD60B1">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0" w:type="auto"/>
            <w:shd w:val="clear" w:color="auto" w:fill="auto"/>
            <w:vAlign w:val="center"/>
          </w:tcPr>
          <w:p w14:paraId="0432CFD5">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否</w:t>
            </w:r>
          </w:p>
        </w:tc>
        <w:tc>
          <w:tcPr>
            <w:tcW w:w="0" w:type="auto"/>
            <w:shd w:val="clear" w:color="auto" w:fill="auto"/>
            <w:vAlign w:val="center"/>
          </w:tcPr>
          <w:p w14:paraId="0D054A9E">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0" w:type="auto"/>
            <w:shd w:val="clear" w:color="auto" w:fill="auto"/>
            <w:vAlign w:val="center"/>
          </w:tcPr>
          <w:p w14:paraId="5CB7BE7E">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已建</w:t>
            </w:r>
          </w:p>
        </w:tc>
        <w:tc>
          <w:tcPr>
            <w:tcW w:w="0" w:type="auto"/>
            <w:shd w:val="clear" w:color="auto" w:fill="auto"/>
            <w:vAlign w:val="center"/>
          </w:tcPr>
          <w:p w14:paraId="45D8D50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苯</w:t>
            </w:r>
          </w:p>
        </w:tc>
        <w:tc>
          <w:tcPr>
            <w:tcW w:w="0" w:type="auto"/>
            <w:shd w:val="clear" w:color="auto" w:fill="auto"/>
            <w:vAlign w:val="center"/>
          </w:tcPr>
          <w:p w14:paraId="0D83693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37870D9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100</w:t>
            </w:r>
          </w:p>
        </w:tc>
        <w:tc>
          <w:tcPr>
            <w:tcW w:w="751" w:type="dxa"/>
            <w:shd w:val="clear" w:color="auto" w:fill="auto"/>
            <w:vAlign w:val="center"/>
          </w:tcPr>
          <w:p w14:paraId="275A546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装卸臂</w:t>
            </w:r>
          </w:p>
        </w:tc>
        <w:tc>
          <w:tcPr>
            <w:tcW w:w="1005" w:type="dxa"/>
            <w:shd w:val="clear" w:color="auto" w:fill="auto"/>
            <w:vAlign w:val="center"/>
          </w:tcPr>
          <w:p w14:paraId="383C4E30">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630" w:type="dxa"/>
            <w:shd w:val="clear" w:color="auto" w:fill="auto"/>
            <w:vAlign w:val="center"/>
          </w:tcPr>
          <w:p w14:paraId="1ECEA2AE">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915" w:type="dxa"/>
            <w:shd w:val="clear" w:color="auto" w:fill="auto"/>
            <w:vAlign w:val="center"/>
          </w:tcPr>
          <w:p w14:paraId="5FDAFEE6">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已建</w:t>
            </w:r>
          </w:p>
        </w:tc>
      </w:tr>
      <w:tr w14:paraId="2BFFCB4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375" w:hRule="atLeast"/>
          <w:jc w:val="center"/>
        </w:trPr>
        <w:tc>
          <w:tcPr>
            <w:tcW w:w="0" w:type="auto"/>
            <w:shd w:val="clear" w:color="auto" w:fill="auto"/>
            <w:vAlign w:val="center"/>
          </w:tcPr>
          <w:p w14:paraId="5BEAF319">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0" w:type="auto"/>
            <w:shd w:val="clear" w:color="auto" w:fill="auto"/>
            <w:vAlign w:val="center"/>
          </w:tcPr>
          <w:p w14:paraId="248797BC">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环己酮</w:t>
            </w:r>
          </w:p>
        </w:tc>
        <w:tc>
          <w:tcPr>
            <w:tcW w:w="0" w:type="auto"/>
            <w:shd w:val="clear" w:color="auto" w:fill="auto"/>
            <w:vAlign w:val="center"/>
          </w:tcPr>
          <w:p w14:paraId="1FD524D4">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出口</w:t>
            </w:r>
          </w:p>
        </w:tc>
        <w:tc>
          <w:tcPr>
            <w:tcW w:w="0" w:type="auto"/>
            <w:shd w:val="clear" w:color="auto" w:fill="auto"/>
            <w:vAlign w:val="center"/>
          </w:tcPr>
          <w:p w14:paraId="3B74917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12</w:t>
            </w:r>
          </w:p>
        </w:tc>
        <w:tc>
          <w:tcPr>
            <w:tcW w:w="0" w:type="auto"/>
            <w:shd w:val="clear" w:color="auto" w:fill="auto"/>
            <w:vAlign w:val="center"/>
          </w:tcPr>
          <w:p w14:paraId="6CC3C55E">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0" w:type="auto"/>
            <w:shd w:val="clear" w:color="auto" w:fill="auto"/>
            <w:vAlign w:val="center"/>
          </w:tcPr>
          <w:p w14:paraId="33D7E5DC">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否</w:t>
            </w:r>
          </w:p>
        </w:tc>
        <w:tc>
          <w:tcPr>
            <w:tcW w:w="0" w:type="auto"/>
            <w:shd w:val="clear" w:color="auto" w:fill="auto"/>
            <w:vAlign w:val="center"/>
          </w:tcPr>
          <w:p w14:paraId="4FBEE6A2">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否</w:t>
            </w:r>
          </w:p>
        </w:tc>
        <w:tc>
          <w:tcPr>
            <w:tcW w:w="0" w:type="auto"/>
            <w:shd w:val="clear" w:color="auto" w:fill="auto"/>
            <w:vAlign w:val="center"/>
          </w:tcPr>
          <w:p w14:paraId="649C87E8">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已建</w:t>
            </w:r>
          </w:p>
        </w:tc>
        <w:tc>
          <w:tcPr>
            <w:tcW w:w="0" w:type="auto"/>
            <w:shd w:val="clear" w:color="auto" w:fill="auto"/>
            <w:vAlign w:val="center"/>
          </w:tcPr>
          <w:p w14:paraId="61F2A98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环己酮</w:t>
            </w:r>
          </w:p>
        </w:tc>
        <w:tc>
          <w:tcPr>
            <w:tcW w:w="0" w:type="auto"/>
            <w:shd w:val="clear" w:color="auto" w:fill="auto"/>
            <w:vAlign w:val="center"/>
          </w:tcPr>
          <w:p w14:paraId="4DA397B9">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出口</w:t>
            </w:r>
          </w:p>
        </w:tc>
        <w:tc>
          <w:tcPr>
            <w:tcW w:w="0" w:type="auto"/>
            <w:shd w:val="clear" w:color="auto" w:fill="auto"/>
            <w:vAlign w:val="center"/>
          </w:tcPr>
          <w:p w14:paraId="2E31E9B0">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751" w:type="dxa"/>
            <w:shd w:val="clear" w:color="auto" w:fill="auto"/>
            <w:vAlign w:val="center"/>
          </w:tcPr>
          <w:p w14:paraId="1F5FDF00">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1005" w:type="dxa"/>
            <w:shd w:val="clear" w:color="auto" w:fill="auto"/>
            <w:vAlign w:val="center"/>
          </w:tcPr>
          <w:p w14:paraId="79990CDB">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630" w:type="dxa"/>
            <w:shd w:val="clear" w:color="auto" w:fill="auto"/>
            <w:vAlign w:val="center"/>
          </w:tcPr>
          <w:p w14:paraId="5BC0E63B">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否</w:t>
            </w:r>
          </w:p>
        </w:tc>
        <w:tc>
          <w:tcPr>
            <w:tcW w:w="915" w:type="dxa"/>
            <w:shd w:val="clear" w:color="auto" w:fill="auto"/>
            <w:vAlign w:val="center"/>
          </w:tcPr>
          <w:p w14:paraId="6092AF1D">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已建</w:t>
            </w:r>
          </w:p>
        </w:tc>
      </w:tr>
      <w:tr w14:paraId="1E1247A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shd w:val="clear" w:color="auto" w:fill="auto"/>
            <w:vAlign w:val="center"/>
          </w:tcPr>
          <w:p w14:paraId="5C128FEC">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3</w:t>
            </w:r>
          </w:p>
        </w:tc>
        <w:tc>
          <w:tcPr>
            <w:tcW w:w="0" w:type="auto"/>
            <w:shd w:val="clear" w:color="auto" w:fill="auto"/>
            <w:vAlign w:val="center"/>
          </w:tcPr>
          <w:p w14:paraId="663C5D7F">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粗苯</w:t>
            </w:r>
          </w:p>
        </w:tc>
        <w:tc>
          <w:tcPr>
            <w:tcW w:w="0" w:type="auto"/>
            <w:shd w:val="clear" w:color="auto" w:fill="auto"/>
            <w:vAlign w:val="center"/>
          </w:tcPr>
          <w:p w14:paraId="7DCEA0AC">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63A5A5EA">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10</w:t>
            </w:r>
          </w:p>
        </w:tc>
        <w:tc>
          <w:tcPr>
            <w:tcW w:w="0" w:type="auto"/>
            <w:shd w:val="clear" w:color="auto" w:fill="auto"/>
            <w:vAlign w:val="center"/>
          </w:tcPr>
          <w:p w14:paraId="7C6423C6">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0" w:type="auto"/>
            <w:shd w:val="clear" w:color="auto" w:fill="auto"/>
            <w:vAlign w:val="center"/>
          </w:tcPr>
          <w:p w14:paraId="7D9A3F71">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否</w:t>
            </w:r>
          </w:p>
        </w:tc>
        <w:tc>
          <w:tcPr>
            <w:tcW w:w="0" w:type="auto"/>
            <w:shd w:val="clear" w:color="auto" w:fill="auto"/>
            <w:vAlign w:val="center"/>
          </w:tcPr>
          <w:p w14:paraId="367B1F2B">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否</w:t>
            </w:r>
          </w:p>
        </w:tc>
        <w:tc>
          <w:tcPr>
            <w:tcW w:w="0" w:type="auto"/>
            <w:shd w:val="clear" w:color="auto" w:fill="auto"/>
            <w:vAlign w:val="center"/>
          </w:tcPr>
          <w:p w14:paraId="07873EBB">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已建</w:t>
            </w:r>
          </w:p>
        </w:tc>
        <w:tc>
          <w:tcPr>
            <w:tcW w:w="0" w:type="auto"/>
            <w:shd w:val="clear" w:color="auto" w:fill="auto"/>
            <w:vAlign w:val="center"/>
          </w:tcPr>
          <w:p w14:paraId="171AEFB3">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粗苯</w:t>
            </w:r>
          </w:p>
        </w:tc>
        <w:tc>
          <w:tcPr>
            <w:tcW w:w="0" w:type="auto"/>
            <w:shd w:val="clear" w:color="auto" w:fill="auto"/>
            <w:vAlign w:val="center"/>
          </w:tcPr>
          <w:p w14:paraId="7E6BB939">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4EA2009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10</w:t>
            </w:r>
          </w:p>
        </w:tc>
        <w:tc>
          <w:tcPr>
            <w:tcW w:w="751" w:type="dxa"/>
            <w:shd w:val="clear" w:color="auto" w:fill="auto"/>
            <w:vAlign w:val="center"/>
          </w:tcPr>
          <w:p w14:paraId="797D88CB">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1005" w:type="dxa"/>
            <w:shd w:val="clear" w:color="auto" w:fill="auto"/>
            <w:vAlign w:val="center"/>
          </w:tcPr>
          <w:p w14:paraId="30DF925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否</w:t>
            </w:r>
          </w:p>
        </w:tc>
        <w:tc>
          <w:tcPr>
            <w:tcW w:w="630" w:type="dxa"/>
            <w:shd w:val="clear" w:color="auto" w:fill="auto"/>
            <w:vAlign w:val="center"/>
          </w:tcPr>
          <w:p w14:paraId="35453A3E">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否</w:t>
            </w:r>
          </w:p>
        </w:tc>
        <w:tc>
          <w:tcPr>
            <w:tcW w:w="915" w:type="dxa"/>
            <w:shd w:val="clear" w:color="auto" w:fill="auto"/>
            <w:vAlign w:val="center"/>
          </w:tcPr>
          <w:p w14:paraId="2A4F9911">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已建</w:t>
            </w:r>
          </w:p>
        </w:tc>
      </w:tr>
      <w:tr w14:paraId="4136464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460" w:hRule="atLeast"/>
          <w:jc w:val="center"/>
        </w:trPr>
        <w:tc>
          <w:tcPr>
            <w:tcW w:w="0" w:type="auto"/>
            <w:shd w:val="clear" w:color="auto" w:fill="auto"/>
            <w:vAlign w:val="center"/>
          </w:tcPr>
          <w:p w14:paraId="417E3554">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4</w:t>
            </w:r>
          </w:p>
        </w:tc>
        <w:tc>
          <w:tcPr>
            <w:tcW w:w="0" w:type="auto"/>
            <w:shd w:val="clear" w:color="auto" w:fill="auto"/>
            <w:vAlign w:val="center"/>
          </w:tcPr>
          <w:p w14:paraId="3D546604">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液氨</w:t>
            </w:r>
          </w:p>
        </w:tc>
        <w:tc>
          <w:tcPr>
            <w:tcW w:w="0" w:type="auto"/>
            <w:shd w:val="clear" w:color="auto" w:fill="auto"/>
            <w:vAlign w:val="center"/>
          </w:tcPr>
          <w:p w14:paraId="61E969E4">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02E5D09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20</w:t>
            </w:r>
          </w:p>
        </w:tc>
        <w:tc>
          <w:tcPr>
            <w:tcW w:w="0" w:type="auto"/>
            <w:shd w:val="clear" w:color="auto" w:fill="auto"/>
            <w:vAlign w:val="center"/>
          </w:tcPr>
          <w:p w14:paraId="2640E154">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0" w:type="auto"/>
            <w:shd w:val="clear" w:color="auto" w:fill="auto"/>
            <w:vAlign w:val="center"/>
          </w:tcPr>
          <w:p w14:paraId="0A4CBE71">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6F5C6444">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0" w:type="auto"/>
            <w:shd w:val="clear" w:color="auto" w:fill="auto"/>
            <w:vAlign w:val="center"/>
          </w:tcPr>
          <w:p w14:paraId="140427B9">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已建</w:t>
            </w:r>
          </w:p>
        </w:tc>
        <w:tc>
          <w:tcPr>
            <w:tcW w:w="0" w:type="auto"/>
            <w:shd w:val="clear" w:color="auto" w:fill="auto"/>
            <w:vAlign w:val="center"/>
          </w:tcPr>
          <w:p w14:paraId="76DDC3E5">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液氨</w:t>
            </w:r>
          </w:p>
        </w:tc>
        <w:tc>
          <w:tcPr>
            <w:tcW w:w="0" w:type="auto"/>
            <w:shd w:val="clear" w:color="auto" w:fill="auto"/>
            <w:vAlign w:val="center"/>
          </w:tcPr>
          <w:p w14:paraId="6AAF272A">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7737C9A6">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20</w:t>
            </w:r>
          </w:p>
        </w:tc>
        <w:tc>
          <w:tcPr>
            <w:tcW w:w="751" w:type="dxa"/>
            <w:shd w:val="clear" w:color="auto" w:fill="auto"/>
            <w:vAlign w:val="center"/>
          </w:tcPr>
          <w:p w14:paraId="23BEF3DA">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1005" w:type="dxa"/>
            <w:shd w:val="clear" w:color="auto" w:fill="auto"/>
            <w:vAlign w:val="center"/>
          </w:tcPr>
          <w:p w14:paraId="24734EB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630" w:type="dxa"/>
            <w:shd w:val="clear" w:color="auto" w:fill="auto"/>
            <w:vAlign w:val="center"/>
          </w:tcPr>
          <w:p w14:paraId="1765D76F">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915" w:type="dxa"/>
            <w:shd w:val="clear" w:color="auto" w:fill="auto"/>
            <w:vAlign w:val="center"/>
          </w:tcPr>
          <w:p w14:paraId="69F15D29">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已建</w:t>
            </w:r>
          </w:p>
        </w:tc>
      </w:tr>
      <w:tr w14:paraId="547CCD3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397" w:hRule="atLeast"/>
          <w:jc w:val="center"/>
        </w:trPr>
        <w:tc>
          <w:tcPr>
            <w:tcW w:w="0" w:type="auto"/>
            <w:shd w:val="clear" w:color="auto" w:fill="auto"/>
            <w:vAlign w:val="center"/>
          </w:tcPr>
          <w:p w14:paraId="76153DD3">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5</w:t>
            </w:r>
          </w:p>
        </w:tc>
        <w:tc>
          <w:tcPr>
            <w:tcW w:w="0" w:type="auto"/>
            <w:shd w:val="clear" w:color="auto" w:fill="auto"/>
            <w:vAlign w:val="center"/>
          </w:tcPr>
          <w:p w14:paraId="2DB60B5D">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甲苯</w:t>
            </w:r>
          </w:p>
        </w:tc>
        <w:tc>
          <w:tcPr>
            <w:tcW w:w="0" w:type="auto"/>
            <w:shd w:val="clear" w:color="auto" w:fill="auto"/>
            <w:vAlign w:val="center"/>
          </w:tcPr>
          <w:p w14:paraId="73D73186">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6405E37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10</w:t>
            </w:r>
          </w:p>
        </w:tc>
        <w:tc>
          <w:tcPr>
            <w:tcW w:w="0" w:type="auto"/>
            <w:shd w:val="clear" w:color="auto" w:fill="auto"/>
            <w:vAlign w:val="center"/>
          </w:tcPr>
          <w:p w14:paraId="4EF2DF82">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0" w:type="auto"/>
            <w:shd w:val="clear" w:color="auto" w:fill="auto"/>
            <w:vAlign w:val="center"/>
          </w:tcPr>
          <w:p w14:paraId="54C30849">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2A3B0BC1">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2A19F8CF">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c>
          <w:tcPr>
            <w:tcW w:w="0" w:type="auto"/>
            <w:shd w:val="clear" w:color="auto" w:fill="auto"/>
            <w:vAlign w:val="center"/>
          </w:tcPr>
          <w:p w14:paraId="73D1BEF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甲苯</w:t>
            </w:r>
          </w:p>
        </w:tc>
        <w:tc>
          <w:tcPr>
            <w:tcW w:w="0" w:type="auto"/>
            <w:shd w:val="clear" w:color="auto" w:fill="auto"/>
            <w:vAlign w:val="center"/>
          </w:tcPr>
          <w:p w14:paraId="154A08B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66E743D6">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5</w:t>
            </w:r>
          </w:p>
        </w:tc>
        <w:tc>
          <w:tcPr>
            <w:tcW w:w="751" w:type="dxa"/>
            <w:shd w:val="clear" w:color="auto" w:fill="auto"/>
            <w:vAlign w:val="center"/>
          </w:tcPr>
          <w:p w14:paraId="54D2A07E">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装卸臂</w:t>
            </w:r>
          </w:p>
        </w:tc>
        <w:tc>
          <w:tcPr>
            <w:tcW w:w="1005" w:type="dxa"/>
            <w:shd w:val="clear" w:color="auto" w:fill="auto"/>
            <w:vAlign w:val="center"/>
          </w:tcPr>
          <w:p w14:paraId="59032FBE">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630" w:type="dxa"/>
            <w:shd w:val="clear" w:color="auto" w:fill="auto"/>
            <w:vAlign w:val="center"/>
          </w:tcPr>
          <w:p w14:paraId="4326C3F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915" w:type="dxa"/>
            <w:shd w:val="clear" w:color="auto" w:fill="auto"/>
            <w:vAlign w:val="center"/>
          </w:tcPr>
          <w:p w14:paraId="7C4ABF2B">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r>
      <w:tr w14:paraId="58A6BDD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shd w:val="clear" w:color="auto" w:fill="auto"/>
            <w:vAlign w:val="center"/>
          </w:tcPr>
          <w:p w14:paraId="2A79EA69">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6</w:t>
            </w:r>
          </w:p>
        </w:tc>
        <w:tc>
          <w:tcPr>
            <w:tcW w:w="0" w:type="auto"/>
            <w:shd w:val="clear" w:color="auto" w:fill="auto"/>
            <w:vAlign w:val="center"/>
          </w:tcPr>
          <w:p w14:paraId="47BD42F7">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混二甲苯</w:t>
            </w:r>
          </w:p>
        </w:tc>
        <w:tc>
          <w:tcPr>
            <w:tcW w:w="0" w:type="auto"/>
            <w:shd w:val="clear" w:color="auto" w:fill="auto"/>
            <w:vAlign w:val="center"/>
          </w:tcPr>
          <w:p w14:paraId="2F0CBCE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1E9E3C1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15</w:t>
            </w:r>
          </w:p>
        </w:tc>
        <w:tc>
          <w:tcPr>
            <w:tcW w:w="0" w:type="auto"/>
            <w:shd w:val="clear" w:color="auto" w:fill="auto"/>
            <w:vAlign w:val="center"/>
          </w:tcPr>
          <w:p w14:paraId="18CB0641">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0" w:type="auto"/>
            <w:shd w:val="clear" w:color="auto" w:fill="auto"/>
            <w:vAlign w:val="center"/>
          </w:tcPr>
          <w:p w14:paraId="5BA91BB8">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0301596C">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3B017A22">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c>
          <w:tcPr>
            <w:tcW w:w="0" w:type="auto"/>
            <w:shd w:val="clear" w:color="auto" w:fill="auto"/>
            <w:vAlign w:val="center"/>
          </w:tcPr>
          <w:p w14:paraId="2FE2C71B">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混二甲苯</w:t>
            </w:r>
          </w:p>
        </w:tc>
        <w:tc>
          <w:tcPr>
            <w:tcW w:w="0" w:type="auto"/>
            <w:shd w:val="clear" w:color="auto" w:fill="auto"/>
            <w:vAlign w:val="center"/>
          </w:tcPr>
          <w:p w14:paraId="35672FE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37856B05">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5</w:t>
            </w:r>
          </w:p>
        </w:tc>
        <w:tc>
          <w:tcPr>
            <w:tcW w:w="751" w:type="dxa"/>
            <w:shd w:val="clear" w:color="auto" w:fill="auto"/>
            <w:vAlign w:val="center"/>
          </w:tcPr>
          <w:p w14:paraId="2ACCEFA1">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1005" w:type="dxa"/>
            <w:shd w:val="clear" w:color="auto" w:fill="auto"/>
            <w:vAlign w:val="center"/>
          </w:tcPr>
          <w:p w14:paraId="769E69C6">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630" w:type="dxa"/>
            <w:shd w:val="clear" w:color="auto" w:fill="auto"/>
            <w:vAlign w:val="center"/>
          </w:tcPr>
          <w:p w14:paraId="70CE8896">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915" w:type="dxa"/>
            <w:shd w:val="clear" w:color="auto" w:fill="auto"/>
            <w:vAlign w:val="center"/>
          </w:tcPr>
          <w:p w14:paraId="0C7D0A04">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r>
      <w:tr w14:paraId="38365DB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shd w:val="clear" w:color="auto" w:fill="auto"/>
            <w:vAlign w:val="center"/>
          </w:tcPr>
          <w:p w14:paraId="5E61DD43">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7</w:t>
            </w:r>
          </w:p>
        </w:tc>
        <w:tc>
          <w:tcPr>
            <w:tcW w:w="0" w:type="auto"/>
            <w:shd w:val="clear" w:color="auto" w:fill="auto"/>
            <w:vAlign w:val="center"/>
          </w:tcPr>
          <w:p w14:paraId="499D19B1">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甲醇</w:t>
            </w:r>
          </w:p>
        </w:tc>
        <w:tc>
          <w:tcPr>
            <w:tcW w:w="0" w:type="auto"/>
            <w:shd w:val="clear" w:color="auto" w:fill="auto"/>
            <w:vAlign w:val="center"/>
          </w:tcPr>
          <w:p w14:paraId="6E4003AB">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2AB7595D">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15</w:t>
            </w:r>
          </w:p>
        </w:tc>
        <w:tc>
          <w:tcPr>
            <w:tcW w:w="0" w:type="auto"/>
            <w:shd w:val="clear" w:color="auto" w:fill="auto"/>
            <w:vAlign w:val="center"/>
          </w:tcPr>
          <w:p w14:paraId="6862D28A">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0" w:type="auto"/>
            <w:shd w:val="clear" w:color="auto" w:fill="auto"/>
            <w:vAlign w:val="center"/>
          </w:tcPr>
          <w:p w14:paraId="252D2007">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530733F3">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0D237570">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c>
          <w:tcPr>
            <w:tcW w:w="0" w:type="auto"/>
            <w:shd w:val="clear" w:color="auto" w:fill="auto"/>
            <w:vAlign w:val="center"/>
          </w:tcPr>
          <w:p w14:paraId="03A8C0B0">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甲醇</w:t>
            </w:r>
          </w:p>
        </w:tc>
        <w:tc>
          <w:tcPr>
            <w:tcW w:w="0" w:type="auto"/>
            <w:shd w:val="clear" w:color="auto" w:fill="auto"/>
            <w:vAlign w:val="center"/>
          </w:tcPr>
          <w:p w14:paraId="2AD8B951">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31D04F7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5</w:t>
            </w:r>
          </w:p>
        </w:tc>
        <w:tc>
          <w:tcPr>
            <w:tcW w:w="751" w:type="dxa"/>
            <w:shd w:val="clear" w:color="auto" w:fill="auto"/>
            <w:vAlign w:val="center"/>
          </w:tcPr>
          <w:p w14:paraId="7FFE4E95">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1005" w:type="dxa"/>
            <w:shd w:val="clear" w:color="auto" w:fill="auto"/>
            <w:vAlign w:val="center"/>
          </w:tcPr>
          <w:p w14:paraId="3EDCB24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630" w:type="dxa"/>
            <w:shd w:val="clear" w:color="auto" w:fill="auto"/>
            <w:vAlign w:val="center"/>
          </w:tcPr>
          <w:p w14:paraId="13E12902">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915" w:type="dxa"/>
            <w:shd w:val="clear" w:color="auto" w:fill="auto"/>
            <w:vAlign w:val="center"/>
          </w:tcPr>
          <w:p w14:paraId="67FFF312">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r>
      <w:tr w14:paraId="1BF0C58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shd w:val="clear" w:color="auto" w:fill="auto"/>
            <w:vAlign w:val="center"/>
          </w:tcPr>
          <w:p w14:paraId="53A93827">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8</w:t>
            </w:r>
          </w:p>
        </w:tc>
        <w:tc>
          <w:tcPr>
            <w:tcW w:w="0" w:type="auto"/>
            <w:shd w:val="clear" w:color="auto" w:fill="auto"/>
            <w:vAlign w:val="center"/>
          </w:tcPr>
          <w:p w14:paraId="66C31F02">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乙二醇</w:t>
            </w:r>
          </w:p>
        </w:tc>
        <w:tc>
          <w:tcPr>
            <w:tcW w:w="0" w:type="auto"/>
            <w:shd w:val="clear" w:color="auto" w:fill="auto"/>
            <w:vAlign w:val="center"/>
          </w:tcPr>
          <w:p w14:paraId="60905F4B">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2F47243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15</w:t>
            </w:r>
          </w:p>
        </w:tc>
        <w:tc>
          <w:tcPr>
            <w:tcW w:w="0" w:type="auto"/>
            <w:shd w:val="clear" w:color="auto" w:fill="auto"/>
            <w:vAlign w:val="center"/>
          </w:tcPr>
          <w:p w14:paraId="147EC86B">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0" w:type="auto"/>
            <w:shd w:val="clear" w:color="auto" w:fill="auto"/>
            <w:vAlign w:val="center"/>
          </w:tcPr>
          <w:p w14:paraId="78EC5CF9">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1040BEF5">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7FAC6263">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c>
          <w:tcPr>
            <w:tcW w:w="0" w:type="auto"/>
            <w:shd w:val="clear" w:color="auto" w:fill="auto"/>
            <w:vAlign w:val="center"/>
          </w:tcPr>
          <w:p w14:paraId="3D72F89A">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乙二醇</w:t>
            </w:r>
          </w:p>
        </w:tc>
        <w:tc>
          <w:tcPr>
            <w:tcW w:w="0" w:type="auto"/>
            <w:shd w:val="clear" w:color="auto" w:fill="auto"/>
            <w:vAlign w:val="center"/>
          </w:tcPr>
          <w:p w14:paraId="2A84AE4E">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62CB920C">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5</w:t>
            </w:r>
          </w:p>
        </w:tc>
        <w:tc>
          <w:tcPr>
            <w:tcW w:w="751" w:type="dxa"/>
            <w:shd w:val="clear" w:color="auto" w:fill="auto"/>
            <w:vAlign w:val="center"/>
          </w:tcPr>
          <w:p w14:paraId="23594FB0">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1005" w:type="dxa"/>
            <w:shd w:val="clear" w:color="auto" w:fill="auto"/>
            <w:vAlign w:val="center"/>
          </w:tcPr>
          <w:p w14:paraId="610368F3">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630" w:type="dxa"/>
            <w:shd w:val="clear" w:color="auto" w:fill="auto"/>
            <w:vAlign w:val="center"/>
          </w:tcPr>
          <w:p w14:paraId="1E730879">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915" w:type="dxa"/>
            <w:shd w:val="clear" w:color="auto" w:fill="auto"/>
            <w:vAlign w:val="center"/>
          </w:tcPr>
          <w:p w14:paraId="1C5F9617">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r>
      <w:tr w14:paraId="2AA0C52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shd w:val="clear" w:color="auto" w:fill="auto"/>
            <w:vAlign w:val="center"/>
          </w:tcPr>
          <w:p w14:paraId="1A272889">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9</w:t>
            </w:r>
          </w:p>
        </w:tc>
        <w:tc>
          <w:tcPr>
            <w:tcW w:w="0" w:type="auto"/>
            <w:shd w:val="clear" w:color="auto" w:fill="auto"/>
            <w:vAlign w:val="center"/>
          </w:tcPr>
          <w:p w14:paraId="73DED484">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环己烷</w:t>
            </w:r>
          </w:p>
        </w:tc>
        <w:tc>
          <w:tcPr>
            <w:tcW w:w="0" w:type="auto"/>
            <w:shd w:val="clear" w:color="auto" w:fill="auto"/>
            <w:vAlign w:val="center"/>
          </w:tcPr>
          <w:p w14:paraId="37698BDA">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出口</w:t>
            </w:r>
          </w:p>
        </w:tc>
        <w:tc>
          <w:tcPr>
            <w:tcW w:w="0" w:type="auto"/>
            <w:shd w:val="clear" w:color="auto" w:fill="auto"/>
            <w:vAlign w:val="center"/>
          </w:tcPr>
          <w:p w14:paraId="34108EC1">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24</w:t>
            </w:r>
          </w:p>
        </w:tc>
        <w:tc>
          <w:tcPr>
            <w:tcW w:w="0" w:type="auto"/>
            <w:shd w:val="clear" w:color="auto" w:fill="auto"/>
            <w:vAlign w:val="center"/>
          </w:tcPr>
          <w:p w14:paraId="21CCA9AB">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0" w:type="auto"/>
            <w:shd w:val="clear" w:color="auto" w:fill="auto"/>
            <w:vAlign w:val="center"/>
          </w:tcPr>
          <w:p w14:paraId="35D31C4C">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736627DD">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2785894E">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c>
          <w:tcPr>
            <w:tcW w:w="0" w:type="auto"/>
            <w:shd w:val="clear" w:color="auto" w:fill="auto"/>
            <w:vAlign w:val="center"/>
          </w:tcPr>
          <w:p w14:paraId="04C12625">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环己烷</w:t>
            </w:r>
          </w:p>
        </w:tc>
        <w:tc>
          <w:tcPr>
            <w:tcW w:w="0" w:type="auto"/>
            <w:shd w:val="clear" w:color="auto" w:fill="auto"/>
            <w:vAlign w:val="center"/>
          </w:tcPr>
          <w:p w14:paraId="0A48AC6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出口</w:t>
            </w:r>
          </w:p>
        </w:tc>
        <w:tc>
          <w:tcPr>
            <w:tcW w:w="0" w:type="auto"/>
            <w:shd w:val="clear" w:color="auto" w:fill="auto"/>
            <w:vAlign w:val="center"/>
          </w:tcPr>
          <w:p w14:paraId="4AF2F703">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8</w:t>
            </w:r>
          </w:p>
        </w:tc>
        <w:tc>
          <w:tcPr>
            <w:tcW w:w="751" w:type="dxa"/>
            <w:shd w:val="clear" w:color="auto" w:fill="auto"/>
            <w:vAlign w:val="center"/>
          </w:tcPr>
          <w:p w14:paraId="07475A3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1005" w:type="dxa"/>
            <w:shd w:val="clear" w:color="auto" w:fill="auto"/>
            <w:vAlign w:val="center"/>
          </w:tcPr>
          <w:p w14:paraId="17483D73">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630" w:type="dxa"/>
            <w:shd w:val="clear" w:color="auto" w:fill="auto"/>
            <w:vAlign w:val="center"/>
          </w:tcPr>
          <w:p w14:paraId="67BD32CC">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915" w:type="dxa"/>
            <w:shd w:val="clear" w:color="auto" w:fill="auto"/>
            <w:vAlign w:val="center"/>
          </w:tcPr>
          <w:p w14:paraId="01E12A1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r>
      <w:tr w14:paraId="723391C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shd w:val="clear" w:color="auto" w:fill="auto"/>
            <w:vAlign w:val="center"/>
          </w:tcPr>
          <w:p w14:paraId="05656140">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10</w:t>
            </w:r>
          </w:p>
        </w:tc>
        <w:tc>
          <w:tcPr>
            <w:tcW w:w="0" w:type="auto"/>
            <w:shd w:val="clear" w:color="auto" w:fill="auto"/>
            <w:vAlign w:val="center"/>
          </w:tcPr>
          <w:p w14:paraId="4CABD33A">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对二甲苯</w:t>
            </w:r>
          </w:p>
        </w:tc>
        <w:tc>
          <w:tcPr>
            <w:tcW w:w="0" w:type="auto"/>
            <w:shd w:val="clear" w:color="auto" w:fill="auto"/>
            <w:vAlign w:val="center"/>
          </w:tcPr>
          <w:p w14:paraId="59B23650">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4D45A2B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15</w:t>
            </w:r>
          </w:p>
        </w:tc>
        <w:tc>
          <w:tcPr>
            <w:tcW w:w="0" w:type="auto"/>
            <w:shd w:val="clear" w:color="auto" w:fill="auto"/>
            <w:vAlign w:val="center"/>
          </w:tcPr>
          <w:p w14:paraId="53B2F7B4">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0" w:type="auto"/>
            <w:shd w:val="clear" w:color="auto" w:fill="auto"/>
            <w:vAlign w:val="center"/>
          </w:tcPr>
          <w:p w14:paraId="2A5B6F45">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775D17DA">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29A5028B">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c>
          <w:tcPr>
            <w:tcW w:w="0" w:type="auto"/>
            <w:shd w:val="clear" w:color="auto" w:fill="auto"/>
            <w:vAlign w:val="center"/>
          </w:tcPr>
          <w:p w14:paraId="350D55DA">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对二甲苯</w:t>
            </w:r>
          </w:p>
        </w:tc>
        <w:tc>
          <w:tcPr>
            <w:tcW w:w="0" w:type="auto"/>
            <w:shd w:val="clear" w:color="auto" w:fill="auto"/>
            <w:vAlign w:val="center"/>
          </w:tcPr>
          <w:p w14:paraId="1812545A">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040E1FD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 xml:space="preserve">5 </w:t>
            </w:r>
          </w:p>
        </w:tc>
        <w:tc>
          <w:tcPr>
            <w:tcW w:w="751" w:type="dxa"/>
            <w:shd w:val="clear" w:color="auto" w:fill="auto"/>
            <w:vAlign w:val="center"/>
          </w:tcPr>
          <w:p w14:paraId="77EE97A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装卸臂</w:t>
            </w:r>
          </w:p>
        </w:tc>
        <w:tc>
          <w:tcPr>
            <w:tcW w:w="1005" w:type="dxa"/>
            <w:shd w:val="clear" w:color="auto" w:fill="auto"/>
            <w:vAlign w:val="center"/>
          </w:tcPr>
          <w:p w14:paraId="7632332E">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630" w:type="dxa"/>
            <w:shd w:val="clear" w:color="auto" w:fill="auto"/>
            <w:vAlign w:val="center"/>
          </w:tcPr>
          <w:p w14:paraId="674EF745">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915" w:type="dxa"/>
            <w:shd w:val="clear" w:color="auto" w:fill="auto"/>
            <w:vAlign w:val="center"/>
          </w:tcPr>
          <w:p w14:paraId="2C09D3A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r>
      <w:tr w14:paraId="5C161E2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813" w:hRule="atLeast"/>
          <w:jc w:val="center"/>
        </w:trPr>
        <w:tc>
          <w:tcPr>
            <w:tcW w:w="0" w:type="auto"/>
            <w:shd w:val="clear" w:color="auto" w:fill="auto"/>
            <w:vAlign w:val="center"/>
          </w:tcPr>
          <w:p w14:paraId="7240F29A">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11</w:t>
            </w:r>
          </w:p>
        </w:tc>
        <w:tc>
          <w:tcPr>
            <w:tcW w:w="0" w:type="auto"/>
            <w:shd w:val="clear" w:color="auto" w:fill="auto"/>
            <w:vAlign w:val="center"/>
          </w:tcPr>
          <w:p w14:paraId="740D229B">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叔丁醇</w:t>
            </w:r>
          </w:p>
        </w:tc>
        <w:tc>
          <w:tcPr>
            <w:tcW w:w="0" w:type="auto"/>
            <w:shd w:val="clear" w:color="auto" w:fill="auto"/>
            <w:vAlign w:val="center"/>
          </w:tcPr>
          <w:p w14:paraId="64B2EB86">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6F1390EC">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20</w:t>
            </w:r>
          </w:p>
        </w:tc>
        <w:tc>
          <w:tcPr>
            <w:tcW w:w="0" w:type="auto"/>
            <w:shd w:val="clear" w:color="auto" w:fill="auto"/>
            <w:vAlign w:val="center"/>
          </w:tcPr>
          <w:p w14:paraId="1BA1518B">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0" w:type="auto"/>
            <w:shd w:val="clear" w:color="auto" w:fill="auto"/>
            <w:vAlign w:val="center"/>
          </w:tcPr>
          <w:p w14:paraId="5EF2148F">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32A29345">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36B219B2">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c>
          <w:tcPr>
            <w:tcW w:w="0" w:type="auto"/>
            <w:shd w:val="clear" w:color="auto" w:fill="auto"/>
            <w:vAlign w:val="center"/>
          </w:tcPr>
          <w:p w14:paraId="191936E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叔丁醇</w:t>
            </w:r>
          </w:p>
        </w:tc>
        <w:tc>
          <w:tcPr>
            <w:tcW w:w="0" w:type="auto"/>
            <w:shd w:val="clear" w:color="auto" w:fill="auto"/>
            <w:vAlign w:val="center"/>
          </w:tcPr>
          <w:p w14:paraId="7716D8A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691AABB3">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751" w:type="dxa"/>
            <w:shd w:val="clear" w:color="auto" w:fill="auto"/>
            <w:vAlign w:val="center"/>
          </w:tcPr>
          <w:p w14:paraId="1F89601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1005" w:type="dxa"/>
            <w:shd w:val="clear" w:color="auto" w:fill="auto"/>
            <w:vAlign w:val="center"/>
          </w:tcPr>
          <w:p w14:paraId="5B1B3BC1">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630" w:type="dxa"/>
            <w:shd w:val="clear" w:color="auto" w:fill="auto"/>
            <w:vAlign w:val="center"/>
          </w:tcPr>
          <w:p w14:paraId="16A78C4D">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915" w:type="dxa"/>
            <w:shd w:val="clear" w:color="auto" w:fill="auto"/>
            <w:vAlign w:val="center"/>
          </w:tcPr>
          <w:p w14:paraId="3D8E682E">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r>
      <w:tr w14:paraId="384D2FB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447" w:hRule="atLeast"/>
          <w:jc w:val="center"/>
        </w:trPr>
        <w:tc>
          <w:tcPr>
            <w:tcW w:w="0" w:type="auto"/>
            <w:gridSpan w:val="8"/>
            <w:vMerge w:val="restart"/>
            <w:shd w:val="clear" w:color="auto" w:fill="auto"/>
            <w:vAlign w:val="center"/>
          </w:tcPr>
          <w:p w14:paraId="7FC4CBED">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w:t>
            </w:r>
          </w:p>
          <w:p w14:paraId="1BFCDDD2">
            <w:pPr>
              <w:pStyle w:val="73"/>
              <w:spacing w:line="240" w:lineRule="exact"/>
              <w:jc w:val="both"/>
              <w:rPr>
                <w:rFonts w:eastAsia="宋体"/>
                <w:color w:val="000000" w:themeColor="text1"/>
                <w:sz w:val="21"/>
                <w:lang w:val="en-US"/>
                <w14:textFill>
                  <w14:solidFill>
                    <w14:schemeClr w14:val="tx1"/>
                  </w14:solidFill>
                </w14:textFill>
              </w:rPr>
            </w:pPr>
          </w:p>
        </w:tc>
        <w:tc>
          <w:tcPr>
            <w:tcW w:w="0" w:type="auto"/>
            <w:shd w:val="clear" w:color="auto" w:fill="auto"/>
            <w:vAlign w:val="center"/>
          </w:tcPr>
          <w:p w14:paraId="5912FEA9">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裂解C9</w:t>
            </w:r>
          </w:p>
        </w:tc>
        <w:tc>
          <w:tcPr>
            <w:tcW w:w="0" w:type="auto"/>
            <w:shd w:val="clear" w:color="auto" w:fill="auto"/>
            <w:vAlign w:val="center"/>
          </w:tcPr>
          <w:p w14:paraId="5C7AD8BA">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出口</w:t>
            </w:r>
          </w:p>
        </w:tc>
        <w:tc>
          <w:tcPr>
            <w:tcW w:w="0" w:type="auto"/>
            <w:shd w:val="clear" w:color="auto" w:fill="auto"/>
            <w:vAlign w:val="center"/>
          </w:tcPr>
          <w:p w14:paraId="532CDB2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751" w:type="dxa"/>
            <w:shd w:val="clear" w:color="auto" w:fill="auto"/>
            <w:vAlign w:val="center"/>
          </w:tcPr>
          <w:p w14:paraId="3E44747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装卸臂</w:t>
            </w:r>
          </w:p>
        </w:tc>
        <w:tc>
          <w:tcPr>
            <w:tcW w:w="1005" w:type="dxa"/>
            <w:shd w:val="clear" w:color="auto" w:fill="auto"/>
            <w:vAlign w:val="center"/>
          </w:tcPr>
          <w:p w14:paraId="46FD938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630" w:type="dxa"/>
            <w:shd w:val="clear" w:color="auto" w:fill="auto"/>
            <w:vAlign w:val="center"/>
          </w:tcPr>
          <w:p w14:paraId="3F3F68F9">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915" w:type="dxa"/>
            <w:shd w:val="clear" w:color="auto" w:fill="auto"/>
            <w:vAlign w:val="center"/>
          </w:tcPr>
          <w:p w14:paraId="3A7A3C4E">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w:t>
            </w:r>
          </w:p>
        </w:tc>
      </w:tr>
      <w:tr w14:paraId="292B455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440" w:hRule="atLeast"/>
          <w:jc w:val="center"/>
        </w:trPr>
        <w:tc>
          <w:tcPr>
            <w:tcW w:w="0" w:type="auto"/>
            <w:gridSpan w:val="8"/>
            <w:vMerge w:val="continue"/>
            <w:shd w:val="clear" w:color="auto" w:fill="auto"/>
            <w:vAlign w:val="center"/>
          </w:tcPr>
          <w:p w14:paraId="6C9B8602">
            <w:pPr>
              <w:pStyle w:val="73"/>
              <w:spacing w:line="240" w:lineRule="exact"/>
              <w:rPr>
                <w:rFonts w:eastAsia="宋体"/>
                <w:color w:val="000000" w:themeColor="text1"/>
                <w:sz w:val="21"/>
                <w:lang w:val="en-US"/>
                <w14:textFill>
                  <w14:solidFill>
                    <w14:schemeClr w14:val="tx1"/>
                  </w14:solidFill>
                </w14:textFill>
              </w:rPr>
            </w:pPr>
          </w:p>
        </w:tc>
        <w:tc>
          <w:tcPr>
            <w:tcW w:w="0" w:type="auto"/>
            <w:shd w:val="clear" w:color="auto" w:fill="auto"/>
            <w:vAlign w:val="center"/>
          </w:tcPr>
          <w:p w14:paraId="6932AFA7">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棕榈酸化油</w:t>
            </w:r>
          </w:p>
        </w:tc>
        <w:tc>
          <w:tcPr>
            <w:tcW w:w="0" w:type="auto"/>
            <w:shd w:val="clear" w:color="auto" w:fill="auto"/>
            <w:vAlign w:val="center"/>
          </w:tcPr>
          <w:p w14:paraId="7F7C840B">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进口</w:t>
            </w:r>
          </w:p>
        </w:tc>
        <w:tc>
          <w:tcPr>
            <w:tcW w:w="0" w:type="auto"/>
            <w:shd w:val="clear" w:color="auto" w:fill="auto"/>
            <w:vAlign w:val="center"/>
          </w:tcPr>
          <w:p w14:paraId="2C8468CA">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3</w:t>
            </w:r>
          </w:p>
        </w:tc>
        <w:tc>
          <w:tcPr>
            <w:tcW w:w="751" w:type="dxa"/>
            <w:shd w:val="clear" w:color="auto" w:fill="auto"/>
            <w:vAlign w:val="center"/>
          </w:tcPr>
          <w:p w14:paraId="71AE11AB">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装卸臂</w:t>
            </w:r>
          </w:p>
        </w:tc>
        <w:tc>
          <w:tcPr>
            <w:tcW w:w="1005" w:type="dxa"/>
            <w:shd w:val="clear" w:color="auto" w:fill="auto"/>
            <w:vAlign w:val="center"/>
          </w:tcPr>
          <w:p w14:paraId="51D55A61">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630" w:type="dxa"/>
            <w:shd w:val="clear" w:color="auto" w:fill="auto"/>
            <w:vAlign w:val="center"/>
          </w:tcPr>
          <w:p w14:paraId="2D1A644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915" w:type="dxa"/>
            <w:shd w:val="clear" w:color="auto" w:fill="auto"/>
            <w:vAlign w:val="center"/>
          </w:tcPr>
          <w:p w14:paraId="2F5573A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w:t>
            </w:r>
          </w:p>
        </w:tc>
      </w:tr>
      <w:tr w14:paraId="06B095B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417" w:hRule="atLeast"/>
          <w:jc w:val="center"/>
        </w:trPr>
        <w:tc>
          <w:tcPr>
            <w:tcW w:w="0" w:type="auto"/>
            <w:gridSpan w:val="8"/>
            <w:vMerge w:val="continue"/>
            <w:shd w:val="clear" w:color="auto" w:fill="auto"/>
            <w:vAlign w:val="center"/>
          </w:tcPr>
          <w:p w14:paraId="52D981E1">
            <w:pPr>
              <w:pStyle w:val="73"/>
              <w:spacing w:line="240" w:lineRule="exact"/>
              <w:rPr>
                <w:rFonts w:eastAsia="宋体"/>
                <w:color w:val="000000" w:themeColor="text1"/>
                <w:sz w:val="21"/>
                <w:lang w:val="en-US"/>
                <w14:textFill>
                  <w14:solidFill>
                    <w14:schemeClr w14:val="tx1"/>
                  </w14:solidFill>
                </w14:textFill>
              </w:rPr>
            </w:pPr>
          </w:p>
        </w:tc>
        <w:tc>
          <w:tcPr>
            <w:tcW w:w="0" w:type="auto"/>
            <w:shd w:val="clear" w:color="auto" w:fill="auto"/>
            <w:vAlign w:val="center"/>
          </w:tcPr>
          <w:p w14:paraId="6FA1BC3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脂肪酸甲酯</w:t>
            </w:r>
          </w:p>
        </w:tc>
        <w:tc>
          <w:tcPr>
            <w:tcW w:w="0" w:type="auto"/>
            <w:shd w:val="clear" w:color="auto" w:fill="auto"/>
            <w:vAlign w:val="center"/>
          </w:tcPr>
          <w:p w14:paraId="4D74F5FC">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出口</w:t>
            </w:r>
          </w:p>
        </w:tc>
        <w:tc>
          <w:tcPr>
            <w:tcW w:w="0" w:type="auto"/>
            <w:shd w:val="clear" w:color="auto" w:fill="auto"/>
            <w:vAlign w:val="center"/>
          </w:tcPr>
          <w:p w14:paraId="28F44B16">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3</w:t>
            </w:r>
          </w:p>
        </w:tc>
        <w:tc>
          <w:tcPr>
            <w:tcW w:w="751" w:type="dxa"/>
            <w:shd w:val="clear" w:color="auto" w:fill="auto"/>
            <w:vAlign w:val="center"/>
          </w:tcPr>
          <w:p w14:paraId="27298469">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装卸臂</w:t>
            </w:r>
          </w:p>
        </w:tc>
        <w:tc>
          <w:tcPr>
            <w:tcW w:w="1005" w:type="dxa"/>
            <w:shd w:val="clear" w:color="auto" w:fill="auto"/>
            <w:vAlign w:val="center"/>
          </w:tcPr>
          <w:p w14:paraId="51915B0C">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630" w:type="dxa"/>
            <w:shd w:val="clear" w:color="auto" w:fill="auto"/>
            <w:vAlign w:val="center"/>
          </w:tcPr>
          <w:p w14:paraId="36A19C11">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915" w:type="dxa"/>
            <w:shd w:val="clear" w:color="auto" w:fill="auto"/>
            <w:vAlign w:val="center"/>
          </w:tcPr>
          <w:p w14:paraId="39D514AA">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w:t>
            </w:r>
          </w:p>
        </w:tc>
      </w:tr>
      <w:tr w14:paraId="44E72AA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gridSpan w:val="8"/>
            <w:vMerge w:val="continue"/>
            <w:shd w:val="clear" w:color="auto" w:fill="auto"/>
            <w:vAlign w:val="center"/>
          </w:tcPr>
          <w:p w14:paraId="764A9A05">
            <w:pPr>
              <w:pStyle w:val="73"/>
              <w:spacing w:line="240" w:lineRule="exact"/>
              <w:rPr>
                <w:rFonts w:eastAsia="宋体"/>
                <w:color w:val="000000" w:themeColor="text1"/>
                <w:sz w:val="21"/>
                <w:lang w:val="en-US"/>
                <w14:textFill>
                  <w14:solidFill>
                    <w14:schemeClr w14:val="tx1"/>
                  </w14:solidFill>
                </w14:textFill>
              </w:rPr>
            </w:pPr>
          </w:p>
        </w:tc>
        <w:tc>
          <w:tcPr>
            <w:tcW w:w="0" w:type="auto"/>
            <w:shd w:val="clear" w:color="auto" w:fill="auto"/>
            <w:vAlign w:val="center"/>
          </w:tcPr>
          <w:p w14:paraId="5D5F14C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脂肪酸混合物</w:t>
            </w:r>
          </w:p>
        </w:tc>
        <w:tc>
          <w:tcPr>
            <w:tcW w:w="0" w:type="auto"/>
            <w:shd w:val="clear" w:color="auto" w:fill="auto"/>
            <w:vAlign w:val="center"/>
          </w:tcPr>
          <w:p w14:paraId="3F3B41C3">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进口</w:t>
            </w:r>
          </w:p>
        </w:tc>
        <w:tc>
          <w:tcPr>
            <w:tcW w:w="0" w:type="auto"/>
            <w:shd w:val="clear" w:color="auto" w:fill="auto"/>
            <w:vAlign w:val="center"/>
          </w:tcPr>
          <w:p w14:paraId="4D6ACE26">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751" w:type="dxa"/>
            <w:shd w:val="clear" w:color="auto" w:fill="auto"/>
            <w:vAlign w:val="center"/>
          </w:tcPr>
          <w:p w14:paraId="41D2A03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装卸臂</w:t>
            </w:r>
          </w:p>
        </w:tc>
        <w:tc>
          <w:tcPr>
            <w:tcW w:w="1005" w:type="dxa"/>
            <w:shd w:val="clear" w:color="auto" w:fill="auto"/>
            <w:vAlign w:val="center"/>
          </w:tcPr>
          <w:p w14:paraId="792AEC9E">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630" w:type="dxa"/>
            <w:shd w:val="clear" w:color="auto" w:fill="auto"/>
            <w:vAlign w:val="center"/>
          </w:tcPr>
          <w:p w14:paraId="314DC619">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915" w:type="dxa"/>
            <w:shd w:val="clear" w:color="auto" w:fill="auto"/>
            <w:vAlign w:val="center"/>
          </w:tcPr>
          <w:p w14:paraId="2249FBD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w:t>
            </w:r>
          </w:p>
        </w:tc>
      </w:tr>
      <w:tr w14:paraId="3754E2C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359" w:hRule="atLeast"/>
          <w:jc w:val="center"/>
        </w:trPr>
        <w:tc>
          <w:tcPr>
            <w:tcW w:w="0" w:type="auto"/>
            <w:gridSpan w:val="8"/>
            <w:vMerge w:val="continue"/>
            <w:shd w:val="clear" w:color="auto" w:fill="auto"/>
            <w:vAlign w:val="center"/>
          </w:tcPr>
          <w:p w14:paraId="1AE31E02">
            <w:pPr>
              <w:pStyle w:val="73"/>
              <w:spacing w:line="240" w:lineRule="exact"/>
              <w:rPr>
                <w:rFonts w:eastAsia="宋体"/>
                <w:color w:val="000000" w:themeColor="text1"/>
                <w:sz w:val="21"/>
                <w:lang w:val="en-US"/>
                <w14:textFill>
                  <w14:solidFill>
                    <w14:schemeClr w14:val="tx1"/>
                  </w14:solidFill>
                </w14:textFill>
              </w:rPr>
            </w:pPr>
          </w:p>
        </w:tc>
        <w:tc>
          <w:tcPr>
            <w:tcW w:w="0" w:type="auto"/>
            <w:shd w:val="clear" w:color="auto" w:fill="auto"/>
            <w:vAlign w:val="center"/>
          </w:tcPr>
          <w:p w14:paraId="43569635">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工业级混合油</w:t>
            </w:r>
          </w:p>
        </w:tc>
        <w:tc>
          <w:tcPr>
            <w:tcW w:w="0" w:type="auto"/>
            <w:shd w:val="clear" w:color="auto" w:fill="auto"/>
            <w:vAlign w:val="center"/>
          </w:tcPr>
          <w:p w14:paraId="59250A65">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出口</w:t>
            </w:r>
          </w:p>
        </w:tc>
        <w:tc>
          <w:tcPr>
            <w:tcW w:w="0" w:type="auto"/>
            <w:shd w:val="clear" w:color="auto" w:fill="auto"/>
            <w:vAlign w:val="center"/>
          </w:tcPr>
          <w:p w14:paraId="508A978D">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751" w:type="dxa"/>
            <w:shd w:val="clear" w:color="auto" w:fill="auto"/>
            <w:vAlign w:val="center"/>
          </w:tcPr>
          <w:p w14:paraId="37FF3901">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装卸臂</w:t>
            </w:r>
          </w:p>
        </w:tc>
        <w:tc>
          <w:tcPr>
            <w:tcW w:w="1005" w:type="dxa"/>
            <w:shd w:val="clear" w:color="auto" w:fill="auto"/>
            <w:vAlign w:val="center"/>
          </w:tcPr>
          <w:p w14:paraId="71D9B1A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630" w:type="dxa"/>
            <w:shd w:val="clear" w:color="auto" w:fill="auto"/>
            <w:vAlign w:val="center"/>
          </w:tcPr>
          <w:p w14:paraId="3E2FEAA0">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915" w:type="dxa"/>
            <w:shd w:val="clear" w:color="auto" w:fill="auto"/>
            <w:vAlign w:val="center"/>
          </w:tcPr>
          <w:p w14:paraId="67DC1C5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w:t>
            </w:r>
          </w:p>
        </w:tc>
      </w:tr>
      <w:tr w14:paraId="3EBAEFC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gridSpan w:val="8"/>
            <w:vMerge w:val="continue"/>
            <w:shd w:val="clear" w:color="auto" w:fill="auto"/>
            <w:vAlign w:val="center"/>
          </w:tcPr>
          <w:p w14:paraId="02BB6742">
            <w:pPr>
              <w:pStyle w:val="73"/>
              <w:spacing w:line="240" w:lineRule="exact"/>
              <w:rPr>
                <w:rFonts w:eastAsia="宋体"/>
                <w:color w:val="000000" w:themeColor="text1"/>
                <w:sz w:val="21"/>
                <w:lang w:val="en-US"/>
                <w14:textFill>
                  <w14:solidFill>
                    <w14:schemeClr w14:val="tx1"/>
                  </w14:solidFill>
                </w14:textFill>
              </w:rPr>
            </w:pPr>
          </w:p>
        </w:tc>
        <w:tc>
          <w:tcPr>
            <w:tcW w:w="0" w:type="auto"/>
            <w:shd w:val="clear" w:color="auto" w:fill="auto"/>
            <w:vAlign w:val="center"/>
          </w:tcPr>
          <w:p w14:paraId="4B3B33E9">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纯生物柴油</w:t>
            </w:r>
          </w:p>
        </w:tc>
        <w:tc>
          <w:tcPr>
            <w:tcW w:w="0" w:type="auto"/>
            <w:shd w:val="clear" w:color="auto" w:fill="auto"/>
            <w:vAlign w:val="center"/>
          </w:tcPr>
          <w:p w14:paraId="3DA65886">
            <w:pPr>
              <w:pStyle w:val="73"/>
              <w:spacing w:line="240" w:lineRule="exact"/>
              <w:rPr>
                <w:rFonts w:eastAsia="宋体"/>
                <w:color w:val="000000" w:themeColor="text1"/>
                <w:sz w:val="21"/>
                <w:lang w:val="en-US"/>
                <w14:textFill>
                  <w14:solidFill>
                    <w14:schemeClr w14:val="tx1"/>
                  </w14:solidFill>
                </w14:textFill>
              </w:rPr>
            </w:pPr>
            <w:r>
              <w:rPr>
                <w:rFonts w:eastAsia="宋体"/>
                <w:color w:val="000000" w:themeColor="text1"/>
                <w:sz w:val="21"/>
                <w:lang w:val="en-US"/>
                <w14:textFill>
                  <w14:solidFill>
                    <w14:schemeClr w14:val="tx1"/>
                  </w14:solidFill>
                </w14:textFill>
              </w:rPr>
              <w:t>出口</w:t>
            </w:r>
          </w:p>
        </w:tc>
        <w:tc>
          <w:tcPr>
            <w:tcW w:w="0" w:type="auto"/>
            <w:shd w:val="clear" w:color="auto" w:fill="auto"/>
            <w:vAlign w:val="center"/>
          </w:tcPr>
          <w:p w14:paraId="3C85C55B">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3</w:t>
            </w:r>
          </w:p>
        </w:tc>
        <w:tc>
          <w:tcPr>
            <w:tcW w:w="751" w:type="dxa"/>
            <w:shd w:val="clear" w:color="auto" w:fill="auto"/>
            <w:vAlign w:val="center"/>
          </w:tcPr>
          <w:p w14:paraId="13354267">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装卸臂</w:t>
            </w:r>
          </w:p>
        </w:tc>
        <w:tc>
          <w:tcPr>
            <w:tcW w:w="1005" w:type="dxa"/>
            <w:shd w:val="clear" w:color="auto" w:fill="auto"/>
            <w:vAlign w:val="center"/>
          </w:tcPr>
          <w:p w14:paraId="437FA241">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630" w:type="dxa"/>
            <w:shd w:val="clear" w:color="auto" w:fill="auto"/>
            <w:vAlign w:val="center"/>
          </w:tcPr>
          <w:p w14:paraId="297CCB6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915" w:type="dxa"/>
            <w:shd w:val="clear" w:color="auto" w:fill="auto"/>
            <w:vAlign w:val="center"/>
          </w:tcPr>
          <w:p w14:paraId="6E1F59EC">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w:t>
            </w:r>
          </w:p>
        </w:tc>
      </w:tr>
      <w:tr w14:paraId="2C5F226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gridSpan w:val="8"/>
            <w:vMerge w:val="continue"/>
            <w:shd w:val="clear" w:color="auto" w:fill="auto"/>
            <w:vAlign w:val="center"/>
          </w:tcPr>
          <w:p w14:paraId="7641C9E9">
            <w:pPr>
              <w:pStyle w:val="73"/>
              <w:spacing w:line="240" w:lineRule="exact"/>
              <w:rPr>
                <w:rFonts w:eastAsia="宋体"/>
                <w:color w:val="000000" w:themeColor="text1"/>
                <w:sz w:val="21"/>
                <w:lang w:val="en-US"/>
                <w14:textFill>
                  <w14:solidFill>
                    <w14:schemeClr w14:val="tx1"/>
                  </w14:solidFill>
                </w14:textFill>
              </w:rPr>
            </w:pPr>
          </w:p>
        </w:tc>
        <w:tc>
          <w:tcPr>
            <w:tcW w:w="0" w:type="auto"/>
            <w:shd w:val="clear" w:color="auto" w:fill="auto"/>
            <w:vAlign w:val="center"/>
          </w:tcPr>
          <w:p w14:paraId="4C62491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航空煤油</w:t>
            </w:r>
          </w:p>
        </w:tc>
        <w:tc>
          <w:tcPr>
            <w:tcW w:w="0" w:type="auto"/>
            <w:shd w:val="clear" w:color="auto" w:fill="auto"/>
            <w:vAlign w:val="center"/>
          </w:tcPr>
          <w:p w14:paraId="41ECEA1C">
            <w:pPr>
              <w:pStyle w:val="73"/>
              <w:spacing w:line="240" w:lineRule="exact"/>
              <w:rPr>
                <w:rFonts w:eastAsia="宋体"/>
                <w:color w:val="000000" w:themeColor="text1"/>
                <w:sz w:val="21"/>
                <w:lang w:val="en-US"/>
                <w14:textFill>
                  <w14:solidFill>
                    <w14:schemeClr w14:val="tx1"/>
                  </w14:solidFill>
                </w14:textFill>
              </w:rPr>
            </w:pPr>
            <w:r>
              <w:rPr>
                <w:rFonts w:eastAsia="宋体"/>
                <w:color w:val="000000" w:themeColor="text1"/>
                <w:sz w:val="21"/>
                <w:lang w:val="en-US"/>
                <w14:textFill>
                  <w14:solidFill>
                    <w14:schemeClr w14:val="tx1"/>
                  </w14:solidFill>
                </w14:textFill>
              </w:rPr>
              <w:t>出口</w:t>
            </w:r>
          </w:p>
        </w:tc>
        <w:tc>
          <w:tcPr>
            <w:tcW w:w="0" w:type="auto"/>
            <w:shd w:val="clear" w:color="auto" w:fill="auto"/>
            <w:vAlign w:val="center"/>
          </w:tcPr>
          <w:p w14:paraId="33BCA2EC">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751" w:type="dxa"/>
            <w:shd w:val="clear" w:color="auto" w:fill="auto"/>
            <w:vAlign w:val="center"/>
          </w:tcPr>
          <w:p w14:paraId="11354959">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装卸臂</w:t>
            </w:r>
          </w:p>
        </w:tc>
        <w:tc>
          <w:tcPr>
            <w:tcW w:w="1005" w:type="dxa"/>
            <w:shd w:val="clear" w:color="auto" w:fill="auto"/>
            <w:vAlign w:val="center"/>
          </w:tcPr>
          <w:p w14:paraId="2140024E">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630" w:type="dxa"/>
            <w:shd w:val="clear" w:color="auto" w:fill="auto"/>
            <w:vAlign w:val="center"/>
          </w:tcPr>
          <w:p w14:paraId="0158E145">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915" w:type="dxa"/>
            <w:shd w:val="clear" w:color="auto" w:fill="auto"/>
            <w:vAlign w:val="center"/>
          </w:tcPr>
          <w:p w14:paraId="0B187BDE">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w:t>
            </w:r>
          </w:p>
        </w:tc>
      </w:tr>
      <w:tr w14:paraId="1F18EE4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355" w:hRule="atLeast"/>
          <w:jc w:val="center"/>
        </w:trPr>
        <w:tc>
          <w:tcPr>
            <w:tcW w:w="0" w:type="auto"/>
            <w:gridSpan w:val="8"/>
            <w:vMerge w:val="continue"/>
            <w:shd w:val="clear" w:color="auto" w:fill="auto"/>
            <w:vAlign w:val="center"/>
          </w:tcPr>
          <w:p w14:paraId="2FF38DAF">
            <w:pPr>
              <w:pStyle w:val="73"/>
              <w:spacing w:line="240" w:lineRule="exact"/>
              <w:rPr>
                <w:rFonts w:eastAsia="宋体"/>
                <w:color w:val="000000" w:themeColor="text1"/>
                <w:sz w:val="21"/>
                <w:lang w:val="en-US"/>
                <w14:textFill>
                  <w14:solidFill>
                    <w14:schemeClr w14:val="tx1"/>
                  </w14:solidFill>
                </w14:textFill>
              </w:rPr>
            </w:pPr>
          </w:p>
        </w:tc>
        <w:tc>
          <w:tcPr>
            <w:tcW w:w="0" w:type="auto"/>
            <w:shd w:val="clear" w:color="auto" w:fill="auto"/>
            <w:vAlign w:val="center"/>
          </w:tcPr>
          <w:p w14:paraId="2AA8975E">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苯乙烯</w:t>
            </w:r>
          </w:p>
        </w:tc>
        <w:tc>
          <w:tcPr>
            <w:tcW w:w="0" w:type="auto"/>
            <w:shd w:val="clear" w:color="auto" w:fill="auto"/>
            <w:vAlign w:val="center"/>
          </w:tcPr>
          <w:p w14:paraId="67DF4187">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进口</w:t>
            </w:r>
          </w:p>
        </w:tc>
        <w:tc>
          <w:tcPr>
            <w:tcW w:w="0" w:type="auto"/>
            <w:shd w:val="clear" w:color="auto" w:fill="auto"/>
            <w:vAlign w:val="center"/>
          </w:tcPr>
          <w:p w14:paraId="1C0B4BFD">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27</w:t>
            </w:r>
          </w:p>
        </w:tc>
        <w:tc>
          <w:tcPr>
            <w:tcW w:w="751" w:type="dxa"/>
            <w:shd w:val="clear" w:color="auto" w:fill="auto"/>
            <w:vAlign w:val="center"/>
          </w:tcPr>
          <w:p w14:paraId="53914CCC">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装卸臂</w:t>
            </w:r>
          </w:p>
        </w:tc>
        <w:tc>
          <w:tcPr>
            <w:tcW w:w="1005" w:type="dxa"/>
            <w:shd w:val="clear" w:color="auto" w:fill="auto"/>
            <w:vAlign w:val="center"/>
          </w:tcPr>
          <w:p w14:paraId="49667556">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630" w:type="dxa"/>
            <w:shd w:val="clear" w:color="auto" w:fill="auto"/>
            <w:vAlign w:val="center"/>
          </w:tcPr>
          <w:p w14:paraId="641A5BC7">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915" w:type="dxa"/>
            <w:shd w:val="clear" w:color="auto" w:fill="auto"/>
            <w:vAlign w:val="center"/>
          </w:tcPr>
          <w:p w14:paraId="7CD90CFD">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w:t>
            </w:r>
          </w:p>
        </w:tc>
      </w:tr>
      <w:tr w14:paraId="2F93B2E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gridSpan w:val="8"/>
            <w:vMerge w:val="continue"/>
            <w:shd w:val="clear" w:color="auto" w:fill="auto"/>
            <w:vAlign w:val="center"/>
          </w:tcPr>
          <w:p w14:paraId="44610A66">
            <w:pPr>
              <w:pStyle w:val="73"/>
              <w:spacing w:line="240" w:lineRule="exact"/>
              <w:rPr>
                <w:rFonts w:eastAsia="宋体"/>
                <w:color w:val="000000" w:themeColor="text1"/>
                <w:sz w:val="21"/>
                <w:lang w:val="en-US"/>
                <w14:textFill>
                  <w14:solidFill>
                    <w14:schemeClr w14:val="tx1"/>
                  </w14:solidFill>
                </w14:textFill>
              </w:rPr>
            </w:pPr>
          </w:p>
        </w:tc>
        <w:tc>
          <w:tcPr>
            <w:tcW w:w="0" w:type="auto"/>
            <w:shd w:val="clear" w:color="auto" w:fill="auto"/>
            <w:vAlign w:val="center"/>
          </w:tcPr>
          <w:p w14:paraId="1CF2373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液硫</w:t>
            </w:r>
          </w:p>
        </w:tc>
        <w:tc>
          <w:tcPr>
            <w:tcW w:w="0" w:type="auto"/>
            <w:shd w:val="clear" w:color="auto" w:fill="auto"/>
            <w:vAlign w:val="center"/>
          </w:tcPr>
          <w:p w14:paraId="17AA7C10">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进口</w:t>
            </w:r>
          </w:p>
        </w:tc>
        <w:tc>
          <w:tcPr>
            <w:tcW w:w="0" w:type="auto"/>
            <w:shd w:val="clear" w:color="auto" w:fill="auto"/>
            <w:vAlign w:val="center"/>
          </w:tcPr>
          <w:p w14:paraId="70C441BA">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24</w:t>
            </w:r>
          </w:p>
        </w:tc>
        <w:tc>
          <w:tcPr>
            <w:tcW w:w="751" w:type="dxa"/>
            <w:shd w:val="clear" w:color="auto" w:fill="auto"/>
            <w:vAlign w:val="center"/>
          </w:tcPr>
          <w:p w14:paraId="7BF0980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金属软管</w:t>
            </w:r>
          </w:p>
        </w:tc>
        <w:tc>
          <w:tcPr>
            <w:tcW w:w="1005" w:type="dxa"/>
            <w:shd w:val="clear" w:color="auto" w:fill="auto"/>
            <w:vAlign w:val="center"/>
          </w:tcPr>
          <w:p w14:paraId="740FCF76">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630" w:type="dxa"/>
            <w:shd w:val="clear" w:color="auto" w:fill="auto"/>
            <w:vAlign w:val="center"/>
          </w:tcPr>
          <w:p w14:paraId="54E3B83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915" w:type="dxa"/>
            <w:shd w:val="clear" w:color="auto" w:fill="auto"/>
            <w:vAlign w:val="center"/>
          </w:tcPr>
          <w:p w14:paraId="75D7EBF9">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w:t>
            </w:r>
          </w:p>
        </w:tc>
      </w:tr>
      <w:tr w14:paraId="0D573F1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gridSpan w:val="8"/>
            <w:vMerge w:val="continue"/>
            <w:shd w:val="clear" w:color="auto" w:fill="auto"/>
            <w:vAlign w:val="center"/>
          </w:tcPr>
          <w:p w14:paraId="238FBF87">
            <w:pPr>
              <w:pStyle w:val="73"/>
              <w:spacing w:line="240" w:lineRule="exact"/>
              <w:rPr>
                <w:rFonts w:eastAsia="宋体"/>
                <w:color w:val="000000" w:themeColor="text1"/>
                <w:sz w:val="21"/>
                <w:lang w:val="en-US"/>
                <w14:textFill>
                  <w14:solidFill>
                    <w14:schemeClr w14:val="tx1"/>
                  </w14:solidFill>
                </w14:textFill>
              </w:rPr>
            </w:pPr>
          </w:p>
        </w:tc>
        <w:tc>
          <w:tcPr>
            <w:tcW w:w="0" w:type="auto"/>
            <w:shd w:val="clear" w:color="auto" w:fill="auto"/>
            <w:vAlign w:val="center"/>
          </w:tcPr>
          <w:p w14:paraId="0F0D1C7A">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发烟硫酸</w:t>
            </w:r>
          </w:p>
        </w:tc>
        <w:tc>
          <w:tcPr>
            <w:tcW w:w="0" w:type="auto"/>
            <w:shd w:val="clear" w:color="auto" w:fill="auto"/>
            <w:vAlign w:val="center"/>
          </w:tcPr>
          <w:p w14:paraId="71AC02DE">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进口</w:t>
            </w:r>
          </w:p>
        </w:tc>
        <w:tc>
          <w:tcPr>
            <w:tcW w:w="0" w:type="auto"/>
            <w:shd w:val="clear" w:color="auto" w:fill="auto"/>
            <w:vAlign w:val="center"/>
          </w:tcPr>
          <w:p w14:paraId="0617EA2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751" w:type="dxa"/>
            <w:shd w:val="clear" w:color="auto" w:fill="auto"/>
            <w:vAlign w:val="center"/>
          </w:tcPr>
          <w:p w14:paraId="2DEE0D4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金属软管</w:t>
            </w:r>
          </w:p>
        </w:tc>
        <w:tc>
          <w:tcPr>
            <w:tcW w:w="1005" w:type="dxa"/>
            <w:shd w:val="clear" w:color="auto" w:fill="auto"/>
            <w:vAlign w:val="center"/>
          </w:tcPr>
          <w:p w14:paraId="416FA09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630" w:type="dxa"/>
            <w:shd w:val="clear" w:color="auto" w:fill="auto"/>
            <w:vAlign w:val="center"/>
          </w:tcPr>
          <w:p w14:paraId="329845FD">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915" w:type="dxa"/>
            <w:shd w:val="clear" w:color="auto" w:fill="auto"/>
            <w:vAlign w:val="center"/>
          </w:tcPr>
          <w:p w14:paraId="448B3C51">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w:t>
            </w:r>
          </w:p>
        </w:tc>
      </w:tr>
      <w:tr w14:paraId="74F9A7B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gridSpan w:val="8"/>
            <w:vMerge w:val="continue"/>
            <w:shd w:val="clear" w:color="auto" w:fill="auto"/>
            <w:vAlign w:val="center"/>
          </w:tcPr>
          <w:p w14:paraId="3D757937">
            <w:pPr>
              <w:pStyle w:val="73"/>
              <w:spacing w:line="240" w:lineRule="exact"/>
              <w:rPr>
                <w:rFonts w:eastAsia="宋体"/>
                <w:color w:val="000000" w:themeColor="text1"/>
                <w:sz w:val="21"/>
                <w:lang w:val="en-US"/>
                <w14:textFill>
                  <w14:solidFill>
                    <w14:schemeClr w14:val="tx1"/>
                  </w14:solidFill>
                </w14:textFill>
              </w:rPr>
            </w:pPr>
          </w:p>
        </w:tc>
        <w:tc>
          <w:tcPr>
            <w:tcW w:w="0" w:type="auto"/>
            <w:shd w:val="clear" w:color="auto" w:fill="auto"/>
            <w:vAlign w:val="center"/>
          </w:tcPr>
          <w:p w14:paraId="6F29AC2D">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硫酸</w:t>
            </w:r>
          </w:p>
        </w:tc>
        <w:tc>
          <w:tcPr>
            <w:tcW w:w="0" w:type="auto"/>
            <w:shd w:val="clear" w:color="auto" w:fill="auto"/>
            <w:vAlign w:val="center"/>
          </w:tcPr>
          <w:p w14:paraId="7717879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进口</w:t>
            </w:r>
          </w:p>
        </w:tc>
        <w:tc>
          <w:tcPr>
            <w:tcW w:w="0" w:type="auto"/>
            <w:shd w:val="clear" w:color="auto" w:fill="auto"/>
            <w:vAlign w:val="center"/>
          </w:tcPr>
          <w:p w14:paraId="595DE68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751" w:type="dxa"/>
            <w:shd w:val="clear" w:color="auto" w:fill="auto"/>
            <w:vAlign w:val="center"/>
          </w:tcPr>
          <w:p w14:paraId="6121282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金属软管</w:t>
            </w:r>
          </w:p>
        </w:tc>
        <w:tc>
          <w:tcPr>
            <w:tcW w:w="1005" w:type="dxa"/>
            <w:shd w:val="clear" w:color="auto" w:fill="auto"/>
            <w:vAlign w:val="center"/>
          </w:tcPr>
          <w:p w14:paraId="3359CB45">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630" w:type="dxa"/>
            <w:shd w:val="clear" w:color="auto" w:fill="auto"/>
            <w:vAlign w:val="center"/>
          </w:tcPr>
          <w:p w14:paraId="27B27CA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915" w:type="dxa"/>
            <w:shd w:val="clear" w:color="auto" w:fill="auto"/>
            <w:vAlign w:val="center"/>
          </w:tcPr>
          <w:p w14:paraId="3D0113B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w:t>
            </w:r>
          </w:p>
        </w:tc>
      </w:tr>
      <w:tr w14:paraId="340F70A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gridSpan w:val="8"/>
            <w:vMerge w:val="continue"/>
            <w:shd w:val="clear" w:color="auto" w:fill="auto"/>
            <w:vAlign w:val="center"/>
          </w:tcPr>
          <w:p w14:paraId="2867BD36">
            <w:pPr>
              <w:pStyle w:val="73"/>
              <w:spacing w:line="240" w:lineRule="exact"/>
              <w:rPr>
                <w:rFonts w:eastAsia="宋体"/>
                <w:color w:val="000000" w:themeColor="text1"/>
                <w:sz w:val="21"/>
                <w:lang w:val="en-US"/>
                <w14:textFill>
                  <w14:solidFill>
                    <w14:schemeClr w14:val="tx1"/>
                  </w14:solidFill>
                </w14:textFill>
              </w:rPr>
            </w:pPr>
          </w:p>
        </w:tc>
        <w:tc>
          <w:tcPr>
            <w:tcW w:w="0" w:type="auto"/>
            <w:shd w:val="clear" w:color="auto" w:fill="auto"/>
            <w:vAlign w:val="center"/>
          </w:tcPr>
          <w:p w14:paraId="33C0517B">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液碱</w:t>
            </w:r>
          </w:p>
        </w:tc>
        <w:tc>
          <w:tcPr>
            <w:tcW w:w="0" w:type="auto"/>
            <w:shd w:val="clear" w:color="auto" w:fill="auto"/>
            <w:vAlign w:val="center"/>
          </w:tcPr>
          <w:p w14:paraId="19A394DE">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进口</w:t>
            </w:r>
          </w:p>
        </w:tc>
        <w:tc>
          <w:tcPr>
            <w:tcW w:w="0" w:type="auto"/>
            <w:shd w:val="clear" w:color="auto" w:fill="auto"/>
            <w:vAlign w:val="center"/>
          </w:tcPr>
          <w:p w14:paraId="4AF9766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12</w:t>
            </w:r>
          </w:p>
        </w:tc>
        <w:tc>
          <w:tcPr>
            <w:tcW w:w="751" w:type="dxa"/>
            <w:shd w:val="clear" w:color="auto" w:fill="auto"/>
            <w:vAlign w:val="center"/>
          </w:tcPr>
          <w:p w14:paraId="15A40CFB">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金属软管</w:t>
            </w:r>
          </w:p>
        </w:tc>
        <w:tc>
          <w:tcPr>
            <w:tcW w:w="1005" w:type="dxa"/>
            <w:shd w:val="clear" w:color="auto" w:fill="auto"/>
            <w:vAlign w:val="center"/>
          </w:tcPr>
          <w:p w14:paraId="6DE9776A">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630" w:type="dxa"/>
            <w:shd w:val="clear" w:color="auto" w:fill="auto"/>
            <w:vAlign w:val="center"/>
          </w:tcPr>
          <w:p w14:paraId="072DDE4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915" w:type="dxa"/>
            <w:shd w:val="clear" w:color="auto" w:fill="auto"/>
            <w:vAlign w:val="center"/>
          </w:tcPr>
          <w:p w14:paraId="128619F7">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w:t>
            </w:r>
          </w:p>
        </w:tc>
      </w:tr>
      <w:tr w14:paraId="082276B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gridSpan w:val="3"/>
            <w:shd w:val="clear" w:color="auto" w:fill="auto"/>
            <w:vAlign w:val="center"/>
          </w:tcPr>
          <w:p w14:paraId="5FE93B7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吞吐量</w:t>
            </w:r>
          </w:p>
        </w:tc>
        <w:tc>
          <w:tcPr>
            <w:tcW w:w="0" w:type="auto"/>
            <w:gridSpan w:val="5"/>
            <w:shd w:val="clear" w:color="auto" w:fill="auto"/>
            <w:vAlign w:val="center"/>
          </w:tcPr>
          <w:p w14:paraId="55EF3387">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276万t/a</w:t>
            </w:r>
          </w:p>
        </w:tc>
        <w:tc>
          <w:tcPr>
            <w:tcW w:w="0" w:type="auto"/>
            <w:gridSpan w:val="2"/>
            <w:shd w:val="clear" w:color="auto" w:fill="auto"/>
            <w:vAlign w:val="center"/>
          </w:tcPr>
          <w:p w14:paraId="3DFC6ED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新增货种吞吐量</w:t>
            </w:r>
          </w:p>
        </w:tc>
        <w:tc>
          <w:tcPr>
            <w:tcW w:w="0" w:type="auto"/>
            <w:shd w:val="clear" w:color="auto" w:fill="auto"/>
            <w:vAlign w:val="center"/>
          </w:tcPr>
          <w:p w14:paraId="29D9B45D">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84万t/a</w:t>
            </w:r>
          </w:p>
        </w:tc>
        <w:tc>
          <w:tcPr>
            <w:tcW w:w="1756" w:type="dxa"/>
            <w:gridSpan w:val="2"/>
            <w:shd w:val="clear" w:color="auto" w:fill="auto"/>
            <w:vAlign w:val="center"/>
          </w:tcPr>
          <w:p w14:paraId="06F07505">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调整货种后吞吐量</w:t>
            </w:r>
          </w:p>
        </w:tc>
        <w:tc>
          <w:tcPr>
            <w:tcW w:w="1545" w:type="dxa"/>
            <w:gridSpan w:val="2"/>
            <w:shd w:val="clear" w:color="auto" w:fill="auto"/>
            <w:vAlign w:val="center"/>
          </w:tcPr>
          <w:p w14:paraId="599FCCAD">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251万t/a</w:t>
            </w:r>
          </w:p>
        </w:tc>
      </w:tr>
    </w:tbl>
    <w:p w14:paraId="27E8FD5C">
      <w:pPr>
        <w:autoSpaceDE w:val="0"/>
        <w:autoSpaceDN w:val="0"/>
        <w:ind w:firstLine="482"/>
        <w:jc w:val="left"/>
        <w:rPr>
          <w:rFonts w:ascii="宋体" w:hAnsi="宋体"/>
          <w:b/>
          <w:color w:val="000000" w:themeColor="text1"/>
          <w14:textFill>
            <w14:solidFill>
              <w14:schemeClr w14:val="tx1"/>
            </w14:solidFill>
          </w14:textFill>
        </w:rPr>
        <w:sectPr>
          <w:type w:val="continuous"/>
          <w:pgSz w:w="16838" w:h="11906" w:orient="landscape"/>
          <w:pgMar w:top="1800" w:right="1440" w:bottom="1800" w:left="1440" w:header="851" w:footer="994" w:gutter="0"/>
          <w:pgBorders>
            <w:top w:val="none" w:sz="0" w:space="0"/>
            <w:left w:val="none" w:sz="0" w:space="0"/>
            <w:bottom w:val="none" w:sz="0" w:space="0"/>
            <w:right w:val="none" w:sz="0" w:space="0"/>
          </w:pgBorders>
          <w:pgNumType w:fmt="upperRoman" w:start="1"/>
          <w:cols w:space="0" w:num="1"/>
          <w:docGrid w:type="lines" w:linePitch="332" w:charSpace="0"/>
        </w:sectPr>
      </w:pPr>
    </w:p>
    <w:p w14:paraId="6D87C87B">
      <w:pPr>
        <w:autoSpaceDE w:val="0"/>
        <w:autoSpaceDN w:val="0"/>
        <w:ind w:firstLine="482"/>
        <w:jc w:val="left"/>
        <w:rPr>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五</w:t>
      </w:r>
      <w:r>
        <w:rPr>
          <w:rFonts w:ascii="宋体" w:hAnsi="宋体"/>
          <w:b/>
          <w:color w:val="000000" w:themeColor="text1"/>
          <w14:textFill>
            <w14:solidFill>
              <w14:schemeClr w14:val="tx1"/>
            </w14:solidFill>
          </w14:textFill>
        </w:rPr>
        <w:t>、环境影响评价工作过程</w:t>
      </w:r>
    </w:p>
    <w:p w14:paraId="7D93EB0E">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根据《中华人民共和国环境保护法》、《中华人民共和国环境影响评价法》、《建设项目环境保护管理条例》等有关规定，建设单位于</w:t>
      </w:r>
      <w:r>
        <w:rPr>
          <w:rFonts w:hint="eastAsia"/>
          <w:color w:val="000000" w:themeColor="text1"/>
          <w14:textFill>
            <w14:solidFill>
              <w14:schemeClr w14:val="tx1"/>
            </w14:solidFill>
          </w14:textFill>
        </w:rPr>
        <w:t>2025</w:t>
      </w:r>
      <w:r>
        <w:rPr>
          <w:rFonts w:hint="eastAsia" w:ascii="宋体" w:hAnsi="宋体"/>
          <w:color w:val="000000" w:themeColor="text1"/>
          <w14:textFill>
            <w14:solidFill>
              <w14:schemeClr w14:val="tx1"/>
            </w14:solidFill>
          </w14:textFill>
        </w:rPr>
        <w:t>年</w:t>
      </w:r>
      <w:r>
        <w:rPr>
          <w:rFonts w:hint="eastAsia"/>
          <w:color w:val="000000" w:themeColor="text1"/>
          <w14:textFill>
            <w14:solidFill>
              <w14:schemeClr w14:val="tx1"/>
            </w14:solidFill>
          </w14:textFill>
        </w:rPr>
        <w:t>11</w:t>
      </w:r>
      <w:r>
        <w:rPr>
          <w:rFonts w:hint="eastAsia" w:ascii="宋体" w:hAnsi="宋体"/>
          <w:color w:val="000000" w:themeColor="text1"/>
          <w14:textFill>
            <w14:solidFill>
              <w14:schemeClr w14:val="tx1"/>
            </w14:solidFill>
          </w14:textFill>
        </w:rPr>
        <w:t>月委托广西漫越环保科技有限公司开展环境影响评价。</w:t>
      </w:r>
    </w:p>
    <w:p w14:paraId="3B2CDA85">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根据《建设项目环境影响评价分类管理名录（</w:t>
      </w:r>
      <w:r>
        <w:rPr>
          <w:rFonts w:hint="eastAsia"/>
          <w:color w:val="000000" w:themeColor="text1"/>
          <w14:textFill>
            <w14:solidFill>
              <w14:schemeClr w14:val="tx1"/>
            </w14:solidFill>
          </w14:textFill>
        </w:rPr>
        <w:t>2021</w:t>
      </w:r>
      <w:r>
        <w:rPr>
          <w:rFonts w:hint="eastAsia" w:ascii="宋体" w:hAnsi="宋体"/>
          <w:color w:val="000000" w:themeColor="text1"/>
          <w14:textFill>
            <w14:solidFill>
              <w14:schemeClr w14:val="tx1"/>
            </w14:solidFill>
          </w14:textFill>
        </w:rPr>
        <w:t>年版）》（部令第</w:t>
      </w:r>
      <w:r>
        <w:rPr>
          <w:rFonts w:hint="eastAsia"/>
          <w:color w:val="000000" w:themeColor="text1"/>
          <w14:textFill>
            <w14:solidFill>
              <w14:schemeClr w14:val="tx1"/>
            </w14:solidFill>
          </w14:textFill>
        </w:rPr>
        <w:t>16</w:t>
      </w:r>
      <w:r>
        <w:rPr>
          <w:rFonts w:hint="eastAsia" w:ascii="宋体" w:hAnsi="宋体"/>
          <w:color w:val="000000" w:themeColor="text1"/>
          <w14:textFill>
            <w14:solidFill>
              <w14:schemeClr w14:val="tx1"/>
            </w14:solidFill>
          </w14:textFill>
        </w:rPr>
        <w:t>号），本项目属于五十二、交通运输业、管道运输业</w:t>
      </w:r>
      <w:r>
        <w:rPr>
          <w:rFonts w:hint="eastAsia"/>
          <w:color w:val="000000" w:themeColor="text1"/>
          <w14:textFill>
            <w14:solidFill>
              <w14:schemeClr w14:val="tx1"/>
            </w14:solidFill>
          </w14:textFill>
        </w:rPr>
        <w:t>138.</w:t>
      </w:r>
      <w:r>
        <w:rPr>
          <w:rFonts w:hint="eastAsia" w:ascii="宋体" w:hAnsi="宋体"/>
          <w:color w:val="000000" w:themeColor="text1"/>
          <w14:textFill>
            <w14:solidFill>
              <w14:schemeClr w14:val="tx1"/>
            </w14:solidFill>
          </w14:textFill>
        </w:rPr>
        <w:t>油气、液体化工码头，新建：岸线、水工构筑物、吞吐量、储运量增加的扩建；装卸货种变化的扩建，应编制环境影响评价报告书。</w:t>
      </w:r>
    </w:p>
    <w:p w14:paraId="6911D678">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环评单位接受委托后，环评工作组成员对项目场址及周边环境敏感目标及污染源进行了现场调查。通过现场调查、相关部门咨询及资料收集和分析，结合项目排污特征及周边环境敏感点、污染源分布及相关规划情况，确定环境影响评价工作等级，在此基础上</w:t>
      </w:r>
      <w:r>
        <w:rPr>
          <w:rFonts w:hint="eastAsia" w:ascii="宋体" w:hAnsi="宋体"/>
          <w:color w:val="000000" w:themeColor="text1"/>
          <w:lang w:eastAsia="zh-CN"/>
          <w14:textFill>
            <w14:solidFill>
              <w14:schemeClr w14:val="tx1"/>
            </w14:solidFill>
          </w14:textFill>
        </w:rPr>
        <w:t>制定了</w:t>
      </w:r>
      <w:r>
        <w:rPr>
          <w:rFonts w:hint="eastAsia" w:ascii="宋体" w:hAnsi="宋体"/>
          <w:color w:val="000000" w:themeColor="text1"/>
          <w14:textFill>
            <w14:solidFill>
              <w14:schemeClr w14:val="tx1"/>
            </w14:solidFill>
          </w14:textFill>
        </w:rPr>
        <w:t>项目环境质量现状监测方案并</w:t>
      </w:r>
      <w:r>
        <w:rPr>
          <w:rFonts w:hint="eastAsia" w:ascii="宋体" w:hAnsi="宋体"/>
          <w:color w:val="000000" w:themeColor="text1"/>
          <w:lang w:eastAsia="zh-CN"/>
          <w14:textFill>
            <w14:solidFill>
              <w14:schemeClr w14:val="tx1"/>
            </w14:solidFill>
          </w14:textFill>
        </w:rPr>
        <w:t>委托</w:t>
      </w:r>
      <w:r>
        <w:rPr>
          <w:rFonts w:hint="eastAsia"/>
          <w:color w:val="000000" w:themeColor="text1"/>
          <w14:textFill>
            <w14:solidFill>
              <w14:schemeClr w14:val="tx1"/>
            </w14:solidFill>
          </w14:textFill>
        </w:rPr>
        <w:t>广西恒沁检测科技有限公司</w:t>
      </w:r>
      <w:r>
        <w:rPr>
          <w:rFonts w:hint="eastAsia" w:ascii="宋体" w:hAnsi="宋体"/>
          <w:color w:val="000000" w:themeColor="text1"/>
          <w14:textFill>
            <w14:solidFill>
              <w14:schemeClr w14:val="tx1"/>
            </w14:solidFill>
          </w14:textFill>
        </w:rPr>
        <w:t>进行现场监测，获得区域环境质量现状数据。</w:t>
      </w:r>
    </w:p>
    <w:p w14:paraId="3AEB6759">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在现场踏勘及调查、环境质量现状监测、公众参与调查的基础上，结合本工程的实际情况，根据环境影响评价有关技术导则、规范进行了环境影响预测及评价，制定了相应的环境保护措施，编制完成了《北部湾港钦州港域金谷港区金鼓江作业区14号泊位扩建工程（新增液硫、苯乙烯等装卸设施）环境影响报告书》。</w:t>
      </w:r>
    </w:p>
    <w:p w14:paraId="3E04BFD2">
      <w:pPr>
        <w:ind w:firstLine="482"/>
        <w:rPr>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六</w:t>
      </w:r>
      <w:r>
        <w:rPr>
          <w:rFonts w:ascii="宋体" w:hAnsi="宋体"/>
          <w:b/>
          <w:color w:val="000000" w:themeColor="text1"/>
          <w14:textFill>
            <w14:solidFill>
              <w14:schemeClr w14:val="tx1"/>
            </w14:solidFill>
          </w14:textFill>
        </w:rPr>
        <w:t>、分析判定相关情况</w:t>
      </w:r>
    </w:p>
    <w:p w14:paraId="18D8AF7E">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根据《产业结构调整指导目录（20</w:t>
      </w:r>
      <w:r>
        <w:rPr>
          <w:rFonts w:hint="eastAsia"/>
          <w:color w:val="000000" w:themeColor="text1"/>
          <w:u w:val="single"/>
          <w14:textFill>
            <w14:solidFill>
              <w14:schemeClr w14:val="tx1"/>
            </w14:solidFill>
          </w14:textFill>
        </w:rPr>
        <w:t>24</w:t>
      </w:r>
      <w:r>
        <w:rPr>
          <w:color w:val="000000" w:themeColor="text1"/>
          <w:u w:val="single"/>
          <w14:textFill>
            <w14:solidFill>
              <w14:schemeClr w14:val="tx1"/>
            </w14:solidFill>
          </w14:textFill>
        </w:rPr>
        <w:t xml:space="preserve"> 年本）》，本项目属于“二十五、水运”中“1、深水泊位（沿海万吨级、内河千吨级及以上）建设”，为鼓励类产业，项目建设与《产业结构调整指导目录（20</w:t>
      </w:r>
      <w:r>
        <w:rPr>
          <w:rFonts w:hint="eastAsia"/>
          <w:color w:val="000000" w:themeColor="text1"/>
          <w:u w:val="single"/>
          <w14:textFill>
            <w14:solidFill>
              <w14:schemeClr w14:val="tx1"/>
            </w14:solidFill>
          </w14:textFill>
        </w:rPr>
        <w:t>24</w:t>
      </w:r>
      <w:r>
        <w:rPr>
          <w:color w:val="000000" w:themeColor="text1"/>
          <w:u w:val="single"/>
          <w14:textFill>
            <w14:solidFill>
              <w14:schemeClr w14:val="tx1"/>
            </w14:solidFill>
          </w14:textFill>
        </w:rPr>
        <w:t>年本）》相符。</w:t>
      </w:r>
    </w:p>
    <w:p w14:paraId="258D5871">
      <w:pPr>
        <w:ind w:firstLine="480"/>
        <w:rPr>
          <w:color w:val="000000" w:themeColor="text1"/>
          <w14:textFill>
            <w14:solidFill>
              <w14:schemeClr w14:val="tx1"/>
            </w14:solidFill>
          </w14:textFill>
        </w:rPr>
      </w:pPr>
      <w:r>
        <w:rPr>
          <w:color w:val="000000" w:themeColor="text1"/>
          <w14:textFill>
            <w14:solidFill>
              <w14:schemeClr w14:val="tx1"/>
            </w14:solidFill>
          </w14:textFill>
        </w:rPr>
        <w:t>同时，项目的选址和建设符合国家及地方发布的各项规划、功能区划、生态环境保护规划、法律法规及行动计划；项目的最终平面布局充分考虑了所在地自然条件，吸收了国内同类项目的成功经验，符合环境保护、安全等多方面要求。</w:t>
      </w:r>
    </w:p>
    <w:p w14:paraId="6F9BB9BA">
      <w:pPr>
        <w:pStyle w:val="7"/>
        <w:numPr>
          <w:ilvl w:val="0"/>
          <w:numId w:val="0"/>
        </w:numPr>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 xml:space="preserve">  项目与相关文件的符合性判定结果一览表</w:t>
      </w:r>
    </w:p>
    <w:tbl>
      <w:tblPr>
        <w:tblStyle w:val="43"/>
        <w:tblW w:w="8276"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694"/>
        <w:gridCol w:w="854"/>
        <w:gridCol w:w="5655"/>
        <w:gridCol w:w="1073"/>
      </w:tblGrid>
      <w:tr w14:paraId="521FC0A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68" w:hRule="atLeast"/>
          <w:jc w:val="center"/>
        </w:trPr>
        <w:tc>
          <w:tcPr>
            <w:tcW w:w="694" w:type="dxa"/>
            <w:vAlign w:val="center"/>
          </w:tcPr>
          <w:p w14:paraId="175CD276">
            <w:pPr>
              <w:pStyle w:val="73"/>
              <w:rPr>
                <w:rFonts w:eastAsia="宋体"/>
                <w:b/>
                <w:bCs/>
                <w:color w:val="000000" w:themeColor="text1"/>
                <w:sz w:val="21"/>
                <w:lang w:eastAsia="en-US"/>
                <w14:textFill>
                  <w14:solidFill>
                    <w14:schemeClr w14:val="tx1"/>
                  </w14:solidFill>
                </w14:textFill>
              </w:rPr>
            </w:pPr>
            <w:r>
              <w:rPr>
                <w:rFonts w:eastAsia="宋体"/>
                <w:b/>
                <w:bCs/>
                <w:color w:val="000000" w:themeColor="text1"/>
                <w:sz w:val="21"/>
                <w:lang w:eastAsia="en-US"/>
                <w14:textFill>
                  <w14:solidFill>
                    <w14:schemeClr w14:val="tx1"/>
                  </w14:solidFill>
                </w14:textFill>
              </w:rPr>
              <w:t>序号</w:t>
            </w:r>
          </w:p>
        </w:tc>
        <w:tc>
          <w:tcPr>
            <w:tcW w:w="854" w:type="dxa"/>
            <w:vAlign w:val="center"/>
          </w:tcPr>
          <w:p w14:paraId="1F843C56">
            <w:pPr>
              <w:pStyle w:val="73"/>
              <w:rPr>
                <w:rFonts w:eastAsia="宋体"/>
                <w:b/>
                <w:bCs/>
                <w:color w:val="000000" w:themeColor="text1"/>
                <w:sz w:val="21"/>
                <w:lang w:eastAsia="en-US"/>
                <w14:textFill>
                  <w14:solidFill>
                    <w14:schemeClr w14:val="tx1"/>
                  </w14:solidFill>
                </w14:textFill>
              </w:rPr>
            </w:pPr>
            <w:r>
              <w:rPr>
                <w:rFonts w:eastAsia="宋体"/>
                <w:b/>
                <w:bCs/>
                <w:color w:val="000000" w:themeColor="text1"/>
                <w:sz w:val="21"/>
                <w:lang w:eastAsia="en-US"/>
                <w14:textFill>
                  <w14:solidFill>
                    <w14:schemeClr w14:val="tx1"/>
                  </w14:solidFill>
                </w14:textFill>
              </w:rPr>
              <w:t>类别</w:t>
            </w:r>
          </w:p>
        </w:tc>
        <w:tc>
          <w:tcPr>
            <w:tcW w:w="5655" w:type="dxa"/>
            <w:vAlign w:val="center"/>
          </w:tcPr>
          <w:p w14:paraId="7379D5DF">
            <w:pPr>
              <w:pStyle w:val="73"/>
              <w:rPr>
                <w:rFonts w:eastAsia="宋体"/>
                <w:b/>
                <w:bCs/>
                <w:color w:val="000000" w:themeColor="text1"/>
                <w:sz w:val="21"/>
                <w:lang w:eastAsia="en-US"/>
                <w14:textFill>
                  <w14:solidFill>
                    <w14:schemeClr w14:val="tx1"/>
                  </w14:solidFill>
                </w14:textFill>
              </w:rPr>
            </w:pPr>
            <w:r>
              <w:rPr>
                <w:rFonts w:eastAsia="宋体"/>
                <w:b/>
                <w:bCs/>
                <w:color w:val="000000" w:themeColor="text1"/>
                <w:sz w:val="21"/>
                <w:lang w:eastAsia="en-US"/>
                <w14:textFill>
                  <w14:solidFill>
                    <w14:schemeClr w14:val="tx1"/>
                  </w14:solidFill>
                </w14:textFill>
              </w:rPr>
              <w:t>判定依据</w:t>
            </w:r>
          </w:p>
        </w:tc>
        <w:tc>
          <w:tcPr>
            <w:tcW w:w="1073" w:type="dxa"/>
            <w:vAlign w:val="center"/>
          </w:tcPr>
          <w:p w14:paraId="5DED5F2E">
            <w:pPr>
              <w:pStyle w:val="73"/>
              <w:rPr>
                <w:rFonts w:eastAsia="宋体"/>
                <w:b/>
                <w:bCs/>
                <w:color w:val="000000" w:themeColor="text1"/>
                <w:sz w:val="21"/>
                <w:lang w:eastAsia="en-US"/>
                <w14:textFill>
                  <w14:solidFill>
                    <w14:schemeClr w14:val="tx1"/>
                  </w14:solidFill>
                </w14:textFill>
              </w:rPr>
            </w:pPr>
            <w:r>
              <w:rPr>
                <w:rFonts w:eastAsia="宋体"/>
                <w:b/>
                <w:bCs/>
                <w:color w:val="000000" w:themeColor="text1"/>
                <w:sz w:val="21"/>
                <w:lang w:eastAsia="en-US"/>
                <w14:textFill>
                  <w14:solidFill>
                    <w14:schemeClr w14:val="tx1"/>
                  </w14:solidFill>
                </w14:textFill>
              </w:rPr>
              <w:t>判定结果</w:t>
            </w:r>
          </w:p>
        </w:tc>
      </w:tr>
      <w:tr w14:paraId="2E12566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32" w:hRule="atLeast"/>
          <w:jc w:val="center"/>
        </w:trPr>
        <w:tc>
          <w:tcPr>
            <w:tcW w:w="694" w:type="dxa"/>
            <w:vAlign w:val="center"/>
          </w:tcPr>
          <w:p w14:paraId="1CC0D60F">
            <w:pPr>
              <w:pStyle w:val="73"/>
              <w:rPr>
                <w:color w:val="000000" w:themeColor="text1"/>
                <w:sz w:val="21"/>
                <w:lang w:eastAsia="en-US"/>
                <w14:textFill>
                  <w14:solidFill>
                    <w14:schemeClr w14:val="tx1"/>
                  </w14:solidFill>
                </w14:textFill>
              </w:rPr>
            </w:pPr>
            <w:r>
              <w:rPr>
                <w:color w:val="000000" w:themeColor="text1"/>
                <w:w w:val="99"/>
                <w:sz w:val="21"/>
                <w:lang w:eastAsia="en-US"/>
                <w14:textFill>
                  <w14:solidFill>
                    <w14:schemeClr w14:val="tx1"/>
                  </w14:solidFill>
                </w14:textFill>
              </w:rPr>
              <w:t>1</w:t>
            </w:r>
          </w:p>
        </w:tc>
        <w:tc>
          <w:tcPr>
            <w:tcW w:w="854" w:type="dxa"/>
            <w:vAlign w:val="center"/>
          </w:tcPr>
          <w:p w14:paraId="714209CA">
            <w:pPr>
              <w:pStyle w:val="73"/>
              <w:rPr>
                <w:rFonts w:eastAsia="宋体"/>
                <w:color w:val="000000" w:themeColor="text1"/>
                <w:sz w:val="21"/>
                <w:lang w:eastAsia="en-US"/>
                <w14:textFill>
                  <w14:solidFill>
                    <w14:schemeClr w14:val="tx1"/>
                  </w14:solidFill>
                </w14:textFill>
              </w:rPr>
            </w:pPr>
            <w:r>
              <w:rPr>
                <w:rFonts w:eastAsia="宋体"/>
                <w:color w:val="000000" w:themeColor="text1"/>
                <w:sz w:val="21"/>
                <w:lang w:eastAsia="en-US"/>
                <w14:textFill>
                  <w14:solidFill>
                    <w14:schemeClr w14:val="tx1"/>
                  </w14:solidFill>
                </w14:textFill>
              </w:rPr>
              <w:t>产业政策</w:t>
            </w:r>
          </w:p>
        </w:tc>
        <w:tc>
          <w:tcPr>
            <w:tcW w:w="5655" w:type="dxa"/>
            <w:vAlign w:val="center"/>
          </w:tcPr>
          <w:p w14:paraId="475E37A6">
            <w:pPr>
              <w:pStyle w:val="73"/>
              <w:rPr>
                <w:rFonts w:eastAsia="宋体"/>
                <w:color w:val="000000" w:themeColor="text1"/>
                <w:sz w:val="21"/>
                <w14:textFill>
                  <w14:solidFill>
                    <w14:schemeClr w14:val="tx1"/>
                  </w14:solidFill>
                </w14:textFill>
              </w:rPr>
            </w:pPr>
            <w:r>
              <w:rPr>
                <w:rFonts w:eastAsia="宋体"/>
                <w:color w:val="000000" w:themeColor="text1"/>
                <w:sz w:val="21"/>
                <w14:textFill>
                  <w14:solidFill>
                    <w14:schemeClr w14:val="tx1"/>
                  </w14:solidFill>
                </w14:textFill>
              </w:rPr>
              <w:t>《产业结构调整指导目录（</w:t>
            </w:r>
            <w:r>
              <w:rPr>
                <w:color w:val="000000" w:themeColor="text1"/>
                <w:sz w:val="21"/>
                <w14:textFill>
                  <w14:solidFill>
                    <w14:schemeClr w14:val="tx1"/>
                  </w14:solidFill>
                </w14:textFill>
              </w:rPr>
              <w:t>20</w:t>
            </w:r>
            <w:r>
              <w:rPr>
                <w:rFonts w:hint="eastAsia" w:eastAsia="宋体"/>
                <w:color w:val="000000" w:themeColor="text1"/>
                <w:sz w:val="21"/>
                <w:lang w:val="en-US"/>
                <w14:textFill>
                  <w14:solidFill>
                    <w14:schemeClr w14:val="tx1"/>
                  </w14:solidFill>
                </w14:textFill>
              </w:rPr>
              <w:t>24</w:t>
            </w:r>
            <w:r>
              <w:rPr>
                <w:rFonts w:eastAsia="宋体"/>
                <w:color w:val="000000" w:themeColor="text1"/>
                <w:sz w:val="21"/>
                <w14:textFill>
                  <w14:solidFill>
                    <w14:schemeClr w14:val="tx1"/>
                  </w14:solidFill>
                </w14:textFill>
              </w:rPr>
              <w:t>年本</w:t>
            </w:r>
            <w:r>
              <w:rPr>
                <w:rFonts w:eastAsia="宋体"/>
                <w:color w:val="000000" w:themeColor="text1"/>
                <w:spacing w:val="-106"/>
                <w:sz w:val="21"/>
                <w14:textFill>
                  <w14:solidFill>
                    <w14:schemeClr w14:val="tx1"/>
                  </w14:solidFill>
                </w14:textFill>
              </w:rPr>
              <w:t>）</w:t>
            </w:r>
            <w:r>
              <w:rPr>
                <w:rFonts w:eastAsia="宋体"/>
                <w:color w:val="000000" w:themeColor="text1"/>
                <w:spacing w:val="-17"/>
                <w:sz w:val="21"/>
                <w14:textFill>
                  <w14:solidFill>
                    <w14:schemeClr w14:val="tx1"/>
                  </w14:solidFill>
                </w14:textFill>
              </w:rPr>
              <w:t>》</w:t>
            </w:r>
          </w:p>
        </w:tc>
        <w:tc>
          <w:tcPr>
            <w:tcW w:w="1073" w:type="dxa"/>
            <w:vAlign w:val="center"/>
          </w:tcPr>
          <w:p w14:paraId="432FC354">
            <w:pPr>
              <w:pStyle w:val="73"/>
              <w:rPr>
                <w:rFonts w:eastAsia="宋体"/>
                <w:color w:val="000000" w:themeColor="text1"/>
                <w:sz w:val="21"/>
                <w:lang w:eastAsia="en-US"/>
                <w14:textFill>
                  <w14:solidFill>
                    <w14:schemeClr w14:val="tx1"/>
                  </w14:solidFill>
                </w14:textFill>
              </w:rPr>
            </w:pPr>
            <w:r>
              <w:rPr>
                <w:rFonts w:eastAsia="宋体"/>
                <w:color w:val="000000" w:themeColor="text1"/>
                <w:sz w:val="21"/>
                <w:lang w:eastAsia="en-US"/>
                <w14:textFill>
                  <w14:solidFill>
                    <w14:schemeClr w14:val="tx1"/>
                  </w14:solidFill>
                </w14:textFill>
              </w:rPr>
              <w:t>符合</w:t>
            </w:r>
          </w:p>
        </w:tc>
      </w:tr>
      <w:tr w14:paraId="46131D4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94" w:type="dxa"/>
            <w:vAlign w:val="center"/>
          </w:tcPr>
          <w:p w14:paraId="777BDA96">
            <w:pPr>
              <w:pStyle w:val="73"/>
              <w:rPr>
                <w:rFonts w:eastAsiaTheme="minorEastAsia"/>
                <w:color w:val="000000" w:themeColor="text1"/>
                <w:sz w:val="21"/>
                <w14:textFill>
                  <w14:solidFill>
                    <w14:schemeClr w14:val="tx1"/>
                  </w14:solidFill>
                </w14:textFill>
              </w:rPr>
            </w:pPr>
            <w:r>
              <w:rPr>
                <w:rFonts w:eastAsiaTheme="minorEastAsia"/>
                <w:color w:val="000000" w:themeColor="text1"/>
                <w:w w:val="99"/>
                <w:sz w:val="21"/>
                <w14:textFill>
                  <w14:solidFill>
                    <w14:schemeClr w14:val="tx1"/>
                  </w14:solidFill>
                </w14:textFill>
              </w:rPr>
              <w:t>2</w:t>
            </w:r>
          </w:p>
        </w:tc>
        <w:tc>
          <w:tcPr>
            <w:tcW w:w="854" w:type="dxa"/>
            <w:vAlign w:val="center"/>
          </w:tcPr>
          <w:p w14:paraId="0AAFC9A5">
            <w:pPr>
              <w:pStyle w:val="73"/>
              <w:rPr>
                <w:rFonts w:eastAsia="宋体"/>
                <w:color w:val="000000" w:themeColor="text1"/>
                <w:sz w:val="21"/>
                <w:lang w:eastAsia="en-US"/>
                <w14:textFill>
                  <w14:solidFill>
                    <w14:schemeClr w14:val="tx1"/>
                  </w14:solidFill>
                </w14:textFill>
              </w:rPr>
            </w:pPr>
            <w:r>
              <w:rPr>
                <w:rFonts w:eastAsia="宋体"/>
                <w:color w:val="000000" w:themeColor="text1"/>
                <w:sz w:val="21"/>
                <w:lang w:eastAsia="en-US"/>
                <w14:textFill>
                  <w14:solidFill>
                    <w14:schemeClr w14:val="tx1"/>
                  </w14:solidFill>
                </w14:textFill>
              </w:rPr>
              <w:t>生态红线</w:t>
            </w:r>
          </w:p>
        </w:tc>
        <w:tc>
          <w:tcPr>
            <w:tcW w:w="5655" w:type="dxa"/>
            <w:vAlign w:val="center"/>
          </w:tcPr>
          <w:p w14:paraId="4CC5CB62">
            <w:pPr>
              <w:pStyle w:val="73"/>
              <w:rPr>
                <w:rFonts w:eastAsia="宋体"/>
                <w:color w:val="000000" w:themeColor="text1"/>
                <w:sz w:val="21"/>
                <w14:textFill>
                  <w14:solidFill>
                    <w14:schemeClr w14:val="tx1"/>
                  </w14:solidFill>
                </w14:textFill>
              </w:rPr>
            </w:pPr>
            <w:r>
              <w:rPr>
                <w:rFonts w:eastAsia="宋体"/>
                <w:color w:val="000000" w:themeColor="text1"/>
                <w:sz w:val="21"/>
                <w14:textFill>
                  <w14:solidFill>
                    <w14:schemeClr w14:val="tx1"/>
                  </w14:solidFill>
                </w14:textFill>
              </w:rPr>
              <w:t>《广西海洋生态红线划定方案》</w:t>
            </w:r>
          </w:p>
        </w:tc>
        <w:tc>
          <w:tcPr>
            <w:tcW w:w="1073" w:type="dxa"/>
            <w:vAlign w:val="center"/>
          </w:tcPr>
          <w:p w14:paraId="11D48B04">
            <w:pPr>
              <w:pStyle w:val="73"/>
              <w:rPr>
                <w:rFonts w:eastAsia="宋体"/>
                <w:color w:val="000000" w:themeColor="text1"/>
                <w:sz w:val="21"/>
                <w:lang w:eastAsia="en-US"/>
                <w14:textFill>
                  <w14:solidFill>
                    <w14:schemeClr w14:val="tx1"/>
                  </w14:solidFill>
                </w14:textFill>
              </w:rPr>
            </w:pPr>
            <w:r>
              <w:rPr>
                <w:rFonts w:eastAsia="宋体"/>
                <w:color w:val="000000" w:themeColor="text1"/>
                <w:sz w:val="21"/>
                <w:lang w:eastAsia="en-US"/>
                <w14:textFill>
                  <w14:solidFill>
                    <w14:schemeClr w14:val="tx1"/>
                  </w14:solidFill>
                </w14:textFill>
              </w:rPr>
              <w:t>符合</w:t>
            </w:r>
          </w:p>
        </w:tc>
      </w:tr>
      <w:tr w14:paraId="44FD428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94" w:type="dxa"/>
            <w:vAlign w:val="center"/>
          </w:tcPr>
          <w:p w14:paraId="6E980BC7">
            <w:pPr>
              <w:pStyle w:val="73"/>
              <w:rPr>
                <w:rFonts w:eastAsiaTheme="minorEastAsia"/>
                <w:color w:val="000000" w:themeColor="text1"/>
                <w:sz w:val="21"/>
                <w14:textFill>
                  <w14:solidFill>
                    <w14:schemeClr w14:val="tx1"/>
                  </w14:solidFill>
                </w14:textFill>
              </w:rPr>
            </w:pPr>
            <w:r>
              <w:rPr>
                <w:rFonts w:eastAsiaTheme="minorEastAsia"/>
                <w:color w:val="000000" w:themeColor="text1"/>
                <w:w w:val="99"/>
                <w:sz w:val="21"/>
                <w14:textFill>
                  <w14:solidFill>
                    <w14:schemeClr w14:val="tx1"/>
                  </w14:solidFill>
                </w14:textFill>
              </w:rPr>
              <w:t>3</w:t>
            </w:r>
          </w:p>
        </w:tc>
        <w:tc>
          <w:tcPr>
            <w:tcW w:w="854" w:type="dxa"/>
            <w:vMerge w:val="restart"/>
            <w:vAlign w:val="center"/>
          </w:tcPr>
          <w:p w14:paraId="5EC74588">
            <w:pPr>
              <w:pStyle w:val="73"/>
              <w:rPr>
                <w:rFonts w:eastAsia="宋体"/>
                <w:color w:val="000000" w:themeColor="text1"/>
                <w:sz w:val="21"/>
                <w:lang w:eastAsia="en-US"/>
                <w14:textFill>
                  <w14:solidFill>
                    <w14:schemeClr w14:val="tx1"/>
                  </w14:solidFill>
                </w14:textFill>
              </w:rPr>
            </w:pPr>
            <w:r>
              <w:rPr>
                <w:rFonts w:eastAsia="宋体"/>
                <w:color w:val="000000" w:themeColor="text1"/>
                <w:sz w:val="21"/>
                <w:lang w:eastAsia="en-US"/>
                <w14:textFill>
                  <w14:solidFill>
                    <w14:schemeClr w14:val="tx1"/>
                  </w14:solidFill>
                </w14:textFill>
              </w:rPr>
              <w:t>分区管控</w:t>
            </w:r>
          </w:p>
        </w:tc>
        <w:tc>
          <w:tcPr>
            <w:tcW w:w="5655" w:type="dxa"/>
            <w:vAlign w:val="center"/>
          </w:tcPr>
          <w:p w14:paraId="2D66FE38">
            <w:pPr>
              <w:pStyle w:val="73"/>
              <w:jc w:val="both"/>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《广西壮族自治区生态环境厅关于印发实施广西壮族自治区生态环境分区管控动态更新成果（2023年）的通知》（桂环规范〔2024〕3号）</w:t>
            </w:r>
          </w:p>
        </w:tc>
        <w:tc>
          <w:tcPr>
            <w:tcW w:w="1073" w:type="dxa"/>
            <w:vAlign w:val="center"/>
          </w:tcPr>
          <w:p w14:paraId="046024A1">
            <w:pPr>
              <w:pStyle w:val="73"/>
              <w:rPr>
                <w:rFonts w:eastAsia="宋体"/>
                <w:color w:val="000000" w:themeColor="text1"/>
                <w:sz w:val="21"/>
                <w:lang w:eastAsia="en-US"/>
                <w14:textFill>
                  <w14:solidFill>
                    <w14:schemeClr w14:val="tx1"/>
                  </w14:solidFill>
                </w14:textFill>
              </w:rPr>
            </w:pPr>
            <w:r>
              <w:rPr>
                <w:rFonts w:eastAsia="宋体"/>
                <w:color w:val="000000" w:themeColor="text1"/>
                <w:sz w:val="21"/>
                <w:lang w:eastAsia="en-US"/>
                <w14:textFill>
                  <w14:solidFill>
                    <w14:schemeClr w14:val="tx1"/>
                  </w14:solidFill>
                </w14:textFill>
              </w:rPr>
              <w:t>符合</w:t>
            </w:r>
          </w:p>
        </w:tc>
      </w:tr>
      <w:tr w14:paraId="3AC9D24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94" w:type="dxa"/>
            <w:vAlign w:val="center"/>
          </w:tcPr>
          <w:p w14:paraId="53EE8A57">
            <w:pPr>
              <w:pStyle w:val="73"/>
              <w:rPr>
                <w:rFonts w:eastAsiaTheme="minorEastAsia"/>
                <w:color w:val="000000" w:themeColor="text1"/>
                <w:w w:val="99"/>
                <w:sz w:val="21"/>
                <w14:textFill>
                  <w14:solidFill>
                    <w14:schemeClr w14:val="tx1"/>
                  </w14:solidFill>
                </w14:textFill>
              </w:rPr>
            </w:pPr>
            <w:r>
              <w:rPr>
                <w:rFonts w:eastAsiaTheme="minorEastAsia"/>
                <w:color w:val="000000" w:themeColor="text1"/>
                <w:w w:val="99"/>
                <w:sz w:val="21"/>
                <w14:textFill>
                  <w14:solidFill>
                    <w14:schemeClr w14:val="tx1"/>
                  </w14:solidFill>
                </w14:textFill>
              </w:rPr>
              <w:t>4</w:t>
            </w:r>
          </w:p>
        </w:tc>
        <w:tc>
          <w:tcPr>
            <w:tcW w:w="854" w:type="dxa"/>
            <w:vMerge w:val="continue"/>
            <w:vAlign w:val="center"/>
          </w:tcPr>
          <w:p w14:paraId="2B12CCC6">
            <w:pPr>
              <w:pStyle w:val="73"/>
              <w:rPr>
                <w:rFonts w:eastAsia="宋体"/>
                <w:color w:val="000000" w:themeColor="text1"/>
                <w:sz w:val="21"/>
                <w:lang w:eastAsia="en-US"/>
                <w14:textFill>
                  <w14:solidFill>
                    <w14:schemeClr w14:val="tx1"/>
                  </w14:solidFill>
                </w14:textFill>
              </w:rPr>
            </w:pPr>
          </w:p>
        </w:tc>
        <w:tc>
          <w:tcPr>
            <w:tcW w:w="5655" w:type="dxa"/>
            <w:vAlign w:val="center"/>
          </w:tcPr>
          <w:p w14:paraId="729C6E52">
            <w:pPr>
              <w:pStyle w:val="73"/>
              <w:jc w:val="both"/>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《钦州市生态环境局关于印发钦州市生态环境分区管控动态更新成果（2023版）的通知》</w:t>
            </w:r>
          </w:p>
        </w:tc>
        <w:tc>
          <w:tcPr>
            <w:tcW w:w="1073" w:type="dxa"/>
            <w:vAlign w:val="center"/>
          </w:tcPr>
          <w:p w14:paraId="2CE69B09">
            <w:pPr>
              <w:pStyle w:val="73"/>
              <w:rPr>
                <w:rFonts w:eastAsia="宋体"/>
                <w:color w:val="000000" w:themeColor="text1"/>
                <w:sz w:val="21"/>
                <w14:textFill>
                  <w14:solidFill>
                    <w14:schemeClr w14:val="tx1"/>
                  </w14:solidFill>
                </w14:textFill>
              </w:rPr>
            </w:pPr>
            <w:r>
              <w:rPr>
                <w:rFonts w:eastAsia="宋体"/>
                <w:color w:val="000000" w:themeColor="text1"/>
                <w:sz w:val="21"/>
                <w:lang w:eastAsia="en-US"/>
                <w14:textFill>
                  <w14:solidFill>
                    <w14:schemeClr w14:val="tx1"/>
                  </w14:solidFill>
                </w14:textFill>
              </w:rPr>
              <w:t>符合</w:t>
            </w:r>
          </w:p>
        </w:tc>
      </w:tr>
      <w:tr w14:paraId="3F31AB3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94" w:type="dxa"/>
            <w:vAlign w:val="center"/>
          </w:tcPr>
          <w:p w14:paraId="41BFAF4F">
            <w:pPr>
              <w:pStyle w:val="73"/>
              <w:rPr>
                <w:rFonts w:eastAsiaTheme="minorEastAsia"/>
                <w:color w:val="000000" w:themeColor="text1"/>
                <w:sz w:val="21"/>
                <w14:textFill>
                  <w14:solidFill>
                    <w14:schemeClr w14:val="tx1"/>
                  </w14:solidFill>
                </w14:textFill>
              </w:rPr>
            </w:pPr>
            <w:r>
              <w:rPr>
                <w:rFonts w:eastAsiaTheme="minorEastAsia"/>
                <w:color w:val="000000" w:themeColor="text1"/>
                <w:w w:val="99"/>
                <w:sz w:val="21"/>
                <w14:textFill>
                  <w14:solidFill>
                    <w14:schemeClr w14:val="tx1"/>
                  </w14:solidFill>
                </w14:textFill>
              </w:rPr>
              <w:t>5</w:t>
            </w:r>
          </w:p>
        </w:tc>
        <w:tc>
          <w:tcPr>
            <w:tcW w:w="854" w:type="dxa"/>
            <w:vAlign w:val="center"/>
          </w:tcPr>
          <w:p w14:paraId="2F55B17F">
            <w:pPr>
              <w:pStyle w:val="73"/>
              <w:rPr>
                <w:rFonts w:eastAsiaTheme="minorEastAsia"/>
                <w:color w:val="000000" w:themeColor="text1"/>
                <w:sz w:val="2"/>
                <w:szCs w:val="2"/>
                <w:lang w:eastAsia="en-US"/>
                <w14:textFill>
                  <w14:solidFill>
                    <w14:schemeClr w14:val="tx1"/>
                  </w14:solidFill>
                </w14:textFill>
              </w:rPr>
            </w:pPr>
            <w:r>
              <w:rPr>
                <w:rFonts w:eastAsia="宋体"/>
                <w:color w:val="000000" w:themeColor="text1"/>
                <w:sz w:val="21"/>
                <w:lang w:eastAsia="en-US"/>
                <w14:textFill>
                  <w14:solidFill>
                    <w14:schemeClr w14:val="tx1"/>
                  </w14:solidFill>
                </w14:textFill>
              </w:rPr>
              <w:t>环境功能区划</w:t>
            </w:r>
          </w:p>
        </w:tc>
        <w:tc>
          <w:tcPr>
            <w:tcW w:w="5655" w:type="dxa"/>
            <w:vAlign w:val="center"/>
          </w:tcPr>
          <w:p w14:paraId="7EBB9D99">
            <w:pPr>
              <w:pStyle w:val="73"/>
              <w:rPr>
                <w:rFonts w:eastAsia="宋体"/>
                <w:color w:val="000000" w:themeColor="text1"/>
                <w:sz w:val="21"/>
                <w14:textFill>
                  <w14:solidFill>
                    <w14:schemeClr w14:val="tx1"/>
                  </w14:solidFill>
                </w14:textFill>
              </w:rPr>
            </w:pPr>
            <w:r>
              <w:rPr>
                <w:rFonts w:eastAsia="宋体"/>
                <w:color w:val="000000" w:themeColor="text1"/>
                <w:sz w:val="21"/>
                <w14:textFill>
                  <w14:solidFill>
                    <w14:schemeClr w14:val="tx1"/>
                  </w14:solidFill>
                </w14:textFill>
              </w:rPr>
              <w:t>《广西壮族自治区近岸海域环境功能区划调整方案》</w:t>
            </w:r>
          </w:p>
        </w:tc>
        <w:tc>
          <w:tcPr>
            <w:tcW w:w="1073" w:type="dxa"/>
            <w:vAlign w:val="center"/>
          </w:tcPr>
          <w:p w14:paraId="5ECC3D32">
            <w:pPr>
              <w:pStyle w:val="73"/>
              <w:rPr>
                <w:rFonts w:eastAsia="宋体"/>
                <w:color w:val="000000" w:themeColor="text1"/>
                <w:sz w:val="21"/>
                <w:lang w:eastAsia="en-US"/>
                <w14:textFill>
                  <w14:solidFill>
                    <w14:schemeClr w14:val="tx1"/>
                  </w14:solidFill>
                </w14:textFill>
              </w:rPr>
            </w:pPr>
            <w:r>
              <w:rPr>
                <w:rFonts w:eastAsia="宋体"/>
                <w:color w:val="000000" w:themeColor="text1"/>
                <w:sz w:val="21"/>
                <w:lang w:eastAsia="en-US"/>
                <w14:textFill>
                  <w14:solidFill>
                    <w14:schemeClr w14:val="tx1"/>
                  </w14:solidFill>
                </w14:textFill>
              </w:rPr>
              <w:t>符合</w:t>
            </w:r>
          </w:p>
        </w:tc>
      </w:tr>
      <w:tr w14:paraId="570CCCB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39" w:hRule="atLeast"/>
          <w:jc w:val="center"/>
        </w:trPr>
        <w:tc>
          <w:tcPr>
            <w:tcW w:w="694" w:type="dxa"/>
            <w:vAlign w:val="center"/>
          </w:tcPr>
          <w:p w14:paraId="169449E4">
            <w:pPr>
              <w:pStyle w:val="73"/>
              <w:rPr>
                <w:rFonts w:eastAsiaTheme="minorEastAsia"/>
                <w:color w:val="000000" w:themeColor="text1"/>
                <w:sz w:val="21"/>
                <w14:textFill>
                  <w14:solidFill>
                    <w14:schemeClr w14:val="tx1"/>
                  </w14:solidFill>
                </w14:textFill>
              </w:rPr>
            </w:pPr>
            <w:r>
              <w:rPr>
                <w:rFonts w:eastAsiaTheme="minorEastAsia"/>
                <w:color w:val="000000" w:themeColor="text1"/>
                <w:sz w:val="21"/>
                <w14:textFill>
                  <w14:solidFill>
                    <w14:schemeClr w14:val="tx1"/>
                  </w14:solidFill>
                </w14:textFill>
              </w:rPr>
              <w:t>6</w:t>
            </w:r>
          </w:p>
        </w:tc>
        <w:tc>
          <w:tcPr>
            <w:tcW w:w="854" w:type="dxa"/>
            <w:vMerge w:val="restart"/>
            <w:vAlign w:val="center"/>
          </w:tcPr>
          <w:p w14:paraId="303EC78E">
            <w:pPr>
              <w:pStyle w:val="73"/>
              <w:rPr>
                <w:rFonts w:eastAsia="宋体"/>
                <w:color w:val="000000" w:themeColor="text1"/>
                <w:sz w:val="21"/>
                <w:lang w:eastAsia="en-US"/>
                <w14:textFill>
                  <w14:solidFill>
                    <w14:schemeClr w14:val="tx1"/>
                  </w14:solidFill>
                </w14:textFill>
              </w:rPr>
            </w:pPr>
            <w:r>
              <w:rPr>
                <w:rFonts w:eastAsia="宋体"/>
                <w:color w:val="000000" w:themeColor="text1"/>
                <w:sz w:val="21"/>
                <w:lang w:eastAsia="en-US"/>
                <w14:textFill>
                  <w14:solidFill>
                    <w14:schemeClr w14:val="tx1"/>
                  </w14:solidFill>
                </w14:textFill>
              </w:rPr>
              <w:t>区域规划</w:t>
            </w:r>
          </w:p>
        </w:tc>
        <w:tc>
          <w:tcPr>
            <w:tcW w:w="5655" w:type="dxa"/>
            <w:vAlign w:val="center"/>
          </w:tcPr>
          <w:p w14:paraId="46486651">
            <w:pPr>
              <w:pStyle w:val="73"/>
              <w:rPr>
                <w:rFonts w:eastAsia="宋体"/>
                <w:color w:val="000000" w:themeColor="text1"/>
                <w:sz w:val="21"/>
                <w14:textFill>
                  <w14:solidFill>
                    <w14:schemeClr w14:val="tx1"/>
                  </w14:solidFill>
                </w14:textFill>
              </w:rPr>
            </w:pPr>
            <w:r>
              <w:rPr>
                <w:rFonts w:eastAsia="宋体"/>
                <w:color w:val="000000" w:themeColor="text1"/>
                <w:sz w:val="21"/>
                <w14:textFill>
                  <w14:solidFill>
                    <w14:schemeClr w14:val="tx1"/>
                  </w14:solidFill>
                </w14:textFill>
              </w:rPr>
              <w:t>《</w:t>
            </w:r>
            <w:r>
              <w:rPr>
                <w:rFonts w:hint="eastAsia" w:eastAsia="宋体"/>
                <w:color w:val="000000" w:themeColor="text1"/>
                <w:sz w:val="21"/>
                <w:lang w:val="en-US" w:eastAsia="zh-CN"/>
                <w14:textFill>
                  <w14:solidFill>
                    <w14:schemeClr w14:val="tx1"/>
                  </w14:solidFill>
                </w14:textFill>
              </w:rPr>
              <w:t>北部湾</w:t>
            </w:r>
            <w:r>
              <w:rPr>
                <w:rFonts w:eastAsia="宋体"/>
                <w:color w:val="000000" w:themeColor="text1"/>
                <w:sz w:val="21"/>
                <w14:textFill>
                  <w14:solidFill>
                    <w14:schemeClr w14:val="tx1"/>
                  </w14:solidFill>
                </w14:textFill>
              </w:rPr>
              <w:t>港总体规划（2035年）</w:t>
            </w:r>
            <w:r>
              <w:rPr>
                <w:rFonts w:eastAsia="宋体"/>
                <w:color w:val="000000" w:themeColor="text1"/>
                <w:spacing w:val="-104"/>
                <w:sz w:val="21"/>
                <w14:textFill>
                  <w14:solidFill>
                    <w14:schemeClr w14:val="tx1"/>
                  </w14:solidFill>
                </w14:textFill>
              </w:rPr>
              <w:t>）</w:t>
            </w:r>
            <w:r>
              <w:rPr>
                <w:rFonts w:eastAsia="宋体"/>
                <w:color w:val="000000" w:themeColor="text1"/>
                <w:sz w:val="21"/>
                <w14:textFill>
                  <w14:solidFill>
                    <w14:schemeClr w14:val="tx1"/>
                  </w14:solidFill>
                </w14:textFill>
              </w:rPr>
              <w:t>》</w:t>
            </w:r>
          </w:p>
        </w:tc>
        <w:tc>
          <w:tcPr>
            <w:tcW w:w="1073" w:type="dxa"/>
            <w:vAlign w:val="center"/>
          </w:tcPr>
          <w:p w14:paraId="42E6B9E5">
            <w:pPr>
              <w:pStyle w:val="73"/>
              <w:rPr>
                <w:rFonts w:eastAsia="宋体"/>
                <w:color w:val="000000" w:themeColor="text1"/>
                <w:sz w:val="21"/>
                <w:lang w:eastAsia="en-US"/>
                <w14:textFill>
                  <w14:solidFill>
                    <w14:schemeClr w14:val="tx1"/>
                  </w14:solidFill>
                </w14:textFill>
              </w:rPr>
            </w:pPr>
            <w:r>
              <w:rPr>
                <w:rFonts w:eastAsia="宋体"/>
                <w:color w:val="000000" w:themeColor="text1"/>
                <w:sz w:val="21"/>
                <w:lang w:eastAsia="en-US"/>
                <w14:textFill>
                  <w14:solidFill>
                    <w14:schemeClr w14:val="tx1"/>
                  </w14:solidFill>
                </w14:textFill>
              </w:rPr>
              <w:t>符合</w:t>
            </w:r>
          </w:p>
        </w:tc>
      </w:tr>
      <w:tr w14:paraId="48E2F12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39" w:hRule="atLeast"/>
          <w:jc w:val="center"/>
        </w:trPr>
        <w:tc>
          <w:tcPr>
            <w:tcW w:w="694" w:type="dxa"/>
            <w:vAlign w:val="center"/>
          </w:tcPr>
          <w:p w14:paraId="426DED9F">
            <w:pPr>
              <w:pStyle w:val="73"/>
              <w:rPr>
                <w:rFonts w:eastAsiaTheme="minorEastAsia"/>
                <w:color w:val="000000" w:themeColor="text1"/>
                <w:sz w:val="21"/>
                <w14:textFill>
                  <w14:solidFill>
                    <w14:schemeClr w14:val="tx1"/>
                  </w14:solidFill>
                </w14:textFill>
              </w:rPr>
            </w:pPr>
            <w:r>
              <w:rPr>
                <w:rFonts w:eastAsiaTheme="minorEastAsia"/>
                <w:color w:val="000000" w:themeColor="text1"/>
                <w:sz w:val="21"/>
                <w14:textFill>
                  <w14:solidFill>
                    <w14:schemeClr w14:val="tx1"/>
                  </w14:solidFill>
                </w14:textFill>
              </w:rPr>
              <w:t>7</w:t>
            </w:r>
          </w:p>
        </w:tc>
        <w:tc>
          <w:tcPr>
            <w:tcW w:w="854" w:type="dxa"/>
            <w:vMerge w:val="continue"/>
            <w:vAlign w:val="center"/>
          </w:tcPr>
          <w:p w14:paraId="768BB3D3">
            <w:pPr>
              <w:pStyle w:val="73"/>
              <w:rPr>
                <w:rFonts w:eastAsia="宋体"/>
                <w:color w:val="000000" w:themeColor="text1"/>
                <w:sz w:val="21"/>
                <w:lang w:eastAsia="en-US"/>
                <w14:textFill>
                  <w14:solidFill>
                    <w14:schemeClr w14:val="tx1"/>
                  </w14:solidFill>
                </w14:textFill>
              </w:rPr>
            </w:pPr>
          </w:p>
        </w:tc>
        <w:tc>
          <w:tcPr>
            <w:tcW w:w="5655" w:type="dxa"/>
            <w:vAlign w:val="center"/>
          </w:tcPr>
          <w:p w14:paraId="2143F076">
            <w:pPr>
              <w:pStyle w:val="73"/>
              <w:rPr>
                <w:rFonts w:eastAsia="宋体"/>
                <w:color w:val="000000" w:themeColor="text1"/>
                <w:sz w:val="21"/>
                <w14:textFill>
                  <w14:solidFill>
                    <w14:schemeClr w14:val="tx1"/>
                  </w14:solidFill>
                </w14:textFill>
              </w:rPr>
            </w:pPr>
            <w:r>
              <w:rPr>
                <w:rFonts w:eastAsia="宋体"/>
                <w:color w:val="000000" w:themeColor="text1"/>
                <w:sz w:val="21"/>
                <w14:textFill>
                  <w14:solidFill>
                    <w14:schemeClr w14:val="tx1"/>
                  </w14:solidFill>
                </w14:textFill>
              </w:rPr>
              <w:t>《广西钦州石化产业园总体发展规划（2020~2035）》</w:t>
            </w:r>
          </w:p>
        </w:tc>
        <w:tc>
          <w:tcPr>
            <w:tcW w:w="1073" w:type="dxa"/>
            <w:vAlign w:val="center"/>
          </w:tcPr>
          <w:p w14:paraId="476EB2FD">
            <w:pPr>
              <w:pStyle w:val="73"/>
              <w:rPr>
                <w:rFonts w:eastAsia="宋体"/>
                <w:color w:val="000000" w:themeColor="text1"/>
                <w:sz w:val="21"/>
                <w14:textFill>
                  <w14:solidFill>
                    <w14:schemeClr w14:val="tx1"/>
                  </w14:solidFill>
                </w14:textFill>
              </w:rPr>
            </w:pPr>
            <w:r>
              <w:rPr>
                <w:rFonts w:eastAsia="宋体"/>
                <w:color w:val="000000" w:themeColor="text1"/>
                <w:sz w:val="21"/>
                <w:lang w:eastAsia="en-US"/>
                <w14:textFill>
                  <w14:solidFill>
                    <w14:schemeClr w14:val="tx1"/>
                  </w14:solidFill>
                </w14:textFill>
              </w:rPr>
              <w:t>符合</w:t>
            </w:r>
          </w:p>
        </w:tc>
      </w:tr>
    </w:tbl>
    <w:p w14:paraId="57BE8B86">
      <w:pPr>
        <w:ind w:firstLine="482"/>
        <w:rPr>
          <w:rFonts w:ascii="宋体" w:hAnsi="宋体"/>
          <w:b/>
          <w:color w:val="000000" w:themeColor="text1"/>
          <w14:textFill>
            <w14:solidFill>
              <w14:schemeClr w14:val="tx1"/>
            </w14:solidFill>
          </w14:textFill>
        </w:rPr>
      </w:pPr>
      <w:r>
        <w:rPr>
          <w:rFonts w:ascii="宋体" w:hAnsi="宋体"/>
          <w:b/>
          <w:color w:val="000000" w:themeColor="text1"/>
          <w14:textFill>
            <w14:solidFill>
              <w14:schemeClr w14:val="tx1"/>
            </w14:solidFill>
          </w14:textFill>
        </w:rPr>
        <w:t>七、关注的主要环境问题和环境影响</w:t>
      </w:r>
    </w:p>
    <w:p w14:paraId="541B3973">
      <w:pPr>
        <w:ind w:firstLine="480"/>
        <w:rPr>
          <w:color w:val="000000" w:themeColor="text1"/>
          <w14:textFill>
            <w14:solidFill>
              <w14:schemeClr w14:val="tx1"/>
            </w14:solidFill>
          </w14:textFill>
        </w:rPr>
      </w:pPr>
      <w:r>
        <w:rPr>
          <w:rFonts w:ascii="宋体" w:hAnsi="宋体"/>
          <w:color w:val="000000" w:themeColor="text1"/>
          <w14:textFill>
            <w14:solidFill>
              <w14:schemeClr w14:val="tx1"/>
            </w14:solidFill>
          </w14:textFill>
        </w:rPr>
        <w:t>本项目为</w:t>
      </w:r>
      <w:r>
        <w:rPr>
          <w:rFonts w:hint="eastAsia" w:ascii="宋体" w:hAnsi="宋体"/>
          <w:color w:val="000000" w:themeColor="text1"/>
          <w14:textFill>
            <w14:solidFill>
              <w14:schemeClr w14:val="tx1"/>
            </w14:solidFill>
          </w14:textFill>
        </w:rPr>
        <w:t>液体危化品码头扩建</w:t>
      </w:r>
      <w:r>
        <w:rPr>
          <w:rFonts w:ascii="宋体" w:hAnsi="宋体"/>
          <w:color w:val="000000" w:themeColor="text1"/>
          <w14:textFill>
            <w14:solidFill>
              <w14:schemeClr w14:val="tx1"/>
            </w14:solidFill>
          </w14:textFill>
        </w:rPr>
        <w:t>项目</w:t>
      </w:r>
      <w:r>
        <w:rPr>
          <w:rFonts w:hint="eastAsia" w:ascii="宋体" w:hAnsi="宋体"/>
          <w:color w:val="000000" w:themeColor="text1"/>
          <w14:textFill>
            <w14:solidFill>
              <w14:schemeClr w14:val="tx1"/>
            </w14:solidFill>
          </w14:textFill>
        </w:rPr>
        <w:t>，主要新增苯乙烯等12个货种</w:t>
      </w:r>
      <w:r>
        <w:rPr>
          <w:rFonts w:ascii="宋体" w:hAnsi="宋体"/>
          <w:color w:val="000000" w:themeColor="text1"/>
          <w14:textFill>
            <w14:solidFill>
              <w14:schemeClr w14:val="tx1"/>
            </w14:solidFill>
          </w14:textFill>
        </w:rPr>
        <w:t>装卸船功能（具体见表</w:t>
      </w:r>
      <w:r>
        <w:rPr>
          <w:rFonts w:hint="eastAsia" w:ascii="宋体" w:hAnsi="宋体"/>
          <w:color w:val="000000" w:themeColor="text1"/>
          <w14:textFill>
            <w14:solidFill>
              <w14:schemeClr w14:val="tx1"/>
            </w14:solidFill>
          </w14:textFill>
        </w:rPr>
        <w:t>1</w:t>
      </w:r>
      <w:r>
        <w:rPr>
          <w:rFonts w:ascii="宋体" w:hAnsi="宋体"/>
          <w:color w:val="000000" w:themeColor="text1"/>
          <w14:textFill>
            <w14:solidFill>
              <w14:schemeClr w14:val="tx1"/>
            </w14:solidFill>
          </w14:textFill>
        </w:rPr>
        <w:t>）。</w:t>
      </w:r>
    </w:p>
    <w:p w14:paraId="09B7CD56">
      <w:pPr>
        <w:ind w:firstLine="480"/>
        <w:rPr>
          <w:color w:val="000000" w:themeColor="text1"/>
          <w14:textFill>
            <w14:solidFill>
              <w14:schemeClr w14:val="tx1"/>
            </w14:solidFill>
          </w14:textFill>
        </w:rPr>
      </w:pPr>
      <w:r>
        <w:rPr>
          <w:rFonts w:ascii="宋体" w:hAnsi="宋体"/>
          <w:color w:val="000000" w:themeColor="text1"/>
          <w14:textFill>
            <w14:solidFill>
              <w14:schemeClr w14:val="tx1"/>
            </w14:solidFill>
          </w14:textFill>
        </w:rPr>
        <w:t>根据项目特点，本次新增货种</w:t>
      </w:r>
      <w:r>
        <w:rPr>
          <w:rFonts w:hint="eastAsia" w:ascii="宋体" w:hAnsi="宋体"/>
          <w:color w:val="000000" w:themeColor="text1"/>
          <w14:textFill>
            <w14:solidFill>
              <w14:schemeClr w14:val="tx1"/>
            </w14:solidFill>
          </w14:textFill>
        </w:rPr>
        <w:t>装卸，将产生废气、</w:t>
      </w:r>
      <w:r>
        <w:rPr>
          <w:rFonts w:ascii="宋体" w:hAnsi="宋体"/>
          <w:color w:val="000000" w:themeColor="text1"/>
          <w14:textFill>
            <w14:solidFill>
              <w14:schemeClr w14:val="tx1"/>
            </w14:solidFill>
          </w14:textFill>
        </w:rPr>
        <w:t>废水、噪声</w:t>
      </w:r>
      <w:r>
        <w:rPr>
          <w:rFonts w:hint="eastAsia" w:ascii="宋体" w:hAnsi="宋体"/>
          <w:color w:val="000000" w:themeColor="text1"/>
          <w14:textFill>
            <w14:solidFill>
              <w14:schemeClr w14:val="tx1"/>
            </w14:solidFill>
          </w14:textFill>
        </w:rPr>
        <w:t>及</w:t>
      </w:r>
      <w:r>
        <w:rPr>
          <w:rFonts w:ascii="宋体" w:hAnsi="宋体"/>
          <w:color w:val="000000" w:themeColor="text1"/>
          <w14:textFill>
            <w14:solidFill>
              <w14:schemeClr w14:val="tx1"/>
            </w14:solidFill>
          </w14:textFill>
        </w:rPr>
        <w:t>固废污染物产生量</w:t>
      </w:r>
      <w:r>
        <w:rPr>
          <w:rFonts w:hint="eastAsia" w:ascii="宋体" w:hAnsi="宋体"/>
          <w:color w:val="000000" w:themeColor="text1"/>
          <w14:textFill>
            <w14:solidFill>
              <w14:schemeClr w14:val="tx1"/>
            </w14:solidFill>
          </w14:textFill>
        </w:rPr>
        <w:t>增加，本次评价重点关注依托现有</w:t>
      </w:r>
      <w:r>
        <w:rPr>
          <w:rFonts w:ascii="宋体" w:hAnsi="宋体"/>
          <w:color w:val="000000" w:themeColor="text1"/>
          <w14:textFill>
            <w14:solidFill>
              <w14:schemeClr w14:val="tx1"/>
            </w14:solidFill>
          </w14:textFill>
        </w:rPr>
        <w:t>措施</w:t>
      </w:r>
      <w:r>
        <w:rPr>
          <w:rFonts w:hint="eastAsia" w:ascii="宋体" w:hAnsi="宋体"/>
          <w:color w:val="000000" w:themeColor="text1"/>
          <w14:textFill>
            <w14:solidFill>
              <w14:schemeClr w14:val="tx1"/>
            </w14:solidFill>
          </w14:textFill>
        </w:rPr>
        <w:t>能否有效处理新增的各类污染物，确保达标排放。</w:t>
      </w:r>
    </w:p>
    <w:p w14:paraId="3B8DE27F">
      <w:pPr>
        <w:ind w:firstLine="480" w:firstLineChars="0"/>
        <w:rPr>
          <w:color w:val="000000" w:themeColor="text1"/>
          <w14:textFill>
            <w14:solidFill>
              <w14:schemeClr w14:val="tx1"/>
            </w14:solidFill>
          </w14:textFill>
        </w:rPr>
      </w:pPr>
      <w:r>
        <w:rPr>
          <w:rFonts w:ascii="宋体" w:hAnsi="宋体"/>
          <w:color w:val="000000" w:themeColor="text1"/>
          <w14:textFill>
            <w14:solidFill>
              <w14:schemeClr w14:val="tx1"/>
            </w14:solidFill>
          </w14:textFill>
        </w:rPr>
        <w:fldChar w:fldCharType="begin"/>
      </w:r>
      <w:r>
        <w:rPr>
          <w:rFonts w:ascii="宋体" w:hAnsi="宋体"/>
          <w:color w:val="000000" w:themeColor="text1"/>
          <w14:textFill>
            <w14:solidFill>
              <w14:schemeClr w14:val="tx1"/>
            </w14:solidFill>
          </w14:textFill>
        </w:rPr>
        <w:instrText xml:space="preserve"> </w:instrText>
      </w:r>
      <w:r>
        <w:rPr>
          <w:rFonts w:hint="eastAsia" w:ascii="宋体" w:hAnsi="宋体"/>
          <w:color w:val="000000" w:themeColor="text1"/>
          <w14:textFill>
            <w14:solidFill>
              <w14:schemeClr w14:val="tx1"/>
            </w14:solidFill>
          </w14:textFill>
        </w:rPr>
        <w:instrText xml:space="preserve">= 1 \* GB3</w:instrText>
      </w:r>
      <w:r>
        <w:rPr>
          <w:rFonts w:ascii="宋体" w:hAnsi="宋体"/>
          <w:color w:val="000000" w:themeColor="text1"/>
          <w14:textFill>
            <w14:solidFill>
              <w14:schemeClr w14:val="tx1"/>
            </w14:solidFill>
          </w14:textFill>
        </w:rPr>
        <w:instrText xml:space="preserve"> </w:instrText>
      </w:r>
      <w:r>
        <w:rPr>
          <w:rFonts w:ascii="宋体" w:hAnsi="宋体"/>
          <w:color w:val="000000" w:themeColor="text1"/>
          <w14:textFill>
            <w14:solidFill>
              <w14:schemeClr w14:val="tx1"/>
            </w14:solidFill>
          </w14:textFill>
        </w:rPr>
        <w:fldChar w:fldCharType="separate"/>
      </w:r>
      <w:r>
        <w:rPr>
          <w:rFonts w:hint="eastAsia" w:ascii="宋体" w:hAnsi="宋体"/>
          <w:color w:val="000000" w:themeColor="text1"/>
          <w14:textFill>
            <w14:solidFill>
              <w14:schemeClr w14:val="tx1"/>
            </w14:solidFill>
          </w14:textFill>
        </w:rPr>
        <w:t>①</w:t>
      </w:r>
      <w:r>
        <w:rPr>
          <w:rFonts w:ascii="宋体" w:hAnsi="宋体"/>
          <w:color w:val="000000" w:themeColor="text1"/>
          <w14:textFill>
            <w14:solidFill>
              <w14:schemeClr w14:val="tx1"/>
            </w14:solidFill>
          </w14:textFill>
        </w:rPr>
        <w:fldChar w:fldCharType="end"/>
      </w:r>
      <w:r>
        <w:rPr>
          <w:rFonts w:hint="eastAsia" w:ascii="宋体" w:hAnsi="宋体"/>
          <w:color w:val="000000" w:themeColor="text1"/>
          <w14:textFill>
            <w14:solidFill>
              <w14:schemeClr w14:val="tx1"/>
            </w14:solidFill>
          </w14:textFill>
        </w:rPr>
        <w:t>废气方面，要关注新增装卸货种在装卸过程中挥发产生的有机废气，分析依托废气处理设施的处理能力与处理效率，判断其是否能满足新增废气量的处理需求，避免对周边大气环境造成不良影响，如导致区域空气质量下降、产生异味扰民等问题。</w:t>
      </w:r>
    </w:p>
    <w:p w14:paraId="3F58DB70">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②在废水处理上，新增危险货物装卸作业管道清洗水等，分析依托现有污水处理设施可行性。</w:t>
      </w:r>
    </w:p>
    <w:p w14:paraId="202C662D">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③</w:t>
      </w:r>
      <w:r>
        <w:rPr>
          <w:rFonts w:ascii="宋体" w:hAnsi="宋体"/>
          <w:color w:val="000000" w:themeColor="text1"/>
          <w14:textFill>
            <w14:solidFill>
              <w14:schemeClr w14:val="tx1"/>
            </w14:solidFill>
          </w14:textFill>
        </w:rPr>
        <w:t>项目新增危险货种</w:t>
      </w:r>
      <w:r>
        <w:rPr>
          <w:rFonts w:hint="eastAsia" w:ascii="宋体" w:hAnsi="宋体"/>
          <w:color w:val="000000" w:themeColor="text1"/>
          <w14:textFill>
            <w14:solidFill>
              <w14:schemeClr w14:val="tx1"/>
            </w14:solidFill>
          </w14:textFill>
        </w:rPr>
        <w:t>装卸</w:t>
      </w:r>
      <w:r>
        <w:rPr>
          <w:rFonts w:ascii="宋体" w:hAnsi="宋体"/>
          <w:color w:val="000000" w:themeColor="text1"/>
          <w14:textFill>
            <w14:solidFill>
              <w14:schemeClr w14:val="tx1"/>
            </w14:solidFill>
          </w14:textFill>
        </w:rPr>
        <w:t>可能发生的环境风险事故主要包括化学品泄漏和火灾爆炸事故。陆域化学品泄漏及火灾爆炸风险事故对周边环境空气及敏感点将造成不利影响，但影响较小，不会造成人员伤亡；化学品泄漏入海可能扩散至项目周边生态敏感区。项目不设置危险货物集装箱堆场，码头按要求配备应急设备和应急物资，与附近企业和钦州港建立应急联动机制，制定事故应急预案，防控事故污染对环境的危害，项目环境风险可防可控</w:t>
      </w:r>
      <w:r>
        <w:rPr>
          <w:rFonts w:hint="eastAsia" w:ascii="宋体" w:hAnsi="宋体"/>
          <w:color w:val="000000" w:themeColor="text1"/>
          <w14:textFill>
            <w14:solidFill>
              <w14:schemeClr w14:val="tx1"/>
            </w14:solidFill>
          </w14:textFill>
        </w:rPr>
        <w:t>。</w:t>
      </w:r>
    </w:p>
    <w:p w14:paraId="49B5EDBA">
      <w:pPr>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八、环境影响评价主要结论</w:t>
      </w:r>
    </w:p>
    <w:p w14:paraId="77A1F4E5">
      <w:pPr>
        <w:ind w:firstLine="480"/>
        <w:rPr>
          <w:bCs/>
          <w:color w:val="000000" w:themeColor="text1"/>
          <w14:textFill>
            <w14:solidFill>
              <w14:schemeClr w14:val="tx1"/>
            </w14:solidFill>
          </w14:textFill>
        </w:rPr>
      </w:pPr>
      <w:r>
        <w:rPr>
          <w:bCs/>
          <w:color w:val="000000" w:themeColor="text1"/>
          <w14:textFill>
            <w14:solidFill>
              <w14:schemeClr w14:val="tx1"/>
            </w14:solidFill>
          </w14:textFill>
        </w:rPr>
        <w:t>钦</w:t>
      </w:r>
      <w:r>
        <w:rPr>
          <w:rFonts w:hint="eastAsia" w:ascii="宋体" w:hAnsi="宋体"/>
          <w:color w:val="000000" w:themeColor="text1"/>
          <w14:textFill>
            <w14:solidFill>
              <w14:schemeClr w14:val="tx1"/>
            </w14:solidFill>
          </w14:textFill>
        </w:rPr>
        <w:t>北部湾港钦州港域金谷港区金鼓江作业区14号泊位扩建工程（新增液硫、苯乙烯等装卸设施）</w:t>
      </w:r>
      <w:r>
        <w:rPr>
          <w:bCs/>
          <w:color w:val="000000" w:themeColor="text1"/>
          <w14:textFill>
            <w14:solidFill>
              <w14:schemeClr w14:val="tx1"/>
            </w14:solidFill>
          </w14:textFill>
        </w:rPr>
        <w:t>符合国家产业政策，选址和规模符合《</w:t>
      </w:r>
      <w:r>
        <w:rPr>
          <w:rFonts w:hint="eastAsia"/>
          <w:bCs/>
          <w:color w:val="000000" w:themeColor="text1"/>
          <w:lang w:val="en-US" w:eastAsia="zh-CN"/>
          <w14:textFill>
            <w14:solidFill>
              <w14:schemeClr w14:val="tx1"/>
            </w14:solidFill>
          </w14:textFill>
        </w:rPr>
        <w:t>北部湾</w:t>
      </w:r>
      <w:r>
        <w:rPr>
          <w:bCs/>
          <w:color w:val="000000" w:themeColor="text1"/>
          <w14:textFill>
            <w14:solidFill>
              <w14:schemeClr w14:val="tx1"/>
            </w14:solidFill>
          </w14:textFill>
        </w:rPr>
        <w:t>港总体规划》等相关规划要求。项目拟采取的污染防治措施技术可行，依托工程具备环境可行性，项目正常情况下外排的污染物对环境的影响可控制在环境可接受程度；在落实各项环保措施和本评价所列出的各项环境风险防范措施、有效的应急预案，加强风险管理的条件下，项目环境风险是可防可控的。工程在落实报告书提出的各项环保措施以及环境风险防范措施，确保污染治理设施稳定运行、污染物达标排放，环境影响可以接受。</w:t>
      </w:r>
    </w:p>
    <w:p w14:paraId="4F56B22F">
      <w:pPr>
        <w:ind w:firstLine="602"/>
        <w:jc w:val="center"/>
        <w:rPr>
          <w:b/>
          <w:bCs/>
          <w:color w:val="000000" w:themeColor="text1"/>
          <w:sz w:val="30"/>
          <w:szCs w:val="30"/>
          <w14:textFill>
            <w14:solidFill>
              <w14:schemeClr w14:val="tx1"/>
            </w14:solidFill>
          </w14:textFill>
        </w:rPr>
        <w:sectPr>
          <w:footerReference r:id="rId12" w:type="default"/>
          <w:type w:val="continuous"/>
          <w:pgSz w:w="11906" w:h="16838"/>
          <w:pgMar w:top="1440" w:right="1800" w:bottom="1440" w:left="1800" w:header="851" w:footer="992" w:gutter="0"/>
          <w:pgBorders>
            <w:top w:val="none" w:sz="0" w:space="0"/>
            <w:left w:val="none" w:sz="0" w:space="0"/>
            <w:bottom w:val="none" w:sz="0" w:space="0"/>
            <w:right w:val="none" w:sz="0" w:space="0"/>
          </w:pgBorders>
          <w:pgNumType w:fmt="upperRoman" w:start="4"/>
          <w:cols w:space="720" w:num="1"/>
          <w:docGrid w:type="lines" w:linePitch="312" w:charSpace="0"/>
        </w:sectPr>
      </w:pPr>
    </w:p>
    <w:p w14:paraId="2DC0AE2C">
      <w:pPr>
        <w:spacing w:line="440" w:lineRule="exact"/>
        <w:ind w:firstLine="602"/>
        <w:jc w:val="center"/>
        <w:rPr>
          <w:color w:val="000000" w:themeColor="text1"/>
          <w14:textFill>
            <w14:solidFill>
              <w14:schemeClr w14:val="tx1"/>
            </w14:solidFill>
          </w14:textFill>
        </w:rPr>
      </w:pPr>
      <w:r>
        <w:rPr>
          <w:b/>
          <w:bCs/>
          <w:color w:val="000000" w:themeColor="text1"/>
          <w:sz w:val="30"/>
          <w:szCs w:val="30"/>
          <w:lang w:val="zh-CN"/>
          <w14:textFill>
            <w14:solidFill>
              <w14:schemeClr w14:val="tx1"/>
            </w14:solidFill>
          </w14:textFill>
        </w:rPr>
        <w:t>目录</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TOC \o "1-3" \h \z \u </w:instrText>
      </w:r>
      <w:r>
        <w:rPr>
          <w:color w:val="000000" w:themeColor="text1"/>
          <w14:textFill>
            <w14:solidFill>
              <w14:schemeClr w14:val="tx1"/>
            </w14:solidFill>
          </w14:textFill>
        </w:rPr>
        <w:fldChar w:fldCharType="separate"/>
      </w:r>
    </w:p>
    <w:p w14:paraId="721D25E5">
      <w:pPr>
        <w:pStyle w:val="31"/>
        <w:tabs>
          <w:tab w:val="right" w:leader="dot" w:pos="8296"/>
        </w:tabs>
        <w:spacing w:line="440" w:lineRule="exact"/>
        <w:ind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"_Toc216620319" </w:instrText>
      </w:r>
      <w:r>
        <w:rPr>
          <w:color w:val="000000" w:themeColor="text1"/>
          <w14:textFill>
            <w14:solidFill>
              <w14:schemeClr w14:val="tx1"/>
            </w14:solidFill>
          </w14:textFill>
        </w:rPr>
        <w:fldChar w:fldCharType="separate"/>
      </w:r>
      <w:r>
        <w:rPr>
          <w:rStyle w:val="49"/>
          <w:rFonts w:hint="eastAsia"/>
          <w:color w:val="000000" w:themeColor="text1"/>
          <w14:textFill>
            <w14:solidFill>
              <w14:schemeClr w14:val="tx1"/>
            </w14:solidFill>
          </w14:textFill>
        </w:rPr>
        <w:t>概</w:t>
      </w:r>
      <w:r>
        <w:rPr>
          <w:rStyle w:val="49"/>
          <w:color w:val="000000" w:themeColor="text1"/>
          <w14:textFill>
            <w14:solidFill>
              <w14:schemeClr w14:val="tx1"/>
            </w14:solidFill>
          </w14:textFill>
        </w:rPr>
        <w:t xml:space="preserve"> </w:t>
      </w:r>
      <w:r>
        <w:rPr>
          <w:rStyle w:val="49"/>
          <w:rFonts w:hint="eastAsia"/>
          <w:color w:val="000000" w:themeColor="text1"/>
          <w14:textFill>
            <w14:solidFill>
              <w14:schemeClr w14:val="tx1"/>
            </w14:solidFill>
          </w14:textFill>
        </w:rPr>
        <w:t>述</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_Toc216620319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III</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F4AA10F">
      <w:pPr>
        <w:pStyle w:val="31"/>
        <w:tabs>
          <w:tab w:val="right" w:leader="dot" w:pos="8296"/>
        </w:tabs>
        <w:spacing w:line="440" w:lineRule="exact"/>
        <w:ind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"_Toc216620321" </w:instrText>
      </w:r>
      <w:r>
        <w:rPr>
          <w:color w:val="000000" w:themeColor="text1"/>
          <w14:textFill>
            <w14:solidFill>
              <w14:schemeClr w14:val="tx1"/>
            </w14:solidFill>
          </w14:textFill>
        </w:rPr>
        <w:fldChar w:fldCharType="separate"/>
      </w:r>
      <w:r>
        <w:rPr>
          <w:rStyle w:val="49"/>
          <w:color w:val="000000" w:themeColor="text1"/>
          <w14:textFill>
            <w14:solidFill>
              <w14:schemeClr w14:val="tx1"/>
            </w14:solidFill>
          </w14:textFill>
        </w:rPr>
        <w:t>1</w:t>
      </w:r>
      <w:r>
        <w:rPr>
          <w:rStyle w:val="49"/>
          <w:rFonts w:hint="eastAsia"/>
          <w:color w:val="000000" w:themeColor="text1"/>
          <w14:textFill>
            <w14:solidFill>
              <w14:schemeClr w14:val="tx1"/>
            </w14:solidFill>
          </w14:textFill>
        </w:rPr>
        <w:t xml:space="preserve"> 总则</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_Toc216620321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0CB4D5B9">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"_Toc216620322"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1.1</w:t>
      </w:r>
      <w:r>
        <w:rPr>
          <w:rStyle w:val="49"/>
          <w:rFonts w:hint="eastAsia"/>
          <w:color w:val="000000" w:themeColor="text1"/>
          <w14:textFill>
            <w14:solidFill>
              <w14:schemeClr w14:val="tx1"/>
            </w14:solidFill>
          </w14:textFill>
        </w:rPr>
        <w:t xml:space="preserve"> 编制依据</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_Toc216620322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013A70D5">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"_Toc216620328"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1.2</w:t>
      </w:r>
      <w:r>
        <w:rPr>
          <w:rStyle w:val="49"/>
          <w:rFonts w:hint="eastAsia"/>
          <w:color w:val="000000" w:themeColor="text1"/>
          <w14:textFill>
            <w14:solidFill>
              <w14:schemeClr w14:val="tx1"/>
            </w14:solidFill>
          </w14:textFill>
        </w:rPr>
        <w:t xml:space="preserve"> 评价程序</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_Toc216620328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- 6 -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1CC6352">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"_Toc216620329"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1.3</w:t>
      </w:r>
      <w:r>
        <w:rPr>
          <w:rStyle w:val="49"/>
          <w:rFonts w:hint="eastAsia"/>
          <w:color w:val="000000" w:themeColor="text1"/>
          <w14:textFill>
            <w14:solidFill>
              <w14:schemeClr w14:val="tx1"/>
            </w14:solidFill>
          </w14:textFill>
        </w:rPr>
        <w:t xml:space="preserve"> 环境影响识别与评价因子筛选</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_Toc216620329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- 7 -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CA8F1ED">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"_Toc216620332"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1.4</w:t>
      </w:r>
      <w:r>
        <w:rPr>
          <w:rStyle w:val="49"/>
          <w:rFonts w:hint="eastAsia"/>
          <w:color w:val="000000" w:themeColor="text1"/>
          <w14:textFill>
            <w14:solidFill>
              <w14:schemeClr w14:val="tx1"/>
            </w14:solidFill>
          </w14:textFill>
        </w:rPr>
        <w:t xml:space="preserve"> 环境功能区划及评价标准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_Toc216620332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- 9 -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CBEF4C2">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"_Toc216620336"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1.5</w:t>
      </w:r>
      <w:r>
        <w:rPr>
          <w:rStyle w:val="49"/>
          <w:rFonts w:hint="eastAsia"/>
          <w:color w:val="000000" w:themeColor="text1"/>
          <w14:textFill>
            <w14:solidFill>
              <w14:schemeClr w14:val="tx1"/>
            </w14:solidFill>
          </w14:textFill>
        </w:rPr>
        <w:t xml:space="preserve"> 评价工作等级和评价范围</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_Toc216620336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- 16 -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6B4B195">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"_Toc216620346"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1.6</w:t>
      </w:r>
      <w:r>
        <w:rPr>
          <w:rStyle w:val="49"/>
          <w:rFonts w:hint="eastAsia"/>
          <w:color w:val="000000" w:themeColor="text1"/>
          <w14:textFill>
            <w14:solidFill>
              <w14:schemeClr w14:val="tx1"/>
            </w14:solidFill>
          </w14:textFill>
        </w:rPr>
        <w:t xml:space="preserve"> 主要环境保护目标</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_Toc216620346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- 21 -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9A5CBF8">
      <w:pPr>
        <w:pStyle w:val="31"/>
        <w:tabs>
          <w:tab w:val="right" w:leader="dot" w:pos="8296"/>
        </w:tabs>
        <w:spacing w:line="440" w:lineRule="exact"/>
        <w:ind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"_Toc216620352" </w:instrText>
      </w:r>
      <w:r>
        <w:rPr>
          <w:color w:val="000000" w:themeColor="text1"/>
          <w14:textFill>
            <w14:solidFill>
              <w14:schemeClr w14:val="tx1"/>
            </w14:solidFill>
          </w14:textFill>
        </w:rPr>
        <w:fldChar w:fldCharType="separate"/>
      </w:r>
      <w:r>
        <w:rPr>
          <w:rStyle w:val="49"/>
          <w:color w:val="000000" w:themeColor="text1"/>
          <w14:textFill>
            <w14:solidFill>
              <w14:schemeClr w14:val="tx1"/>
            </w14:solidFill>
          </w14:textFill>
        </w:rPr>
        <w:t>2</w:t>
      </w:r>
      <w:r>
        <w:rPr>
          <w:rStyle w:val="49"/>
          <w:rFonts w:hint="eastAsia"/>
          <w:color w:val="000000" w:themeColor="text1"/>
          <w14:textFill>
            <w14:solidFill>
              <w14:schemeClr w14:val="tx1"/>
            </w14:solidFill>
          </w14:textFill>
        </w:rPr>
        <w:t xml:space="preserve"> 建设项目概况与工程分析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_Toc216620352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ECE90AD">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"_Toc216620353"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2.1</w:t>
      </w:r>
      <w:r>
        <w:rPr>
          <w:rStyle w:val="49"/>
          <w:rFonts w:hint="eastAsia"/>
          <w:color w:val="000000" w:themeColor="text1"/>
          <w14:textFill>
            <w14:solidFill>
              <w14:schemeClr w14:val="tx1"/>
            </w14:solidFill>
          </w14:textFill>
        </w:rPr>
        <w:t xml:space="preserve"> 建设项目概况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_Toc216620353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FF38B42">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"_Toc216620356"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2.2</w:t>
      </w:r>
      <w:r>
        <w:rPr>
          <w:rStyle w:val="49"/>
          <w:rFonts w:hint="eastAsia"/>
          <w:color w:val="000000" w:themeColor="text1"/>
          <w14:textFill>
            <w14:solidFill>
              <w14:schemeClr w14:val="tx1"/>
            </w14:solidFill>
          </w14:textFill>
        </w:rPr>
        <w:t xml:space="preserve"> 工程建设方案</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_Toc216620356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- 32 -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D708E95">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"_Toc216620521"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2.3</w:t>
      </w:r>
      <w:r>
        <w:rPr>
          <w:rStyle w:val="49"/>
          <w:rFonts w:hint="eastAsia"/>
          <w:color w:val="000000" w:themeColor="text1"/>
          <w14:textFill>
            <w14:solidFill>
              <w14:schemeClr w14:val="tx1"/>
            </w14:solidFill>
          </w14:textFill>
        </w:rPr>
        <w:t xml:space="preserve"> 工程分析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_Toc216620521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- 39 -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F4F0BC4">
      <w:pPr>
        <w:pStyle w:val="31"/>
        <w:tabs>
          <w:tab w:val="right" w:leader="dot" w:pos="8296"/>
        </w:tabs>
        <w:spacing w:line="440" w:lineRule="exact"/>
        <w:ind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"_Toc216620526" </w:instrText>
      </w:r>
      <w:r>
        <w:rPr>
          <w:color w:val="000000" w:themeColor="text1"/>
          <w14:textFill>
            <w14:solidFill>
              <w14:schemeClr w14:val="tx1"/>
            </w14:solidFill>
          </w14:textFill>
        </w:rPr>
        <w:fldChar w:fldCharType="separate"/>
      </w:r>
      <w:r>
        <w:rPr>
          <w:rStyle w:val="49"/>
          <w:color w:val="000000" w:themeColor="text1"/>
          <w14:textFill>
            <w14:solidFill>
              <w14:schemeClr w14:val="tx1"/>
            </w14:solidFill>
          </w14:textFill>
        </w:rPr>
        <w:t>3</w:t>
      </w:r>
      <w:r>
        <w:rPr>
          <w:rStyle w:val="49"/>
          <w:rFonts w:hint="eastAsia"/>
          <w:color w:val="000000" w:themeColor="text1"/>
          <w14:textFill>
            <w14:solidFill>
              <w14:schemeClr w14:val="tx1"/>
            </w14:solidFill>
          </w14:textFill>
        </w:rPr>
        <w:t xml:space="preserve"> 环境现状调查与评价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_Toc216620526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- 68 -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69BBF62">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"_Toc216620527"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3.1</w:t>
      </w:r>
      <w:r>
        <w:rPr>
          <w:rStyle w:val="49"/>
          <w:rFonts w:hint="eastAsia"/>
          <w:color w:val="000000" w:themeColor="text1"/>
          <w14:textFill>
            <w14:solidFill>
              <w14:schemeClr w14:val="tx1"/>
            </w14:solidFill>
          </w14:textFill>
        </w:rPr>
        <w:t xml:space="preserve"> 自然环境概况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_Toc216620527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- 68 -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47FAF447">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"_Toc216620535"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3.2</w:t>
      </w:r>
      <w:r>
        <w:rPr>
          <w:rStyle w:val="49"/>
          <w:rFonts w:hint="eastAsia"/>
          <w:color w:val="000000" w:themeColor="text1"/>
          <w14:textFill>
            <w14:solidFill>
              <w14:schemeClr w14:val="tx1"/>
            </w14:solidFill>
          </w14:textFill>
        </w:rPr>
        <w:t xml:space="preserve"> 生态敏感区及珍稀濒危物种调查</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_Toc216620535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- 81 -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939B1DC">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"_Toc216620539"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3.3</w:t>
      </w:r>
      <w:r>
        <w:rPr>
          <w:rStyle w:val="49"/>
          <w:rFonts w:hint="eastAsia"/>
          <w:color w:val="000000" w:themeColor="text1"/>
          <w14:textFill>
            <w14:solidFill>
              <w14:schemeClr w14:val="tx1"/>
            </w14:solidFill>
          </w14:textFill>
        </w:rPr>
        <w:t xml:space="preserve"> 空气环境质量现状调查与评价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_Toc216620539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- 84 -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69924A5">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"_Toc216620542"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3.4</w:t>
      </w:r>
      <w:r>
        <w:rPr>
          <w:rStyle w:val="49"/>
          <w:rFonts w:hint="eastAsia"/>
          <w:color w:val="000000" w:themeColor="text1"/>
          <w14:textFill>
            <w14:solidFill>
              <w14:schemeClr w14:val="tx1"/>
            </w14:solidFill>
          </w14:textFill>
        </w:rPr>
        <w:t xml:space="preserve"> 地下水环境质量现状调查与评价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_Toc216620542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- 87 -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9550856">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"_Toc216620549"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3.5</w:t>
      </w:r>
      <w:r>
        <w:rPr>
          <w:rStyle w:val="49"/>
          <w:rFonts w:hint="eastAsia"/>
          <w:color w:val="000000" w:themeColor="text1"/>
          <w14:textFill>
            <w14:solidFill>
              <w14:schemeClr w14:val="tx1"/>
            </w14:solidFill>
          </w14:textFill>
        </w:rPr>
        <w:t xml:space="preserve"> 声环境质量现状调查与评价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_Toc216620549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- 91 -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56B9ED2">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"_Toc216620555"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3.6</w:t>
      </w:r>
      <w:r>
        <w:rPr>
          <w:rStyle w:val="49"/>
          <w:rFonts w:hint="eastAsia"/>
          <w:color w:val="000000" w:themeColor="text1"/>
          <w14:textFill>
            <w14:solidFill>
              <w14:schemeClr w14:val="tx1"/>
            </w14:solidFill>
          </w14:textFill>
        </w:rPr>
        <w:t xml:space="preserve"> 土壤环境</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_Toc216620555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- 92 -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7BB58C0">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"_Toc216620559"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3.7</w:t>
      </w:r>
      <w:r>
        <w:rPr>
          <w:rStyle w:val="49"/>
          <w:rFonts w:hint="eastAsia"/>
          <w:color w:val="000000" w:themeColor="text1"/>
          <w14:textFill>
            <w14:solidFill>
              <w14:schemeClr w14:val="tx1"/>
            </w14:solidFill>
          </w14:textFill>
        </w:rPr>
        <w:t xml:space="preserve"> 海洋环境质量现状调查与评价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_Toc216620559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- 94 -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B350FEE">
      <w:pPr>
        <w:pStyle w:val="31"/>
        <w:tabs>
          <w:tab w:val="right" w:leader="dot" w:pos="8296"/>
        </w:tabs>
        <w:spacing w:line="440" w:lineRule="exact"/>
        <w:ind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"_Toc216620565" </w:instrText>
      </w:r>
      <w:r>
        <w:rPr>
          <w:color w:val="000000" w:themeColor="text1"/>
          <w14:textFill>
            <w14:solidFill>
              <w14:schemeClr w14:val="tx1"/>
            </w14:solidFill>
          </w14:textFill>
        </w:rPr>
        <w:fldChar w:fldCharType="separate"/>
      </w:r>
      <w:r>
        <w:rPr>
          <w:rStyle w:val="49"/>
          <w:color w:val="000000" w:themeColor="text1"/>
          <w14:textFill>
            <w14:solidFill>
              <w14:schemeClr w14:val="tx1"/>
            </w14:solidFill>
          </w14:textFill>
        </w:rPr>
        <w:t>4</w:t>
      </w:r>
      <w:r>
        <w:rPr>
          <w:rStyle w:val="49"/>
          <w:rFonts w:hint="eastAsia"/>
          <w:color w:val="000000" w:themeColor="text1"/>
          <w14:textFill>
            <w14:solidFill>
              <w14:schemeClr w14:val="tx1"/>
            </w14:solidFill>
          </w14:textFill>
        </w:rPr>
        <w:t xml:space="preserve"> 环境影响预测与评价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_Toc216620565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- 118 -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118EEAE">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"_Toc216620566"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4.1</w:t>
      </w:r>
      <w:r>
        <w:rPr>
          <w:rStyle w:val="49"/>
          <w:rFonts w:hint="eastAsia"/>
          <w:color w:val="000000" w:themeColor="text1"/>
          <w14:textFill>
            <w14:solidFill>
              <w14:schemeClr w14:val="tx1"/>
            </w14:solidFill>
          </w14:textFill>
        </w:rPr>
        <w:t xml:space="preserve"> 海洋环境影响分析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_Toc216620566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- 118 -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27DA122C">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"_Toc216620570"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4.2</w:t>
      </w:r>
      <w:r>
        <w:rPr>
          <w:rStyle w:val="49"/>
          <w:rFonts w:hint="eastAsia"/>
          <w:color w:val="000000" w:themeColor="text1"/>
          <w14:textFill>
            <w14:solidFill>
              <w14:schemeClr w14:val="tx1"/>
            </w14:solidFill>
          </w14:textFill>
        </w:rPr>
        <w:t xml:space="preserve"> 施工期环境影响分析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_Toc216620570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- 118 -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08F2F3C">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"_Toc216620577"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4.3</w:t>
      </w:r>
      <w:r>
        <w:rPr>
          <w:rStyle w:val="49"/>
          <w:rFonts w:hint="eastAsia"/>
          <w:color w:val="000000" w:themeColor="text1"/>
          <w14:textFill>
            <w14:solidFill>
              <w14:schemeClr w14:val="tx1"/>
            </w14:solidFill>
          </w14:textFill>
        </w:rPr>
        <w:t xml:space="preserve"> 营运期环境影响分析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_Toc216620577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- 122 -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258E9218">
      <w:pPr>
        <w:pStyle w:val="31"/>
        <w:tabs>
          <w:tab w:val="right" w:leader="dot" w:pos="8296"/>
        </w:tabs>
        <w:spacing w:line="440" w:lineRule="exact"/>
        <w:ind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"_Toc216620585" </w:instrText>
      </w:r>
      <w:r>
        <w:rPr>
          <w:color w:val="000000" w:themeColor="text1"/>
          <w14:textFill>
            <w14:solidFill>
              <w14:schemeClr w14:val="tx1"/>
            </w14:solidFill>
          </w14:textFill>
        </w:rPr>
        <w:fldChar w:fldCharType="separate"/>
      </w:r>
      <w:r>
        <w:rPr>
          <w:rStyle w:val="49"/>
          <w:color w:val="000000" w:themeColor="text1"/>
          <w14:textFill>
            <w14:solidFill>
              <w14:schemeClr w14:val="tx1"/>
            </w14:solidFill>
          </w14:textFill>
        </w:rPr>
        <w:t>5</w:t>
      </w:r>
      <w:r>
        <w:rPr>
          <w:rStyle w:val="49"/>
          <w:rFonts w:hint="eastAsia"/>
          <w:color w:val="000000" w:themeColor="text1"/>
          <w14:textFill>
            <w14:solidFill>
              <w14:schemeClr w14:val="tx1"/>
            </w14:solidFill>
          </w14:textFill>
        </w:rPr>
        <w:t xml:space="preserve"> 环境风险评价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_Toc216620585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- 134 -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2D88EF17">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"_Toc216620586"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5.1</w:t>
      </w:r>
      <w:r>
        <w:rPr>
          <w:rStyle w:val="49"/>
          <w:rFonts w:hint="eastAsia"/>
          <w:color w:val="000000" w:themeColor="text1"/>
          <w14:textFill>
            <w14:solidFill>
              <w14:schemeClr w14:val="tx1"/>
            </w14:solidFill>
          </w14:textFill>
        </w:rPr>
        <w:t xml:space="preserve"> 风险调查</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_Toc216620586 \h </w:instrText>
      </w:r>
      <w:r>
        <w:rPr>
          <w:color w:val="000000" w:themeColor="text1"/>
          <w14:textFill>
            <w14:solidFill>
              <w14:schemeClr w14:val="tx1"/>
            </w14:solidFill>
          </w14:textFill>
        </w:rPr>
        <w:fldChar w:fldCharType="separate"/>
      </w:r>
      <w:r>
        <w:rPr>
          <w:b/>
          <w:color w:val="000000" w:themeColor="text1"/>
          <w14:textFill>
            <w14:solidFill>
              <w14:schemeClr w14:val="tx1"/>
            </w14:solidFill>
          </w14:textFill>
        </w:rPr>
        <w:t>错误！未定义书签。</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D98ABFD">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"_Toc216620589"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5.2</w:t>
      </w:r>
      <w:r>
        <w:rPr>
          <w:rStyle w:val="49"/>
          <w:rFonts w:hint="eastAsia"/>
          <w:color w:val="000000" w:themeColor="text1"/>
          <w14:textFill>
            <w14:solidFill>
              <w14:schemeClr w14:val="tx1"/>
            </w14:solidFill>
          </w14:textFill>
        </w:rPr>
        <w:t xml:space="preserve"> 环境风险潜势初判</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_Toc216620586 \h </w:instrText>
      </w:r>
      <w:r>
        <w:rPr>
          <w:color w:val="000000" w:themeColor="text1"/>
          <w14:textFill>
            <w14:solidFill>
              <w14:schemeClr w14:val="tx1"/>
            </w14:solidFill>
          </w14:textFill>
        </w:rPr>
        <w:fldChar w:fldCharType="separate"/>
      </w:r>
      <w:r>
        <w:rPr>
          <w:b/>
          <w:color w:val="000000" w:themeColor="text1"/>
          <w14:textFill>
            <w14:solidFill>
              <w14:schemeClr w14:val="tx1"/>
            </w14:solidFill>
          </w14:textFill>
        </w:rPr>
        <w:t>错误！未定义书签。</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3DA283C">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"_Toc216620593"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5.3</w:t>
      </w:r>
      <w:r>
        <w:rPr>
          <w:rStyle w:val="49"/>
          <w:rFonts w:hint="eastAsia"/>
          <w:color w:val="000000" w:themeColor="text1"/>
          <w14:textFill>
            <w14:solidFill>
              <w14:schemeClr w14:val="tx1"/>
            </w14:solidFill>
          </w14:textFill>
        </w:rPr>
        <w:t xml:space="preserve"> 风险识别</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_Toc216620586 \h </w:instrText>
      </w:r>
      <w:r>
        <w:rPr>
          <w:color w:val="000000" w:themeColor="text1"/>
          <w14:textFill>
            <w14:solidFill>
              <w14:schemeClr w14:val="tx1"/>
            </w14:solidFill>
          </w14:textFill>
        </w:rPr>
        <w:fldChar w:fldCharType="separate"/>
      </w:r>
      <w:r>
        <w:rPr>
          <w:b/>
          <w:color w:val="000000" w:themeColor="text1"/>
          <w14:textFill>
            <w14:solidFill>
              <w14:schemeClr w14:val="tx1"/>
            </w14:solidFill>
          </w14:textFill>
        </w:rPr>
        <w:t>错误！未定义书签。</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4A1C3E57">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"_Toc216620597"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5.4</w:t>
      </w:r>
      <w:r>
        <w:rPr>
          <w:rStyle w:val="49"/>
          <w:rFonts w:hint="eastAsia"/>
          <w:color w:val="000000" w:themeColor="text1"/>
          <w14:textFill>
            <w14:solidFill>
              <w14:schemeClr w14:val="tx1"/>
            </w14:solidFill>
          </w14:textFill>
        </w:rPr>
        <w:t xml:space="preserve"> 风险事故情形分析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_Toc216620586 \h </w:instrText>
      </w:r>
      <w:r>
        <w:rPr>
          <w:color w:val="000000" w:themeColor="text1"/>
          <w14:textFill>
            <w14:solidFill>
              <w14:schemeClr w14:val="tx1"/>
            </w14:solidFill>
          </w14:textFill>
        </w:rPr>
        <w:fldChar w:fldCharType="separate"/>
      </w:r>
      <w:r>
        <w:rPr>
          <w:b/>
          <w:color w:val="000000" w:themeColor="text1"/>
          <w14:textFill>
            <w14:solidFill>
              <w14:schemeClr w14:val="tx1"/>
            </w14:solidFill>
          </w14:textFill>
        </w:rPr>
        <w:t>错误！未定义书签。</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5B9063E">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"_Toc216620600"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5.5</w:t>
      </w:r>
      <w:r>
        <w:rPr>
          <w:rStyle w:val="49"/>
          <w:rFonts w:hint="eastAsia"/>
          <w:color w:val="000000" w:themeColor="text1"/>
          <w14:textFill>
            <w14:solidFill>
              <w14:schemeClr w14:val="tx1"/>
            </w14:solidFill>
          </w14:textFill>
        </w:rPr>
        <w:t xml:space="preserve"> 海域风险事故预测</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_Toc216620586 \h </w:instrText>
      </w:r>
      <w:r>
        <w:rPr>
          <w:color w:val="000000" w:themeColor="text1"/>
          <w14:textFill>
            <w14:solidFill>
              <w14:schemeClr w14:val="tx1"/>
            </w14:solidFill>
          </w14:textFill>
        </w:rPr>
        <w:fldChar w:fldCharType="separate"/>
      </w:r>
      <w:r>
        <w:rPr>
          <w:b/>
          <w:color w:val="000000" w:themeColor="text1"/>
          <w14:textFill>
            <w14:solidFill>
              <w14:schemeClr w14:val="tx1"/>
            </w14:solidFill>
          </w14:textFill>
        </w:rPr>
        <w:t>错误！未定义书签。</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044C9B9">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"_Toc216620605"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5.6</w:t>
      </w:r>
      <w:r>
        <w:rPr>
          <w:rStyle w:val="49"/>
          <w:rFonts w:hint="eastAsia"/>
          <w:color w:val="000000" w:themeColor="text1"/>
          <w14:textFill>
            <w14:solidFill>
              <w14:schemeClr w14:val="tx1"/>
            </w14:solidFill>
          </w14:textFill>
        </w:rPr>
        <w:t xml:space="preserve"> 陆域风险事故预测</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_Toc216620586 \h </w:instrText>
      </w:r>
      <w:r>
        <w:rPr>
          <w:color w:val="000000" w:themeColor="text1"/>
          <w14:textFill>
            <w14:solidFill>
              <w14:schemeClr w14:val="tx1"/>
            </w14:solidFill>
          </w14:textFill>
        </w:rPr>
        <w:fldChar w:fldCharType="separate"/>
      </w:r>
      <w:r>
        <w:rPr>
          <w:b/>
          <w:color w:val="000000" w:themeColor="text1"/>
          <w14:textFill>
            <w14:solidFill>
              <w14:schemeClr w14:val="tx1"/>
            </w14:solidFill>
          </w14:textFill>
        </w:rPr>
        <w:t>错误！未定义书签。</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01B83FD5">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"_Toc216620609"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5.7</w:t>
      </w:r>
      <w:r>
        <w:rPr>
          <w:rStyle w:val="49"/>
          <w:rFonts w:hint="eastAsia"/>
          <w:color w:val="000000" w:themeColor="text1"/>
          <w14:textFill>
            <w14:solidFill>
              <w14:schemeClr w14:val="tx1"/>
            </w14:solidFill>
          </w14:textFill>
        </w:rPr>
        <w:t xml:space="preserve"> 风险管理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_Toc216620586 \h </w:instrText>
      </w:r>
      <w:r>
        <w:rPr>
          <w:color w:val="000000" w:themeColor="text1"/>
          <w14:textFill>
            <w14:solidFill>
              <w14:schemeClr w14:val="tx1"/>
            </w14:solidFill>
          </w14:textFill>
        </w:rPr>
        <w:fldChar w:fldCharType="separate"/>
      </w:r>
      <w:r>
        <w:rPr>
          <w:b/>
          <w:color w:val="000000" w:themeColor="text1"/>
          <w14:textFill>
            <w14:solidFill>
              <w14:schemeClr w14:val="tx1"/>
            </w14:solidFill>
          </w14:textFill>
        </w:rPr>
        <w:t>错误！未定义书签。</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656F1D4">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"_Toc216620621"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5.8</w:t>
      </w:r>
      <w:r>
        <w:rPr>
          <w:rStyle w:val="49"/>
          <w:rFonts w:hint="eastAsia"/>
          <w:color w:val="000000" w:themeColor="text1"/>
          <w14:textFill>
            <w14:solidFill>
              <w14:schemeClr w14:val="tx1"/>
            </w14:solidFill>
          </w14:textFill>
        </w:rPr>
        <w:t xml:space="preserve"> 环境风险评价结论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_Toc216620586 \h </w:instrText>
      </w:r>
      <w:r>
        <w:rPr>
          <w:color w:val="000000" w:themeColor="text1"/>
          <w14:textFill>
            <w14:solidFill>
              <w14:schemeClr w14:val="tx1"/>
            </w14:solidFill>
          </w14:textFill>
        </w:rPr>
        <w:fldChar w:fldCharType="separate"/>
      </w:r>
      <w:r>
        <w:rPr>
          <w:b/>
          <w:color w:val="000000" w:themeColor="text1"/>
          <w14:textFill>
            <w14:solidFill>
              <w14:schemeClr w14:val="tx1"/>
            </w14:solidFill>
          </w14:textFill>
        </w:rPr>
        <w:t>错误！未定义书签。</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4A7CBF04">
      <w:pPr>
        <w:pStyle w:val="31"/>
        <w:tabs>
          <w:tab w:val="right" w:leader="dot" w:pos="8296"/>
        </w:tabs>
        <w:spacing w:line="440" w:lineRule="exact"/>
        <w:ind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"_Toc216620622" </w:instrText>
      </w:r>
      <w:r>
        <w:rPr>
          <w:color w:val="000000" w:themeColor="text1"/>
          <w14:textFill>
            <w14:solidFill>
              <w14:schemeClr w14:val="tx1"/>
            </w14:solidFill>
          </w14:textFill>
        </w:rPr>
        <w:fldChar w:fldCharType="separate"/>
      </w:r>
      <w:r>
        <w:rPr>
          <w:rStyle w:val="49"/>
          <w:color w:val="000000" w:themeColor="text1"/>
          <w14:textFill>
            <w14:solidFill>
              <w14:schemeClr w14:val="tx1"/>
            </w14:solidFill>
          </w14:textFill>
        </w:rPr>
        <w:t>6</w:t>
      </w:r>
      <w:r>
        <w:rPr>
          <w:rStyle w:val="49"/>
          <w:rFonts w:hint="eastAsia"/>
          <w:color w:val="000000" w:themeColor="text1"/>
          <w14:textFill>
            <w14:solidFill>
              <w14:schemeClr w14:val="tx1"/>
            </w14:solidFill>
          </w14:textFill>
        </w:rPr>
        <w:t xml:space="preserve"> 环境保护措施及其可行性论证</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_Toc216620622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- 245 -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4470C539">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"_Toc216620623"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6.1</w:t>
      </w:r>
      <w:r>
        <w:rPr>
          <w:rStyle w:val="49"/>
          <w:rFonts w:hint="eastAsia"/>
          <w:color w:val="000000" w:themeColor="text1"/>
          <w14:textFill>
            <w14:solidFill>
              <w14:schemeClr w14:val="tx1"/>
            </w14:solidFill>
          </w14:textFill>
        </w:rPr>
        <w:t xml:space="preserve"> 施工期环境保护措施及其可行性分析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_Toc216620623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- 245 -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85D39CF">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"_Toc216620629"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6.2</w:t>
      </w:r>
      <w:r>
        <w:rPr>
          <w:rStyle w:val="49"/>
          <w:rFonts w:hint="eastAsia"/>
          <w:color w:val="000000" w:themeColor="text1"/>
          <w14:textFill>
            <w14:solidFill>
              <w14:schemeClr w14:val="tx1"/>
            </w14:solidFill>
          </w14:textFill>
        </w:rPr>
        <w:t xml:space="preserve"> 营运期环境保护措施及其可行性分析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_Toc216620629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- 247 -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25C199E">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"_Toc216620634"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6.3</w:t>
      </w:r>
      <w:r>
        <w:rPr>
          <w:rStyle w:val="49"/>
          <w:rFonts w:hint="eastAsia"/>
          <w:color w:val="000000" w:themeColor="text1"/>
          <w14:textFill>
            <w14:solidFill>
              <w14:schemeClr w14:val="tx1"/>
            </w14:solidFill>
          </w14:textFill>
        </w:rPr>
        <w:t xml:space="preserve"> 生态环境保护措施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_Toc216620634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- 252 -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532258E">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"_Toc216620635"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6.4</w:t>
      </w:r>
      <w:r>
        <w:rPr>
          <w:rStyle w:val="49"/>
          <w:rFonts w:hint="eastAsia"/>
          <w:color w:val="000000" w:themeColor="text1"/>
          <w14:textFill>
            <w14:solidFill>
              <w14:schemeClr w14:val="tx1"/>
            </w14:solidFill>
          </w14:textFill>
        </w:rPr>
        <w:t xml:space="preserve"> 风险防范措施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_Toc216620635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- 252 -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24280082">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"_Toc216620636"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6.5</w:t>
      </w:r>
      <w:r>
        <w:rPr>
          <w:rStyle w:val="49"/>
          <w:rFonts w:hint="eastAsia"/>
          <w:color w:val="000000" w:themeColor="text1"/>
          <w14:textFill>
            <w14:solidFill>
              <w14:schemeClr w14:val="tx1"/>
            </w14:solidFill>
          </w14:textFill>
        </w:rPr>
        <w:t xml:space="preserve"> 工程环保投资一览表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_Toc216620636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412755A">
      <w:pPr>
        <w:pStyle w:val="31"/>
        <w:tabs>
          <w:tab w:val="right" w:leader="dot" w:pos="8296"/>
        </w:tabs>
        <w:spacing w:line="440" w:lineRule="exact"/>
        <w:ind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"_Toc216620637" </w:instrText>
      </w:r>
      <w:r>
        <w:rPr>
          <w:color w:val="000000" w:themeColor="text1"/>
          <w14:textFill>
            <w14:solidFill>
              <w14:schemeClr w14:val="tx1"/>
            </w14:solidFill>
          </w14:textFill>
        </w:rPr>
        <w:fldChar w:fldCharType="separate"/>
      </w:r>
      <w:r>
        <w:rPr>
          <w:rStyle w:val="49"/>
          <w:color w:val="000000" w:themeColor="text1"/>
          <w14:textFill>
            <w14:solidFill>
              <w14:schemeClr w14:val="tx1"/>
            </w14:solidFill>
          </w14:textFill>
        </w:rPr>
        <w:t>7</w:t>
      </w:r>
      <w:r>
        <w:rPr>
          <w:rStyle w:val="49"/>
          <w:rFonts w:hint="eastAsia"/>
          <w:color w:val="000000" w:themeColor="text1"/>
          <w14:textFill>
            <w14:solidFill>
              <w14:schemeClr w14:val="tx1"/>
            </w14:solidFill>
          </w14:textFill>
        </w:rPr>
        <w:t xml:space="preserve"> 环境经济损益分析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_Toc216620637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- 255 -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8C39BD5">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"_Toc216620638"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7.1</w:t>
      </w:r>
      <w:r>
        <w:rPr>
          <w:rStyle w:val="49"/>
          <w:rFonts w:hint="eastAsia"/>
          <w:color w:val="000000" w:themeColor="text1"/>
          <w14:textFill>
            <w14:solidFill>
              <w14:schemeClr w14:val="tx1"/>
            </w14:solidFill>
          </w14:textFill>
        </w:rPr>
        <w:t xml:space="preserve"> 经济效益</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_Toc216620638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- 255 -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01F3E06">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"_Toc216620639"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7.2</w:t>
      </w:r>
      <w:r>
        <w:rPr>
          <w:rStyle w:val="49"/>
          <w:rFonts w:hint="eastAsia"/>
          <w:color w:val="000000" w:themeColor="text1"/>
          <w14:textFill>
            <w14:solidFill>
              <w14:schemeClr w14:val="tx1"/>
            </w14:solidFill>
          </w14:textFill>
        </w:rPr>
        <w:t xml:space="preserve"> 社会效益</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_Toc216620639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- 255 -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8CC590B">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"_Toc216620640"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7.3</w:t>
      </w:r>
      <w:r>
        <w:rPr>
          <w:rStyle w:val="49"/>
          <w:rFonts w:hint="eastAsia"/>
          <w:color w:val="000000" w:themeColor="text1"/>
          <w14:textFill>
            <w14:solidFill>
              <w14:schemeClr w14:val="tx1"/>
            </w14:solidFill>
          </w14:textFill>
        </w:rPr>
        <w:t xml:space="preserve"> 环境效益</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_Toc216620640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- 255 -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7E49F40">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"_Toc216620641"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7.4</w:t>
      </w:r>
      <w:r>
        <w:rPr>
          <w:rStyle w:val="49"/>
          <w:rFonts w:hint="eastAsia"/>
          <w:color w:val="000000" w:themeColor="text1"/>
          <w14:textFill>
            <w14:solidFill>
              <w14:schemeClr w14:val="tx1"/>
            </w14:solidFill>
          </w14:textFill>
        </w:rPr>
        <w:t xml:space="preserve"> 小结</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_Toc216620641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- 256 -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889D4C6">
      <w:pPr>
        <w:pStyle w:val="31"/>
        <w:tabs>
          <w:tab w:val="right" w:leader="dot" w:pos="8296"/>
        </w:tabs>
        <w:spacing w:line="440" w:lineRule="exact"/>
        <w:ind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"_Toc216620642" </w:instrText>
      </w:r>
      <w:r>
        <w:rPr>
          <w:color w:val="000000" w:themeColor="text1"/>
          <w14:textFill>
            <w14:solidFill>
              <w14:schemeClr w14:val="tx1"/>
            </w14:solidFill>
          </w14:textFill>
        </w:rPr>
        <w:fldChar w:fldCharType="separate"/>
      </w:r>
      <w:r>
        <w:rPr>
          <w:rStyle w:val="49"/>
          <w:color w:val="000000" w:themeColor="text1"/>
          <w14:textFill>
            <w14:solidFill>
              <w14:schemeClr w14:val="tx1"/>
            </w14:solidFill>
          </w14:textFill>
        </w:rPr>
        <w:t>8</w:t>
      </w:r>
      <w:r>
        <w:rPr>
          <w:rStyle w:val="49"/>
          <w:rFonts w:hint="eastAsia"/>
          <w:color w:val="000000" w:themeColor="text1"/>
          <w14:textFill>
            <w14:solidFill>
              <w14:schemeClr w14:val="tx1"/>
            </w14:solidFill>
          </w14:textFill>
        </w:rPr>
        <w:t xml:space="preserve"> 环境管理与监测计划</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_Toc216620642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- 257 -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7D32C64">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"_Toc216620643"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8.1</w:t>
      </w:r>
      <w:r>
        <w:rPr>
          <w:rStyle w:val="49"/>
          <w:rFonts w:hint="eastAsia"/>
          <w:color w:val="000000" w:themeColor="text1"/>
          <w14:textFill>
            <w14:solidFill>
              <w14:schemeClr w14:val="tx1"/>
            </w14:solidFill>
          </w14:textFill>
        </w:rPr>
        <w:t xml:space="preserve"> 环境管理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_Toc216620643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- 257 -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772402E">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"_Toc216620648"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8.2</w:t>
      </w:r>
      <w:r>
        <w:rPr>
          <w:rStyle w:val="49"/>
          <w:rFonts w:hint="eastAsia"/>
          <w:color w:val="000000" w:themeColor="text1"/>
          <w14:textFill>
            <w14:solidFill>
              <w14:schemeClr w14:val="tx1"/>
            </w14:solidFill>
          </w14:textFill>
        </w:rPr>
        <w:t xml:space="preserve"> 排污管理要求</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_Toc216620648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- 260 -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B228F01">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"_Toc216620653"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8.3</w:t>
      </w:r>
      <w:r>
        <w:rPr>
          <w:rStyle w:val="49"/>
          <w:rFonts w:hint="eastAsia"/>
          <w:color w:val="000000" w:themeColor="text1"/>
          <w14:textFill>
            <w14:solidFill>
              <w14:schemeClr w14:val="tx1"/>
            </w14:solidFill>
          </w14:textFill>
        </w:rPr>
        <w:t xml:space="preserve"> 环境监测</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_Toc216620653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- 264 -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1939065">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"_Toc216620657"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8.4</w:t>
      </w:r>
      <w:r>
        <w:rPr>
          <w:rStyle w:val="49"/>
          <w:rFonts w:hint="eastAsia"/>
          <w:color w:val="000000" w:themeColor="text1"/>
          <w14:textFill>
            <w14:solidFill>
              <w14:schemeClr w14:val="tx1"/>
            </w14:solidFill>
          </w14:textFill>
        </w:rPr>
        <w:t xml:space="preserve"> 环境保护</w:t>
      </w:r>
      <w:r>
        <w:rPr>
          <w:rStyle w:val="49"/>
          <w:color w:val="000000" w:themeColor="text1"/>
          <w14:textFill>
            <w14:solidFill>
              <w14:schemeClr w14:val="tx1"/>
            </w14:solidFill>
          </w14:textFill>
        </w:rPr>
        <w:t>“</w:t>
      </w:r>
      <w:r>
        <w:rPr>
          <w:rStyle w:val="49"/>
          <w:rFonts w:hint="eastAsia"/>
          <w:color w:val="000000" w:themeColor="text1"/>
          <w14:textFill>
            <w14:solidFill>
              <w14:schemeClr w14:val="tx1"/>
            </w14:solidFill>
          </w14:textFill>
        </w:rPr>
        <w:t>三同时</w:t>
      </w:r>
      <w:r>
        <w:rPr>
          <w:rStyle w:val="49"/>
          <w:color w:val="000000" w:themeColor="text1"/>
          <w14:textFill>
            <w14:solidFill>
              <w14:schemeClr w14:val="tx1"/>
            </w14:solidFill>
          </w14:textFill>
        </w:rPr>
        <w:t>”</w:t>
      </w:r>
      <w:r>
        <w:rPr>
          <w:rStyle w:val="49"/>
          <w:rFonts w:hint="eastAsia"/>
          <w:color w:val="000000" w:themeColor="text1"/>
          <w14:textFill>
            <w14:solidFill>
              <w14:schemeClr w14:val="tx1"/>
            </w14:solidFill>
          </w14:textFill>
        </w:rPr>
        <w:t>验收一览表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_Toc216620657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- 265 -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F0E8250">
      <w:pPr>
        <w:pStyle w:val="31"/>
        <w:tabs>
          <w:tab w:val="right" w:leader="dot" w:pos="8296"/>
        </w:tabs>
        <w:spacing w:line="440" w:lineRule="exact"/>
        <w:ind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"_Toc216620658" </w:instrText>
      </w:r>
      <w:r>
        <w:rPr>
          <w:color w:val="000000" w:themeColor="text1"/>
          <w14:textFill>
            <w14:solidFill>
              <w14:schemeClr w14:val="tx1"/>
            </w14:solidFill>
          </w14:textFill>
        </w:rPr>
        <w:fldChar w:fldCharType="separate"/>
      </w:r>
      <w:r>
        <w:rPr>
          <w:rStyle w:val="49"/>
          <w:color w:val="000000" w:themeColor="text1"/>
          <w14:textFill>
            <w14:solidFill>
              <w14:schemeClr w14:val="tx1"/>
            </w14:solidFill>
          </w14:textFill>
        </w:rPr>
        <w:t>9</w:t>
      </w:r>
      <w:r>
        <w:rPr>
          <w:rStyle w:val="49"/>
          <w:rFonts w:hint="eastAsia"/>
          <w:color w:val="000000" w:themeColor="text1"/>
          <w14:textFill>
            <w14:solidFill>
              <w14:schemeClr w14:val="tx1"/>
            </w14:solidFill>
          </w14:textFill>
        </w:rPr>
        <w:t xml:space="preserve"> 环境影响评价结论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_Toc216620658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- 267 -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0A02AA03">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"_Toc216620659"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9.1</w:t>
      </w:r>
      <w:r>
        <w:rPr>
          <w:rStyle w:val="49"/>
          <w:rFonts w:hint="eastAsia"/>
          <w:color w:val="000000" w:themeColor="text1"/>
          <w14:textFill>
            <w14:solidFill>
              <w14:schemeClr w14:val="tx1"/>
            </w14:solidFill>
          </w14:textFill>
        </w:rPr>
        <w:t xml:space="preserve"> 项目概况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_Toc216620659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- 267 -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DADF5C7">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"_Toc216620660"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9.2</w:t>
      </w:r>
      <w:r>
        <w:rPr>
          <w:rStyle w:val="49"/>
          <w:rFonts w:hint="eastAsia"/>
          <w:color w:val="000000" w:themeColor="text1"/>
          <w14:textFill>
            <w14:solidFill>
              <w14:schemeClr w14:val="tx1"/>
            </w14:solidFill>
          </w14:textFill>
        </w:rPr>
        <w:t xml:space="preserve"> 环境质量现状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_Toc216620660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- 267 -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5785D26">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"_Toc216620666"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9.3</w:t>
      </w:r>
      <w:r>
        <w:rPr>
          <w:rStyle w:val="49"/>
          <w:rFonts w:hint="eastAsia"/>
          <w:color w:val="000000" w:themeColor="text1"/>
          <w14:textFill>
            <w14:solidFill>
              <w14:schemeClr w14:val="tx1"/>
            </w14:solidFill>
          </w14:textFill>
        </w:rPr>
        <w:t xml:space="preserve"> 环境影响预测与评价结论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_Toc216620666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- 269 -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48D939E">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"_Toc216620672"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9.4</w:t>
      </w:r>
      <w:r>
        <w:rPr>
          <w:rStyle w:val="49"/>
          <w:rFonts w:hint="eastAsia"/>
          <w:color w:val="000000" w:themeColor="text1"/>
          <w14:textFill>
            <w14:solidFill>
              <w14:schemeClr w14:val="tx1"/>
            </w14:solidFill>
          </w14:textFill>
        </w:rPr>
        <w:t xml:space="preserve"> 环境保护措施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_Toc216620672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- 271 -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179EE65">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"_Toc216620677"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9.5</w:t>
      </w:r>
      <w:r>
        <w:rPr>
          <w:rStyle w:val="49"/>
          <w:rFonts w:hint="eastAsia"/>
          <w:color w:val="000000" w:themeColor="text1"/>
          <w14:textFill>
            <w14:solidFill>
              <w14:schemeClr w14:val="tx1"/>
            </w14:solidFill>
          </w14:textFill>
        </w:rPr>
        <w:t xml:space="preserve"> 环境风险评价结论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_Toc216620677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- 273 -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0EF2D910">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"_Toc216620678"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9.6</w:t>
      </w:r>
      <w:r>
        <w:rPr>
          <w:rStyle w:val="49"/>
          <w:rFonts w:hint="eastAsia"/>
          <w:color w:val="000000" w:themeColor="text1"/>
          <w14:textFill>
            <w14:solidFill>
              <w14:schemeClr w14:val="tx1"/>
            </w14:solidFill>
          </w14:textFill>
        </w:rPr>
        <w:t xml:space="preserve"> 环境影响经济损益分析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_Toc216620678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- 273 -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2FD3186F">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"_Toc216620679"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9.7</w:t>
      </w:r>
      <w:r>
        <w:rPr>
          <w:rStyle w:val="49"/>
          <w:rFonts w:hint="eastAsia"/>
          <w:color w:val="000000" w:themeColor="text1"/>
          <w14:textFill>
            <w14:solidFill>
              <w14:schemeClr w14:val="tx1"/>
            </w14:solidFill>
          </w14:textFill>
        </w:rPr>
        <w:t xml:space="preserve"> 环境管理与监测计划</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_Toc216620679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- 273 -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4A811B4">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"_Toc216620680"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9.8</w:t>
      </w:r>
      <w:r>
        <w:rPr>
          <w:rStyle w:val="49"/>
          <w:rFonts w:hint="eastAsia"/>
          <w:color w:val="000000" w:themeColor="text1"/>
          <w14:textFill>
            <w14:solidFill>
              <w14:schemeClr w14:val="tx1"/>
            </w14:solidFill>
          </w14:textFill>
        </w:rPr>
        <w:t xml:space="preserve"> 公众意见采纳情况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_Toc216620680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- 274 -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BA8CB62">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"_Toc216620681"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9.9</w:t>
      </w:r>
      <w:r>
        <w:rPr>
          <w:rStyle w:val="49"/>
          <w:rFonts w:hint="eastAsia"/>
          <w:color w:val="000000" w:themeColor="text1"/>
          <w14:textFill>
            <w14:solidFill>
              <w14:schemeClr w14:val="tx1"/>
            </w14:solidFill>
          </w14:textFill>
        </w:rPr>
        <w:t xml:space="preserve"> 结论与建议</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_Toc216620681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- 274 -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C079FB7">
      <w:pPr>
        <w:spacing w:line="440" w:lineRule="exact"/>
        <w:ind w:firstLine="482"/>
        <w:rPr>
          <w:b/>
          <w:bCs/>
          <w:color w:val="000000" w:themeColor="text1"/>
          <w:lang w:val="zh-CN"/>
          <w14:textFill>
            <w14:solidFill>
              <w14:schemeClr w14:val="tx1"/>
            </w14:solidFill>
          </w14:textFill>
        </w:rPr>
      </w:pPr>
      <w:r>
        <w:rPr>
          <w:b/>
          <w:bCs/>
          <w:color w:val="000000" w:themeColor="text1"/>
          <w:lang w:val="zh-CN"/>
          <w14:textFill>
            <w14:solidFill>
              <w14:schemeClr w14:val="tx1"/>
            </w14:solidFill>
          </w14:textFill>
        </w:rPr>
        <w:fldChar w:fldCharType="end"/>
      </w:r>
    </w:p>
    <w:p w14:paraId="08D10BFF">
      <w:pPr>
        <w:pStyle w:val="3"/>
        <w:numPr>
          <w:ilvl w:val="0"/>
          <w:numId w:val="0"/>
        </w:numPr>
        <w:jc w:val="center"/>
        <w:rPr>
          <w:rFonts w:eastAsia="宋体"/>
          <w:bCs/>
          <w:color w:val="000000" w:themeColor="text1"/>
          <w14:textFill>
            <w14:solidFill>
              <w14:schemeClr w14:val="tx1"/>
            </w14:solidFill>
          </w14:textFill>
        </w:rPr>
      </w:pPr>
      <w:bookmarkStart w:id="9" w:name="_Toc136878408"/>
      <w:bookmarkStart w:id="10" w:name="_Toc53605129"/>
      <w:bookmarkStart w:id="11" w:name="_Toc216103161"/>
      <w:bookmarkStart w:id="12" w:name="_Toc58769340"/>
      <w:bookmarkStart w:id="13" w:name="_Toc55483144"/>
      <w:bookmarkStart w:id="14" w:name="_Toc216620320"/>
      <w:bookmarkStart w:id="15" w:name="_Toc57218167"/>
      <w:r>
        <w:rPr>
          <w:rFonts w:eastAsia="宋体"/>
          <w:bCs/>
          <w:color w:val="000000" w:themeColor="text1"/>
          <w14:textFill>
            <w14:solidFill>
              <w14:schemeClr w14:val="tx1"/>
            </w14:solidFill>
          </w14:textFill>
        </w:rPr>
        <w:t>附图、附件、附表</w:t>
      </w:r>
      <w:bookmarkEnd w:id="9"/>
      <w:bookmarkEnd w:id="10"/>
      <w:bookmarkEnd w:id="11"/>
      <w:bookmarkEnd w:id="12"/>
      <w:bookmarkEnd w:id="13"/>
      <w:bookmarkEnd w:id="14"/>
      <w:bookmarkEnd w:id="15"/>
    </w:p>
    <w:p w14:paraId="0C050660">
      <w:pPr>
        <w:ind w:firstLine="0" w:firstLineChars="0"/>
        <w:rPr>
          <w:b/>
          <w:color w:val="000000" w:themeColor="text1"/>
          <w:sz w:val="28"/>
          <w:szCs w:val="28"/>
          <w14:textFill>
            <w14:solidFill>
              <w14:schemeClr w14:val="tx1"/>
            </w14:solidFill>
          </w14:textFill>
        </w:rPr>
      </w:pPr>
      <w:bookmarkStart w:id="16" w:name="_Hlk58770150"/>
      <w:r>
        <w:rPr>
          <w:b/>
          <w:color w:val="000000" w:themeColor="text1"/>
          <w:sz w:val="28"/>
          <w:szCs w:val="28"/>
          <w14:textFill>
            <w14:solidFill>
              <w14:schemeClr w14:val="tx1"/>
            </w14:solidFill>
          </w14:textFill>
        </w:rPr>
        <w:t>附图：</w:t>
      </w:r>
    </w:p>
    <w:p w14:paraId="5D1E2C1C">
      <w:pPr>
        <w:pStyle w:val="75"/>
        <w:numPr>
          <w:ilvl w:val="1"/>
          <w:numId w:val="2"/>
        </w:numPr>
        <w:autoSpaceDE/>
        <w:autoSpaceDN/>
        <w:spacing w:line="360" w:lineRule="auto"/>
        <w:jc w:val="both"/>
        <w:rPr>
          <w:rFonts w:ascii="Times New Roman" w:hAnsi="Times New Roman" w:cs="Times New Roman"/>
          <w:color w:val="000000" w:themeColor="text1"/>
          <w:sz w:val="24"/>
          <w14:textFill>
            <w14:solidFill>
              <w14:schemeClr w14:val="tx1"/>
            </w14:solidFill>
          </w14:textFill>
        </w:rPr>
      </w:pPr>
      <w:bookmarkStart w:id="17" w:name="_Hlk53666962"/>
      <w:r>
        <w:rPr>
          <w:rFonts w:ascii="Times New Roman" w:hAnsi="Times New Roman" w:cs="Times New Roman"/>
          <w:color w:val="000000" w:themeColor="text1"/>
          <w:sz w:val="24"/>
          <w14:textFill>
            <w14:solidFill>
              <w14:schemeClr w14:val="tx1"/>
            </w14:solidFill>
          </w14:textFill>
        </w:rPr>
        <w:t>项目地理位置图</w:t>
      </w:r>
    </w:p>
    <w:p w14:paraId="7FD87819">
      <w:pPr>
        <w:pStyle w:val="75"/>
        <w:numPr>
          <w:ilvl w:val="1"/>
          <w:numId w:val="2"/>
        </w:numPr>
        <w:autoSpaceDE/>
        <w:autoSpaceDN/>
        <w:spacing w:line="360" w:lineRule="auto"/>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项目</w:t>
      </w:r>
      <w:r>
        <w:rPr>
          <w:rFonts w:ascii="Times New Roman" w:hAnsi="Times New Roman" w:cs="Times New Roman"/>
          <w:color w:val="000000" w:themeColor="text1"/>
          <w:sz w:val="24"/>
          <w14:textFill>
            <w14:solidFill>
              <w14:schemeClr w14:val="tx1"/>
            </w14:solidFill>
          </w14:textFill>
        </w:rPr>
        <w:t>平面布置图</w:t>
      </w:r>
    </w:p>
    <w:p w14:paraId="202EA559">
      <w:pPr>
        <w:pStyle w:val="75"/>
        <w:numPr>
          <w:ilvl w:val="1"/>
          <w:numId w:val="2"/>
        </w:numPr>
        <w:autoSpaceDE/>
        <w:autoSpaceDN/>
        <w:spacing w:line="360" w:lineRule="auto"/>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项目与钦州港总体规划位置示意图</w:t>
      </w:r>
    </w:p>
    <w:bookmarkEnd w:id="17"/>
    <w:p w14:paraId="1DE6F4EE">
      <w:pPr>
        <w:pStyle w:val="75"/>
        <w:numPr>
          <w:ilvl w:val="1"/>
          <w:numId w:val="2"/>
        </w:numPr>
        <w:autoSpaceDE/>
        <w:autoSpaceDN/>
        <w:spacing w:line="360" w:lineRule="auto"/>
        <w:jc w:val="both"/>
        <w:rPr>
          <w:rFonts w:ascii="Times New Roman" w:hAnsi="Times New Roman" w:cs="Times New Roman"/>
          <w:bCs/>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监测点位示意图</w:t>
      </w:r>
    </w:p>
    <w:p w14:paraId="0E242AE7">
      <w:pPr>
        <w:pStyle w:val="75"/>
        <w:numPr>
          <w:ilvl w:val="1"/>
          <w:numId w:val="2"/>
        </w:numPr>
        <w:autoSpaceDE/>
        <w:autoSpaceDN/>
        <w:spacing w:line="360" w:lineRule="auto"/>
        <w:jc w:val="both"/>
        <w:rPr>
          <w:rFonts w:ascii="Times New Roman" w:hAnsi="Times New Roman" w:cs="Times New Roman"/>
          <w:b/>
          <w:color w:val="000000" w:themeColor="text1"/>
          <w:sz w:val="24"/>
          <w14:textFill>
            <w14:solidFill>
              <w14:schemeClr w14:val="tx1"/>
            </w14:solidFill>
          </w14:textFill>
        </w:rPr>
      </w:pPr>
      <w:bookmarkStart w:id="18" w:name="_Hlk53664998"/>
      <w:r>
        <w:rPr>
          <w:rFonts w:hint="eastAsia" w:ascii="Times New Roman" w:hAnsi="Times New Roman" w:cs="Times New Roman"/>
          <w:bCs/>
          <w:color w:val="000000" w:themeColor="text1"/>
          <w:sz w:val="24"/>
          <w14:textFill>
            <w14:solidFill>
              <w14:schemeClr w14:val="tx1"/>
            </w14:solidFill>
          </w14:textFill>
        </w:rPr>
        <w:t>项目海洋环境调查范围及监测布点图</w:t>
      </w:r>
    </w:p>
    <w:bookmarkEnd w:id="18"/>
    <w:p w14:paraId="26F1655F">
      <w:pPr>
        <w:pStyle w:val="75"/>
        <w:numPr>
          <w:ilvl w:val="1"/>
          <w:numId w:val="2"/>
        </w:numPr>
        <w:autoSpaceDE/>
        <w:autoSpaceDN/>
        <w:spacing w:line="360" w:lineRule="auto"/>
        <w:jc w:val="both"/>
        <w:rPr>
          <w:rFonts w:ascii="Times New Roman" w:hAnsi="Times New Roman" w:cs="Times New Roman"/>
          <w:bCs/>
          <w:color w:val="000000" w:themeColor="text1"/>
          <w:sz w:val="24"/>
          <w14:textFill>
            <w14:solidFill>
              <w14:schemeClr w14:val="tx1"/>
            </w14:solidFill>
          </w14:textFill>
        </w:rPr>
      </w:pPr>
      <w:bookmarkStart w:id="19" w:name="_Hlk53665407"/>
      <w:r>
        <w:rPr>
          <w:rFonts w:hint="eastAsia" w:ascii="Times New Roman" w:hAnsi="Times New Roman" w:cs="Times New Roman"/>
          <w:bCs/>
          <w:color w:val="000000" w:themeColor="text1"/>
          <w:sz w:val="24"/>
          <w14:textFill>
            <w14:solidFill>
              <w14:schemeClr w14:val="tx1"/>
            </w14:solidFill>
          </w14:textFill>
        </w:rPr>
        <w:t>项目与广西近岸海域环境功能区划调整方案位置示意图</w:t>
      </w:r>
    </w:p>
    <w:bookmarkEnd w:id="19"/>
    <w:p w14:paraId="403B6C83">
      <w:pPr>
        <w:pStyle w:val="75"/>
        <w:numPr>
          <w:ilvl w:val="1"/>
          <w:numId w:val="2"/>
        </w:numPr>
        <w:autoSpaceDE/>
        <w:autoSpaceDN/>
        <w:spacing w:line="360" w:lineRule="auto"/>
        <w:jc w:val="both"/>
        <w:rPr>
          <w:rFonts w:ascii="Times New Roman" w:hAnsi="Times New Roman" w:cs="Times New Roman"/>
          <w:bCs/>
          <w:color w:val="000000" w:themeColor="text1"/>
          <w:sz w:val="24"/>
          <w14:textFill>
            <w14:solidFill>
              <w14:schemeClr w14:val="tx1"/>
            </w14:solidFill>
          </w14:textFill>
        </w:rPr>
      </w:pPr>
      <w:bookmarkStart w:id="20" w:name="_Hlk53665555"/>
      <w:r>
        <w:rPr>
          <w:rFonts w:hint="eastAsia" w:ascii="Times New Roman" w:hAnsi="Times New Roman" w:cs="Times New Roman"/>
          <w:bCs/>
          <w:color w:val="000000" w:themeColor="text1"/>
          <w:sz w:val="24"/>
          <w14:textFill>
            <w14:solidFill>
              <w14:schemeClr w14:val="tx1"/>
            </w14:solidFill>
          </w14:textFill>
        </w:rPr>
        <w:t>项目与广西壮族自治区海洋功能区划位置关系</w:t>
      </w:r>
    </w:p>
    <w:p w14:paraId="47CE3040">
      <w:pPr>
        <w:pStyle w:val="75"/>
        <w:numPr>
          <w:ilvl w:val="1"/>
          <w:numId w:val="2"/>
        </w:numPr>
        <w:autoSpaceDE/>
        <w:autoSpaceDN/>
        <w:spacing w:line="360" w:lineRule="auto"/>
        <w:jc w:val="both"/>
        <w:rPr>
          <w:rFonts w:ascii="Times New Roman" w:hAnsi="Times New Roman" w:cs="Times New Roman"/>
          <w:bCs/>
          <w:color w:val="000000" w:themeColor="text1"/>
          <w:sz w:val="24"/>
          <w14:textFill>
            <w14:solidFill>
              <w14:schemeClr w14:val="tx1"/>
            </w14:solidFill>
          </w14:textFill>
        </w:rPr>
      </w:pPr>
      <w:bookmarkStart w:id="21" w:name="_Hlk53730998"/>
      <w:r>
        <w:rPr>
          <w:rFonts w:hint="eastAsia" w:ascii="Times New Roman" w:hAnsi="Times New Roman" w:cs="Times New Roman"/>
          <w:bCs/>
          <w:color w:val="000000" w:themeColor="text1"/>
          <w:sz w:val="24"/>
          <w14:textFill>
            <w14:solidFill>
              <w14:schemeClr w14:val="tx1"/>
            </w14:solidFill>
          </w14:textFill>
        </w:rPr>
        <w:t>项目与石化园区规划关系示意图</w:t>
      </w:r>
    </w:p>
    <w:p w14:paraId="08A794AE">
      <w:pPr>
        <w:pStyle w:val="75"/>
        <w:numPr>
          <w:ilvl w:val="1"/>
          <w:numId w:val="2"/>
        </w:numPr>
        <w:autoSpaceDE/>
        <w:autoSpaceDN/>
        <w:spacing w:line="360" w:lineRule="auto"/>
        <w:jc w:val="both"/>
        <w:rPr>
          <w:rFonts w:ascii="Times New Roman" w:hAnsi="Times New Roman" w:cs="Times New Roman"/>
          <w:bCs/>
          <w:color w:val="000000" w:themeColor="text1"/>
          <w:sz w:val="24"/>
          <w14:textFill>
            <w14:solidFill>
              <w14:schemeClr w14:val="tx1"/>
            </w14:solidFill>
          </w14:textFill>
        </w:rPr>
      </w:pPr>
      <w:r>
        <w:rPr>
          <w:rFonts w:hint="eastAsia" w:ascii="Times New Roman" w:hAnsi="Times New Roman" w:cs="Times New Roman"/>
          <w:bCs/>
          <w:color w:val="000000" w:themeColor="text1"/>
          <w:sz w:val="24"/>
          <w14:textFill>
            <w14:solidFill>
              <w14:schemeClr w14:val="tx1"/>
            </w14:solidFill>
          </w14:textFill>
        </w:rPr>
        <w:t>项目保护目标示意</w:t>
      </w:r>
      <w:r>
        <w:rPr>
          <w:rFonts w:ascii="Times New Roman" w:hAnsi="Times New Roman" w:cs="Times New Roman"/>
          <w:bCs/>
          <w:color w:val="000000" w:themeColor="text1"/>
          <w:sz w:val="24"/>
          <w14:textFill>
            <w14:solidFill>
              <w14:schemeClr w14:val="tx1"/>
            </w14:solidFill>
          </w14:textFill>
        </w:rPr>
        <w:t>图</w:t>
      </w:r>
    </w:p>
    <w:p w14:paraId="588D6F83">
      <w:pPr>
        <w:pStyle w:val="75"/>
        <w:numPr>
          <w:ilvl w:val="1"/>
          <w:numId w:val="2"/>
        </w:numPr>
        <w:autoSpaceDE/>
        <w:autoSpaceDN/>
        <w:spacing w:line="360" w:lineRule="auto"/>
        <w:jc w:val="both"/>
        <w:rPr>
          <w:rFonts w:ascii="Times New Roman" w:hAnsi="Times New Roman" w:cs="Times New Roman"/>
          <w:bCs/>
          <w:color w:val="000000" w:themeColor="text1"/>
          <w:sz w:val="24"/>
          <w14:textFill>
            <w14:solidFill>
              <w14:schemeClr w14:val="tx1"/>
            </w14:solidFill>
          </w14:textFill>
        </w:rPr>
      </w:pPr>
      <w:r>
        <w:rPr>
          <w:rFonts w:hint="eastAsia" w:ascii="Times New Roman" w:hAnsi="Times New Roman" w:cs="Times New Roman"/>
          <w:bCs/>
          <w:color w:val="000000" w:themeColor="text1"/>
          <w:sz w:val="24"/>
          <w:lang w:val="en-US"/>
          <w14:textFill>
            <w14:solidFill>
              <w14:schemeClr w14:val="tx1"/>
            </w14:solidFill>
          </w14:textFill>
        </w:rPr>
        <w:t>管道布置图</w:t>
      </w:r>
    </w:p>
    <w:p w14:paraId="3BCF3C80">
      <w:pPr>
        <w:pStyle w:val="75"/>
        <w:numPr>
          <w:ilvl w:val="1"/>
          <w:numId w:val="2"/>
        </w:numPr>
        <w:autoSpaceDE/>
        <w:autoSpaceDN/>
        <w:spacing w:line="360" w:lineRule="auto"/>
        <w:jc w:val="both"/>
        <w:rPr>
          <w:rFonts w:ascii="Times New Roman" w:hAnsi="Times New Roman" w:cs="Times New Roman"/>
          <w:bCs/>
          <w:color w:val="000000" w:themeColor="text1"/>
          <w:sz w:val="24"/>
          <w14:textFill>
            <w14:solidFill>
              <w14:schemeClr w14:val="tx1"/>
            </w14:solidFill>
          </w14:textFill>
        </w:rPr>
      </w:pPr>
      <w:r>
        <w:rPr>
          <w:rFonts w:hint="eastAsia" w:ascii="Times New Roman" w:hAnsi="Times New Roman" w:cs="Times New Roman"/>
          <w:bCs/>
          <w:color w:val="000000" w:themeColor="text1"/>
          <w:sz w:val="24"/>
          <w14:textFill>
            <w14:solidFill>
              <w14:schemeClr w14:val="tx1"/>
            </w14:solidFill>
          </w14:textFill>
        </w:rPr>
        <w:t>项目与北部湾港总体规划位置示意图</w:t>
      </w:r>
    </w:p>
    <w:p w14:paraId="3CCA280A">
      <w:pPr>
        <w:pStyle w:val="75"/>
        <w:numPr>
          <w:ilvl w:val="1"/>
          <w:numId w:val="2"/>
        </w:numPr>
        <w:autoSpaceDE/>
        <w:autoSpaceDN/>
        <w:spacing w:line="360" w:lineRule="auto"/>
        <w:jc w:val="both"/>
        <w:rPr>
          <w:rFonts w:ascii="Times New Roman" w:hAnsi="Times New Roman" w:cs="Times New Roman"/>
          <w:bCs/>
          <w:color w:val="000000" w:themeColor="text1"/>
          <w:sz w:val="24"/>
          <w14:textFill>
            <w14:solidFill>
              <w14:schemeClr w14:val="tx1"/>
            </w14:solidFill>
          </w14:textFill>
        </w:rPr>
      </w:pPr>
      <w:r>
        <w:rPr>
          <w:rFonts w:hint="eastAsia" w:ascii="Times New Roman" w:hAnsi="Times New Roman" w:cs="Times New Roman"/>
          <w:bCs/>
          <w:color w:val="000000" w:themeColor="text1"/>
          <w:sz w:val="24"/>
          <w14:textFill>
            <w14:solidFill>
              <w14:schemeClr w14:val="tx1"/>
            </w14:solidFill>
          </w14:textFill>
        </w:rPr>
        <w:t>项目与金谷港区规划位置示意图</w:t>
      </w:r>
    </w:p>
    <w:p w14:paraId="6BAE7E91">
      <w:pPr>
        <w:pStyle w:val="75"/>
        <w:autoSpaceDE/>
        <w:autoSpaceDN/>
        <w:spacing w:line="360" w:lineRule="auto"/>
        <w:ind w:left="420" w:firstLine="0"/>
        <w:jc w:val="both"/>
        <w:rPr>
          <w:rFonts w:hint="eastAsia" w:ascii="Times New Roman" w:hAnsi="Times New Roman" w:cs="Times New Roman"/>
          <w:bCs/>
          <w:color w:val="000000" w:themeColor="text1"/>
          <w:sz w:val="24"/>
          <w14:textFill>
            <w14:solidFill>
              <w14:schemeClr w14:val="tx1"/>
            </w14:solidFill>
          </w14:textFill>
        </w:rPr>
      </w:pPr>
      <w:r>
        <w:rPr>
          <w:rFonts w:hint="eastAsia" w:ascii="Times New Roman" w:hAnsi="Times New Roman" w:cs="Times New Roman"/>
          <w:bCs/>
          <w:color w:val="000000" w:themeColor="text1"/>
          <w:sz w:val="24"/>
          <w14:textFill>
            <w14:solidFill>
              <w14:schemeClr w14:val="tx1"/>
            </w14:solidFill>
          </w14:textFill>
        </w:rPr>
        <w:t>附图13项目与钦州市国土空间总体规划（2021-2035年）</w:t>
      </w:r>
    </w:p>
    <w:p w14:paraId="6F7B4B44">
      <w:pPr>
        <w:pStyle w:val="75"/>
        <w:autoSpaceDE/>
        <w:autoSpaceDN/>
        <w:spacing w:line="360" w:lineRule="auto"/>
        <w:ind w:left="420" w:firstLine="0"/>
        <w:jc w:val="both"/>
        <w:rPr>
          <w:rFonts w:hint="eastAsia" w:ascii="Times New Roman" w:hAnsi="Times New Roman" w:cs="Times New Roman"/>
          <w:bCs/>
          <w:color w:val="000000" w:themeColor="text1"/>
          <w:sz w:val="24"/>
          <w:lang w:val="en-US" w:eastAsia="zh-CN"/>
          <w14:textFill>
            <w14:solidFill>
              <w14:schemeClr w14:val="tx1"/>
            </w14:solidFill>
          </w14:textFill>
        </w:rPr>
      </w:pPr>
      <w:r>
        <w:rPr>
          <w:rFonts w:hint="eastAsia" w:ascii="Times New Roman" w:hAnsi="Times New Roman" w:cs="Times New Roman"/>
          <w:bCs/>
          <w:color w:val="000000" w:themeColor="text1"/>
          <w:sz w:val="24"/>
          <w:lang w:val="en-US" w:eastAsia="zh-CN"/>
          <w14:textFill>
            <w14:solidFill>
              <w14:schemeClr w14:val="tx1"/>
            </w14:solidFill>
          </w14:textFill>
        </w:rPr>
        <w:t>附图14项目与海洋两空间内部一红线位置示意图</w:t>
      </w:r>
    </w:p>
    <w:p w14:paraId="4CDA104A">
      <w:pPr>
        <w:pStyle w:val="75"/>
        <w:autoSpaceDE/>
        <w:autoSpaceDN/>
        <w:spacing w:line="360" w:lineRule="auto"/>
        <w:ind w:left="420" w:firstLine="0"/>
        <w:jc w:val="both"/>
        <w:rPr>
          <w:rFonts w:hint="default" w:ascii="Times New Roman" w:hAnsi="Times New Roman" w:cs="Times New Roman"/>
          <w:bCs/>
          <w:color w:val="000000" w:themeColor="text1"/>
          <w:sz w:val="24"/>
          <w:lang w:val="en-US" w:eastAsia="zh-CN"/>
          <w14:textFill>
            <w14:solidFill>
              <w14:schemeClr w14:val="tx1"/>
            </w14:solidFill>
          </w14:textFill>
        </w:rPr>
      </w:pPr>
      <w:r>
        <w:rPr>
          <w:rFonts w:hint="eastAsia" w:ascii="Times New Roman" w:hAnsi="Times New Roman" w:cs="Times New Roman"/>
          <w:bCs/>
          <w:color w:val="000000" w:themeColor="text1"/>
          <w:sz w:val="24"/>
          <w:lang w:val="en-US" w:eastAsia="zh-CN"/>
          <w14:textFill>
            <w14:solidFill>
              <w14:schemeClr w14:val="tx1"/>
            </w14:solidFill>
          </w14:textFill>
        </w:rPr>
        <w:t>附图15项目与钦州重要湿地位置示意图</w:t>
      </w:r>
    </w:p>
    <w:bookmarkEnd w:id="20"/>
    <w:bookmarkEnd w:id="21"/>
    <w:p w14:paraId="32341CBC">
      <w:pPr>
        <w:ind w:firstLine="0" w:firstLineChars="0"/>
        <w:rPr>
          <w:b/>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t>附件：</w:t>
      </w:r>
    </w:p>
    <w:p w14:paraId="302BD29D">
      <w:pPr>
        <w:pStyle w:val="75"/>
        <w:numPr>
          <w:ilvl w:val="1"/>
          <w:numId w:val="3"/>
        </w:numPr>
        <w:autoSpaceDE/>
        <w:autoSpaceDN/>
        <w:spacing w:line="360" w:lineRule="auto"/>
        <w:ind w:left="0" w:firstLine="420"/>
        <w:jc w:val="both"/>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项目委托书</w:t>
      </w:r>
    </w:p>
    <w:p w14:paraId="2210E98F">
      <w:pPr>
        <w:pStyle w:val="75"/>
        <w:numPr>
          <w:ilvl w:val="1"/>
          <w:numId w:val="3"/>
        </w:numPr>
        <w:autoSpaceDE/>
        <w:autoSpaceDN/>
        <w:spacing w:line="360" w:lineRule="auto"/>
        <w:ind w:left="0" w:firstLine="420"/>
        <w:jc w:val="both"/>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项目</w:t>
      </w:r>
      <w:r>
        <w:rPr>
          <w:rFonts w:hint="eastAsia" w:ascii="Times New Roman" w:hAnsi="Times New Roman" w:cs="Times New Roman"/>
          <w:color w:val="000000" w:themeColor="text1"/>
          <w:sz w:val="24"/>
          <w:lang w:val="en-US"/>
          <w14:textFill>
            <w14:solidFill>
              <w14:schemeClr w14:val="tx1"/>
            </w14:solidFill>
          </w14:textFill>
        </w:rPr>
        <w:t>备案证明</w:t>
      </w:r>
    </w:p>
    <w:p w14:paraId="053C40FE">
      <w:pPr>
        <w:pStyle w:val="75"/>
        <w:numPr>
          <w:ilvl w:val="1"/>
          <w:numId w:val="3"/>
        </w:numPr>
        <w:autoSpaceDE/>
        <w:autoSpaceDN/>
        <w:spacing w:line="360" w:lineRule="auto"/>
        <w:ind w:left="0" w:firstLine="420"/>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钦州市生态环境局关于钦州港金谷港区金鼓江作业区14号、15号泊位工程(重大变动)环境影响报告书的批复</w:t>
      </w:r>
    </w:p>
    <w:p w14:paraId="163C94D4">
      <w:pPr>
        <w:pStyle w:val="75"/>
        <w:numPr>
          <w:ilvl w:val="1"/>
          <w:numId w:val="3"/>
        </w:numPr>
        <w:autoSpaceDE/>
        <w:autoSpaceDN/>
        <w:spacing w:line="360" w:lineRule="auto"/>
        <w:ind w:left="0" w:firstLine="420"/>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逸海港务14#泊位经营许可证</w:t>
      </w:r>
    </w:p>
    <w:p w14:paraId="50AF3219">
      <w:pPr>
        <w:pStyle w:val="75"/>
        <w:numPr>
          <w:ilvl w:val="1"/>
          <w:numId w:val="3"/>
        </w:numPr>
        <w:autoSpaceDE/>
        <w:autoSpaceDN/>
        <w:spacing w:line="360" w:lineRule="auto"/>
        <w:ind w:left="0" w:firstLine="420"/>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应急预案备案</w:t>
      </w:r>
    </w:p>
    <w:p w14:paraId="12CBD4BF">
      <w:pPr>
        <w:pStyle w:val="75"/>
        <w:numPr>
          <w:ilvl w:val="1"/>
          <w:numId w:val="3"/>
        </w:numPr>
        <w:autoSpaceDE/>
        <w:autoSpaceDN/>
        <w:spacing w:line="360" w:lineRule="auto"/>
        <w:ind w:left="0" w:firstLine="420"/>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项目监测报告（海洋环境）</w:t>
      </w:r>
    </w:p>
    <w:p w14:paraId="5184154B">
      <w:pPr>
        <w:pStyle w:val="75"/>
        <w:numPr>
          <w:ilvl w:val="1"/>
          <w:numId w:val="3"/>
        </w:numPr>
        <w:autoSpaceDE/>
        <w:autoSpaceDN/>
        <w:spacing w:line="360" w:lineRule="auto"/>
        <w:ind w:left="0" w:firstLine="420"/>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项目监测报告（环境空气、地下水、噪声、土壤）</w:t>
      </w:r>
    </w:p>
    <w:p w14:paraId="5C1E1F7F">
      <w:pPr>
        <w:pStyle w:val="75"/>
        <w:numPr>
          <w:ilvl w:val="1"/>
          <w:numId w:val="3"/>
        </w:numPr>
        <w:autoSpaceDE/>
        <w:autoSpaceDN/>
        <w:spacing w:line="360" w:lineRule="auto"/>
        <w:ind w:left="0" w:firstLine="420"/>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项目监测报告（环境空气）</w:t>
      </w:r>
    </w:p>
    <w:p w14:paraId="0158252C">
      <w:pPr>
        <w:pStyle w:val="75"/>
        <w:numPr>
          <w:ilvl w:val="1"/>
          <w:numId w:val="3"/>
        </w:numPr>
        <w:autoSpaceDE/>
        <w:autoSpaceDN/>
        <w:spacing w:line="360" w:lineRule="auto"/>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钦州港金谷港区金鼓江作业区14号泊位码头（一期工程）竣工环境保护验收意见</w:t>
      </w:r>
    </w:p>
    <w:p w14:paraId="5ECEF4E6">
      <w:pPr>
        <w:pStyle w:val="75"/>
        <w:numPr>
          <w:ilvl w:val="1"/>
          <w:numId w:val="3"/>
        </w:numPr>
        <w:autoSpaceDE/>
        <w:autoSpaceDN/>
        <w:spacing w:line="360" w:lineRule="auto"/>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竣工验收核查报告</w:t>
      </w:r>
    </w:p>
    <w:p w14:paraId="38A22247">
      <w:pPr>
        <w:pStyle w:val="75"/>
        <w:numPr>
          <w:ilvl w:val="1"/>
          <w:numId w:val="3"/>
        </w:numPr>
        <w:autoSpaceDE/>
        <w:autoSpaceDN/>
        <w:spacing w:line="360" w:lineRule="auto"/>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运营期污水处理协议</w:t>
      </w:r>
    </w:p>
    <w:p w14:paraId="0D61E6C9">
      <w:pPr>
        <w:pStyle w:val="75"/>
        <w:numPr>
          <w:ilvl w:val="1"/>
          <w:numId w:val="3"/>
        </w:numPr>
        <w:autoSpaceDE/>
        <w:autoSpaceDN/>
        <w:spacing w:line="360" w:lineRule="auto"/>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危废接收协议及接收单位危险废物经营许可证</w:t>
      </w:r>
    </w:p>
    <w:p w14:paraId="51D6EB07">
      <w:pPr>
        <w:pStyle w:val="75"/>
        <w:numPr>
          <w:ilvl w:val="1"/>
          <w:numId w:val="3"/>
        </w:numPr>
        <w:autoSpaceDE/>
        <w:autoSpaceDN/>
        <w:spacing w:line="360" w:lineRule="auto"/>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港口经营许可证</w:t>
      </w:r>
    </w:p>
    <w:p w14:paraId="6E6E931D">
      <w:pPr>
        <w:pStyle w:val="75"/>
        <w:numPr>
          <w:ilvl w:val="1"/>
          <w:numId w:val="3"/>
        </w:numPr>
        <w:autoSpaceDE/>
        <w:autoSpaceDN/>
        <w:spacing w:line="360" w:lineRule="auto"/>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项目监测报告（废气、废水、噪声）</w:t>
      </w:r>
    </w:p>
    <w:p w14:paraId="2D6FE4E6">
      <w:pPr>
        <w:pStyle w:val="75"/>
        <w:numPr>
          <w:ilvl w:val="1"/>
          <w:numId w:val="3"/>
        </w:numPr>
        <w:autoSpaceDE/>
        <w:autoSpaceDN/>
        <w:spacing w:line="360" w:lineRule="auto"/>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固定污染源排污登记回执</w:t>
      </w:r>
    </w:p>
    <w:p w14:paraId="1FE87C18">
      <w:pPr>
        <w:pStyle w:val="75"/>
        <w:numPr>
          <w:ilvl w:val="1"/>
          <w:numId w:val="3"/>
        </w:numPr>
        <w:autoSpaceDE/>
        <w:autoSpaceDN/>
        <w:spacing w:line="360" w:lineRule="auto"/>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有组织废气监测RTO炉进气口</w:t>
      </w:r>
    </w:p>
    <w:p w14:paraId="3AC4C884">
      <w:pPr>
        <w:pStyle w:val="75"/>
        <w:numPr>
          <w:ilvl w:val="1"/>
          <w:numId w:val="3"/>
        </w:numPr>
        <w:autoSpaceDE/>
        <w:autoSpaceDN/>
        <w:spacing w:line="360" w:lineRule="auto"/>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有组织废气监测RTO炉</w:t>
      </w:r>
      <w:r>
        <w:rPr>
          <w:rFonts w:hint="eastAsia" w:ascii="Times New Roman" w:hAnsi="Times New Roman" w:cs="Times New Roman"/>
          <w:color w:val="000000" w:themeColor="text1"/>
          <w:sz w:val="24"/>
          <w:lang w:val="en-US"/>
          <w14:textFill>
            <w14:solidFill>
              <w14:schemeClr w14:val="tx1"/>
            </w14:solidFill>
          </w14:textFill>
        </w:rPr>
        <w:t>排</w:t>
      </w:r>
      <w:r>
        <w:rPr>
          <w:rFonts w:hint="eastAsia" w:ascii="Times New Roman" w:hAnsi="Times New Roman" w:cs="Times New Roman"/>
          <w:color w:val="000000" w:themeColor="text1"/>
          <w:sz w:val="24"/>
          <w14:textFill>
            <w14:solidFill>
              <w14:schemeClr w14:val="tx1"/>
            </w14:solidFill>
          </w14:textFill>
        </w:rPr>
        <w:t>气口</w:t>
      </w:r>
    </w:p>
    <w:p w14:paraId="1958B2CF">
      <w:pPr>
        <w:pStyle w:val="75"/>
        <w:numPr>
          <w:ilvl w:val="1"/>
          <w:numId w:val="3"/>
        </w:numPr>
        <w:autoSpaceDE/>
        <w:autoSpaceDN/>
        <w:spacing w:line="360" w:lineRule="auto"/>
        <w:jc w:val="both"/>
        <w:rPr>
          <w:rFonts w:ascii="Times New Roman" w:hAnsi="Times New Roman" w:cs="Times New Roman"/>
          <w:color w:val="000000" w:themeColor="text1"/>
          <w:sz w:val="24"/>
          <w:u w:val="single"/>
          <w14:textFill>
            <w14:solidFill>
              <w14:schemeClr w14:val="tx1"/>
            </w14:solidFill>
          </w14:textFill>
        </w:rPr>
      </w:pPr>
      <w:r>
        <w:rPr>
          <w:rFonts w:hint="eastAsia" w:ascii="Times New Roman" w:hAnsi="Times New Roman" w:cs="Times New Roman"/>
          <w:color w:val="000000" w:themeColor="text1"/>
          <w:sz w:val="24"/>
          <w:u w:val="single"/>
          <w:lang w:val="en-US"/>
          <w14:textFill>
            <w14:solidFill>
              <w14:schemeClr w14:val="tx1"/>
            </w14:solidFill>
          </w14:textFill>
        </w:rPr>
        <w:t>安全管理协议</w:t>
      </w:r>
    </w:p>
    <w:p w14:paraId="79A7D84A">
      <w:pPr>
        <w:pStyle w:val="75"/>
        <w:numPr>
          <w:ilvl w:val="1"/>
          <w:numId w:val="3"/>
        </w:numPr>
        <w:autoSpaceDE/>
        <w:autoSpaceDN/>
        <w:spacing w:line="360" w:lineRule="auto"/>
        <w:jc w:val="both"/>
        <w:rPr>
          <w:rFonts w:ascii="Times New Roman" w:hAnsi="Times New Roman" w:cs="Times New Roman"/>
          <w:color w:val="000000" w:themeColor="text1"/>
          <w:sz w:val="24"/>
          <w:u w:val="single"/>
          <w14:textFill>
            <w14:solidFill>
              <w14:schemeClr w14:val="tx1"/>
            </w14:solidFill>
          </w14:textFill>
        </w:rPr>
      </w:pPr>
      <w:r>
        <w:rPr>
          <w:rFonts w:hint="eastAsia" w:ascii="Times New Roman" w:hAnsi="Times New Roman" w:cs="Times New Roman"/>
          <w:color w:val="000000" w:themeColor="text1"/>
          <w:sz w:val="24"/>
          <w:u w:val="single"/>
          <w:lang w:val="en-US"/>
          <w14:textFill>
            <w14:solidFill>
              <w14:schemeClr w14:val="tx1"/>
            </w14:solidFill>
          </w14:textFill>
        </w:rPr>
        <w:t>运营委托协议</w:t>
      </w:r>
    </w:p>
    <w:p w14:paraId="7E5A5BE2">
      <w:pPr>
        <w:pStyle w:val="75"/>
        <w:numPr>
          <w:ilvl w:val="1"/>
          <w:numId w:val="3"/>
        </w:numPr>
        <w:autoSpaceDE/>
        <w:autoSpaceDN/>
        <w:spacing w:line="360" w:lineRule="auto"/>
        <w:jc w:val="both"/>
        <w:rPr>
          <w:rFonts w:ascii="Times New Roman" w:hAnsi="Times New Roman" w:cs="Times New Roman"/>
          <w:color w:val="000000" w:themeColor="text1"/>
          <w:sz w:val="24"/>
          <w:u w:val="single"/>
          <w14:textFill>
            <w14:solidFill>
              <w14:schemeClr w14:val="tx1"/>
            </w14:solidFill>
          </w14:textFill>
        </w:rPr>
      </w:pPr>
      <w:r>
        <w:rPr>
          <w:rFonts w:hint="eastAsia" w:ascii="Times New Roman" w:hAnsi="Times New Roman" w:cs="Times New Roman"/>
          <w:color w:val="000000" w:themeColor="text1"/>
          <w:sz w:val="24"/>
          <w:u w:val="single"/>
          <w14:textFill>
            <w14:solidFill>
              <w14:schemeClr w14:val="tx1"/>
            </w14:solidFill>
          </w14:textFill>
        </w:rPr>
        <w:t>钦州港金谷港区金鼓江作业区14号15号泊位工程拆分及生态补偿费用分摊专题研究会议纪要</w:t>
      </w:r>
    </w:p>
    <w:p w14:paraId="3F984AFA">
      <w:pPr>
        <w:pStyle w:val="75"/>
        <w:numPr>
          <w:ilvl w:val="1"/>
          <w:numId w:val="3"/>
        </w:numPr>
        <w:autoSpaceDE/>
        <w:autoSpaceDN/>
        <w:spacing w:line="360" w:lineRule="auto"/>
        <w:jc w:val="both"/>
        <w:rPr>
          <w:rFonts w:ascii="Times New Roman" w:hAnsi="Times New Roman" w:cs="Times New Roman"/>
          <w:color w:val="000000" w:themeColor="text1"/>
          <w:sz w:val="24"/>
          <w:u w:val="single"/>
          <w14:textFill>
            <w14:solidFill>
              <w14:schemeClr w14:val="tx1"/>
            </w14:solidFill>
          </w14:textFill>
        </w:rPr>
      </w:pPr>
      <w:r>
        <w:rPr>
          <w:rFonts w:hint="eastAsia" w:ascii="Times New Roman" w:hAnsi="Times New Roman" w:cs="Times New Roman"/>
          <w:color w:val="000000" w:themeColor="text1"/>
          <w:sz w:val="24"/>
          <w:u w:val="single"/>
          <w14:textFill>
            <w14:solidFill>
              <w14:schemeClr w14:val="tx1"/>
            </w14:solidFill>
          </w14:textFill>
        </w:rPr>
        <w:t>欧德年产30万吨生物柴油生产线项目监测报告</w:t>
      </w:r>
    </w:p>
    <w:p w14:paraId="56002781">
      <w:pPr>
        <w:pStyle w:val="75"/>
        <w:numPr>
          <w:ilvl w:val="1"/>
          <w:numId w:val="3"/>
        </w:numPr>
        <w:autoSpaceDE/>
        <w:autoSpaceDN/>
        <w:spacing w:line="360" w:lineRule="auto"/>
        <w:jc w:val="both"/>
        <w:rPr>
          <w:rFonts w:ascii="Times New Roman" w:hAnsi="Times New Roman" w:cs="Times New Roman"/>
          <w:color w:val="000000" w:themeColor="text1"/>
          <w:sz w:val="24"/>
          <w:u w:val="single"/>
          <w14:textFill>
            <w14:solidFill>
              <w14:schemeClr w14:val="tx1"/>
            </w14:solidFill>
          </w14:textFill>
        </w:rPr>
      </w:pPr>
      <w:r>
        <w:rPr>
          <w:rFonts w:hint="eastAsia" w:ascii="Times New Roman" w:hAnsi="Times New Roman" w:cs="Times New Roman"/>
          <w:color w:val="000000" w:themeColor="text1"/>
          <w:sz w:val="24"/>
          <w:u w:val="single"/>
          <w14:textFill>
            <w14:solidFill>
              <w14:schemeClr w14:val="tx1"/>
            </w14:solidFill>
          </w14:textFill>
        </w:rPr>
        <w:t>中国一马来西亚钦州产业园区行政审批局关于欧德年产30万吨生物柴油生产线项目环境影响报告书的批复</w:t>
      </w:r>
    </w:p>
    <w:p w14:paraId="0C7596AD">
      <w:pPr>
        <w:pStyle w:val="75"/>
        <w:numPr>
          <w:ilvl w:val="1"/>
          <w:numId w:val="3"/>
        </w:numPr>
        <w:autoSpaceDE/>
        <w:autoSpaceDN/>
        <w:spacing w:line="360" w:lineRule="auto"/>
        <w:jc w:val="both"/>
        <w:rPr>
          <w:rFonts w:ascii="Times New Roman" w:hAnsi="Times New Roman" w:cs="Times New Roman"/>
          <w:color w:val="000000" w:themeColor="text1"/>
          <w:sz w:val="24"/>
          <w:u w:val="single"/>
          <w14:textFill>
            <w14:solidFill>
              <w14:schemeClr w14:val="tx1"/>
            </w14:solidFill>
          </w14:textFill>
        </w:rPr>
      </w:pPr>
      <w:r>
        <w:rPr>
          <w:rFonts w:hint="eastAsia" w:ascii="Times New Roman" w:hAnsi="Times New Roman" w:cs="Times New Roman"/>
          <w:color w:val="000000" w:themeColor="text1"/>
          <w:sz w:val="24"/>
          <w:u w:val="single"/>
          <w14:textFill>
            <w14:solidFill>
              <w14:schemeClr w14:val="tx1"/>
            </w14:solidFill>
          </w14:textFill>
        </w:rPr>
        <w:t>钦州市生态环境局关于台湾见龙钦州高端聚苯乙烯新材料项目环境影响报告书的批复</w:t>
      </w:r>
    </w:p>
    <w:p w14:paraId="4AE07706">
      <w:pPr>
        <w:ind w:firstLine="0" w:firstLineChars="0"/>
        <w:rPr>
          <w:b/>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t>附表：</w:t>
      </w:r>
    </w:p>
    <w:bookmarkEnd w:id="16"/>
    <w:p w14:paraId="6B982723">
      <w:pPr>
        <w:pStyle w:val="75"/>
        <w:numPr>
          <w:ilvl w:val="0"/>
          <w:numId w:val="4"/>
        </w:numPr>
        <w:spacing w:line="360" w:lineRule="auto"/>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lang w:val="en-US"/>
          <w14:textFill>
            <w14:solidFill>
              <w14:schemeClr w14:val="tx1"/>
            </w14:solidFill>
          </w14:textFill>
        </w:rPr>
        <w:t>建设</w:t>
      </w:r>
      <w:r>
        <w:rPr>
          <w:rFonts w:ascii="Times New Roman" w:hAnsi="Times New Roman" w:cs="Times New Roman"/>
          <w:color w:val="000000" w:themeColor="text1"/>
          <w:sz w:val="24"/>
          <w:szCs w:val="24"/>
          <w14:textFill>
            <w14:solidFill>
              <w14:schemeClr w14:val="tx1"/>
            </w14:solidFill>
          </w14:textFill>
        </w:rPr>
        <w:t>项目地表水环境影响评价自查表</w:t>
      </w:r>
    </w:p>
    <w:p w14:paraId="1705058F">
      <w:pPr>
        <w:pStyle w:val="75"/>
        <w:numPr>
          <w:ilvl w:val="0"/>
          <w:numId w:val="4"/>
        </w:numPr>
        <w:spacing w:line="360" w:lineRule="auto"/>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lang w:val="en-US"/>
          <w14:textFill>
            <w14:solidFill>
              <w14:schemeClr w14:val="tx1"/>
            </w14:solidFill>
          </w14:textFill>
        </w:rPr>
        <w:t>建设项目生态</w:t>
      </w:r>
      <w:r>
        <w:rPr>
          <w:rFonts w:ascii="Times New Roman" w:hAnsi="Times New Roman" w:cs="Times New Roman"/>
          <w:color w:val="000000" w:themeColor="text1"/>
          <w:sz w:val="24"/>
          <w:szCs w:val="24"/>
          <w14:textFill>
            <w14:solidFill>
              <w14:schemeClr w14:val="tx1"/>
            </w14:solidFill>
          </w14:textFill>
        </w:rPr>
        <w:t>环境影响评价自查表</w:t>
      </w:r>
    </w:p>
    <w:p w14:paraId="10ED80E9">
      <w:pPr>
        <w:pStyle w:val="75"/>
        <w:numPr>
          <w:ilvl w:val="0"/>
          <w:numId w:val="4"/>
        </w:numPr>
        <w:spacing w:line="360" w:lineRule="auto"/>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lang w:val="en-US"/>
          <w14:textFill>
            <w14:solidFill>
              <w14:schemeClr w14:val="tx1"/>
            </w14:solidFill>
          </w14:textFill>
        </w:rPr>
        <w:t>建设项目大气环境影响评价自查</w:t>
      </w:r>
      <w:r>
        <w:rPr>
          <w:rFonts w:ascii="Times New Roman" w:hAnsi="Times New Roman" w:cs="Times New Roman"/>
          <w:color w:val="000000" w:themeColor="text1"/>
          <w:sz w:val="24"/>
          <w:szCs w:val="24"/>
          <w14:textFill>
            <w14:solidFill>
              <w14:schemeClr w14:val="tx1"/>
            </w14:solidFill>
          </w14:textFill>
        </w:rPr>
        <w:t>表</w:t>
      </w:r>
    </w:p>
    <w:p w14:paraId="3C9015F8">
      <w:pPr>
        <w:pStyle w:val="75"/>
        <w:numPr>
          <w:ilvl w:val="0"/>
          <w:numId w:val="4"/>
        </w:numPr>
        <w:spacing w:line="360" w:lineRule="auto"/>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建设项目声环境影响评价自查</w:t>
      </w:r>
      <w:r>
        <w:rPr>
          <w:rFonts w:ascii="Times New Roman" w:hAnsi="Times New Roman" w:cs="Times New Roman"/>
          <w:color w:val="000000" w:themeColor="text1"/>
          <w:sz w:val="24"/>
          <w:szCs w:val="24"/>
          <w14:textFill>
            <w14:solidFill>
              <w14:schemeClr w14:val="tx1"/>
            </w14:solidFill>
          </w14:textFill>
        </w:rPr>
        <w:t>表</w:t>
      </w:r>
    </w:p>
    <w:p w14:paraId="4E4DD03D">
      <w:pPr>
        <w:pStyle w:val="75"/>
        <w:numPr>
          <w:ilvl w:val="0"/>
          <w:numId w:val="4"/>
        </w:numPr>
        <w:spacing w:line="360" w:lineRule="auto"/>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建设项目环境风险评价自查</w:t>
      </w:r>
      <w:r>
        <w:rPr>
          <w:rFonts w:ascii="Times New Roman" w:hAnsi="Times New Roman" w:cs="Times New Roman"/>
          <w:color w:val="000000" w:themeColor="text1"/>
          <w:sz w:val="24"/>
          <w:szCs w:val="24"/>
          <w14:textFill>
            <w14:solidFill>
              <w14:schemeClr w14:val="tx1"/>
            </w14:solidFill>
          </w14:textFill>
        </w:rPr>
        <w:t>表</w:t>
      </w:r>
    </w:p>
    <w:p w14:paraId="0437848D">
      <w:pPr>
        <w:pStyle w:val="75"/>
        <w:numPr>
          <w:ilvl w:val="0"/>
          <w:numId w:val="4"/>
        </w:numPr>
        <w:spacing w:line="36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建设项目环境影响报告书审批基础信息表</w:t>
      </w:r>
    </w:p>
    <w:p w14:paraId="15E24DA3">
      <w:pPr>
        <w:ind w:firstLine="482"/>
        <w:rPr>
          <w:b/>
          <w:color w:val="000000" w:themeColor="text1"/>
          <w14:textFill>
            <w14:solidFill>
              <w14:schemeClr w14:val="tx1"/>
            </w14:solidFill>
          </w14:textFill>
        </w:rPr>
      </w:pPr>
    </w:p>
    <w:p w14:paraId="7E460B91">
      <w:pPr>
        <w:pStyle w:val="41"/>
        <w:ind w:firstLine="240"/>
        <w:rPr>
          <w:color w:val="000000" w:themeColor="text1"/>
          <w14:textFill>
            <w14:solidFill>
              <w14:schemeClr w14:val="tx1"/>
            </w14:solidFill>
          </w14:textFill>
        </w:rPr>
      </w:pPr>
    </w:p>
    <w:p w14:paraId="3F3B941B">
      <w:pPr>
        <w:pStyle w:val="42"/>
        <w:ind w:left="480" w:firstLine="480"/>
        <w:rPr>
          <w:color w:val="000000" w:themeColor="text1"/>
          <w14:textFill>
            <w14:solidFill>
              <w14:schemeClr w14:val="tx1"/>
            </w14:solidFill>
          </w14:textFill>
        </w:rPr>
      </w:pPr>
    </w:p>
    <w:p w14:paraId="3051F8FF">
      <w:pPr>
        <w:ind w:firstLine="482"/>
        <w:rPr>
          <w:b/>
          <w:color w:val="000000" w:themeColor="text1"/>
          <w14:textFill>
            <w14:solidFill>
              <w14:schemeClr w14:val="tx1"/>
            </w14:solidFill>
          </w14:textFill>
        </w:rPr>
        <w:sectPr>
          <w:footerReference r:id="rId13" w:type="default"/>
          <w:pgSz w:w="11906" w:h="16838"/>
          <w:pgMar w:top="1440" w:right="1800" w:bottom="1440" w:left="1800" w:header="851" w:footer="992" w:gutter="0"/>
          <w:pgBorders>
            <w:top w:val="none" w:sz="0" w:space="0"/>
            <w:left w:val="none" w:sz="0" w:space="0"/>
            <w:bottom w:val="none" w:sz="0" w:space="0"/>
            <w:right w:val="none" w:sz="0" w:space="0"/>
          </w:pgBorders>
          <w:pgNumType w:fmt="numberInDash" w:start="1"/>
          <w:cols w:space="720" w:num="1"/>
          <w:docGrid w:type="lines" w:linePitch="312" w:charSpace="0"/>
        </w:sectPr>
      </w:pPr>
    </w:p>
    <w:p w14:paraId="225AEC8D">
      <w:pPr>
        <w:pStyle w:val="3"/>
        <w:rPr>
          <w:color w:val="000000" w:themeColor="text1"/>
          <w14:textFill>
            <w14:solidFill>
              <w14:schemeClr w14:val="tx1"/>
            </w14:solidFill>
          </w14:textFill>
        </w:rPr>
      </w:pPr>
      <w:bookmarkStart w:id="22" w:name="_Toc216620321"/>
      <w:r>
        <w:rPr>
          <w:color w:val="000000" w:themeColor="text1"/>
          <w14:textFill>
            <w14:solidFill>
              <w14:schemeClr w14:val="tx1"/>
            </w14:solidFill>
          </w14:textFill>
        </w:rPr>
        <w:t>总则</w:t>
      </w:r>
      <w:bookmarkEnd w:id="22"/>
    </w:p>
    <w:p w14:paraId="001C31C5">
      <w:pPr>
        <w:pStyle w:val="5"/>
        <w:rPr>
          <w:color w:val="000000" w:themeColor="text1"/>
          <w14:textFill>
            <w14:solidFill>
              <w14:schemeClr w14:val="tx1"/>
            </w14:solidFill>
          </w14:textFill>
        </w:rPr>
      </w:pPr>
      <w:bookmarkStart w:id="23" w:name="_Toc216620322"/>
      <w:r>
        <w:rPr>
          <w:color w:val="000000" w:themeColor="text1"/>
          <w14:textFill>
            <w14:solidFill>
              <w14:schemeClr w14:val="tx1"/>
            </w14:solidFill>
          </w14:textFill>
        </w:rPr>
        <w:t>编制依据</w:t>
      </w:r>
      <w:bookmarkEnd w:id="23"/>
    </w:p>
    <w:p w14:paraId="2BB2F1E5">
      <w:pPr>
        <w:pStyle w:val="4"/>
        <w:rPr>
          <w:color w:val="000000" w:themeColor="text1"/>
          <w14:textFill>
            <w14:solidFill>
              <w14:schemeClr w14:val="tx1"/>
            </w14:solidFill>
          </w14:textFill>
        </w:rPr>
      </w:pPr>
      <w:bookmarkStart w:id="24" w:name="_Toc216620323"/>
      <w:bookmarkStart w:id="25" w:name="_Toc25436902"/>
      <w:bookmarkStart w:id="26" w:name="_Toc135090162"/>
      <w:bookmarkStart w:id="27" w:name="_Toc136878411"/>
      <w:bookmarkStart w:id="28" w:name="_Toc29131761"/>
      <w:bookmarkStart w:id="29" w:name="_Toc26909947"/>
      <w:bookmarkStart w:id="30" w:name="_Toc216103164"/>
      <w:r>
        <w:rPr>
          <w:color w:val="000000" w:themeColor="text1"/>
          <w14:textFill>
            <w14:solidFill>
              <w14:schemeClr w14:val="tx1"/>
            </w14:solidFill>
          </w14:textFill>
        </w:rPr>
        <w:t>国家法律法规</w:t>
      </w:r>
      <w:bookmarkEnd w:id="24"/>
      <w:bookmarkEnd w:id="25"/>
      <w:bookmarkEnd w:id="26"/>
      <w:bookmarkEnd w:id="27"/>
      <w:bookmarkEnd w:id="28"/>
      <w:bookmarkEnd w:id="29"/>
      <w:bookmarkEnd w:id="30"/>
    </w:p>
    <w:p w14:paraId="23B80A1C">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《中华人民共和国环境保护法》（2014年修正）；</w:t>
      </w:r>
    </w:p>
    <w:p w14:paraId="0BABAACD">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《中华人民共和国环境影响评价法》（2018年修正）；</w:t>
      </w:r>
    </w:p>
    <w:p w14:paraId="5D4EA1E3">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《中华人民共和国水法》（2016年修正）；</w:t>
      </w:r>
    </w:p>
    <w:p w14:paraId="77DA9C28">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《中华人民共和国森林法》（2019.12.28修订）；</w:t>
      </w:r>
    </w:p>
    <w:p w14:paraId="00017B0B">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《中华人民共和国水污染防治法》（2017年修正）；</w:t>
      </w:r>
    </w:p>
    <w:p w14:paraId="4CC51508">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《中华人民共和国大气污染防治法》（2018年修正）；</w:t>
      </w:r>
    </w:p>
    <w:p w14:paraId="0386F718">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《中华人民共和国噪声污染防治法》（2021年修订）；</w:t>
      </w:r>
    </w:p>
    <w:p w14:paraId="6969EC6A">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《中华人民共和国固体废物污染环境防治法》（2020年修正）；</w:t>
      </w:r>
    </w:p>
    <w:p w14:paraId="04B24848">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《中华人民共和国土壤污染防治法》（2018年修订）；</w:t>
      </w:r>
    </w:p>
    <w:p w14:paraId="6B937C78">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《中华人民共和国土地管理法》（2019年修正）；</w:t>
      </w:r>
    </w:p>
    <w:p w14:paraId="540C783E">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《中华人民共和国城乡规划法》（2019年修正）；</w:t>
      </w:r>
    </w:p>
    <w:p w14:paraId="163EB064">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《中华人民共和国水土保持法》（2011年3月1日起施行）；</w:t>
      </w:r>
    </w:p>
    <w:p w14:paraId="0539F9F2">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《中华人民共和国节约能源法》（2018年修正）；</w:t>
      </w:r>
    </w:p>
    <w:p w14:paraId="26A70E23">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《中华人民共和国循环经济促进法》（2018年修正）；</w:t>
      </w:r>
    </w:p>
    <w:p w14:paraId="4EB81A75">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《中华人民共和国安全生产法》（2014年修正）；</w:t>
      </w:r>
    </w:p>
    <w:p w14:paraId="55152220">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《中华人民共和国清洁生产促进法》（2012年修正）；</w:t>
      </w:r>
    </w:p>
    <w:p w14:paraId="0CDAF7D5">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《中华人民共和国港口法》（2018年修正）；</w:t>
      </w:r>
    </w:p>
    <w:p w14:paraId="0FEAE60E">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《中华人民共和国渔业法》（2013年修正）；</w:t>
      </w:r>
    </w:p>
    <w:p w14:paraId="630466DF">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《中华人民共和国海洋环境保护法》（2017年修正）；</w:t>
      </w:r>
    </w:p>
    <w:p w14:paraId="0DE5CB68">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《中华人民共和国海域使用管理法》（2002年1月1日起施行）；</w:t>
      </w:r>
    </w:p>
    <w:p w14:paraId="38F756A7">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《建设项目环境保护管理条例》（2017年7月修订）；</w:t>
      </w:r>
    </w:p>
    <w:p w14:paraId="76650679">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《危险化学品安全管理条例》（2013年12月修正）；</w:t>
      </w:r>
    </w:p>
    <w:p w14:paraId="2F49C9BC">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《国务院关于印发大气污染防治行动计划的通知》（国发〔2013〕37号）；</w:t>
      </w:r>
    </w:p>
    <w:p w14:paraId="17655387">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《国务院关于印发水污染防治行动计划的通知》（国发〔2015〕17号）；</w:t>
      </w:r>
    </w:p>
    <w:p w14:paraId="3231DF6C">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《国务院关于印发土壤污染防治行动计划的通知》（国发〔2016〕31号）；</w:t>
      </w:r>
    </w:p>
    <w:p w14:paraId="16BB7510">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《国务院关于印发中国水生生物资源养护行动纲要的通知》（国发〔2006〕9号）；</w:t>
      </w:r>
    </w:p>
    <w:p w14:paraId="0F93BB0D">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《关于印发新污染物治理行动方案的通知》（国办发〔2022〕15号）；</w:t>
      </w:r>
    </w:p>
    <w:p w14:paraId="5CC6CE4C">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《防治海洋工程建设项目污染损害海洋环境管理条例》（2018年修正）；</w:t>
      </w:r>
    </w:p>
    <w:p w14:paraId="6F811ADD">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《防治船舶污染海洋环境管理条例》（2018年修正）；</w:t>
      </w:r>
    </w:p>
    <w:p w14:paraId="18D6BEBD">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《中华人民共和国海洋倾废管理条例》（2017年修订）；</w:t>
      </w:r>
    </w:p>
    <w:p w14:paraId="78DA252C">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《中华人民共和国防治海岸工程建设项目污染损害海洋环境管理条例》（2017年3月1日修订实施）；</w:t>
      </w:r>
    </w:p>
    <w:p w14:paraId="4FE82EBC">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《近岸海域环境功能区管理办法》（</w:t>
      </w:r>
      <w:r>
        <w:rPr>
          <w:rFonts w:hint="eastAsia"/>
          <w:color w:val="000000" w:themeColor="text1"/>
          <w14:textFill>
            <w14:solidFill>
              <w14:schemeClr w14:val="tx1"/>
            </w14:solidFill>
          </w14:textFill>
        </w:rPr>
        <w:t>2010年修正</w:t>
      </w:r>
      <w:r>
        <w:rPr>
          <w:color w:val="000000" w:themeColor="text1"/>
          <w14:textFill>
            <w14:solidFill>
              <w14:schemeClr w14:val="tx1"/>
            </w14:solidFill>
          </w14:textFill>
        </w:rPr>
        <w:t>）；</w:t>
      </w:r>
    </w:p>
    <w:p w14:paraId="7DE7524A">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《防治船舶污染海洋环境管理条例》（2017年3月1日修订）；</w:t>
      </w:r>
    </w:p>
    <w:p w14:paraId="6D26A9FE">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《中华人民共和国水生野生动物保护实施条例》（2013年修订）；</w:t>
      </w:r>
    </w:p>
    <w:p w14:paraId="67E5AB4A">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《排污许可管理条例》（国务院令第736号）；</w:t>
      </w:r>
    </w:p>
    <w:p w14:paraId="4BFEDD2C">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《建设项目环境影响评价分类管理名录》（2021年修正）；</w:t>
      </w:r>
    </w:p>
    <w:p w14:paraId="69C92AD1">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《环境影响评价公众参与办法》（生态环境部2019.1.1）；</w:t>
      </w:r>
    </w:p>
    <w:p w14:paraId="1F27C014">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《关于进一步加强环境影响评价管理防范环境风险的通知》（环发〔2012〕77号）；</w:t>
      </w:r>
    </w:p>
    <w:p w14:paraId="1F377CA9">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《关于进一步加强环境保护信息公开工作的通知》（环办〔2012〕134号）；</w:t>
      </w:r>
    </w:p>
    <w:p w14:paraId="4A5C5B5C">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《关于加强规划环境影响评价与建设项目环境影响评价联动工作的意见》（环发〔2015〕178号）；</w:t>
      </w:r>
    </w:p>
    <w:p w14:paraId="30C67EC8">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《产业结构调整指导目录（20</w:t>
      </w:r>
      <w:r>
        <w:rPr>
          <w:rFonts w:hint="eastAsia"/>
          <w:color w:val="000000" w:themeColor="text1"/>
          <w14:textFill>
            <w14:solidFill>
              <w14:schemeClr w14:val="tx1"/>
            </w14:solidFill>
          </w14:textFill>
        </w:rPr>
        <w:t>24</w:t>
      </w:r>
      <w:r>
        <w:rPr>
          <w:color w:val="000000" w:themeColor="text1"/>
          <w14:textFill>
            <w14:solidFill>
              <w14:schemeClr w14:val="tx1"/>
            </w14:solidFill>
          </w14:textFill>
        </w:rPr>
        <w:t>年本）》</w:t>
      </w:r>
      <w:r>
        <w:rPr>
          <w:rFonts w:hint="eastAsia"/>
          <w:color w:val="000000" w:themeColor="text1"/>
          <w14:textFill>
            <w14:solidFill>
              <w14:schemeClr w14:val="tx1"/>
            </w14:solidFill>
          </w14:textFill>
        </w:rPr>
        <w:t>）2024年2月1日起实施</w:t>
      </w:r>
      <w:r>
        <w:rPr>
          <w:color w:val="000000" w:themeColor="text1"/>
          <w14:textFill>
            <w14:solidFill>
              <w14:schemeClr w14:val="tx1"/>
            </w14:solidFill>
          </w14:textFill>
        </w:rPr>
        <w:t>；</w:t>
      </w:r>
    </w:p>
    <w:p w14:paraId="098F4E60">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《国家危险废物名录（202</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年版）》（</w:t>
      </w:r>
      <w:r>
        <w:rPr>
          <w:rFonts w:hint="eastAsia"/>
          <w:color w:val="000000" w:themeColor="text1"/>
          <w14:textFill>
            <w14:solidFill>
              <w14:schemeClr w14:val="tx1"/>
            </w14:solidFill>
          </w14:textFill>
        </w:rPr>
        <w:t>2025年1月1日起实施</w:t>
      </w:r>
      <w:r>
        <w:rPr>
          <w:color w:val="000000" w:themeColor="text1"/>
          <w14:textFill>
            <w14:solidFill>
              <w14:schemeClr w14:val="tx1"/>
            </w14:solidFill>
          </w14:textFill>
        </w:rPr>
        <w:t>）；</w:t>
      </w:r>
    </w:p>
    <w:p w14:paraId="1D10B1B8">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《危险废物转移管理办法》（部令第23号2022年1月1日实施）；</w:t>
      </w:r>
    </w:p>
    <w:p w14:paraId="5ECF7099">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《中华人民共和国水生动植物自然保护区管理办法》（</w:t>
      </w:r>
      <w:r>
        <w:rPr>
          <w:rFonts w:hint="eastAsia"/>
          <w:color w:val="000000" w:themeColor="text1"/>
          <w:lang w:eastAsia="zh-CN"/>
          <w14:textFill>
            <w14:solidFill>
              <w14:schemeClr w14:val="tx1"/>
            </w14:solidFill>
          </w14:textFill>
        </w:rPr>
        <w:t>农业农村部</w:t>
      </w:r>
      <w:r>
        <w:rPr>
          <w:color w:val="000000" w:themeColor="text1"/>
          <w14:textFill>
            <w14:solidFill>
              <w14:schemeClr w14:val="tx1"/>
            </w14:solidFill>
          </w14:textFill>
        </w:rPr>
        <w:t>令2014年第3号，2014年修正）；</w:t>
      </w:r>
    </w:p>
    <w:p w14:paraId="1A3F2772">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《关于进一步加强水生生物资源保护严格环境影响评价管理的通知》（环发〔2013〕86号）；</w:t>
      </w:r>
    </w:p>
    <w:p w14:paraId="0C0C6A43">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《关于加强资源环境生态红线管控的指导意见》（发改环资〔2016〕1162号）；</w:t>
      </w:r>
    </w:p>
    <w:p w14:paraId="6C655E03">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《企业事业单位突发环境事件应急预案备案管理办法（试行）》（环发〔2015〕4号）；</w:t>
      </w:r>
    </w:p>
    <w:p w14:paraId="53075AB8">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《国家突发公共事件总体应急预案》（</w:t>
      </w:r>
      <w:r>
        <w:rPr>
          <w:rFonts w:hint="eastAsia"/>
          <w:color w:val="000000" w:themeColor="text1"/>
          <w14:textFill>
            <w14:solidFill>
              <w14:schemeClr w14:val="tx1"/>
            </w14:solidFill>
          </w14:textFill>
        </w:rPr>
        <w:t>2025年</w:t>
      </w:r>
      <w:r>
        <w:rPr>
          <w:color w:val="000000" w:themeColor="text1"/>
          <w14:textFill>
            <w14:solidFill>
              <w14:schemeClr w14:val="tx1"/>
            </w14:solidFill>
          </w14:textFill>
        </w:rPr>
        <w:t>）；</w:t>
      </w:r>
    </w:p>
    <w:p w14:paraId="04228D1B">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《国家突发环境事件应急预案》（2014年12月29日起施行）；</w:t>
      </w:r>
    </w:p>
    <w:p w14:paraId="7018B06B">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《关于印发机场、港口、水利（河湖整治与防洪除涝工程）三个行业建设项目环境影响评价文件审批原则的通知》（环办环评〔2018〕2号）；</w:t>
      </w:r>
    </w:p>
    <w:p w14:paraId="56E59FD6">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《关于进一步加强公路水路交通运输规划环境影响评价工作的通知》（环发〔2012〕49号）；</w:t>
      </w:r>
    </w:p>
    <w:p w14:paraId="67971426">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《交通运输部关于印发船舶与港口污染防治专项行动实施方案（2015～2020年）的通知》；</w:t>
      </w:r>
    </w:p>
    <w:p w14:paraId="6EA593C1">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《海洋工程环境影响评价管理规定》（国海规范〔2017〕7号）；</w:t>
      </w:r>
    </w:p>
    <w:p w14:paraId="183797D6">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《沿海海域船舶排污设备铅封管理规定》（交海发〔2007〕165号文，2007年5月1日）；</w:t>
      </w:r>
    </w:p>
    <w:p w14:paraId="456668AE">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《中华人民共和国船舶及其有关作业活动污染海洋环境防治管理规定》（交通运输部令〔2017〕15号）；</w:t>
      </w:r>
    </w:p>
    <w:p w14:paraId="3C1EDE28">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《中华人民共和国船舶污染海洋环境应急防备和应急处置管理规定》（交通运输部令〔2019〕40号）；</w:t>
      </w:r>
    </w:p>
    <w:p w14:paraId="1C2F6E7F">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《船舶大气污染物排放控制区实施方案》（交海发〔2018〕168号）。</w:t>
      </w:r>
    </w:p>
    <w:p w14:paraId="556E272A">
      <w:pPr>
        <w:pStyle w:val="4"/>
        <w:rPr>
          <w:color w:val="000000" w:themeColor="text1"/>
          <w14:textFill>
            <w14:solidFill>
              <w14:schemeClr w14:val="tx1"/>
            </w14:solidFill>
          </w14:textFill>
        </w:rPr>
      </w:pPr>
      <w:bookmarkStart w:id="31" w:name="_Toc136878412"/>
      <w:bookmarkStart w:id="32" w:name="_Toc29131762"/>
      <w:bookmarkStart w:id="33" w:name="_Toc216620324"/>
      <w:bookmarkStart w:id="34" w:name="_Toc25436903"/>
      <w:bookmarkStart w:id="35" w:name="_Toc135090163"/>
      <w:bookmarkStart w:id="36" w:name="_Toc26909948"/>
      <w:bookmarkStart w:id="37" w:name="_Toc216103165"/>
      <w:r>
        <w:rPr>
          <w:color w:val="000000" w:themeColor="text1"/>
          <w14:textFill>
            <w14:solidFill>
              <w14:schemeClr w14:val="tx1"/>
            </w14:solidFill>
          </w14:textFill>
        </w:rPr>
        <w:t>相关国际公约</w:t>
      </w:r>
      <w:bookmarkEnd w:id="31"/>
      <w:bookmarkEnd w:id="32"/>
      <w:bookmarkEnd w:id="33"/>
      <w:bookmarkEnd w:id="34"/>
      <w:bookmarkEnd w:id="35"/>
      <w:bookmarkEnd w:id="36"/>
      <w:bookmarkEnd w:id="37"/>
    </w:p>
    <w:p w14:paraId="149F5C8E">
      <w:pPr>
        <w:numPr>
          <w:ilvl w:val="0"/>
          <w:numId w:val="6"/>
        </w:numPr>
        <w:ind w:firstLine="480"/>
        <w:rPr>
          <w:color w:val="000000" w:themeColor="text1"/>
          <w14:textFill>
            <w14:solidFill>
              <w14:schemeClr w14:val="tx1"/>
            </w14:solidFill>
          </w14:textFill>
        </w:rPr>
      </w:pPr>
      <w:r>
        <w:rPr>
          <w:color w:val="000000" w:themeColor="text1"/>
          <w14:textFill>
            <w14:solidFill>
              <w14:schemeClr w14:val="tx1"/>
            </w14:solidFill>
          </w14:textFill>
        </w:rPr>
        <w:t>《经1978年议定书修订的1973 年国际防止船舶造成污染公约（MARPOL73/78）》（国际海事组织，1978年）；</w:t>
      </w:r>
    </w:p>
    <w:p w14:paraId="42163349">
      <w:pPr>
        <w:numPr>
          <w:ilvl w:val="0"/>
          <w:numId w:val="6"/>
        </w:numPr>
        <w:ind w:firstLine="480"/>
        <w:rPr>
          <w:color w:val="000000" w:themeColor="text1"/>
          <w14:textFill>
            <w14:solidFill>
              <w14:schemeClr w14:val="tx1"/>
            </w14:solidFill>
          </w14:textFill>
        </w:rPr>
      </w:pPr>
      <w:r>
        <w:rPr>
          <w:color w:val="000000" w:themeColor="text1"/>
          <w14:textFill>
            <w14:solidFill>
              <w14:schemeClr w14:val="tx1"/>
            </w14:solidFill>
          </w14:textFill>
        </w:rPr>
        <w:t>《1990年国际油污防备、响应和合作公约》（国际海事组织，1990年）；</w:t>
      </w:r>
    </w:p>
    <w:p w14:paraId="50E46FF9">
      <w:pPr>
        <w:numPr>
          <w:ilvl w:val="0"/>
          <w:numId w:val="6"/>
        </w:numPr>
        <w:ind w:firstLine="480"/>
        <w:rPr>
          <w:color w:val="000000" w:themeColor="text1"/>
          <w14:textFill>
            <w14:solidFill>
              <w14:schemeClr w14:val="tx1"/>
            </w14:solidFill>
          </w14:textFill>
        </w:rPr>
      </w:pPr>
      <w:r>
        <w:rPr>
          <w:color w:val="000000" w:themeColor="text1"/>
          <w14:textFill>
            <w14:solidFill>
              <w14:schemeClr w14:val="tx1"/>
            </w14:solidFill>
          </w14:textFill>
        </w:rPr>
        <w:t>MARPOL73/78附则</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 1 \* ROMAN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I</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 6 \* ROMAN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VI</w:t>
      </w:r>
      <w:r>
        <w:rPr>
          <w:color w:val="000000" w:themeColor="text1"/>
          <w14:textFill>
            <w14:solidFill>
              <w14:schemeClr w14:val="tx1"/>
            </w14:solidFill>
          </w14:textFill>
        </w:rPr>
        <w:fldChar w:fldCharType="end"/>
      </w:r>
      <w:r>
        <w:rPr>
          <w:color w:val="000000" w:themeColor="text1"/>
          <w14:textFill>
            <w14:solidFill>
              <w14:schemeClr w14:val="tx1"/>
            </w14:solidFill>
          </w14:textFill>
        </w:rPr>
        <w:t>（详见表1.1-1）；</w:t>
      </w:r>
    </w:p>
    <w:p w14:paraId="509D7E8E">
      <w:pPr>
        <w:numPr>
          <w:ilvl w:val="0"/>
          <w:numId w:val="6"/>
        </w:numPr>
        <w:ind w:firstLine="480" w:firstLineChars="0"/>
        <w:rPr>
          <w:color w:val="000000" w:themeColor="text1"/>
          <w14:textFill>
            <w14:solidFill>
              <w14:schemeClr w14:val="tx1"/>
            </w14:solidFill>
          </w14:textFill>
        </w:rPr>
      </w:pPr>
      <w:r>
        <w:rPr>
          <w:color w:val="000000" w:themeColor="text1"/>
          <w14:textFill>
            <w14:solidFill>
              <w14:schemeClr w14:val="tx1"/>
            </w14:solidFill>
          </w14:textFill>
        </w:rPr>
        <w:t>《国际船舶压载水和沉积物控制与管理公约》（国际海事组织，2004年2月）。</w:t>
      </w:r>
    </w:p>
    <w:p w14:paraId="3237EEFB">
      <w:pPr>
        <w:pStyle w:val="7"/>
        <w:rPr>
          <w:color w:val="000000" w:themeColor="text1"/>
          <w14:textFill>
            <w14:solidFill>
              <w14:schemeClr w14:val="tx1"/>
            </w14:solidFill>
          </w14:textFill>
        </w:rPr>
      </w:pPr>
      <w:r>
        <w:rPr>
          <w:color w:val="000000" w:themeColor="text1"/>
          <w14:textFill>
            <w14:solidFill>
              <w14:schemeClr w14:val="tx1"/>
            </w14:solidFill>
          </w14:textFill>
        </w:rPr>
        <w:t>MARPOL73/78附则</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18"/>
        <w:gridCol w:w="3610"/>
        <w:gridCol w:w="2107"/>
        <w:gridCol w:w="2007"/>
      </w:tblGrid>
      <w:tr w14:paraId="2F42C0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18" w:type="dxa"/>
            <w:vAlign w:val="center"/>
          </w:tcPr>
          <w:p w14:paraId="0A139A5C">
            <w:pPr>
              <w:pStyle w:val="84"/>
              <w:jc w:val="center"/>
              <w:rPr>
                <w:rFonts w:hAnsi="Times New Roman"/>
                <w:b/>
                <w:bCs/>
                <w:color w:val="000000" w:themeColor="text1"/>
                <w14:textFill>
                  <w14:solidFill>
                    <w14:schemeClr w14:val="tx1"/>
                  </w14:solidFill>
                </w14:textFill>
              </w:rPr>
            </w:pPr>
            <w:r>
              <w:rPr>
                <w:rFonts w:hAnsi="Times New Roman"/>
                <w:b/>
                <w:bCs/>
                <w:color w:val="000000" w:themeColor="text1"/>
                <w14:textFill>
                  <w14:solidFill>
                    <w14:schemeClr w14:val="tx1"/>
                  </w14:solidFill>
                </w14:textFill>
              </w:rPr>
              <w:t>附则序号</w:t>
            </w:r>
          </w:p>
        </w:tc>
        <w:tc>
          <w:tcPr>
            <w:tcW w:w="3610" w:type="dxa"/>
            <w:vAlign w:val="center"/>
          </w:tcPr>
          <w:p w14:paraId="4C4F5BD6">
            <w:pPr>
              <w:pStyle w:val="84"/>
              <w:jc w:val="center"/>
              <w:rPr>
                <w:rFonts w:hAnsi="Times New Roman"/>
                <w:b/>
                <w:bCs/>
                <w:color w:val="000000" w:themeColor="text1"/>
                <w14:textFill>
                  <w14:solidFill>
                    <w14:schemeClr w14:val="tx1"/>
                  </w14:solidFill>
                </w14:textFill>
              </w:rPr>
            </w:pPr>
            <w:r>
              <w:rPr>
                <w:rFonts w:hAnsi="Times New Roman"/>
                <w:b/>
                <w:bCs/>
                <w:color w:val="000000" w:themeColor="text1"/>
                <w14:textFill>
                  <w14:solidFill>
                    <w14:schemeClr w14:val="tx1"/>
                  </w14:solidFill>
                </w14:textFill>
              </w:rPr>
              <w:t>附则名称</w:t>
            </w:r>
          </w:p>
        </w:tc>
        <w:tc>
          <w:tcPr>
            <w:tcW w:w="2107" w:type="dxa"/>
            <w:vAlign w:val="center"/>
          </w:tcPr>
          <w:p w14:paraId="6176F183">
            <w:pPr>
              <w:pStyle w:val="84"/>
              <w:jc w:val="center"/>
              <w:rPr>
                <w:rFonts w:hAnsi="Times New Roman"/>
                <w:b/>
                <w:bCs/>
                <w:color w:val="000000" w:themeColor="text1"/>
                <w14:textFill>
                  <w14:solidFill>
                    <w14:schemeClr w14:val="tx1"/>
                  </w14:solidFill>
                </w14:textFill>
              </w:rPr>
            </w:pPr>
            <w:r>
              <w:rPr>
                <w:rFonts w:hAnsi="Times New Roman"/>
                <w:b/>
                <w:bCs/>
                <w:color w:val="000000" w:themeColor="text1"/>
                <w14:textFill>
                  <w14:solidFill>
                    <w14:schemeClr w14:val="tx1"/>
                  </w14:solidFill>
                </w14:textFill>
              </w:rPr>
              <w:t>附则生效时间</w:t>
            </w:r>
          </w:p>
        </w:tc>
        <w:tc>
          <w:tcPr>
            <w:tcW w:w="2007" w:type="dxa"/>
            <w:vAlign w:val="center"/>
          </w:tcPr>
          <w:p w14:paraId="58155D3F">
            <w:pPr>
              <w:pStyle w:val="84"/>
              <w:jc w:val="center"/>
              <w:rPr>
                <w:rFonts w:hAnsi="Times New Roman"/>
                <w:b/>
                <w:bCs/>
                <w:color w:val="000000" w:themeColor="text1"/>
                <w14:textFill>
                  <w14:solidFill>
                    <w14:schemeClr w14:val="tx1"/>
                  </w14:solidFill>
                </w14:textFill>
              </w:rPr>
            </w:pPr>
            <w:r>
              <w:rPr>
                <w:rFonts w:hAnsi="Times New Roman"/>
                <w:b/>
                <w:bCs/>
                <w:color w:val="000000" w:themeColor="text1"/>
                <w14:textFill>
                  <w14:solidFill>
                    <w14:schemeClr w14:val="tx1"/>
                  </w14:solidFill>
                </w14:textFill>
              </w:rPr>
              <w:t>对我国生效时间</w:t>
            </w:r>
          </w:p>
        </w:tc>
      </w:tr>
      <w:tr w14:paraId="7B4BDB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18" w:type="dxa"/>
            <w:vAlign w:val="center"/>
          </w:tcPr>
          <w:p w14:paraId="66F5D755">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附则</w:t>
            </w:r>
            <w:r>
              <w:rPr>
                <w:rFonts w:hAnsi="Times New Roman"/>
                <w:color w:val="000000" w:themeColor="text1"/>
                <w14:textFill>
                  <w14:solidFill>
                    <w14:schemeClr w14:val="tx1"/>
                  </w14:solidFill>
                </w14:textFill>
              </w:rPr>
              <w:fldChar w:fldCharType="begin"/>
            </w:r>
            <w:r>
              <w:rPr>
                <w:rFonts w:hAnsi="Times New Roman"/>
                <w:color w:val="000000" w:themeColor="text1"/>
                <w14:textFill>
                  <w14:solidFill>
                    <w14:schemeClr w14:val="tx1"/>
                  </w14:solidFill>
                </w14:textFill>
              </w:rPr>
              <w:instrText xml:space="preserve"> = 1 \* ROMAN </w:instrText>
            </w:r>
            <w:r>
              <w:rPr>
                <w:rFonts w:hAnsi="Times New Roman"/>
                <w:color w:val="000000" w:themeColor="text1"/>
                <w14:textFill>
                  <w14:solidFill>
                    <w14:schemeClr w14:val="tx1"/>
                  </w14:solidFill>
                </w14:textFill>
              </w:rPr>
              <w:fldChar w:fldCharType="separate"/>
            </w:r>
            <w:r>
              <w:rPr>
                <w:rFonts w:hAnsi="Times New Roman"/>
                <w:color w:val="000000" w:themeColor="text1"/>
                <w14:textFill>
                  <w14:solidFill>
                    <w14:schemeClr w14:val="tx1"/>
                  </w14:solidFill>
                </w14:textFill>
              </w:rPr>
              <w:t>I</w:t>
            </w:r>
            <w:r>
              <w:rPr>
                <w:rFonts w:hAnsi="Times New Roman"/>
                <w:color w:val="000000" w:themeColor="text1"/>
                <w14:textFill>
                  <w14:solidFill>
                    <w14:schemeClr w14:val="tx1"/>
                  </w14:solidFill>
                </w14:textFill>
              </w:rPr>
              <w:fldChar w:fldCharType="end"/>
            </w:r>
          </w:p>
        </w:tc>
        <w:tc>
          <w:tcPr>
            <w:tcW w:w="3610" w:type="dxa"/>
            <w:vAlign w:val="center"/>
          </w:tcPr>
          <w:p w14:paraId="2595D71A">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防止油污规则</w:t>
            </w:r>
          </w:p>
        </w:tc>
        <w:tc>
          <w:tcPr>
            <w:tcW w:w="2107" w:type="dxa"/>
            <w:vAlign w:val="center"/>
          </w:tcPr>
          <w:p w14:paraId="39FE2CB6">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与议定书同时</w:t>
            </w:r>
          </w:p>
        </w:tc>
        <w:tc>
          <w:tcPr>
            <w:tcW w:w="2007" w:type="dxa"/>
            <w:vAlign w:val="center"/>
          </w:tcPr>
          <w:p w14:paraId="0EEF7DC3">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1983年10月2日</w:t>
            </w:r>
          </w:p>
        </w:tc>
      </w:tr>
      <w:tr w14:paraId="57E3A9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18" w:type="dxa"/>
            <w:vAlign w:val="center"/>
          </w:tcPr>
          <w:p w14:paraId="0FBF227D">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附则</w:t>
            </w:r>
            <w:r>
              <w:rPr>
                <w:rFonts w:hAnsi="Times New Roman"/>
                <w:color w:val="000000" w:themeColor="text1"/>
                <w14:textFill>
                  <w14:solidFill>
                    <w14:schemeClr w14:val="tx1"/>
                  </w14:solidFill>
                </w14:textFill>
              </w:rPr>
              <w:fldChar w:fldCharType="begin"/>
            </w:r>
            <w:r>
              <w:rPr>
                <w:rFonts w:hAnsi="Times New Roman"/>
                <w:color w:val="000000" w:themeColor="text1"/>
                <w14:textFill>
                  <w14:solidFill>
                    <w14:schemeClr w14:val="tx1"/>
                  </w14:solidFill>
                </w14:textFill>
              </w:rPr>
              <w:instrText xml:space="preserve"> = 2 \* ROMAN </w:instrText>
            </w:r>
            <w:r>
              <w:rPr>
                <w:rFonts w:hAnsi="Times New Roman"/>
                <w:color w:val="000000" w:themeColor="text1"/>
                <w14:textFill>
                  <w14:solidFill>
                    <w14:schemeClr w14:val="tx1"/>
                  </w14:solidFill>
                </w14:textFill>
              </w:rPr>
              <w:fldChar w:fldCharType="separate"/>
            </w:r>
            <w:r>
              <w:rPr>
                <w:rFonts w:hAnsi="Times New Roman"/>
                <w:color w:val="000000" w:themeColor="text1"/>
                <w14:textFill>
                  <w14:solidFill>
                    <w14:schemeClr w14:val="tx1"/>
                  </w14:solidFill>
                </w14:textFill>
              </w:rPr>
              <w:t>II</w:t>
            </w:r>
            <w:r>
              <w:rPr>
                <w:rFonts w:hAnsi="Times New Roman"/>
                <w:color w:val="000000" w:themeColor="text1"/>
                <w14:textFill>
                  <w14:solidFill>
                    <w14:schemeClr w14:val="tx1"/>
                  </w14:solidFill>
                </w14:textFill>
              </w:rPr>
              <w:fldChar w:fldCharType="end"/>
            </w:r>
          </w:p>
        </w:tc>
        <w:tc>
          <w:tcPr>
            <w:tcW w:w="3610" w:type="dxa"/>
            <w:vAlign w:val="center"/>
          </w:tcPr>
          <w:p w14:paraId="71E7988F">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控制散装有毒液体物质污染规则</w:t>
            </w:r>
          </w:p>
        </w:tc>
        <w:tc>
          <w:tcPr>
            <w:tcW w:w="2107" w:type="dxa"/>
            <w:vAlign w:val="center"/>
          </w:tcPr>
          <w:p w14:paraId="740A5C9E">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1987年4月6日</w:t>
            </w:r>
          </w:p>
        </w:tc>
        <w:tc>
          <w:tcPr>
            <w:tcW w:w="2007" w:type="dxa"/>
            <w:vAlign w:val="center"/>
          </w:tcPr>
          <w:p w14:paraId="3AC32C79">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1987年4月6日</w:t>
            </w:r>
          </w:p>
        </w:tc>
      </w:tr>
      <w:tr w14:paraId="5831BB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18" w:type="dxa"/>
            <w:vAlign w:val="center"/>
          </w:tcPr>
          <w:p w14:paraId="7A27C9ED">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附则</w:t>
            </w:r>
            <w:r>
              <w:rPr>
                <w:rFonts w:hAnsi="Times New Roman"/>
                <w:color w:val="000000" w:themeColor="text1"/>
                <w14:textFill>
                  <w14:solidFill>
                    <w14:schemeClr w14:val="tx1"/>
                  </w14:solidFill>
                </w14:textFill>
              </w:rPr>
              <w:fldChar w:fldCharType="begin"/>
            </w:r>
            <w:r>
              <w:rPr>
                <w:rFonts w:hAnsi="Times New Roman"/>
                <w:color w:val="000000" w:themeColor="text1"/>
                <w14:textFill>
                  <w14:solidFill>
                    <w14:schemeClr w14:val="tx1"/>
                  </w14:solidFill>
                </w14:textFill>
              </w:rPr>
              <w:instrText xml:space="preserve"> = 4 \* ROMAN </w:instrText>
            </w:r>
            <w:r>
              <w:rPr>
                <w:rFonts w:hAnsi="Times New Roman"/>
                <w:color w:val="000000" w:themeColor="text1"/>
                <w14:textFill>
                  <w14:solidFill>
                    <w14:schemeClr w14:val="tx1"/>
                  </w14:solidFill>
                </w14:textFill>
              </w:rPr>
              <w:fldChar w:fldCharType="separate"/>
            </w:r>
            <w:r>
              <w:rPr>
                <w:rFonts w:hAnsi="Times New Roman"/>
                <w:color w:val="000000" w:themeColor="text1"/>
                <w14:textFill>
                  <w14:solidFill>
                    <w14:schemeClr w14:val="tx1"/>
                  </w14:solidFill>
                </w14:textFill>
              </w:rPr>
              <w:t>IV</w:t>
            </w:r>
            <w:r>
              <w:rPr>
                <w:rFonts w:hAnsi="Times New Roman"/>
                <w:color w:val="000000" w:themeColor="text1"/>
                <w14:textFill>
                  <w14:solidFill>
                    <w14:schemeClr w14:val="tx1"/>
                  </w14:solidFill>
                </w14:textFill>
              </w:rPr>
              <w:fldChar w:fldCharType="end"/>
            </w:r>
          </w:p>
        </w:tc>
        <w:tc>
          <w:tcPr>
            <w:tcW w:w="3610" w:type="dxa"/>
            <w:vAlign w:val="center"/>
          </w:tcPr>
          <w:p w14:paraId="366F5815">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防止船舶生活污水污染规则</w:t>
            </w:r>
          </w:p>
        </w:tc>
        <w:tc>
          <w:tcPr>
            <w:tcW w:w="2107" w:type="dxa"/>
            <w:vAlign w:val="center"/>
          </w:tcPr>
          <w:p w14:paraId="3F90D017">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2005年8月1日</w:t>
            </w:r>
          </w:p>
        </w:tc>
        <w:tc>
          <w:tcPr>
            <w:tcW w:w="2007" w:type="dxa"/>
            <w:vAlign w:val="center"/>
          </w:tcPr>
          <w:p w14:paraId="6B20CB64">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2007年2月2日</w:t>
            </w:r>
          </w:p>
        </w:tc>
      </w:tr>
      <w:tr w14:paraId="26D3D8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18" w:type="dxa"/>
            <w:vAlign w:val="center"/>
          </w:tcPr>
          <w:p w14:paraId="402DDBF8">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附则</w:t>
            </w:r>
            <w:r>
              <w:rPr>
                <w:rFonts w:hAnsi="Times New Roman"/>
                <w:color w:val="000000" w:themeColor="text1"/>
                <w14:textFill>
                  <w14:solidFill>
                    <w14:schemeClr w14:val="tx1"/>
                  </w14:solidFill>
                </w14:textFill>
              </w:rPr>
              <w:fldChar w:fldCharType="begin"/>
            </w:r>
            <w:r>
              <w:rPr>
                <w:rFonts w:hAnsi="Times New Roman"/>
                <w:color w:val="000000" w:themeColor="text1"/>
                <w14:textFill>
                  <w14:solidFill>
                    <w14:schemeClr w14:val="tx1"/>
                  </w14:solidFill>
                </w14:textFill>
              </w:rPr>
              <w:instrText xml:space="preserve"> = 5 \* ROMAN </w:instrText>
            </w:r>
            <w:r>
              <w:rPr>
                <w:rFonts w:hAnsi="Times New Roman"/>
                <w:color w:val="000000" w:themeColor="text1"/>
                <w14:textFill>
                  <w14:solidFill>
                    <w14:schemeClr w14:val="tx1"/>
                  </w14:solidFill>
                </w14:textFill>
              </w:rPr>
              <w:fldChar w:fldCharType="separate"/>
            </w:r>
            <w:r>
              <w:rPr>
                <w:rFonts w:hAnsi="Times New Roman"/>
                <w:color w:val="000000" w:themeColor="text1"/>
                <w14:textFill>
                  <w14:solidFill>
                    <w14:schemeClr w14:val="tx1"/>
                  </w14:solidFill>
                </w14:textFill>
              </w:rPr>
              <w:t>V</w:t>
            </w:r>
            <w:r>
              <w:rPr>
                <w:rFonts w:hAnsi="Times New Roman"/>
                <w:color w:val="000000" w:themeColor="text1"/>
                <w14:textFill>
                  <w14:solidFill>
                    <w14:schemeClr w14:val="tx1"/>
                  </w14:solidFill>
                </w14:textFill>
              </w:rPr>
              <w:fldChar w:fldCharType="end"/>
            </w:r>
          </w:p>
        </w:tc>
        <w:tc>
          <w:tcPr>
            <w:tcW w:w="3610" w:type="dxa"/>
            <w:vAlign w:val="center"/>
          </w:tcPr>
          <w:p w14:paraId="2731ACF4">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防止船舶垃圾污染规则</w:t>
            </w:r>
          </w:p>
        </w:tc>
        <w:tc>
          <w:tcPr>
            <w:tcW w:w="2107" w:type="dxa"/>
            <w:vAlign w:val="center"/>
          </w:tcPr>
          <w:p w14:paraId="56022158">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1988年12月31日</w:t>
            </w:r>
          </w:p>
        </w:tc>
        <w:tc>
          <w:tcPr>
            <w:tcW w:w="2007" w:type="dxa"/>
            <w:vAlign w:val="center"/>
          </w:tcPr>
          <w:p w14:paraId="1F02066E">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1989年2月21日</w:t>
            </w:r>
          </w:p>
        </w:tc>
      </w:tr>
      <w:tr w14:paraId="736781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18" w:type="dxa"/>
            <w:vAlign w:val="center"/>
          </w:tcPr>
          <w:p w14:paraId="2895B7FC">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附则</w:t>
            </w:r>
            <w:r>
              <w:rPr>
                <w:rFonts w:hAnsi="Times New Roman"/>
                <w:color w:val="000000" w:themeColor="text1"/>
                <w14:textFill>
                  <w14:solidFill>
                    <w14:schemeClr w14:val="tx1"/>
                  </w14:solidFill>
                </w14:textFill>
              </w:rPr>
              <w:fldChar w:fldCharType="begin"/>
            </w:r>
            <w:r>
              <w:rPr>
                <w:rFonts w:hAnsi="Times New Roman"/>
                <w:color w:val="000000" w:themeColor="text1"/>
                <w14:textFill>
                  <w14:solidFill>
                    <w14:schemeClr w14:val="tx1"/>
                  </w14:solidFill>
                </w14:textFill>
              </w:rPr>
              <w:instrText xml:space="preserve"> = 6 \* ROMAN </w:instrText>
            </w:r>
            <w:r>
              <w:rPr>
                <w:rFonts w:hAnsi="Times New Roman"/>
                <w:color w:val="000000" w:themeColor="text1"/>
                <w14:textFill>
                  <w14:solidFill>
                    <w14:schemeClr w14:val="tx1"/>
                  </w14:solidFill>
                </w14:textFill>
              </w:rPr>
              <w:fldChar w:fldCharType="separate"/>
            </w:r>
            <w:r>
              <w:rPr>
                <w:rFonts w:hAnsi="Times New Roman"/>
                <w:color w:val="000000" w:themeColor="text1"/>
                <w14:textFill>
                  <w14:solidFill>
                    <w14:schemeClr w14:val="tx1"/>
                  </w14:solidFill>
                </w14:textFill>
              </w:rPr>
              <w:t>VI</w:t>
            </w:r>
            <w:r>
              <w:rPr>
                <w:rFonts w:hAnsi="Times New Roman"/>
                <w:color w:val="000000" w:themeColor="text1"/>
                <w14:textFill>
                  <w14:solidFill>
                    <w14:schemeClr w14:val="tx1"/>
                  </w14:solidFill>
                </w14:textFill>
              </w:rPr>
              <w:fldChar w:fldCharType="end"/>
            </w:r>
          </w:p>
        </w:tc>
        <w:tc>
          <w:tcPr>
            <w:tcW w:w="3610" w:type="dxa"/>
            <w:vAlign w:val="center"/>
          </w:tcPr>
          <w:p w14:paraId="0EE31DD2">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防止船舶造成空气污染国际规则</w:t>
            </w:r>
          </w:p>
        </w:tc>
        <w:tc>
          <w:tcPr>
            <w:tcW w:w="2107" w:type="dxa"/>
            <w:vAlign w:val="center"/>
          </w:tcPr>
          <w:p w14:paraId="7589193A">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2005年5月19日</w:t>
            </w:r>
          </w:p>
        </w:tc>
        <w:tc>
          <w:tcPr>
            <w:tcW w:w="2007" w:type="dxa"/>
            <w:vAlign w:val="center"/>
          </w:tcPr>
          <w:p w14:paraId="2700E47C">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2006年8月23日</w:t>
            </w:r>
          </w:p>
        </w:tc>
      </w:tr>
    </w:tbl>
    <w:p w14:paraId="57D41CB3">
      <w:pPr>
        <w:pStyle w:val="4"/>
        <w:rPr>
          <w:color w:val="000000" w:themeColor="text1"/>
          <w14:textFill>
            <w14:solidFill>
              <w14:schemeClr w14:val="tx1"/>
            </w14:solidFill>
          </w14:textFill>
        </w:rPr>
      </w:pPr>
      <w:bookmarkStart w:id="38" w:name="_Toc25436904"/>
      <w:bookmarkStart w:id="39" w:name="_Toc135090164"/>
      <w:bookmarkStart w:id="40" w:name="_Toc136878413"/>
      <w:bookmarkStart w:id="41" w:name="_Toc26909949"/>
      <w:bookmarkStart w:id="42" w:name="_Toc29131763"/>
      <w:bookmarkStart w:id="43" w:name="_Toc216620325"/>
      <w:bookmarkStart w:id="44" w:name="_Toc216103166"/>
      <w:r>
        <w:rPr>
          <w:color w:val="000000" w:themeColor="text1"/>
          <w14:textFill>
            <w14:solidFill>
              <w14:schemeClr w14:val="tx1"/>
            </w14:solidFill>
          </w14:textFill>
        </w:rPr>
        <w:t>地方相关法律法规及规划</w:t>
      </w:r>
      <w:bookmarkEnd w:id="38"/>
      <w:bookmarkEnd w:id="39"/>
      <w:bookmarkEnd w:id="40"/>
      <w:bookmarkEnd w:id="41"/>
      <w:bookmarkEnd w:id="42"/>
      <w:bookmarkEnd w:id="43"/>
      <w:bookmarkEnd w:id="44"/>
    </w:p>
    <w:p w14:paraId="32C616F9">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《广西壮族自治区环境保护条例》（2019年修订）；</w:t>
      </w:r>
    </w:p>
    <w:p w14:paraId="4013D580">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《广西壮族自治区水污染防治条例》（2020年5月1日施行）；</w:t>
      </w:r>
    </w:p>
    <w:p w14:paraId="54E7B283">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《广西壮族自治区大气污染防治条例》（2019年1月1日起施行）；</w:t>
      </w:r>
    </w:p>
    <w:p w14:paraId="6AC3A847">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《广西壮族自治区固体废物污染环境防治条例》（2022年7月1日实施）；</w:t>
      </w:r>
    </w:p>
    <w:p w14:paraId="56C8AFAF">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《广西壮族自治区森林和野生动物类型自然保护区管理条例》（2016年11月修正）；</w:t>
      </w:r>
    </w:p>
    <w:p w14:paraId="65A4531A">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《广西壮族自治区陆生野生动物保护管理规定》（2012年修正）；</w:t>
      </w:r>
    </w:p>
    <w:p w14:paraId="027E9A93">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《广西壮族自治区水生野生动物保护管理规定》（2012年修订）；</w:t>
      </w:r>
    </w:p>
    <w:p w14:paraId="2E41AF41">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《广西壮族自治区航道管理条例》（2002）；</w:t>
      </w:r>
    </w:p>
    <w:p w14:paraId="2BCBE860">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《广西壮族自治区海洋环境保护条例》（2018年9月30日修正）；</w:t>
      </w:r>
    </w:p>
    <w:p w14:paraId="31241FF6">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《广西壮族自治区红树林资源保护条例》（20</w:t>
      </w:r>
      <w:r>
        <w:rPr>
          <w:rFonts w:hint="eastAsia"/>
          <w:color w:val="000000" w:themeColor="text1"/>
          <w14:textFill>
            <w14:solidFill>
              <w14:schemeClr w14:val="tx1"/>
            </w14:solidFill>
          </w14:textFill>
        </w:rPr>
        <w:t>25</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月1日起施行）；</w:t>
      </w:r>
    </w:p>
    <w:p w14:paraId="4643C412">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《广西壮族自治区林业局关于公布第批自治区重要湿地名录的通知》（2020年10月）；</w:t>
      </w:r>
    </w:p>
    <w:p w14:paraId="45940445">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《广西壮族自治区林业局关于公布第二批自治区重要湿地名录的通知》（桂林发〔2022〕13号）；</w:t>
      </w:r>
    </w:p>
    <w:p w14:paraId="45C40545">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《广西壮族自治区生态功能区划》（广西壮族自治区人民政府办公厅，2008.02.14）；</w:t>
      </w:r>
    </w:p>
    <w:p w14:paraId="3A0B8DFC">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《广西壮族自治区主体功能区规划》（2018年）；</w:t>
      </w:r>
    </w:p>
    <w:p w14:paraId="593E58EE">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《广西壮族自治区海洋功能区划（2011-2020年）》；</w:t>
      </w:r>
    </w:p>
    <w:p w14:paraId="4DE30330">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《广西壮族自治区近岸海域环境功能区划调整方案》（桂环发〔2023〕9号）；</w:t>
      </w:r>
    </w:p>
    <w:p w14:paraId="5395900B">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《广西海洋生态红线划定方案》（桂政函〔2017〕233 号）；</w:t>
      </w:r>
    </w:p>
    <w:p w14:paraId="700A6A94">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《广西壮族自治区人民政府办公厅关于印发广西生态环境保护“十四五”规划的通知》（桂政办发〔2021〕145号）；</w:t>
      </w:r>
    </w:p>
    <w:p w14:paraId="6377BA51">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《钦州市人民政府办公室关于印发钦州市生态环境保护“十四五”规划的通知》（钦政办〔2022〕16号）；</w:t>
      </w:r>
    </w:p>
    <w:p w14:paraId="2F293100">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《钦州市海洋生态环境保护“十四五”规划（2021-2025年）》（钦政办〔2022〕34号）；</w:t>
      </w:r>
    </w:p>
    <w:p w14:paraId="7BEBE7D5">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《钦州市红树林资源保护规划（2022－2030年）》；</w:t>
      </w:r>
    </w:p>
    <w:p w14:paraId="6E876AA1">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《钦南区人民政府办公室关于印发《钦南区红树林资源保护规划（2022—2030年）》的通知》（钦南政办〔2022〕53号）；</w:t>
      </w:r>
    </w:p>
    <w:p w14:paraId="0C71CE61">
      <w:pPr>
        <w:numPr>
          <w:ilvl w:val="0"/>
          <w:numId w:val="7"/>
        </w:num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《钦州市生态环境局关于印发钦州市生态环境分区管控动态更新成果（2023版）的通知》</w:t>
      </w:r>
      <w:r>
        <w:rPr>
          <w:color w:val="000000" w:themeColor="text1"/>
          <w:u w:val="single"/>
          <w14:textFill>
            <w14:solidFill>
              <w14:schemeClr w14:val="tx1"/>
            </w14:solidFill>
          </w14:textFill>
        </w:rPr>
        <w:t>；</w:t>
      </w:r>
    </w:p>
    <w:p w14:paraId="3EFC007F">
      <w:pPr>
        <w:numPr>
          <w:ilvl w:val="0"/>
          <w:numId w:val="7"/>
        </w:num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《广西北部湾港总体规划（20</w:t>
      </w:r>
      <w:r>
        <w:rPr>
          <w:rFonts w:hint="eastAsia"/>
          <w:color w:val="000000" w:themeColor="text1"/>
          <w:u w:val="single"/>
          <w14:textFill>
            <w14:solidFill>
              <w14:schemeClr w14:val="tx1"/>
            </w14:solidFill>
          </w14:textFill>
        </w:rPr>
        <w:t>35年</w:t>
      </w:r>
      <w:r>
        <w:rPr>
          <w:color w:val="000000" w:themeColor="text1"/>
          <w:u w:val="single"/>
          <w14:textFill>
            <w14:solidFill>
              <w14:schemeClr w14:val="tx1"/>
            </w14:solidFill>
          </w14:textFill>
        </w:rPr>
        <w:t>）》；</w:t>
      </w:r>
    </w:p>
    <w:p w14:paraId="5F49D161">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《广西壮族自治区沿海港口布局规划》（2008）；</w:t>
      </w:r>
    </w:p>
    <w:p w14:paraId="1DC822AE">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北部湾</w:t>
      </w:r>
      <w:r>
        <w:rPr>
          <w:color w:val="000000" w:themeColor="text1"/>
          <w14:textFill>
            <w14:solidFill>
              <w14:schemeClr w14:val="tx1"/>
            </w14:solidFill>
          </w14:textFill>
        </w:rPr>
        <w:t>港总体规划（2035年）》；</w:t>
      </w:r>
    </w:p>
    <w:p w14:paraId="2B95102A">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《钦州市城市总体规划修编（2012-2030）》；</w:t>
      </w:r>
    </w:p>
    <w:p w14:paraId="0223EC51">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《广西钦州石化产业园总体发展规划（2020~2035）》</w:t>
      </w:r>
      <w:r>
        <w:rPr>
          <w:rFonts w:hint="eastAsia"/>
          <w:color w:val="000000" w:themeColor="text1"/>
          <w:lang w:eastAsia="zh-CN"/>
          <w14:textFill>
            <w14:solidFill>
              <w14:schemeClr w14:val="tx1"/>
            </w14:solidFill>
          </w14:textFill>
        </w:rPr>
        <w:t>；</w:t>
      </w:r>
    </w:p>
    <w:p w14:paraId="183BB9F8">
      <w:pPr>
        <w:numPr>
          <w:ilvl w:val="0"/>
          <w:numId w:val="7"/>
        </w:numPr>
        <w:ind w:firstLine="48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钦州市国土空间总体规划（2021年—2035年）</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w:t>
      </w:r>
    </w:p>
    <w:p w14:paraId="17776C56">
      <w:pPr>
        <w:pStyle w:val="4"/>
        <w:rPr>
          <w:color w:val="000000" w:themeColor="text1"/>
          <w14:textFill>
            <w14:solidFill>
              <w14:schemeClr w14:val="tx1"/>
            </w14:solidFill>
          </w14:textFill>
        </w:rPr>
      </w:pPr>
      <w:bookmarkStart w:id="45" w:name="_Toc136878414"/>
      <w:bookmarkStart w:id="46" w:name="_Toc135090165"/>
      <w:bookmarkStart w:id="47" w:name="_Toc216620326"/>
      <w:bookmarkStart w:id="48" w:name="_Toc26909950"/>
      <w:bookmarkStart w:id="49" w:name="_Toc25436905"/>
      <w:bookmarkStart w:id="50" w:name="_Toc216103167"/>
      <w:bookmarkStart w:id="51" w:name="_Toc29131764"/>
      <w:r>
        <w:rPr>
          <w:color w:val="000000" w:themeColor="text1"/>
          <w14:textFill>
            <w14:solidFill>
              <w14:schemeClr w14:val="tx1"/>
            </w14:solidFill>
          </w14:textFill>
        </w:rPr>
        <w:t>技术导则与技术规范</w:t>
      </w:r>
      <w:bookmarkEnd w:id="45"/>
      <w:bookmarkEnd w:id="46"/>
      <w:bookmarkEnd w:id="47"/>
      <w:bookmarkEnd w:id="48"/>
      <w:bookmarkEnd w:id="49"/>
      <w:bookmarkEnd w:id="50"/>
      <w:bookmarkEnd w:id="51"/>
    </w:p>
    <w:p w14:paraId="7D705AC8">
      <w:pPr>
        <w:numPr>
          <w:ilvl w:val="0"/>
          <w:numId w:val="8"/>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 xml:space="preserve">《环境影响评价技术导则 总纲》（HJ2.1-2016）； </w:t>
      </w:r>
    </w:p>
    <w:p w14:paraId="53ECB365">
      <w:pPr>
        <w:numPr>
          <w:ilvl w:val="0"/>
          <w:numId w:val="8"/>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《环境影响评价技术导则 大气环境》（HJ2.2-2018）；</w:t>
      </w:r>
    </w:p>
    <w:p w14:paraId="3150D5D8">
      <w:pPr>
        <w:numPr>
          <w:ilvl w:val="0"/>
          <w:numId w:val="8"/>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《环境影响评价技术导则 地表水环境》（HJ2.3-2018）；</w:t>
      </w:r>
    </w:p>
    <w:p w14:paraId="3EC81580">
      <w:pPr>
        <w:numPr>
          <w:ilvl w:val="0"/>
          <w:numId w:val="8"/>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《环境影响评价技术导则 地下水环境》（HJ610-2016）；</w:t>
      </w:r>
    </w:p>
    <w:p w14:paraId="45BEEAEF">
      <w:pPr>
        <w:numPr>
          <w:ilvl w:val="0"/>
          <w:numId w:val="8"/>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《环境影响评价技术导则 声环境》（HJ2.4-2021）；</w:t>
      </w:r>
    </w:p>
    <w:p w14:paraId="769ABDFE">
      <w:pPr>
        <w:numPr>
          <w:ilvl w:val="0"/>
          <w:numId w:val="8"/>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《环境影响评价技术导则 土壤环境（试行）》（HJ964-2018）；</w:t>
      </w:r>
    </w:p>
    <w:p w14:paraId="06E5C0C9">
      <w:pPr>
        <w:numPr>
          <w:ilvl w:val="0"/>
          <w:numId w:val="8"/>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《环境影响评价技术导则 生态影响》（HJ19-2022）；</w:t>
      </w:r>
    </w:p>
    <w:p w14:paraId="5E8760F0">
      <w:pPr>
        <w:numPr>
          <w:ilvl w:val="0"/>
          <w:numId w:val="8"/>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《建设项目环境风险评价技术导则》（HJ 169-2018）；</w:t>
      </w:r>
    </w:p>
    <w:p w14:paraId="4316592C">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《水运工程建设项目环境影响评价指南》（JTS/T 105-2021）；</w:t>
      </w:r>
    </w:p>
    <w:p w14:paraId="1A2D961A">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《建设项目危险废物环境影响评价指南》（2017年）；</w:t>
      </w:r>
    </w:p>
    <w:p w14:paraId="2AEC552F">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环境影响评价技术导则 海洋生态环境</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HJ1409-2025</w:t>
      </w:r>
      <w:r>
        <w:rPr>
          <w:color w:val="000000" w:themeColor="text1"/>
          <w14:textFill>
            <w14:solidFill>
              <w14:schemeClr w14:val="tx1"/>
            </w14:solidFill>
          </w14:textFill>
        </w:rPr>
        <w:t>）；</w:t>
      </w:r>
    </w:p>
    <w:p w14:paraId="35FA6150">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《水运工程环境保护设计规范》（JTS149-2018）；</w:t>
      </w:r>
    </w:p>
    <w:p w14:paraId="53BE1160">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《船舶污染海洋环境风险评价技术规范（试行）》（2020）；</w:t>
      </w:r>
    </w:p>
    <w:p w14:paraId="30999A19">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《港口码头水上污染事故应急防备能力要求》（JT/T451-2017）；</w:t>
      </w:r>
    </w:p>
    <w:p w14:paraId="45865164">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《危险化学品重大危险源辨识》（GB18218-2018）；</w:t>
      </w:r>
    </w:p>
    <w:p w14:paraId="62E2BF90">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《危险废物贮存污染控制标准》（GB18597-2023）；</w:t>
      </w:r>
    </w:p>
    <w:p w14:paraId="6E9E6829">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《危险废物收集贮存运输技术规范》（HJ2025-2012）；</w:t>
      </w:r>
    </w:p>
    <w:p w14:paraId="31179D26">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《水上溢油环境风险评估技术导则》（JT/T1143-2017）；</w:t>
      </w:r>
    </w:p>
    <w:p w14:paraId="5BFAA583">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《污染源源强核算技术指南  准则》（HJ884-2018）；</w:t>
      </w:r>
    </w:p>
    <w:p w14:paraId="24F33E5B">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《排污单位自行监测技术指南  总则》（HJ819-2017）；</w:t>
      </w:r>
    </w:p>
    <w:p w14:paraId="4AA98709">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《海洋生态环境监测技术规程》（2002）；</w:t>
      </w:r>
    </w:p>
    <w:p w14:paraId="49742782">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《海洋生物质量监测技术规程》（2002）；</w:t>
      </w:r>
    </w:p>
    <w:p w14:paraId="43837CE1">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《海洋监测规范》（GB17378）；</w:t>
      </w:r>
    </w:p>
    <w:p w14:paraId="7EE99246">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《海洋调查规范》（GB/T 12763）；</w:t>
      </w:r>
    </w:p>
    <w:p w14:paraId="76901F01">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《石油化工污水处理设计规范》（GB 50747-2012）；</w:t>
      </w:r>
    </w:p>
    <w:p w14:paraId="5DEA0D68">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《油气回收处理设施技术标准》（GB/T50759-2022）；</w:t>
      </w:r>
    </w:p>
    <w:p w14:paraId="7D438422">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《码头油气回收设施建设技术规范（试行）》（JTS196-12-20</w:t>
      </w:r>
      <w:r>
        <w:rPr>
          <w:rFonts w:hint="eastAsia"/>
          <w:color w:val="000000" w:themeColor="text1"/>
          <w:lang w:val="en-US" w:eastAsia="zh-CN"/>
          <w14:textFill>
            <w14:solidFill>
              <w14:schemeClr w14:val="tx1"/>
            </w14:solidFill>
          </w14:textFill>
        </w:rPr>
        <w:t>23</w:t>
      </w:r>
      <w:r>
        <w:rPr>
          <w:color w:val="000000" w:themeColor="text1"/>
          <w14:textFill>
            <w14:solidFill>
              <w14:schemeClr w14:val="tx1"/>
            </w14:solidFill>
          </w14:textFill>
        </w:rPr>
        <w:t>）。</w:t>
      </w:r>
    </w:p>
    <w:p w14:paraId="67E5B350">
      <w:pPr>
        <w:pStyle w:val="4"/>
        <w:rPr>
          <w:color w:val="000000" w:themeColor="text1"/>
          <w14:textFill>
            <w14:solidFill>
              <w14:schemeClr w14:val="tx1"/>
            </w14:solidFill>
          </w14:textFill>
        </w:rPr>
      </w:pPr>
      <w:bookmarkStart w:id="52" w:name="_Toc216103168"/>
      <w:bookmarkStart w:id="53" w:name="_Toc135090166"/>
      <w:bookmarkStart w:id="54" w:name="_Toc136878415"/>
      <w:bookmarkStart w:id="55" w:name="_Toc29131765"/>
      <w:bookmarkStart w:id="56" w:name="_Toc216620327"/>
      <w:bookmarkStart w:id="57" w:name="_Toc26909951"/>
      <w:r>
        <w:rPr>
          <w:color w:val="000000" w:themeColor="text1"/>
          <w14:textFill>
            <w14:solidFill>
              <w14:schemeClr w14:val="tx1"/>
            </w14:solidFill>
          </w14:textFill>
        </w:rPr>
        <w:t>项目相关技术文件及其他资料</w:t>
      </w:r>
      <w:bookmarkEnd w:id="52"/>
      <w:bookmarkEnd w:id="53"/>
      <w:bookmarkEnd w:id="54"/>
      <w:bookmarkEnd w:id="55"/>
      <w:bookmarkEnd w:id="56"/>
      <w:bookmarkEnd w:id="57"/>
    </w:p>
    <w:p w14:paraId="2ED5549C">
      <w:pPr>
        <w:numPr>
          <w:ilvl w:val="0"/>
          <w:numId w:val="9"/>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 xml:space="preserve">环境影响评价委托书； </w:t>
      </w:r>
    </w:p>
    <w:p w14:paraId="06A4E478">
      <w:pPr>
        <w:numPr>
          <w:ilvl w:val="0"/>
          <w:numId w:val="9"/>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项目工程可行性研究报告；</w:t>
      </w:r>
    </w:p>
    <w:p w14:paraId="5E35F43C">
      <w:pPr>
        <w:numPr>
          <w:ilvl w:val="0"/>
          <w:numId w:val="9"/>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北部湾</w:t>
      </w:r>
      <w:r>
        <w:rPr>
          <w:color w:val="000000" w:themeColor="text1"/>
          <w14:textFill>
            <w14:solidFill>
              <w14:schemeClr w14:val="tx1"/>
            </w14:solidFill>
          </w14:textFill>
        </w:rPr>
        <w:t>港总体规划环境影响报告书》及其批复；</w:t>
      </w:r>
    </w:p>
    <w:p w14:paraId="70E0AD82">
      <w:pPr>
        <w:numPr>
          <w:ilvl w:val="0"/>
          <w:numId w:val="9"/>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本项目环境质量现状监测报告；</w:t>
      </w:r>
    </w:p>
    <w:p w14:paraId="2987A305">
      <w:pPr>
        <w:numPr>
          <w:ilvl w:val="0"/>
          <w:numId w:val="9"/>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广西自贸区逸海港务有限责任公司</w:t>
      </w:r>
      <w:r>
        <w:rPr>
          <w:color w:val="000000" w:themeColor="text1"/>
          <w14:textFill>
            <w14:solidFill>
              <w14:schemeClr w14:val="tx1"/>
            </w14:solidFill>
          </w14:textFill>
        </w:rPr>
        <w:t>提供的其他有关技术资料。</w:t>
      </w:r>
    </w:p>
    <w:p w14:paraId="2361F1A9">
      <w:pPr>
        <w:pStyle w:val="5"/>
        <w:rPr>
          <w:color w:val="000000" w:themeColor="text1"/>
          <w14:textFill>
            <w14:solidFill>
              <w14:schemeClr w14:val="tx1"/>
            </w14:solidFill>
          </w14:textFill>
        </w:rPr>
      </w:pPr>
      <w:bookmarkStart w:id="58" w:name="_Toc216620328"/>
      <w:r>
        <w:rPr>
          <w:color w:val="000000" w:themeColor="text1"/>
          <w14:textFill>
            <w14:solidFill>
              <w14:schemeClr w14:val="tx1"/>
            </w14:solidFill>
          </w14:textFill>
        </w:rPr>
        <w:t>评价程序</w:t>
      </w:r>
      <w:bookmarkEnd w:id="58"/>
    </w:p>
    <w:p w14:paraId="5AD8B6A2">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本项目评价工作程序见图1.2-1。</w:t>
      </w:r>
    </w:p>
    <w:p w14:paraId="132AC543">
      <w:pPr>
        <w:ind w:left="480"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object>
          <v:shape id="_x0000_i1025" o:spt="75" type="#_x0000_t75" style="height:543pt;width:387pt;" o:ole="t" filled="f" o:preferrelative="t" stroked="f" coordsize="21600,21600">
            <v:path/>
            <v:fill on="f" focussize="0,0"/>
            <v:stroke on="f" joinstyle="miter"/>
            <v:imagedata r:id="rId47" o:title=""/>
            <o:lock v:ext="edit" aspectratio="f"/>
            <w10:wrap type="none"/>
            <w10:anchorlock/>
          </v:shape>
          <o:OLEObject Type="Embed" ProgID="Visio.Drawing.11" ShapeID="_x0000_i1025" DrawAspect="Content" ObjectID="_1468075725" r:id="rId46">
            <o:LockedField>false</o:LockedField>
          </o:OLEObject>
        </w:object>
      </w:r>
    </w:p>
    <w:p w14:paraId="39921D72">
      <w:pPr>
        <w:pStyle w:val="5"/>
        <w:rPr>
          <w:color w:val="000000" w:themeColor="text1"/>
          <w14:textFill>
            <w14:solidFill>
              <w14:schemeClr w14:val="tx1"/>
            </w14:solidFill>
          </w14:textFill>
        </w:rPr>
      </w:pPr>
      <w:bookmarkStart w:id="59" w:name="_Toc216620329"/>
      <w:r>
        <w:rPr>
          <w:color w:val="000000" w:themeColor="text1"/>
          <w14:textFill>
            <w14:solidFill>
              <w14:schemeClr w14:val="tx1"/>
            </w14:solidFill>
          </w14:textFill>
        </w:rPr>
        <w:t>环境影响识别与评价因子筛选</w:t>
      </w:r>
      <w:bookmarkEnd w:id="59"/>
    </w:p>
    <w:p w14:paraId="1B765DE6">
      <w:pPr>
        <w:pStyle w:val="4"/>
        <w:rPr>
          <w:color w:val="000000" w:themeColor="text1"/>
          <w14:textFill>
            <w14:solidFill>
              <w14:schemeClr w14:val="tx1"/>
            </w14:solidFill>
          </w14:textFill>
        </w:rPr>
      </w:pPr>
      <w:bookmarkStart w:id="60" w:name="_Toc26909954"/>
      <w:bookmarkStart w:id="61" w:name="_Toc136878418"/>
      <w:bookmarkStart w:id="62" w:name="_Toc29131768"/>
      <w:bookmarkStart w:id="63" w:name="_Toc25436908"/>
      <w:bookmarkStart w:id="64" w:name="_Toc216620330"/>
      <w:bookmarkStart w:id="65" w:name="_Toc135090169"/>
      <w:bookmarkStart w:id="66" w:name="_Toc216103171"/>
      <w:r>
        <w:rPr>
          <w:color w:val="000000" w:themeColor="text1"/>
          <w14:textFill>
            <w14:solidFill>
              <w14:schemeClr w14:val="tx1"/>
            </w14:solidFill>
          </w14:textFill>
        </w:rPr>
        <w:t>环境影响因素识别</w:t>
      </w:r>
      <w:bookmarkEnd w:id="60"/>
      <w:bookmarkEnd w:id="61"/>
      <w:bookmarkEnd w:id="62"/>
      <w:bookmarkEnd w:id="63"/>
      <w:bookmarkEnd w:id="64"/>
      <w:bookmarkEnd w:id="65"/>
      <w:bookmarkEnd w:id="66"/>
    </w:p>
    <w:p w14:paraId="45B11203">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排放的污染物，凡是对空气、水体、声环境、生态环境等构成影响的因素均为影响因子。项目对环境的影响有不利与有利、长期与短期、可逆与不可逆及局部与广泛影响。不利影响主要集中表现在施工期及营运期，其中施工期影响基本上是短期与局部的。营运期影响基本上是长期与不可逆的。</w:t>
      </w:r>
    </w:p>
    <w:p w14:paraId="7EFD9A27">
      <w:pPr>
        <w:ind w:firstLine="480"/>
        <w:rPr>
          <w:color w:val="000000" w:themeColor="text1"/>
          <w14:textFill>
            <w14:solidFill>
              <w14:schemeClr w14:val="tx1"/>
            </w14:solidFill>
          </w14:textFill>
        </w:rPr>
      </w:pPr>
      <w:r>
        <w:rPr>
          <w:color w:val="000000" w:themeColor="text1"/>
          <w14:textFill>
            <w14:solidFill>
              <w14:schemeClr w14:val="tx1"/>
            </w14:solidFill>
          </w14:textFill>
        </w:rPr>
        <w:t>项目对环境可能造成的主要影响是：施工期场地内运输车辆、施工机械产生的噪声、扬尘，水上施工产生的悬浮物等；营运期主要是装卸废气、生活污水、噪声、工业固体废弃物等对环境的影响。项目在施工期对环境产生的影响是不利的，但此类影响是短期的；项目投入营运后，其在营运期内产生的各类污染物对环境的影响将通过采取有效的控制后，这些不利影响因素可有效削减。</w:t>
      </w:r>
    </w:p>
    <w:p w14:paraId="7777D3EC">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建设项目环境影响因子识别表</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7" w:type="dxa"/>
          <w:bottom w:w="0" w:type="dxa"/>
          <w:right w:w="57" w:type="dxa"/>
        </w:tblCellMar>
      </w:tblPr>
      <w:tblGrid>
        <w:gridCol w:w="393"/>
        <w:gridCol w:w="649"/>
        <w:gridCol w:w="2389"/>
        <w:gridCol w:w="3202"/>
        <w:gridCol w:w="1123"/>
        <w:gridCol w:w="647"/>
        <w:gridCol w:w="783"/>
      </w:tblGrid>
      <w:tr w14:paraId="5A78BF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214" w:type="pct"/>
            <w:vAlign w:val="center"/>
          </w:tcPr>
          <w:p w14:paraId="1C4A9CE9">
            <w:pPr>
              <w:pStyle w:val="70"/>
              <w:rPr>
                <w:b/>
                <w:color w:val="000000" w:themeColor="text1"/>
                <w14:textFill>
                  <w14:solidFill>
                    <w14:schemeClr w14:val="tx1"/>
                  </w14:solidFill>
                </w14:textFill>
              </w:rPr>
            </w:pPr>
            <w:r>
              <w:rPr>
                <w:b/>
                <w:color w:val="000000" w:themeColor="text1"/>
                <w14:textFill>
                  <w14:solidFill>
                    <w14:schemeClr w14:val="tx1"/>
                  </w14:solidFill>
                </w14:textFill>
              </w:rPr>
              <w:t>阶段</w:t>
            </w:r>
          </w:p>
        </w:tc>
        <w:tc>
          <w:tcPr>
            <w:tcW w:w="353" w:type="pct"/>
            <w:vAlign w:val="center"/>
          </w:tcPr>
          <w:p w14:paraId="00FF308D">
            <w:pPr>
              <w:pStyle w:val="70"/>
              <w:rPr>
                <w:b/>
                <w:color w:val="000000" w:themeColor="text1"/>
                <w14:textFill>
                  <w14:solidFill>
                    <w14:schemeClr w14:val="tx1"/>
                  </w14:solidFill>
                </w14:textFill>
              </w:rPr>
            </w:pPr>
            <w:r>
              <w:rPr>
                <w:b/>
                <w:color w:val="000000" w:themeColor="text1"/>
                <w14:textFill>
                  <w14:solidFill>
                    <w14:schemeClr w14:val="tx1"/>
                  </w14:solidFill>
                </w14:textFill>
              </w:rPr>
              <w:t>种类</w:t>
            </w:r>
          </w:p>
        </w:tc>
        <w:tc>
          <w:tcPr>
            <w:tcW w:w="1300" w:type="pct"/>
            <w:vAlign w:val="center"/>
          </w:tcPr>
          <w:p w14:paraId="6420348A">
            <w:pPr>
              <w:pStyle w:val="70"/>
              <w:rPr>
                <w:b/>
                <w:color w:val="000000" w:themeColor="text1"/>
                <w14:textFill>
                  <w14:solidFill>
                    <w14:schemeClr w14:val="tx1"/>
                  </w14:solidFill>
                </w14:textFill>
              </w:rPr>
            </w:pPr>
            <w:r>
              <w:rPr>
                <w:b/>
                <w:color w:val="000000" w:themeColor="text1"/>
                <w14:textFill>
                  <w14:solidFill>
                    <w14:schemeClr w14:val="tx1"/>
                  </w14:solidFill>
                </w14:textFill>
              </w:rPr>
              <w:t>来源</w:t>
            </w:r>
          </w:p>
        </w:tc>
        <w:tc>
          <w:tcPr>
            <w:tcW w:w="1742" w:type="pct"/>
            <w:vAlign w:val="center"/>
          </w:tcPr>
          <w:p w14:paraId="59207E20">
            <w:pPr>
              <w:pStyle w:val="70"/>
              <w:rPr>
                <w:b/>
                <w:color w:val="000000" w:themeColor="text1"/>
                <w14:textFill>
                  <w14:solidFill>
                    <w14:schemeClr w14:val="tx1"/>
                  </w14:solidFill>
                </w14:textFill>
              </w:rPr>
            </w:pPr>
            <w:r>
              <w:rPr>
                <w:b/>
                <w:color w:val="000000" w:themeColor="text1"/>
                <w14:textFill>
                  <w14:solidFill>
                    <w14:schemeClr w14:val="tx1"/>
                  </w14:solidFill>
                </w14:textFill>
              </w:rPr>
              <w:t>主要污染因子</w:t>
            </w:r>
          </w:p>
        </w:tc>
        <w:tc>
          <w:tcPr>
            <w:tcW w:w="611" w:type="pct"/>
            <w:vAlign w:val="center"/>
          </w:tcPr>
          <w:p w14:paraId="2E3B0ACF">
            <w:pPr>
              <w:pStyle w:val="70"/>
              <w:rPr>
                <w:b/>
                <w:color w:val="000000" w:themeColor="text1"/>
                <w14:textFill>
                  <w14:solidFill>
                    <w14:schemeClr w14:val="tx1"/>
                  </w14:solidFill>
                </w14:textFill>
              </w:rPr>
            </w:pPr>
            <w:r>
              <w:rPr>
                <w:b/>
                <w:color w:val="000000" w:themeColor="text1"/>
                <w14:textFill>
                  <w14:solidFill>
                    <w14:schemeClr w14:val="tx1"/>
                  </w14:solidFill>
                </w14:textFill>
              </w:rPr>
              <w:t>排放位置</w:t>
            </w:r>
          </w:p>
        </w:tc>
        <w:tc>
          <w:tcPr>
            <w:tcW w:w="352" w:type="pct"/>
            <w:vAlign w:val="center"/>
          </w:tcPr>
          <w:p w14:paraId="091287DC">
            <w:pPr>
              <w:pStyle w:val="70"/>
              <w:rPr>
                <w:b/>
                <w:color w:val="000000" w:themeColor="text1"/>
                <w14:textFill>
                  <w14:solidFill>
                    <w14:schemeClr w14:val="tx1"/>
                  </w14:solidFill>
                </w14:textFill>
              </w:rPr>
            </w:pPr>
            <w:r>
              <w:rPr>
                <w:b/>
                <w:color w:val="000000" w:themeColor="text1"/>
                <w14:textFill>
                  <w14:solidFill>
                    <w14:schemeClr w14:val="tx1"/>
                  </w14:solidFill>
                </w14:textFill>
              </w:rPr>
              <w:t>污染程度</w:t>
            </w:r>
          </w:p>
        </w:tc>
        <w:tc>
          <w:tcPr>
            <w:tcW w:w="426" w:type="pct"/>
            <w:vAlign w:val="center"/>
          </w:tcPr>
          <w:p w14:paraId="09A08F5F">
            <w:pPr>
              <w:pStyle w:val="70"/>
              <w:rPr>
                <w:b/>
                <w:color w:val="000000" w:themeColor="text1"/>
                <w14:textFill>
                  <w14:solidFill>
                    <w14:schemeClr w14:val="tx1"/>
                  </w14:solidFill>
                </w14:textFill>
              </w:rPr>
            </w:pPr>
            <w:r>
              <w:rPr>
                <w:b/>
                <w:color w:val="000000" w:themeColor="text1"/>
                <w14:textFill>
                  <w14:solidFill>
                    <w14:schemeClr w14:val="tx1"/>
                  </w14:solidFill>
                </w14:textFill>
              </w:rPr>
              <w:t>污染</w:t>
            </w:r>
          </w:p>
          <w:p w14:paraId="1F21E47D">
            <w:pPr>
              <w:pStyle w:val="70"/>
              <w:rPr>
                <w:b/>
                <w:color w:val="000000" w:themeColor="text1"/>
                <w14:textFill>
                  <w14:solidFill>
                    <w14:schemeClr w14:val="tx1"/>
                  </w14:solidFill>
                </w14:textFill>
              </w:rPr>
            </w:pPr>
            <w:r>
              <w:rPr>
                <w:b/>
                <w:color w:val="000000" w:themeColor="text1"/>
                <w14:textFill>
                  <w14:solidFill>
                    <w14:schemeClr w14:val="tx1"/>
                  </w14:solidFill>
                </w14:textFill>
              </w:rPr>
              <w:t>特点</w:t>
            </w:r>
          </w:p>
        </w:tc>
      </w:tr>
      <w:tr w14:paraId="07B56B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214" w:type="pct"/>
            <w:vMerge w:val="restart"/>
            <w:vAlign w:val="center"/>
          </w:tcPr>
          <w:p w14:paraId="1F8C9FBF">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p>
        </w:tc>
        <w:tc>
          <w:tcPr>
            <w:tcW w:w="353" w:type="pct"/>
            <w:vAlign w:val="center"/>
          </w:tcPr>
          <w:p w14:paraId="3BA24250">
            <w:pPr>
              <w:pStyle w:val="70"/>
              <w:rPr>
                <w:color w:val="000000" w:themeColor="text1"/>
                <w14:textFill>
                  <w14:solidFill>
                    <w14:schemeClr w14:val="tx1"/>
                  </w14:solidFill>
                </w14:textFill>
              </w:rPr>
            </w:pPr>
            <w:r>
              <w:rPr>
                <w:color w:val="000000" w:themeColor="text1"/>
                <w14:textFill>
                  <w14:solidFill>
                    <w14:schemeClr w14:val="tx1"/>
                  </w14:solidFill>
                </w14:textFill>
              </w:rPr>
              <w:t>废气、扬尘</w:t>
            </w:r>
          </w:p>
        </w:tc>
        <w:tc>
          <w:tcPr>
            <w:tcW w:w="1300" w:type="pct"/>
            <w:vAlign w:val="center"/>
          </w:tcPr>
          <w:p w14:paraId="729BE40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施工扬尘、施工机械废气、焊接烟尘和涂漆废气</w:t>
            </w:r>
          </w:p>
        </w:tc>
        <w:tc>
          <w:tcPr>
            <w:tcW w:w="1742" w:type="pct"/>
            <w:vAlign w:val="center"/>
          </w:tcPr>
          <w:p w14:paraId="7F487E0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TSP、SO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、NO</w:t>
            </w:r>
            <w:r>
              <w:rPr>
                <w:rFonts w:hint="eastAsia"/>
                <w:color w:val="000000" w:themeColor="text1"/>
                <w:vertAlign w:val="subscript"/>
                <w14:textFill>
                  <w14:solidFill>
                    <w14:schemeClr w14:val="tx1"/>
                  </w14:solidFill>
                </w14:textFill>
              </w:rPr>
              <w:t>X</w:t>
            </w:r>
            <w:r>
              <w:rPr>
                <w:rFonts w:hint="eastAsia"/>
                <w:color w:val="000000" w:themeColor="text1"/>
                <w14:textFill>
                  <w14:solidFill>
                    <w14:schemeClr w14:val="tx1"/>
                  </w14:solidFill>
                </w14:textFill>
              </w:rPr>
              <w:t>、焊接烟尘、涂漆废气</w:t>
            </w:r>
          </w:p>
        </w:tc>
        <w:tc>
          <w:tcPr>
            <w:tcW w:w="611" w:type="pct"/>
            <w:vMerge w:val="restart"/>
            <w:vAlign w:val="center"/>
          </w:tcPr>
          <w:p w14:paraId="5FBFC16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施工区</w:t>
            </w:r>
          </w:p>
        </w:tc>
        <w:tc>
          <w:tcPr>
            <w:tcW w:w="352" w:type="pct"/>
            <w:vAlign w:val="center"/>
          </w:tcPr>
          <w:p w14:paraId="3B8B1A83">
            <w:pPr>
              <w:pStyle w:val="70"/>
              <w:rPr>
                <w:color w:val="000000" w:themeColor="text1"/>
                <w14:textFill>
                  <w14:solidFill>
                    <w14:schemeClr w14:val="tx1"/>
                  </w14:solidFill>
                </w14:textFill>
              </w:rPr>
            </w:pPr>
            <w:r>
              <w:rPr>
                <w:color w:val="000000" w:themeColor="text1"/>
                <w14:textFill>
                  <w14:solidFill>
                    <w14:schemeClr w14:val="tx1"/>
                  </w14:solidFill>
                </w14:textFill>
              </w:rPr>
              <w:t>中等</w:t>
            </w:r>
          </w:p>
        </w:tc>
        <w:tc>
          <w:tcPr>
            <w:tcW w:w="426" w:type="pct"/>
            <w:vAlign w:val="center"/>
          </w:tcPr>
          <w:p w14:paraId="7F3CE99C">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11FF02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6A09D926">
            <w:pPr>
              <w:pStyle w:val="70"/>
              <w:rPr>
                <w:color w:val="000000" w:themeColor="text1"/>
                <w14:textFill>
                  <w14:solidFill>
                    <w14:schemeClr w14:val="tx1"/>
                  </w14:solidFill>
                </w14:textFill>
              </w:rPr>
            </w:pPr>
          </w:p>
        </w:tc>
        <w:tc>
          <w:tcPr>
            <w:tcW w:w="353" w:type="pct"/>
            <w:vMerge w:val="restart"/>
            <w:vAlign w:val="center"/>
          </w:tcPr>
          <w:p w14:paraId="50554A62">
            <w:pPr>
              <w:pStyle w:val="70"/>
              <w:rPr>
                <w:color w:val="000000" w:themeColor="text1"/>
                <w14:textFill>
                  <w14:solidFill>
                    <w14:schemeClr w14:val="tx1"/>
                  </w14:solidFill>
                </w14:textFill>
              </w:rPr>
            </w:pPr>
            <w:r>
              <w:rPr>
                <w:color w:val="000000" w:themeColor="text1"/>
                <w14:textFill>
                  <w14:solidFill>
                    <w14:schemeClr w14:val="tx1"/>
                  </w14:solidFill>
                </w14:textFill>
              </w:rPr>
              <w:t>废水</w:t>
            </w:r>
          </w:p>
        </w:tc>
        <w:tc>
          <w:tcPr>
            <w:tcW w:w="1300" w:type="pct"/>
            <w:vAlign w:val="center"/>
          </w:tcPr>
          <w:p w14:paraId="0E1E8A08">
            <w:pPr>
              <w:pStyle w:val="70"/>
              <w:rPr>
                <w:color w:val="000000" w:themeColor="text1"/>
                <w14:textFill>
                  <w14:solidFill>
                    <w14:schemeClr w14:val="tx1"/>
                  </w14:solidFill>
                </w14:textFill>
              </w:rPr>
            </w:pPr>
            <w:r>
              <w:rPr>
                <w:color w:val="000000" w:themeColor="text1"/>
                <w14:textFill>
                  <w14:solidFill>
                    <w14:schemeClr w14:val="tx1"/>
                  </w14:solidFill>
                </w14:textFill>
              </w:rPr>
              <w:t>生活污水、施工废水</w:t>
            </w:r>
          </w:p>
        </w:tc>
        <w:tc>
          <w:tcPr>
            <w:tcW w:w="1742" w:type="pct"/>
            <w:vAlign w:val="center"/>
          </w:tcPr>
          <w:p w14:paraId="414C30A3">
            <w:pPr>
              <w:pStyle w:val="70"/>
              <w:rPr>
                <w:color w:val="000000" w:themeColor="text1"/>
                <w14:textFill>
                  <w14:solidFill>
                    <w14:schemeClr w14:val="tx1"/>
                  </w14:solidFill>
                </w14:textFill>
              </w:rPr>
            </w:pPr>
            <w:r>
              <w:rPr>
                <w:color w:val="000000" w:themeColor="text1"/>
                <w14:textFill>
                  <w14:solidFill>
                    <w14:schemeClr w14:val="tx1"/>
                  </w14:solidFill>
                </w14:textFill>
              </w:rPr>
              <w:t>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、COD、NH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p>
        </w:tc>
        <w:tc>
          <w:tcPr>
            <w:tcW w:w="0" w:type="auto"/>
            <w:vMerge w:val="continue"/>
            <w:vAlign w:val="center"/>
          </w:tcPr>
          <w:p w14:paraId="562619DE">
            <w:pPr>
              <w:pStyle w:val="70"/>
              <w:rPr>
                <w:color w:val="000000" w:themeColor="text1"/>
                <w14:textFill>
                  <w14:solidFill>
                    <w14:schemeClr w14:val="tx1"/>
                  </w14:solidFill>
                </w14:textFill>
              </w:rPr>
            </w:pPr>
          </w:p>
        </w:tc>
        <w:tc>
          <w:tcPr>
            <w:tcW w:w="352" w:type="pct"/>
            <w:vAlign w:val="center"/>
          </w:tcPr>
          <w:p w14:paraId="3F2D7246">
            <w:pPr>
              <w:pStyle w:val="70"/>
              <w:rPr>
                <w:color w:val="000000" w:themeColor="text1"/>
                <w14:textFill>
                  <w14:solidFill>
                    <w14:schemeClr w14:val="tx1"/>
                  </w14:solidFill>
                </w14:textFill>
              </w:rPr>
            </w:pPr>
            <w:r>
              <w:rPr>
                <w:color w:val="000000" w:themeColor="text1"/>
                <w14:textFill>
                  <w14:solidFill>
                    <w14:schemeClr w14:val="tx1"/>
                  </w14:solidFill>
                </w14:textFill>
              </w:rPr>
              <w:t>轻度</w:t>
            </w:r>
          </w:p>
        </w:tc>
        <w:tc>
          <w:tcPr>
            <w:tcW w:w="426" w:type="pct"/>
            <w:vAlign w:val="center"/>
          </w:tcPr>
          <w:p w14:paraId="1B7B9465">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428B53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549CF242">
            <w:pPr>
              <w:pStyle w:val="70"/>
              <w:rPr>
                <w:color w:val="000000" w:themeColor="text1"/>
                <w14:textFill>
                  <w14:solidFill>
                    <w14:schemeClr w14:val="tx1"/>
                  </w14:solidFill>
                </w14:textFill>
              </w:rPr>
            </w:pPr>
          </w:p>
        </w:tc>
        <w:tc>
          <w:tcPr>
            <w:tcW w:w="0" w:type="auto"/>
            <w:vMerge w:val="continue"/>
            <w:vAlign w:val="center"/>
          </w:tcPr>
          <w:p w14:paraId="57126D6F">
            <w:pPr>
              <w:pStyle w:val="70"/>
              <w:rPr>
                <w:color w:val="000000" w:themeColor="text1"/>
                <w14:textFill>
                  <w14:solidFill>
                    <w14:schemeClr w14:val="tx1"/>
                  </w14:solidFill>
                </w14:textFill>
              </w:rPr>
            </w:pPr>
          </w:p>
        </w:tc>
        <w:tc>
          <w:tcPr>
            <w:tcW w:w="1300" w:type="pct"/>
            <w:vAlign w:val="center"/>
          </w:tcPr>
          <w:p w14:paraId="7740C0AC">
            <w:pPr>
              <w:pStyle w:val="70"/>
              <w:rPr>
                <w:color w:val="000000" w:themeColor="text1"/>
                <w14:textFill>
                  <w14:solidFill>
                    <w14:schemeClr w14:val="tx1"/>
                  </w14:solidFill>
                </w14:textFill>
              </w:rPr>
            </w:pPr>
            <w:r>
              <w:rPr>
                <w:color w:val="000000" w:themeColor="text1"/>
                <w14:textFill>
                  <w14:solidFill>
                    <w14:schemeClr w14:val="tx1"/>
                  </w14:solidFill>
                </w14:textFill>
              </w:rPr>
              <w:t>试压</w:t>
            </w:r>
            <w:r>
              <w:rPr>
                <w:rFonts w:hint="eastAsia"/>
                <w:color w:val="000000" w:themeColor="text1"/>
                <w14:textFill>
                  <w14:solidFill>
                    <w14:schemeClr w14:val="tx1"/>
                  </w14:solidFill>
                </w14:textFill>
              </w:rPr>
              <w:t>废水</w:t>
            </w:r>
          </w:p>
        </w:tc>
        <w:tc>
          <w:tcPr>
            <w:tcW w:w="1742" w:type="pct"/>
            <w:vAlign w:val="center"/>
          </w:tcPr>
          <w:p w14:paraId="29D54244">
            <w:pPr>
              <w:pStyle w:val="70"/>
              <w:rPr>
                <w:color w:val="000000" w:themeColor="text1"/>
                <w14:textFill>
                  <w14:solidFill>
                    <w14:schemeClr w14:val="tx1"/>
                  </w14:solidFill>
                </w14:textFill>
              </w:rPr>
            </w:pPr>
            <w:r>
              <w:rPr>
                <w:color w:val="000000" w:themeColor="text1"/>
                <w14:textFill>
                  <w14:solidFill>
                    <w14:schemeClr w14:val="tx1"/>
                  </w14:solidFill>
                </w14:textFill>
              </w:rPr>
              <w:t>少量铁锈、泥沙</w:t>
            </w:r>
          </w:p>
        </w:tc>
        <w:tc>
          <w:tcPr>
            <w:tcW w:w="0" w:type="auto"/>
            <w:vMerge w:val="continue"/>
            <w:vAlign w:val="center"/>
          </w:tcPr>
          <w:p w14:paraId="15475897">
            <w:pPr>
              <w:pStyle w:val="70"/>
              <w:rPr>
                <w:color w:val="000000" w:themeColor="text1"/>
                <w14:textFill>
                  <w14:solidFill>
                    <w14:schemeClr w14:val="tx1"/>
                  </w14:solidFill>
                </w14:textFill>
              </w:rPr>
            </w:pPr>
          </w:p>
        </w:tc>
        <w:tc>
          <w:tcPr>
            <w:tcW w:w="352" w:type="pct"/>
            <w:vAlign w:val="center"/>
          </w:tcPr>
          <w:p w14:paraId="2C0143D9">
            <w:pPr>
              <w:pStyle w:val="70"/>
              <w:rPr>
                <w:color w:val="000000" w:themeColor="text1"/>
                <w14:textFill>
                  <w14:solidFill>
                    <w14:schemeClr w14:val="tx1"/>
                  </w14:solidFill>
                </w14:textFill>
              </w:rPr>
            </w:pPr>
            <w:r>
              <w:rPr>
                <w:color w:val="000000" w:themeColor="text1"/>
                <w14:textFill>
                  <w14:solidFill>
                    <w14:schemeClr w14:val="tx1"/>
                  </w14:solidFill>
                </w14:textFill>
              </w:rPr>
              <w:t>轻度</w:t>
            </w:r>
          </w:p>
        </w:tc>
        <w:tc>
          <w:tcPr>
            <w:tcW w:w="426" w:type="pct"/>
            <w:vAlign w:val="center"/>
          </w:tcPr>
          <w:p w14:paraId="277206B7">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67CB41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33A8318F">
            <w:pPr>
              <w:pStyle w:val="70"/>
              <w:rPr>
                <w:color w:val="000000" w:themeColor="text1"/>
                <w14:textFill>
                  <w14:solidFill>
                    <w14:schemeClr w14:val="tx1"/>
                  </w14:solidFill>
                </w14:textFill>
              </w:rPr>
            </w:pPr>
          </w:p>
        </w:tc>
        <w:tc>
          <w:tcPr>
            <w:tcW w:w="0" w:type="auto"/>
            <w:vMerge w:val="continue"/>
            <w:vAlign w:val="center"/>
          </w:tcPr>
          <w:p w14:paraId="502B8675">
            <w:pPr>
              <w:pStyle w:val="70"/>
              <w:rPr>
                <w:color w:val="000000" w:themeColor="text1"/>
                <w14:textFill>
                  <w14:solidFill>
                    <w14:schemeClr w14:val="tx1"/>
                  </w14:solidFill>
                </w14:textFill>
              </w:rPr>
            </w:pPr>
          </w:p>
        </w:tc>
        <w:tc>
          <w:tcPr>
            <w:tcW w:w="1300" w:type="pct"/>
            <w:vAlign w:val="center"/>
          </w:tcPr>
          <w:p w14:paraId="17F0EFEA">
            <w:pPr>
              <w:pStyle w:val="70"/>
              <w:rPr>
                <w:color w:val="000000" w:themeColor="text1"/>
                <w14:textFill>
                  <w14:solidFill>
                    <w14:schemeClr w14:val="tx1"/>
                  </w14:solidFill>
                </w14:textFill>
              </w:rPr>
            </w:pPr>
            <w:r>
              <w:rPr>
                <w:color w:val="000000" w:themeColor="text1"/>
                <w14:textFill>
                  <w14:solidFill>
                    <w14:schemeClr w14:val="tx1"/>
                  </w14:solidFill>
                </w14:textFill>
              </w:rPr>
              <w:t>船舶污水</w:t>
            </w:r>
          </w:p>
        </w:tc>
        <w:tc>
          <w:tcPr>
            <w:tcW w:w="1742" w:type="pct"/>
            <w:vAlign w:val="center"/>
          </w:tcPr>
          <w:p w14:paraId="76533C56">
            <w:pPr>
              <w:pStyle w:val="70"/>
              <w:rPr>
                <w:color w:val="000000" w:themeColor="text1"/>
                <w14:textFill>
                  <w14:solidFill>
                    <w14:schemeClr w14:val="tx1"/>
                  </w14:solidFill>
                </w14:textFill>
              </w:rPr>
            </w:pPr>
            <w:r>
              <w:rPr>
                <w:color w:val="000000" w:themeColor="text1"/>
                <w14:textFill>
                  <w14:solidFill>
                    <w14:schemeClr w14:val="tx1"/>
                  </w14:solidFill>
                </w14:textFill>
              </w:rPr>
              <w:t>石油类</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SS、COD、BOD</w:t>
            </w:r>
            <w:r>
              <w:rPr>
                <w:color w:val="000000" w:themeColor="text1"/>
                <w:vertAlign w:val="subscript"/>
                <w14:textFill>
                  <w14:solidFill>
                    <w14:schemeClr w14:val="tx1"/>
                  </w14:solidFill>
                </w14:textFill>
              </w:rPr>
              <w:t>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p>
        </w:tc>
        <w:tc>
          <w:tcPr>
            <w:tcW w:w="0" w:type="auto"/>
            <w:vMerge w:val="continue"/>
            <w:vAlign w:val="center"/>
          </w:tcPr>
          <w:p w14:paraId="1604F2CF">
            <w:pPr>
              <w:pStyle w:val="70"/>
              <w:rPr>
                <w:color w:val="000000" w:themeColor="text1"/>
                <w14:textFill>
                  <w14:solidFill>
                    <w14:schemeClr w14:val="tx1"/>
                  </w14:solidFill>
                </w14:textFill>
              </w:rPr>
            </w:pPr>
          </w:p>
        </w:tc>
        <w:tc>
          <w:tcPr>
            <w:tcW w:w="352" w:type="pct"/>
            <w:vAlign w:val="center"/>
          </w:tcPr>
          <w:p w14:paraId="01017FB9">
            <w:pPr>
              <w:pStyle w:val="70"/>
              <w:rPr>
                <w:color w:val="000000" w:themeColor="text1"/>
                <w14:textFill>
                  <w14:solidFill>
                    <w14:schemeClr w14:val="tx1"/>
                  </w14:solidFill>
                </w14:textFill>
              </w:rPr>
            </w:pPr>
            <w:r>
              <w:rPr>
                <w:color w:val="000000" w:themeColor="text1"/>
                <w14:textFill>
                  <w14:solidFill>
                    <w14:schemeClr w14:val="tx1"/>
                  </w14:solidFill>
                </w14:textFill>
              </w:rPr>
              <w:t>轻度</w:t>
            </w:r>
          </w:p>
        </w:tc>
        <w:tc>
          <w:tcPr>
            <w:tcW w:w="426" w:type="pct"/>
            <w:vAlign w:val="center"/>
          </w:tcPr>
          <w:p w14:paraId="0C291588">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22243D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65F1FADF">
            <w:pPr>
              <w:pStyle w:val="70"/>
              <w:rPr>
                <w:color w:val="000000" w:themeColor="text1"/>
                <w14:textFill>
                  <w14:solidFill>
                    <w14:schemeClr w14:val="tx1"/>
                  </w14:solidFill>
                </w14:textFill>
              </w:rPr>
            </w:pPr>
          </w:p>
        </w:tc>
        <w:tc>
          <w:tcPr>
            <w:tcW w:w="353" w:type="pct"/>
            <w:vAlign w:val="center"/>
          </w:tcPr>
          <w:p w14:paraId="22689607">
            <w:pPr>
              <w:pStyle w:val="70"/>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1300" w:type="pct"/>
            <w:vAlign w:val="center"/>
          </w:tcPr>
          <w:p w14:paraId="6B4B9C9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施工船舶</w:t>
            </w:r>
            <w:r>
              <w:rPr>
                <w:color w:val="000000" w:themeColor="text1"/>
                <w14:textFill>
                  <w14:solidFill>
                    <w14:schemeClr w14:val="tx1"/>
                  </w14:solidFill>
                </w14:textFill>
              </w:rPr>
              <w:t>、施工机械</w:t>
            </w:r>
          </w:p>
        </w:tc>
        <w:tc>
          <w:tcPr>
            <w:tcW w:w="1742" w:type="pct"/>
            <w:vAlign w:val="center"/>
          </w:tcPr>
          <w:p w14:paraId="213CB4D7">
            <w:pPr>
              <w:pStyle w:val="70"/>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0" w:type="auto"/>
            <w:vMerge w:val="continue"/>
            <w:vAlign w:val="center"/>
          </w:tcPr>
          <w:p w14:paraId="6591D421">
            <w:pPr>
              <w:pStyle w:val="70"/>
              <w:rPr>
                <w:color w:val="000000" w:themeColor="text1"/>
                <w14:textFill>
                  <w14:solidFill>
                    <w14:schemeClr w14:val="tx1"/>
                  </w14:solidFill>
                </w14:textFill>
              </w:rPr>
            </w:pPr>
          </w:p>
        </w:tc>
        <w:tc>
          <w:tcPr>
            <w:tcW w:w="352" w:type="pct"/>
            <w:vAlign w:val="center"/>
          </w:tcPr>
          <w:p w14:paraId="5F0015DA">
            <w:pPr>
              <w:pStyle w:val="70"/>
              <w:rPr>
                <w:color w:val="000000" w:themeColor="text1"/>
                <w14:textFill>
                  <w14:solidFill>
                    <w14:schemeClr w14:val="tx1"/>
                  </w14:solidFill>
                </w14:textFill>
              </w:rPr>
            </w:pPr>
            <w:r>
              <w:rPr>
                <w:color w:val="000000" w:themeColor="text1"/>
                <w14:textFill>
                  <w14:solidFill>
                    <w14:schemeClr w14:val="tx1"/>
                  </w14:solidFill>
                </w14:textFill>
              </w:rPr>
              <w:t>中等</w:t>
            </w:r>
          </w:p>
        </w:tc>
        <w:tc>
          <w:tcPr>
            <w:tcW w:w="426" w:type="pct"/>
            <w:vAlign w:val="center"/>
          </w:tcPr>
          <w:p w14:paraId="6C4389AB">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2A499F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21" w:hRule="atLeast"/>
          <w:jc w:val="center"/>
        </w:trPr>
        <w:tc>
          <w:tcPr>
            <w:tcW w:w="0" w:type="auto"/>
            <w:vMerge w:val="continue"/>
            <w:vAlign w:val="center"/>
          </w:tcPr>
          <w:p w14:paraId="23FA5E79">
            <w:pPr>
              <w:pStyle w:val="70"/>
              <w:rPr>
                <w:color w:val="000000" w:themeColor="text1"/>
                <w14:textFill>
                  <w14:solidFill>
                    <w14:schemeClr w14:val="tx1"/>
                  </w14:solidFill>
                </w14:textFill>
              </w:rPr>
            </w:pPr>
          </w:p>
        </w:tc>
        <w:tc>
          <w:tcPr>
            <w:tcW w:w="353" w:type="pct"/>
            <w:vMerge w:val="restart"/>
            <w:vAlign w:val="center"/>
          </w:tcPr>
          <w:p w14:paraId="3ED6406C">
            <w:pPr>
              <w:pStyle w:val="70"/>
              <w:rPr>
                <w:color w:val="000000" w:themeColor="text1"/>
                <w14:textFill>
                  <w14:solidFill>
                    <w14:schemeClr w14:val="tx1"/>
                  </w14:solidFill>
                </w14:textFill>
              </w:rPr>
            </w:pPr>
            <w:r>
              <w:rPr>
                <w:color w:val="000000" w:themeColor="text1"/>
                <w14:textFill>
                  <w14:solidFill>
                    <w14:schemeClr w14:val="tx1"/>
                  </w14:solidFill>
                </w14:textFill>
              </w:rPr>
              <w:t>固体废物</w:t>
            </w:r>
          </w:p>
        </w:tc>
        <w:tc>
          <w:tcPr>
            <w:tcW w:w="1300" w:type="pct"/>
            <w:vAlign w:val="center"/>
          </w:tcPr>
          <w:p w14:paraId="687B363C">
            <w:pPr>
              <w:pStyle w:val="70"/>
              <w:rPr>
                <w:color w:val="000000" w:themeColor="text1"/>
                <w14:textFill>
                  <w14:solidFill>
                    <w14:schemeClr w14:val="tx1"/>
                  </w14:solidFill>
                </w14:textFill>
              </w:rPr>
            </w:pPr>
            <w:r>
              <w:rPr>
                <w:color w:val="000000" w:themeColor="text1"/>
                <w14:textFill>
                  <w14:solidFill>
                    <w14:schemeClr w14:val="tx1"/>
                  </w14:solidFill>
                </w14:textFill>
              </w:rPr>
              <w:t>施工人员生活垃圾</w:t>
            </w:r>
            <w:r>
              <w:rPr>
                <w:rFonts w:hint="eastAsia"/>
                <w:color w:val="000000" w:themeColor="text1"/>
                <w14:textFill>
                  <w14:solidFill>
                    <w14:schemeClr w14:val="tx1"/>
                  </w14:solidFill>
                </w14:textFill>
              </w:rPr>
              <w:t>、施工船舶垃圾</w:t>
            </w:r>
          </w:p>
        </w:tc>
        <w:tc>
          <w:tcPr>
            <w:tcW w:w="1742" w:type="pct"/>
            <w:vAlign w:val="center"/>
          </w:tcPr>
          <w:p w14:paraId="78148EB3">
            <w:pPr>
              <w:pStyle w:val="70"/>
              <w:rPr>
                <w:color w:val="000000" w:themeColor="text1"/>
                <w14:textFill>
                  <w14:solidFill>
                    <w14:schemeClr w14:val="tx1"/>
                  </w14:solidFill>
                </w14:textFill>
              </w:rPr>
            </w:pPr>
            <w:r>
              <w:rPr>
                <w:color w:val="000000" w:themeColor="text1"/>
                <w14:textFill>
                  <w14:solidFill>
                    <w14:schemeClr w14:val="tx1"/>
                  </w14:solidFill>
                </w14:textFill>
              </w:rPr>
              <w:t>瓜果皮、菜渣、食品包装袋、剩饭等</w:t>
            </w:r>
          </w:p>
        </w:tc>
        <w:tc>
          <w:tcPr>
            <w:tcW w:w="0" w:type="auto"/>
            <w:vMerge w:val="continue"/>
            <w:vAlign w:val="center"/>
          </w:tcPr>
          <w:p w14:paraId="44E0C5C7">
            <w:pPr>
              <w:pStyle w:val="70"/>
              <w:rPr>
                <w:color w:val="000000" w:themeColor="text1"/>
                <w14:textFill>
                  <w14:solidFill>
                    <w14:schemeClr w14:val="tx1"/>
                  </w14:solidFill>
                </w14:textFill>
              </w:rPr>
            </w:pPr>
          </w:p>
        </w:tc>
        <w:tc>
          <w:tcPr>
            <w:tcW w:w="352" w:type="pct"/>
            <w:vMerge w:val="restart"/>
            <w:vAlign w:val="center"/>
          </w:tcPr>
          <w:p w14:paraId="6C3A406A">
            <w:pPr>
              <w:pStyle w:val="70"/>
              <w:rPr>
                <w:color w:val="000000" w:themeColor="text1"/>
                <w14:textFill>
                  <w14:solidFill>
                    <w14:schemeClr w14:val="tx1"/>
                  </w14:solidFill>
                </w14:textFill>
              </w:rPr>
            </w:pPr>
            <w:r>
              <w:rPr>
                <w:color w:val="000000" w:themeColor="text1"/>
                <w14:textFill>
                  <w14:solidFill>
                    <w14:schemeClr w14:val="tx1"/>
                  </w14:solidFill>
                </w14:textFill>
              </w:rPr>
              <w:t>轻度</w:t>
            </w:r>
          </w:p>
        </w:tc>
        <w:tc>
          <w:tcPr>
            <w:tcW w:w="426" w:type="pct"/>
            <w:vAlign w:val="center"/>
          </w:tcPr>
          <w:p w14:paraId="066EA0BA">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100B36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263953A2">
            <w:pPr>
              <w:pStyle w:val="70"/>
              <w:rPr>
                <w:color w:val="000000" w:themeColor="text1"/>
                <w14:textFill>
                  <w14:solidFill>
                    <w14:schemeClr w14:val="tx1"/>
                  </w14:solidFill>
                </w14:textFill>
              </w:rPr>
            </w:pPr>
          </w:p>
        </w:tc>
        <w:tc>
          <w:tcPr>
            <w:tcW w:w="0" w:type="auto"/>
            <w:vMerge w:val="continue"/>
            <w:vAlign w:val="center"/>
          </w:tcPr>
          <w:p w14:paraId="4C339A7F">
            <w:pPr>
              <w:pStyle w:val="70"/>
              <w:rPr>
                <w:color w:val="000000" w:themeColor="text1"/>
                <w14:textFill>
                  <w14:solidFill>
                    <w14:schemeClr w14:val="tx1"/>
                  </w14:solidFill>
                </w14:textFill>
              </w:rPr>
            </w:pPr>
          </w:p>
        </w:tc>
        <w:tc>
          <w:tcPr>
            <w:tcW w:w="1300" w:type="pct"/>
            <w:vAlign w:val="center"/>
          </w:tcPr>
          <w:p w14:paraId="3DC9A13A">
            <w:pPr>
              <w:pStyle w:val="70"/>
              <w:rPr>
                <w:color w:val="000000" w:themeColor="text1"/>
                <w14:textFill>
                  <w14:solidFill>
                    <w14:schemeClr w14:val="tx1"/>
                  </w14:solidFill>
                </w14:textFill>
              </w:rPr>
            </w:pPr>
            <w:r>
              <w:rPr>
                <w:color w:val="000000" w:themeColor="text1"/>
                <w14:textFill>
                  <w14:solidFill>
                    <w14:schemeClr w14:val="tx1"/>
                  </w14:solidFill>
                </w14:textFill>
              </w:rPr>
              <w:t>施工废料</w:t>
            </w:r>
          </w:p>
        </w:tc>
        <w:tc>
          <w:tcPr>
            <w:tcW w:w="1742" w:type="pct"/>
            <w:vAlign w:val="center"/>
          </w:tcPr>
          <w:p w14:paraId="67EC363C">
            <w:pPr>
              <w:pStyle w:val="70"/>
              <w:rPr>
                <w:color w:val="000000" w:themeColor="text1"/>
                <w14:textFill>
                  <w14:solidFill>
                    <w14:schemeClr w14:val="tx1"/>
                  </w14:solidFill>
                </w14:textFill>
              </w:rPr>
            </w:pPr>
            <w:r>
              <w:rPr>
                <w:color w:val="000000" w:themeColor="text1"/>
                <w14:textFill>
                  <w14:solidFill>
                    <w14:schemeClr w14:val="tx1"/>
                  </w14:solidFill>
                </w14:textFill>
              </w:rPr>
              <w:t>废防腐材料等</w:t>
            </w:r>
          </w:p>
        </w:tc>
        <w:tc>
          <w:tcPr>
            <w:tcW w:w="0" w:type="auto"/>
            <w:vMerge w:val="continue"/>
            <w:vAlign w:val="center"/>
          </w:tcPr>
          <w:p w14:paraId="4D605B8B">
            <w:pPr>
              <w:pStyle w:val="70"/>
              <w:rPr>
                <w:color w:val="000000" w:themeColor="text1"/>
                <w14:textFill>
                  <w14:solidFill>
                    <w14:schemeClr w14:val="tx1"/>
                  </w14:solidFill>
                </w14:textFill>
              </w:rPr>
            </w:pPr>
          </w:p>
        </w:tc>
        <w:tc>
          <w:tcPr>
            <w:tcW w:w="0" w:type="auto"/>
            <w:vMerge w:val="continue"/>
            <w:vAlign w:val="center"/>
          </w:tcPr>
          <w:p w14:paraId="7CF16B17">
            <w:pPr>
              <w:pStyle w:val="70"/>
              <w:rPr>
                <w:color w:val="000000" w:themeColor="text1"/>
                <w14:textFill>
                  <w14:solidFill>
                    <w14:schemeClr w14:val="tx1"/>
                  </w14:solidFill>
                </w14:textFill>
              </w:rPr>
            </w:pPr>
          </w:p>
        </w:tc>
        <w:tc>
          <w:tcPr>
            <w:tcW w:w="426" w:type="pct"/>
            <w:vAlign w:val="center"/>
          </w:tcPr>
          <w:p w14:paraId="6CE1200A">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320267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62606F03">
            <w:pPr>
              <w:pStyle w:val="70"/>
              <w:rPr>
                <w:color w:val="000000" w:themeColor="text1"/>
                <w14:textFill>
                  <w14:solidFill>
                    <w14:schemeClr w14:val="tx1"/>
                  </w14:solidFill>
                </w14:textFill>
              </w:rPr>
            </w:pPr>
          </w:p>
        </w:tc>
        <w:tc>
          <w:tcPr>
            <w:tcW w:w="0" w:type="auto"/>
            <w:vMerge w:val="continue"/>
            <w:vAlign w:val="center"/>
          </w:tcPr>
          <w:p w14:paraId="6848D7E3">
            <w:pPr>
              <w:pStyle w:val="70"/>
              <w:rPr>
                <w:color w:val="000000" w:themeColor="text1"/>
                <w14:textFill>
                  <w14:solidFill>
                    <w14:schemeClr w14:val="tx1"/>
                  </w14:solidFill>
                </w14:textFill>
              </w:rPr>
            </w:pPr>
          </w:p>
        </w:tc>
        <w:tc>
          <w:tcPr>
            <w:tcW w:w="1300" w:type="pct"/>
            <w:vAlign w:val="center"/>
          </w:tcPr>
          <w:p w14:paraId="3B8186B1">
            <w:pPr>
              <w:pStyle w:val="70"/>
              <w:rPr>
                <w:color w:val="000000" w:themeColor="text1"/>
                <w14:textFill>
                  <w14:solidFill>
                    <w14:schemeClr w14:val="tx1"/>
                  </w14:solidFill>
                </w14:textFill>
              </w:rPr>
            </w:pPr>
            <w:r>
              <w:rPr>
                <w:color w:val="000000" w:themeColor="text1"/>
                <w14:textFill>
                  <w14:solidFill>
                    <w14:schemeClr w14:val="tx1"/>
                  </w14:solidFill>
                </w14:textFill>
              </w:rPr>
              <w:t>危险废物</w:t>
            </w:r>
          </w:p>
        </w:tc>
        <w:tc>
          <w:tcPr>
            <w:tcW w:w="1742" w:type="pct"/>
            <w:vAlign w:val="center"/>
          </w:tcPr>
          <w:p w14:paraId="62006CCC">
            <w:pPr>
              <w:pStyle w:val="70"/>
              <w:rPr>
                <w:color w:val="000000" w:themeColor="text1"/>
                <w14:textFill>
                  <w14:solidFill>
                    <w14:schemeClr w14:val="tx1"/>
                  </w14:solidFill>
                </w14:textFill>
              </w:rPr>
            </w:pPr>
            <w:r>
              <w:rPr>
                <w:color w:val="000000" w:themeColor="text1"/>
                <w14:textFill>
                  <w14:solidFill>
                    <w14:schemeClr w14:val="tx1"/>
                  </w14:solidFill>
                </w14:textFill>
              </w:rPr>
              <w:t>废油漆桶、</w:t>
            </w:r>
            <w:r>
              <w:rPr>
                <w:rFonts w:hint="eastAsia"/>
                <w:color w:val="000000" w:themeColor="text1"/>
                <w14:textFill>
                  <w14:solidFill>
                    <w14:schemeClr w14:val="tx1"/>
                  </w14:solidFill>
                </w14:textFill>
              </w:rPr>
              <w:t>废</w:t>
            </w:r>
            <w:r>
              <w:rPr>
                <w:color w:val="000000" w:themeColor="text1"/>
                <w14:textFill>
                  <w14:solidFill>
                    <w14:schemeClr w14:val="tx1"/>
                  </w14:solidFill>
                </w14:textFill>
              </w:rPr>
              <w:t>油漆刷</w:t>
            </w:r>
            <w:r>
              <w:rPr>
                <w:rFonts w:hint="eastAsia"/>
                <w:color w:val="000000" w:themeColor="text1"/>
                <w14:textFill>
                  <w14:solidFill>
                    <w14:schemeClr w14:val="tx1"/>
                  </w14:solidFill>
                </w14:textFill>
              </w:rPr>
              <w:t>等</w:t>
            </w:r>
          </w:p>
        </w:tc>
        <w:tc>
          <w:tcPr>
            <w:tcW w:w="0" w:type="auto"/>
            <w:vMerge w:val="continue"/>
            <w:vAlign w:val="center"/>
          </w:tcPr>
          <w:p w14:paraId="5ECE4A62">
            <w:pPr>
              <w:pStyle w:val="70"/>
              <w:rPr>
                <w:color w:val="000000" w:themeColor="text1"/>
                <w14:textFill>
                  <w14:solidFill>
                    <w14:schemeClr w14:val="tx1"/>
                  </w14:solidFill>
                </w14:textFill>
              </w:rPr>
            </w:pPr>
          </w:p>
        </w:tc>
        <w:tc>
          <w:tcPr>
            <w:tcW w:w="0" w:type="auto"/>
            <w:vMerge w:val="continue"/>
            <w:vAlign w:val="center"/>
          </w:tcPr>
          <w:p w14:paraId="10C1FCBF">
            <w:pPr>
              <w:pStyle w:val="70"/>
              <w:rPr>
                <w:color w:val="000000" w:themeColor="text1"/>
                <w14:textFill>
                  <w14:solidFill>
                    <w14:schemeClr w14:val="tx1"/>
                  </w14:solidFill>
                </w14:textFill>
              </w:rPr>
            </w:pPr>
          </w:p>
        </w:tc>
        <w:tc>
          <w:tcPr>
            <w:tcW w:w="426" w:type="pct"/>
            <w:vAlign w:val="center"/>
          </w:tcPr>
          <w:p w14:paraId="58127AB4">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5C6BCD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45" w:hRule="atLeast"/>
          <w:jc w:val="center"/>
        </w:trPr>
        <w:tc>
          <w:tcPr>
            <w:tcW w:w="214" w:type="pct"/>
            <w:vMerge w:val="restart"/>
            <w:vAlign w:val="center"/>
          </w:tcPr>
          <w:p w14:paraId="5B18738F">
            <w:pPr>
              <w:pStyle w:val="70"/>
              <w:rPr>
                <w:color w:val="000000" w:themeColor="text1"/>
                <w14:textFill>
                  <w14:solidFill>
                    <w14:schemeClr w14:val="tx1"/>
                  </w14:solidFill>
                </w14:textFill>
              </w:rPr>
            </w:pPr>
            <w:r>
              <w:rPr>
                <w:color w:val="000000" w:themeColor="text1"/>
                <w14:textFill>
                  <w14:solidFill>
                    <w14:schemeClr w14:val="tx1"/>
                  </w14:solidFill>
                </w14:textFill>
              </w:rPr>
              <w:t>运营期</w:t>
            </w:r>
          </w:p>
        </w:tc>
        <w:tc>
          <w:tcPr>
            <w:tcW w:w="353" w:type="pct"/>
            <w:vMerge w:val="restart"/>
            <w:vAlign w:val="center"/>
          </w:tcPr>
          <w:p w14:paraId="5A3E00C5">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废气</w:t>
            </w:r>
          </w:p>
        </w:tc>
        <w:tc>
          <w:tcPr>
            <w:tcW w:w="1300" w:type="pct"/>
            <w:vAlign w:val="center"/>
          </w:tcPr>
          <w:p w14:paraId="08ABF611">
            <w:pPr>
              <w:pStyle w:val="7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卸船</w:t>
            </w:r>
            <w:r>
              <w:rPr>
                <w:color w:val="000000" w:themeColor="text1"/>
                <w14:textFill>
                  <w14:solidFill>
                    <w14:schemeClr w14:val="tx1"/>
                  </w14:solidFill>
                </w14:textFill>
              </w:rPr>
              <w:t>废气</w:t>
            </w:r>
          </w:p>
        </w:tc>
        <w:tc>
          <w:tcPr>
            <w:tcW w:w="1742" w:type="pct"/>
            <w:vAlign w:val="center"/>
          </w:tcPr>
          <w:p w14:paraId="10DCF0F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非甲烷总烃、苯乙烯、硫酸等</w:t>
            </w:r>
          </w:p>
        </w:tc>
        <w:tc>
          <w:tcPr>
            <w:tcW w:w="611" w:type="pct"/>
            <w:vMerge w:val="restart"/>
            <w:vAlign w:val="center"/>
          </w:tcPr>
          <w:p w14:paraId="2B7FAE0C">
            <w:pPr>
              <w:pStyle w:val="70"/>
              <w:rPr>
                <w:color w:val="000000" w:themeColor="text1"/>
                <w14:textFill>
                  <w14:solidFill>
                    <w14:schemeClr w14:val="tx1"/>
                  </w14:solidFill>
                </w14:textFill>
              </w:rPr>
            </w:pPr>
            <w:r>
              <w:rPr>
                <w:color w:val="000000" w:themeColor="text1"/>
                <w14:textFill>
                  <w14:solidFill>
                    <w14:schemeClr w14:val="tx1"/>
                  </w14:solidFill>
                </w14:textFill>
              </w:rPr>
              <w:t>码头前沿</w:t>
            </w:r>
          </w:p>
        </w:tc>
        <w:tc>
          <w:tcPr>
            <w:tcW w:w="352" w:type="pct"/>
            <w:vMerge w:val="restart"/>
            <w:vAlign w:val="center"/>
          </w:tcPr>
          <w:p w14:paraId="698D2DF0">
            <w:pPr>
              <w:pStyle w:val="70"/>
              <w:rPr>
                <w:color w:val="000000" w:themeColor="text1"/>
                <w14:textFill>
                  <w14:solidFill>
                    <w14:schemeClr w14:val="tx1"/>
                  </w14:solidFill>
                </w14:textFill>
              </w:rPr>
            </w:pPr>
            <w:r>
              <w:rPr>
                <w:color w:val="000000" w:themeColor="text1"/>
                <w14:textFill>
                  <w14:solidFill>
                    <w14:schemeClr w14:val="tx1"/>
                  </w14:solidFill>
                </w14:textFill>
              </w:rPr>
              <w:t>中度</w:t>
            </w:r>
          </w:p>
        </w:tc>
        <w:tc>
          <w:tcPr>
            <w:tcW w:w="426" w:type="pct"/>
            <w:vAlign w:val="center"/>
          </w:tcPr>
          <w:p w14:paraId="19189FA9">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7D6962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45" w:hRule="atLeast"/>
          <w:jc w:val="center"/>
        </w:trPr>
        <w:tc>
          <w:tcPr>
            <w:tcW w:w="0" w:type="auto"/>
            <w:vMerge w:val="continue"/>
            <w:vAlign w:val="center"/>
          </w:tcPr>
          <w:p w14:paraId="18623D36">
            <w:pPr>
              <w:pStyle w:val="70"/>
              <w:rPr>
                <w:color w:val="000000" w:themeColor="text1"/>
                <w14:textFill>
                  <w14:solidFill>
                    <w14:schemeClr w14:val="tx1"/>
                  </w14:solidFill>
                </w14:textFill>
              </w:rPr>
            </w:pPr>
          </w:p>
        </w:tc>
        <w:tc>
          <w:tcPr>
            <w:tcW w:w="0" w:type="auto"/>
            <w:vMerge w:val="continue"/>
            <w:vAlign w:val="center"/>
          </w:tcPr>
          <w:p w14:paraId="6613C6E5">
            <w:pPr>
              <w:pStyle w:val="70"/>
              <w:rPr>
                <w:color w:val="000000" w:themeColor="text1"/>
                <w14:textFill>
                  <w14:solidFill>
                    <w14:schemeClr w14:val="tx1"/>
                  </w14:solidFill>
                </w14:textFill>
              </w:rPr>
            </w:pPr>
          </w:p>
        </w:tc>
        <w:tc>
          <w:tcPr>
            <w:tcW w:w="1300" w:type="pct"/>
            <w:vAlign w:val="center"/>
          </w:tcPr>
          <w:p w14:paraId="4871B2A3">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装船废气</w:t>
            </w:r>
          </w:p>
        </w:tc>
        <w:tc>
          <w:tcPr>
            <w:tcW w:w="1742" w:type="pct"/>
            <w:vAlign w:val="center"/>
          </w:tcPr>
          <w:p w14:paraId="1BBF9B7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非甲烷总烃、苯乙烯、硫酸等</w:t>
            </w:r>
          </w:p>
        </w:tc>
        <w:tc>
          <w:tcPr>
            <w:tcW w:w="0" w:type="auto"/>
            <w:vMerge w:val="continue"/>
            <w:vAlign w:val="center"/>
          </w:tcPr>
          <w:p w14:paraId="298C6F06">
            <w:pPr>
              <w:pStyle w:val="70"/>
              <w:rPr>
                <w:color w:val="000000" w:themeColor="text1"/>
                <w14:textFill>
                  <w14:solidFill>
                    <w14:schemeClr w14:val="tx1"/>
                  </w14:solidFill>
                </w14:textFill>
              </w:rPr>
            </w:pPr>
          </w:p>
        </w:tc>
        <w:tc>
          <w:tcPr>
            <w:tcW w:w="0" w:type="auto"/>
            <w:vMerge w:val="continue"/>
            <w:vAlign w:val="center"/>
          </w:tcPr>
          <w:p w14:paraId="2825AC89">
            <w:pPr>
              <w:pStyle w:val="70"/>
              <w:rPr>
                <w:color w:val="000000" w:themeColor="text1"/>
                <w14:textFill>
                  <w14:solidFill>
                    <w14:schemeClr w14:val="tx1"/>
                  </w14:solidFill>
                </w14:textFill>
              </w:rPr>
            </w:pPr>
          </w:p>
        </w:tc>
        <w:tc>
          <w:tcPr>
            <w:tcW w:w="426" w:type="pct"/>
            <w:vAlign w:val="center"/>
          </w:tcPr>
          <w:p w14:paraId="2BCBBBF1">
            <w:pPr>
              <w:pStyle w:val="70"/>
              <w:rPr>
                <w:color w:val="000000" w:themeColor="text1"/>
                <w14:textFill>
                  <w14:solidFill>
                    <w14:schemeClr w14:val="tx1"/>
                  </w14:solidFill>
                </w14:textFill>
              </w:rPr>
            </w:pPr>
          </w:p>
        </w:tc>
      </w:tr>
      <w:tr w14:paraId="4D5C3B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10" w:hRule="atLeast"/>
          <w:jc w:val="center"/>
        </w:trPr>
        <w:tc>
          <w:tcPr>
            <w:tcW w:w="0" w:type="auto"/>
            <w:vMerge w:val="continue"/>
            <w:vAlign w:val="center"/>
          </w:tcPr>
          <w:p w14:paraId="69FA1C96">
            <w:pPr>
              <w:pStyle w:val="70"/>
              <w:rPr>
                <w:color w:val="000000" w:themeColor="text1"/>
                <w14:textFill>
                  <w14:solidFill>
                    <w14:schemeClr w14:val="tx1"/>
                  </w14:solidFill>
                </w14:textFill>
              </w:rPr>
            </w:pPr>
          </w:p>
        </w:tc>
        <w:tc>
          <w:tcPr>
            <w:tcW w:w="0" w:type="auto"/>
            <w:vMerge w:val="continue"/>
            <w:vAlign w:val="center"/>
          </w:tcPr>
          <w:p w14:paraId="611002D7">
            <w:pPr>
              <w:pStyle w:val="70"/>
              <w:rPr>
                <w:color w:val="000000" w:themeColor="text1"/>
                <w14:textFill>
                  <w14:solidFill>
                    <w14:schemeClr w14:val="tx1"/>
                  </w14:solidFill>
                </w14:textFill>
              </w:rPr>
            </w:pPr>
          </w:p>
        </w:tc>
        <w:tc>
          <w:tcPr>
            <w:tcW w:w="1300" w:type="pct"/>
            <w:vAlign w:val="center"/>
          </w:tcPr>
          <w:p w14:paraId="1A26BE15">
            <w:pPr>
              <w:pStyle w:val="70"/>
              <w:rPr>
                <w:color w:val="000000" w:themeColor="text1"/>
                <w14:textFill>
                  <w14:solidFill>
                    <w14:schemeClr w14:val="tx1"/>
                  </w14:solidFill>
                </w14:textFill>
              </w:rPr>
            </w:pPr>
            <w:r>
              <w:rPr>
                <w:color w:val="000000" w:themeColor="text1"/>
                <w14:textFill>
                  <w14:solidFill>
                    <w14:schemeClr w14:val="tx1"/>
                  </w14:solidFill>
                </w14:textFill>
              </w:rPr>
              <w:t>扫线废气</w:t>
            </w:r>
          </w:p>
        </w:tc>
        <w:tc>
          <w:tcPr>
            <w:tcW w:w="1742" w:type="pct"/>
            <w:vAlign w:val="center"/>
          </w:tcPr>
          <w:p w14:paraId="3097313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非甲烷总烃、苯乙烯、硫酸等</w:t>
            </w:r>
          </w:p>
        </w:tc>
        <w:tc>
          <w:tcPr>
            <w:tcW w:w="0" w:type="auto"/>
            <w:vMerge w:val="continue"/>
            <w:vAlign w:val="center"/>
          </w:tcPr>
          <w:p w14:paraId="0F7A0E1D">
            <w:pPr>
              <w:pStyle w:val="70"/>
              <w:rPr>
                <w:color w:val="000000" w:themeColor="text1"/>
                <w14:textFill>
                  <w14:solidFill>
                    <w14:schemeClr w14:val="tx1"/>
                  </w14:solidFill>
                </w14:textFill>
              </w:rPr>
            </w:pPr>
          </w:p>
        </w:tc>
        <w:tc>
          <w:tcPr>
            <w:tcW w:w="0" w:type="auto"/>
            <w:vMerge w:val="continue"/>
            <w:vAlign w:val="center"/>
          </w:tcPr>
          <w:p w14:paraId="19D44E26">
            <w:pPr>
              <w:pStyle w:val="70"/>
              <w:rPr>
                <w:color w:val="000000" w:themeColor="text1"/>
                <w14:textFill>
                  <w14:solidFill>
                    <w14:schemeClr w14:val="tx1"/>
                  </w14:solidFill>
                </w14:textFill>
              </w:rPr>
            </w:pPr>
          </w:p>
        </w:tc>
        <w:tc>
          <w:tcPr>
            <w:tcW w:w="426" w:type="pct"/>
            <w:vAlign w:val="center"/>
          </w:tcPr>
          <w:p w14:paraId="4EFD836D">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63CCC4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1AD59A42">
            <w:pPr>
              <w:pStyle w:val="70"/>
              <w:rPr>
                <w:color w:val="000000" w:themeColor="text1"/>
                <w14:textFill>
                  <w14:solidFill>
                    <w14:schemeClr w14:val="tx1"/>
                  </w14:solidFill>
                </w14:textFill>
              </w:rPr>
            </w:pPr>
          </w:p>
        </w:tc>
        <w:tc>
          <w:tcPr>
            <w:tcW w:w="0" w:type="auto"/>
            <w:vMerge w:val="continue"/>
            <w:vAlign w:val="center"/>
          </w:tcPr>
          <w:p w14:paraId="01A3A7C3">
            <w:pPr>
              <w:pStyle w:val="70"/>
              <w:rPr>
                <w:color w:val="000000" w:themeColor="text1"/>
                <w14:textFill>
                  <w14:solidFill>
                    <w14:schemeClr w14:val="tx1"/>
                  </w14:solidFill>
                </w14:textFill>
              </w:rPr>
            </w:pPr>
          </w:p>
        </w:tc>
        <w:tc>
          <w:tcPr>
            <w:tcW w:w="1300" w:type="pct"/>
            <w:vAlign w:val="center"/>
          </w:tcPr>
          <w:p w14:paraId="46D72524">
            <w:pPr>
              <w:pStyle w:val="70"/>
              <w:rPr>
                <w:color w:val="000000" w:themeColor="text1"/>
                <w14:textFill>
                  <w14:solidFill>
                    <w14:schemeClr w14:val="tx1"/>
                  </w14:solidFill>
                </w14:textFill>
              </w:rPr>
            </w:pPr>
            <w:r>
              <w:rPr>
                <w:color w:val="000000" w:themeColor="text1"/>
                <w14:textFill>
                  <w14:solidFill>
                    <w14:schemeClr w14:val="tx1"/>
                  </w14:solidFill>
                </w14:textFill>
              </w:rPr>
              <w:t>船舶废气</w:t>
            </w:r>
          </w:p>
        </w:tc>
        <w:tc>
          <w:tcPr>
            <w:tcW w:w="1742" w:type="pct"/>
            <w:vAlign w:val="center"/>
          </w:tcPr>
          <w:p w14:paraId="583E5464">
            <w:pPr>
              <w:pStyle w:val="70"/>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X</w:t>
            </w:r>
          </w:p>
        </w:tc>
        <w:tc>
          <w:tcPr>
            <w:tcW w:w="0" w:type="auto"/>
            <w:vMerge w:val="continue"/>
            <w:vAlign w:val="center"/>
          </w:tcPr>
          <w:p w14:paraId="1A7A34A6">
            <w:pPr>
              <w:pStyle w:val="70"/>
              <w:rPr>
                <w:color w:val="000000" w:themeColor="text1"/>
                <w14:textFill>
                  <w14:solidFill>
                    <w14:schemeClr w14:val="tx1"/>
                  </w14:solidFill>
                </w14:textFill>
              </w:rPr>
            </w:pPr>
          </w:p>
        </w:tc>
        <w:tc>
          <w:tcPr>
            <w:tcW w:w="352" w:type="pct"/>
            <w:vAlign w:val="center"/>
          </w:tcPr>
          <w:p w14:paraId="47079B49">
            <w:pPr>
              <w:pStyle w:val="70"/>
              <w:rPr>
                <w:color w:val="000000" w:themeColor="text1"/>
                <w14:textFill>
                  <w14:solidFill>
                    <w14:schemeClr w14:val="tx1"/>
                  </w14:solidFill>
                </w14:textFill>
              </w:rPr>
            </w:pPr>
            <w:r>
              <w:rPr>
                <w:color w:val="000000" w:themeColor="text1"/>
                <w14:textFill>
                  <w14:solidFill>
                    <w14:schemeClr w14:val="tx1"/>
                  </w14:solidFill>
                </w14:textFill>
              </w:rPr>
              <w:t>轻度</w:t>
            </w:r>
          </w:p>
        </w:tc>
        <w:tc>
          <w:tcPr>
            <w:tcW w:w="426" w:type="pct"/>
            <w:vAlign w:val="center"/>
          </w:tcPr>
          <w:p w14:paraId="1CB0A1EC">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35B151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11" w:hRule="atLeast"/>
          <w:jc w:val="center"/>
        </w:trPr>
        <w:tc>
          <w:tcPr>
            <w:tcW w:w="0" w:type="auto"/>
            <w:vMerge w:val="continue"/>
            <w:vAlign w:val="center"/>
          </w:tcPr>
          <w:p w14:paraId="3D0279D7">
            <w:pPr>
              <w:pStyle w:val="70"/>
              <w:rPr>
                <w:color w:val="000000" w:themeColor="text1"/>
                <w14:textFill>
                  <w14:solidFill>
                    <w14:schemeClr w14:val="tx1"/>
                  </w14:solidFill>
                </w14:textFill>
              </w:rPr>
            </w:pPr>
          </w:p>
        </w:tc>
        <w:tc>
          <w:tcPr>
            <w:tcW w:w="353" w:type="pct"/>
            <w:vMerge w:val="restart"/>
            <w:vAlign w:val="center"/>
          </w:tcPr>
          <w:p w14:paraId="3826FFAF">
            <w:pPr>
              <w:pStyle w:val="70"/>
              <w:rPr>
                <w:color w:val="000000" w:themeColor="text1"/>
                <w14:textFill>
                  <w14:solidFill>
                    <w14:schemeClr w14:val="tx1"/>
                  </w14:solidFill>
                </w14:textFill>
              </w:rPr>
            </w:pPr>
            <w:r>
              <w:rPr>
                <w:color w:val="000000" w:themeColor="text1"/>
                <w14:textFill>
                  <w14:solidFill>
                    <w14:schemeClr w14:val="tx1"/>
                  </w14:solidFill>
                </w14:textFill>
              </w:rPr>
              <w:t>废水</w:t>
            </w:r>
          </w:p>
        </w:tc>
        <w:tc>
          <w:tcPr>
            <w:tcW w:w="1300" w:type="pct"/>
            <w:vAlign w:val="center"/>
          </w:tcPr>
          <w:p w14:paraId="5A1218EC">
            <w:pPr>
              <w:pStyle w:val="70"/>
              <w:rPr>
                <w:color w:val="000000" w:themeColor="text1"/>
                <w14:textFill>
                  <w14:solidFill>
                    <w14:schemeClr w14:val="tx1"/>
                  </w14:solidFill>
                </w14:textFill>
              </w:rPr>
            </w:pPr>
            <w:r>
              <w:rPr>
                <w:color w:val="000000" w:themeColor="text1"/>
                <w14:textFill>
                  <w14:solidFill>
                    <w14:schemeClr w14:val="tx1"/>
                  </w14:solidFill>
                </w14:textFill>
              </w:rPr>
              <w:t>管道清洗废水</w:t>
            </w:r>
          </w:p>
        </w:tc>
        <w:tc>
          <w:tcPr>
            <w:tcW w:w="1742" w:type="pct"/>
            <w:vAlign w:val="center"/>
          </w:tcPr>
          <w:p w14:paraId="25160ACE">
            <w:pPr>
              <w:pStyle w:val="70"/>
              <w:rPr>
                <w:color w:val="000000" w:themeColor="text1"/>
                <w14:textFill>
                  <w14:solidFill>
                    <w14:schemeClr w14:val="tx1"/>
                  </w14:solidFill>
                </w14:textFill>
              </w:rPr>
            </w:pPr>
            <w:r>
              <w:rPr>
                <w:color w:val="000000" w:themeColor="text1"/>
                <w14:textFill>
                  <w14:solidFill>
                    <w14:schemeClr w14:val="tx1"/>
                  </w14:solidFill>
                </w14:textFill>
              </w:rPr>
              <w:t>COD、SS</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石油类</w:t>
            </w:r>
          </w:p>
        </w:tc>
        <w:tc>
          <w:tcPr>
            <w:tcW w:w="611" w:type="pct"/>
            <w:vAlign w:val="center"/>
          </w:tcPr>
          <w:p w14:paraId="456A2DF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装卸区</w:t>
            </w:r>
          </w:p>
        </w:tc>
        <w:tc>
          <w:tcPr>
            <w:tcW w:w="352" w:type="pct"/>
            <w:vAlign w:val="center"/>
          </w:tcPr>
          <w:p w14:paraId="4B8611F5">
            <w:pPr>
              <w:pStyle w:val="70"/>
              <w:rPr>
                <w:color w:val="000000" w:themeColor="text1"/>
                <w14:textFill>
                  <w14:solidFill>
                    <w14:schemeClr w14:val="tx1"/>
                  </w14:solidFill>
                </w14:textFill>
              </w:rPr>
            </w:pPr>
            <w:r>
              <w:rPr>
                <w:color w:val="000000" w:themeColor="text1"/>
                <w14:textFill>
                  <w14:solidFill>
                    <w14:schemeClr w14:val="tx1"/>
                  </w14:solidFill>
                </w14:textFill>
              </w:rPr>
              <w:t>轻度</w:t>
            </w:r>
          </w:p>
        </w:tc>
        <w:tc>
          <w:tcPr>
            <w:tcW w:w="426" w:type="pct"/>
            <w:vAlign w:val="center"/>
          </w:tcPr>
          <w:p w14:paraId="5C00C29F">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7C1A40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118" w:hRule="atLeast"/>
          <w:jc w:val="center"/>
        </w:trPr>
        <w:tc>
          <w:tcPr>
            <w:tcW w:w="0" w:type="auto"/>
            <w:vMerge w:val="continue"/>
            <w:vAlign w:val="center"/>
          </w:tcPr>
          <w:p w14:paraId="1C520862">
            <w:pPr>
              <w:pStyle w:val="70"/>
              <w:rPr>
                <w:color w:val="000000" w:themeColor="text1"/>
                <w14:textFill>
                  <w14:solidFill>
                    <w14:schemeClr w14:val="tx1"/>
                  </w14:solidFill>
                </w14:textFill>
              </w:rPr>
            </w:pPr>
          </w:p>
        </w:tc>
        <w:tc>
          <w:tcPr>
            <w:tcW w:w="0" w:type="auto"/>
            <w:vMerge w:val="continue"/>
            <w:vAlign w:val="center"/>
          </w:tcPr>
          <w:p w14:paraId="2014FE5E">
            <w:pPr>
              <w:pStyle w:val="70"/>
              <w:rPr>
                <w:color w:val="000000" w:themeColor="text1"/>
                <w14:textFill>
                  <w14:solidFill>
                    <w14:schemeClr w14:val="tx1"/>
                  </w14:solidFill>
                </w14:textFill>
              </w:rPr>
            </w:pPr>
          </w:p>
        </w:tc>
        <w:tc>
          <w:tcPr>
            <w:tcW w:w="1300" w:type="pct"/>
            <w:vAlign w:val="center"/>
          </w:tcPr>
          <w:p w14:paraId="55FB8BAC">
            <w:pPr>
              <w:pStyle w:val="70"/>
              <w:rPr>
                <w:color w:val="000000" w:themeColor="text1"/>
                <w14:textFill>
                  <w14:solidFill>
                    <w14:schemeClr w14:val="tx1"/>
                  </w14:solidFill>
                </w14:textFill>
              </w:rPr>
            </w:pPr>
            <w:r>
              <w:rPr>
                <w:color w:val="000000" w:themeColor="text1"/>
                <w14:textFill>
                  <w14:solidFill>
                    <w14:schemeClr w14:val="tx1"/>
                  </w14:solidFill>
                </w14:textFill>
              </w:rPr>
              <w:t>船舶废水</w:t>
            </w:r>
          </w:p>
        </w:tc>
        <w:tc>
          <w:tcPr>
            <w:tcW w:w="1742" w:type="pct"/>
            <w:vAlign w:val="center"/>
          </w:tcPr>
          <w:p w14:paraId="1A9C3635">
            <w:pPr>
              <w:pStyle w:val="70"/>
              <w:rPr>
                <w:color w:val="000000" w:themeColor="text1"/>
                <w14:textFill>
                  <w14:solidFill>
                    <w14:schemeClr w14:val="tx1"/>
                  </w14:solidFill>
                </w14:textFill>
              </w:rPr>
            </w:pPr>
            <w:r>
              <w:rPr>
                <w:color w:val="000000" w:themeColor="text1"/>
                <w14:textFill>
                  <w14:solidFill>
                    <w14:schemeClr w14:val="tx1"/>
                  </w14:solidFill>
                </w14:textFill>
              </w:rPr>
              <w:t>石油类、SS、COD、BOD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和氨氮</w:t>
            </w:r>
          </w:p>
        </w:tc>
        <w:tc>
          <w:tcPr>
            <w:tcW w:w="611" w:type="pct"/>
            <w:vAlign w:val="center"/>
          </w:tcPr>
          <w:p w14:paraId="08CB7B3B">
            <w:pPr>
              <w:pStyle w:val="70"/>
              <w:rPr>
                <w:color w:val="000000" w:themeColor="text1"/>
                <w14:textFill>
                  <w14:solidFill>
                    <w14:schemeClr w14:val="tx1"/>
                  </w14:solidFill>
                </w14:textFill>
              </w:rPr>
            </w:pPr>
            <w:r>
              <w:rPr>
                <w:color w:val="000000" w:themeColor="text1"/>
                <w14:textFill>
                  <w14:solidFill>
                    <w14:schemeClr w14:val="tx1"/>
                  </w14:solidFill>
                </w14:textFill>
              </w:rPr>
              <w:t>码头前沿</w:t>
            </w:r>
          </w:p>
        </w:tc>
        <w:tc>
          <w:tcPr>
            <w:tcW w:w="352" w:type="pct"/>
            <w:vAlign w:val="center"/>
          </w:tcPr>
          <w:p w14:paraId="417596B9">
            <w:pPr>
              <w:pStyle w:val="70"/>
              <w:rPr>
                <w:color w:val="000000" w:themeColor="text1"/>
                <w14:textFill>
                  <w14:solidFill>
                    <w14:schemeClr w14:val="tx1"/>
                  </w14:solidFill>
                </w14:textFill>
              </w:rPr>
            </w:pPr>
            <w:r>
              <w:rPr>
                <w:color w:val="000000" w:themeColor="text1"/>
                <w14:textFill>
                  <w14:solidFill>
                    <w14:schemeClr w14:val="tx1"/>
                  </w14:solidFill>
                </w14:textFill>
              </w:rPr>
              <w:t>轻度</w:t>
            </w:r>
          </w:p>
        </w:tc>
        <w:tc>
          <w:tcPr>
            <w:tcW w:w="426" w:type="pct"/>
            <w:vAlign w:val="center"/>
          </w:tcPr>
          <w:p w14:paraId="12FA96FC">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741AB1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755B8C2B">
            <w:pPr>
              <w:pStyle w:val="70"/>
              <w:rPr>
                <w:color w:val="000000" w:themeColor="text1"/>
                <w14:textFill>
                  <w14:solidFill>
                    <w14:schemeClr w14:val="tx1"/>
                  </w14:solidFill>
                </w14:textFill>
              </w:rPr>
            </w:pPr>
          </w:p>
        </w:tc>
        <w:tc>
          <w:tcPr>
            <w:tcW w:w="353" w:type="pct"/>
            <w:vAlign w:val="center"/>
          </w:tcPr>
          <w:p w14:paraId="0B96EDD1">
            <w:pPr>
              <w:pStyle w:val="70"/>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1300" w:type="pct"/>
            <w:vAlign w:val="center"/>
          </w:tcPr>
          <w:p w14:paraId="0BD88A24">
            <w:pPr>
              <w:pStyle w:val="70"/>
              <w:rPr>
                <w:color w:val="000000" w:themeColor="text1"/>
                <w14:textFill>
                  <w14:solidFill>
                    <w14:schemeClr w14:val="tx1"/>
                  </w14:solidFill>
                </w14:textFill>
              </w:rPr>
            </w:pPr>
            <w:r>
              <w:rPr>
                <w:color w:val="000000" w:themeColor="text1"/>
                <w14:textFill>
                  <w14:solidFill>
                    <w14:schemeClr w14:val="tx1"/>
                  </w14:solidFill>
                </w14:textFill>
              </w:rPr>
              <w:t>装卸臂液压站</w:t>
            </w:r>
          </w:p>
        </w:tc>
        <w:tc>
          <w:tcPr>
            <w:tcW w:w="1742" w:type="pct"/>
            <w:vAlign w:val="center"/>
          </w:tcPr>
          <w:p w14:paraId="10FB44CF">
            <w:pPr>
              <w:pStyle w:val="70"/>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611" w:type="pct"/>
            <w:vAlign w:val="center"/>
          </w:tcPr>
          <w:p w14:paraId="737E3BD3">
            <w:pPr>
              <w:pStyle w:val="70"/>
              <w:rPr>
                <w:color w:val="000000" w:themeColor="text1"/>
                <w14:textFill>
                  <w14:solidFill>
                    <w14:schemeClr w14:val="tx1"/>
                  </w14:solidFill>
                </w14:textFill>
              </w:rPr>
            </w:pPr>
            <w:r>
              <w:rPr>
                <w:color w:val="000000" w:themeColor="text1"/>
                <w14:textFill>
                  <w14:solidFill>
                    <w14:schemeClr w14:val="tx1"/>
                  </w14:solidFill>
                </w14:textFill>
              </w:rPr>
              <w:t>码头前沿</w:t>
            </w:r>
          </w:p>
        </w:tc>
        <w:tc>
          <w:tcPr>
            <w:tcW w:w="352" w:type="pct"/>
            <w:vAlign w:val="center"/>
          </w:tcPr>
          <w:p w14:paraId="68284FBE">
            <w:pPr>
              <w:pStyle w:val="70"/>
              <w:rPr>
                <w:color w:val="000000" w:themeColor="text1"/>
                <w14:textFill>
                  <w14:solidFill>
                    <w14:schemeClr w14:val="tx1"/>
                  </w14:solidFill>
                </w14:textFill>
              </w:rPr>
            </w:pPr>
            <w:r>
              <w:rPr>
                <w:color w:val="000000" w:themeColor="text1"/>
                <w14:textFill>
                  <w14:solidFill>
                    <w14:schemeClr w14:val="tx1"/>
                  </w14:solidFill>
                </w14:textFill>
              </w:rPr>
              <w:t>中度</w:t>
            </w:r>
          </w:p>
        </w:tc>
        <w:tc>
          <w:tcPr>
            <w:tcW w:w="426" w:type="pct"/>
            <w:vAlign w:val="center"/>
          </w:tcPr>
          <w:p w14:paraId="65220BC5">
            <w:pPr>
              <w:pStyle w:val="70"/>
              <w:rPr>
                <w:color w:val="000000" w:themeColor="text1"/>
                <w14:textFill>
                  <w14:solidFill>
                    <w14:schemeClr w14:val="tx1"/>
                  </w14:solidFill>
                </w14:textFill>
              </w:rPr>
            </w:pPr>
            <w:r>
              <w:rPr>
                <w:color w:val="000000" w:themeColor="text1"/>
                <w14:textFill>
                  <w14:solidFill>
                    <w14:schemeClr w14:val="tx1"/>
                  </w14:solidFill>
                </w14:textFill>
              </w:rPr>
              <w:t>连续性</w:t>
            </w:r>
          </w:p>
        </w:tc>
      </w:tr>
      <w:tr w14:paraId="5AB4AC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0F3109B1">
            <w:pPr>
              <w:pStyle w:val="70"/>
              <w:rPr>
                <w:color w:val="000000" w:themeColor="text1"/>
                <w14:textFill>
                  <w14:solidFill>
                    <w14:schemeClr w14:val="tx1"/>
                  </w14:solidFill>
                </w14:textFill>
              </w:rPr>
            </w:pPr>
          </w:p>
        </w:tc>
        <w:tc>
          <w:tcPr>
            <w:tcW w:w="353" w:type="pct"/>
            <w:vMerge w:val="restart"/>
            <w:vAlign w:val="center"/>
          </w:tcPr>
          <w:p w14:paraId="13970238">
            <w:pPr>
              <w:pStyle w:val="70"/>
              <w:rPr>
                <w:color w:val="000000" w:themeColor="text1"/>
                <w14:textFill>
                  <w14:solidFill>
                    <w14:schemeClr w14:val="tx1"/>
                  </w14:solidFill>
                </w14:textFill>
              </w:rPr>
            </w:pPr>
            <w:r>
              <w:rPr>
                <w:color w:val="000000" w:themeColor="text1"/>
                <w14:textFill>
                  <w14:solidFill>
                    <w14:schemeClr w14:val="tx1"/>
                  </w14:solidFill>
                </w14:textFill>
              </w:rPr>
              <w:t>固体废物</w:t>
            </w:r>
          </w:p>
        </w:tc>
        <w:tc>
          <w:tcPr>
            <w:tcW w:w="1300" w:type="pct"/>
            <w:vAlign w:val="center"/>
          </w:tcPr>
          <w:p w14:paraId="48E13ADE">
            <w:pPr>
              <w:pStyle w:val="70"/>
              <w:rPr>
                <w:color w:val="000000" w:themeColor="text1"/>
                <w14:textFill>
                  <w14:solidFill>
                    <w14:schemeClr w14:val="tx1"/>
                  </w14:solidFill>
                </w14:textFill>
              </w:rPr>
            </w:pPr>
            <w:r>
              <w:rPr>
                <w:color w:val="000000" w:themeColor="text1"/>
                <w14:textFill>
                  <w14:solidFill>
                    <w14:schemeClr w14:val="tx1"/>
                  </w14:solidFill>
                </w14:textFill>
              </w:rPr>
              <w:t>管道</w:t>
            </w:r>
            <w:r>
              <w:rPr>
                <w:rFonts w:hint="eastAsia"/>
                <w:color w:val="000000" w:themeColor="text1"/>
                <w14:textFill>
                  <w14:solidFill>
                    <w14:schemeClr w14:val="tx1"/>
                  </w14:solidFill>
                </w14:textFill>
              </w:rPr>
              <w:t>维修</w:t>
            </w:r>
            <w:r>
              <w:rPr>
                <w:color w:val="000000" w:themeColor="text1"/>
                <w14:textFill>
                  <w14:solidFill>
                    <w14:schemeClr w14:val="tx1"/>
                  </w14:solidFill>
                </w14:textFill>
              </w:rPr>
              <w:t>危险废物</w:t>
            </w:r>
          </w:p>
        </w:tc>
        <w:tc>
          <w:tcPr>
            <w:tcW w:w="1742" w:type="pct"/>
            <w:vAlign w:val="center"/>
          </w:tcPr>
          <w:p w14:paraId="56D4E260">
            <w:pPr>
              <w:pStyle w:val="70"/>
              <w:rPr>
                <w:color w:val="000000" w:themeColor="text1"/>
                <w14:textFill>
                  <w14:solidFill>
                    <w14:schemeClr w14:val="tx1"/>
                  </w14:solidFill>
                </w14:textFill>
              </w:rPr>
            </w:pPr>
            <w:r>
              <w:rPr>
                <w:color w:val="000000" w:themeColor="text1"/>
                <w14:textFill>
                  <w14:solidFill>
                    <w14:schemeClr w14:val="tx1"/>
                  </w14:solidFill>
                </w14:textFill>
              </w:rPr>
              <w:t>含油废布及棉纱</w:t>
            </w:r>
          </w:p>
        </w:tc>
        <w:tc>
          <w:tcPr>
            <w:tcW w:w="611" w:type="pct"/>
            <w:vAlign w:val="center"/>
          </w:tcPr>
          <w:p w14:paraId="3D5759BF">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码头前沿</w:t>
            </w:r>
          </w:p>
        </w:tc>
        <w:tc>
          <w:tcPr>
            <w:tcW w:w="352" w:type="pct"/>
            <w:vAlign w:val="center"/>
          </w:tcPr>
          <w:p w14:paraId="2A81B1AF">
            <w:pPr>
              <w:pStyle w:val="70"/>
              <w:rPr>
                <w:color w:val="000000" w:themeColor="text1"/>
                <w14:textFill>
                  <w14:solidFill>
                    <w14:schemeClr w14:val="tx1"/>
                  </w14:solidFill>
                </w14:textFill>
              </w:rPr>
            </w:pPr>
            <w:r>
              <w:rPr>
                <w:color w:val="000000" w:themeColor="text1"/>
                <w14:textFill>
                  <w14:solidFill>
                    <w14:schemeClr w14:val="tx1"/>
                  </w14:solidFill>
                </w14:textFill>
              </w:rPr>
              <w:t>轻度</w:t>
            </w:r>
          </w:p>
        </w:tc>
        <w:tc>
          <w:tcPr>
            <w:tcW w:w="426" w:type="pct"/>
            <w:vAlign w:val="center"/>
          </w:tcPr>
          <w:p w14:paraId="19D0E4D8">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656509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614" w:hRule="atLeast"/>
          <w:jc w:val="center"/>
        </w:trPr>
        <w:tc>
          <w:tcPr>
            <w:tcW w:w="0" w:type="auto"/>
            <w:vMerge w:val="continue"/>
            <w:vAlign w:val="center"/>
          </w:tcPr>
          <w:p w14:paraId="546522BE">
            <w:pPr>
              <w:pStyle w:val="70"/>
              <w:rPr>
                <w:color w:val="000000" w:themeColor="text1"/>
                <w14:textFill>
                  <w14:solidFill>
                    <w14:schemeClr w14:val="tx1"/>
                  </w14:solidFill>
                </w14:textFill>
              </w:rPr>
            </w:pPr>
          </w:p>
        </w:tc>
        <w:tc>
          <w:tcPr>
            <w:tcW w:w="0" w:type="auto"/>
            <w:vMerge w:val="continue"/>
            <w:vAlign w:val="center"/>
          </w:tcPr>
          <w:p w14:paraId="37801204">
            <w:pPr>
              <w:pStyle w:val="70"/>
              <w:rPr>
                <w:color w:val="000000" w:themeColor="text1"/>
                <w14:textFill>
                  <w14:solidFill>
                    <w14:schemeClr w14:val="tx1"/>
                  </w14:solidFill>
                </w14:textFill>
              </w:rPr>
            </w:pPr>
          </w:p>
        </w:tc>
        <w:tc>
          <w:tcPr>
            <w:tcW w:w="1300" w:type="pct"/>
            <w:vAlign w:val="center"/>
          </w:tcPr>
          <w:p w14:paraId="10519E25">
            <w:pPr>
              <w:pStyle w:val="70"/>
              <w:rPr>
                <w:color w:val="000000" w:themeColor="text1"/>
                <w14:textFill>
                  <w14:solidFill>
                    <w14:schemeClr w14:val="tx1"/>
                  </w14:solidFill>
                </w14:textFill>
              </w:rPr>
            </w:pPr>
            <w:r>
              <w:rPr>
                <w:color w:val="000000" w:themeColor="text1"/>
                <w14:textFill>
                  <w14:solidFill>
                    <w14:schemeClr w14:val="tx1"/>
                  </w14:solidFill>
                </w14:textFill>
              </w:rPr>
              <w:t>到港船舶垃圾</w:t>
            </w:r>
          </w:p>
        </w:tc>
        <w:tc>
          <w:tcPr>
            <w:tcW w:w="1742" w:type="pct"/>
            <w:vAlign w:val="center"/>
          </w:tcPr>
          <w:p w14:paraId="5810BCB5">
            <w:pPr>
              <w:pStyle w:val="70"/>
              <w:rPr>
                <w:color w:val="000000" w:themeColor="text1"/>
                <w14:textFill>
                  <w14:solidFill>
                    <w14:schemeClr w14:val="tx1"/>
                  </w14:solidFill>
                </w14:textFill>
              </w:rPr>
            </w:pPr>
            <w:r>
              <w:rPr>
                <w:color w:val="000000" w:themeColor="text1"/>
                <w14:textFill>
                  <w14:solidFill>
                    <w14:schemeClr w14:val="tx1"/>
                  </w14:solidFill>
                </w14:textFill>
              </w:rPr>
              <w:t>船舶生活垃圾</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船舶维修废物</w:t>
            </w:r>
          </w:p>
        </w:tc>
        <w:tc>
          <w:tcPr>
            <w:tcW w:w="611" w:type="pct"/>
            <w:vAlign w:val="center"/>
          </w:tcPr>
          <w:p w14:paraId="7B51E2B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码头前沿</w:t>
            </w:r>
          </w:p>
        </w:tc>
        <w:tc>
          <w:tcPr>
            <w:tcW w:w="352" w:type="pct"/>
            <w:vAlign w:val="center"/>
          </w:tcPr>
          <w:p w14:paraId="1CAF13BB">
            <w:pPr>
              <w:pStyle w:val="70"/>
              <w:rPr>
                <w:color w:val="000000" w:themeColor="text1"/>
                <w14:textFill>
                  <w14:solidFill>
                    <w14:schemeClr w14:val="tx1"/>
                  </w14:solidFill>
                </w14:textFill>
              </w:rPr>
            </w:pPr>
            <w:r>
              <w:rPr>
                <w:color w:val="000000" w:themeColor="text1"/>
                <w14:textFill>
                  <w14:solidFill>
                    <w14:schemeClr w14:val="tx1"/>
                  </w14:solidFill>
                </w14:textFill>
              </w:rPr>
              <w:t>轻度</w:t>
            </w:r>
          </w:p>
        </w:tc>
        <w:tc>
          <w:tcPr>
            <w:tcW w:w="426" w:type="pct"/>
            <w:vAlign w:val="center"/>
          </w:tcPr>
          <w:p w14:paraId="36F98103">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bl>
    <w:p w14:paraId="274AB82D">
      <w:pPr>
        <w:pStyle w:val="8"/>
        <w:rPr>
          <w:color w:val="000000" w:themeColor="text1"/>
          <w14:textFill>
            <w14:solidFill>
              <w14:schemeClr w14:val="tx1"/>
            </w14:solidFill>
          </w14:textFill>
        </w:rPr>
      </w:pPr>
      <w:r>
        <w:rPr>
          <w:color w:val="000000" w:themeColor="text1"/>
          <w14:textFill>
            <w14:solidFill>
              <w14:schemeClr w14:val="tx1"/>
            </w14:solidFill>
          </w14:textFill>
        </w:rPr>
        <w:t>建设项目环境影响评价工作程序图</w:t>
      </w:r>
    </w:p>
    <w:p w14:paraId="1F8A840E">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建设项目环境影响类型及程度一览表</w:t>
      </w:r>
    </w:p>
    <w:tbl>
      <w:tblPr>
        <w:tblStyle w:val="43"/>
        <w:tblW w:w="918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
      <w:tblGrid>
        <w:gridCol w:w="609"/>
        <w:gridCol w:w="2669"/>
        <w:gridCol w:w="1707"/>
        <w:gridCol w:w="1732"/>
        <w:gridCol w:w="617"/>
        <w:gridCol w:w="617"/>
        <w:gridCol w:w="617"/>
        <w:gridCol w:w="618"/>
      </w:tblGrid>
      <w:tr w14:paraId="3FFD53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278" w:type="dxa"/>
            <w:gridSpan w:val="2"/>
            <w:vMerge w:val="restart"/>
            <w:vAlign w:val="center"/>
          </w:tcPr>
          <w:p w14:paraId="6FE5684E">
            <w:pPr>
              <w:ind w:firstLine="0" w:firstLineChars="0"/>
              <w:jc w:val="center"/>
              <w:rPr>
                <w:b/>
                <w:color w:val="000000" w:themeColor="text1"/>
                <w:kern w:val="0"/>
                <w:sz w:val="21"/>
                <w:szCs w:val="21"/>
                <w14:textFill>
                  <w14:solidFill>
                    <w14:schemeClr w14:val="tx1"/>
                  </w14:solidFill>
                </w14:textFill>
              </w:rPr>
            </w:pPr>
            <w:r>
              <w:rPr>
                <w:rFonts w:ascii="宋体" w:hAnsi="宋体"/>
                <w:b/>
                <w:color w:val="000000" w:themeColor="text1"/>
                <w:kern w:val="0"/>
                <w:sz w:val="21"/>
                <w:szCs w:val="21"/>
                <w14:textFill>
                  <w14:solidFill>
                    <w14:schemeClr w14:val="tx1"/>
                  </w14:solidFill>
                </w14:textFill>
              </w:rPr>
              <w:t>产生影响项目</w:t>
            </w:r>
          </w:p>
        </w:tc>
        <w:tc>
          <w:tcPr>
            <w:tcW w:w="1707" w:type="dxa"/>
            <w:vMerge w:val="restart"/>
            <w:vAlign w:val="center"/>
          </w:tcPr>
          <w:p w14:paraId="790887BB">
            <w:pPr>
              <w:ind w:firstLine="0" w:firstLineChars="0"/>
              <w:jc w:val="center"/>
              <w:rPr>
                <w:b/>
                <w:color w:val="000000" w:themeColor="text1"/>
                <w:kern w:val="0"/>
                <w:sz w:val="21"/>
                <w:szCs w:val="21"/>
                <w14:textFill>
                  <w14:solidFill>
                    <w14:schemeClr w14:val="tx1"/>
                  </w14:solidFill>
                </w14:textFill>
              </w:rPr>
            </w:pPr>
            <w:r>
              <w:rPr>
                <w:rFonts w:ascii="宋体" w:hAnsi="宋体"/>
                <w:b/>
                <w:color w:val="000000" w:themeColor="text1"/>
                <w:kern w:val="0"/>
                <w:sz w:val="21"/>
                <w:szCs w:val="21"/>
                <w14:textFill>
                  <w14:solidFill>
                    <w14:schemeClr w14:val="tx1"/>
                  </w14:solidFill>
                </w14:textFill>
              </w:rPr>
              <w:t>影响因子</w:t>
            </w:r>
          </w:p>
        </w:tc>
        <w:tc>
          <w:tcPr>
            <w:tcW w:w="1732" w:type="dxa"/>
            <w:vMerge w:val="restart"/>
            <w:vAlign w:val="center"/>
          </w:tcPr>
          <w:p w14:paraId="0402B1D7">
            <w:pPr>
              <w:ind w:firstLine="0" w:firstLineChars="0"/>
              <w:jc w:val="center"/>
              <w:rPr>
                <w:b/>
                <w:color w:val="000000" w:themeColor="text1"/>
                <w:kern w:val="0"/>
                <w:sz w:val="21"/>
                <w:szCs w:val="21"/>
                <w14:textFill>
                  <w14:solidFill>
                    <w14:schemeClr w14:val="tx1"/>
                  </w14:solidFill>
                </w14:textFill>
              </w:rPr>
            </w:pPr>
            <w:r>
              <w:rPr>
                <w:rFonts w:ascii="宋体" w:hAnsi="宋体"/>
                <w:b/>
                <w:color w:val="000000" w:themeColor="text1"/>
                <w:kern w:val="0"/>
                <w:sz w:val="21"/>
                <w:szCs w:val="21"/>
                <w14:textFill>
                  <w14:solidFill>
                    <w14:schemeClr w14:val="tx1"/>
                  </w14:solidFill>
                </w14:textFill>
              </w:rPr>
              <w:t>影响对象</w:t>
            </w:r>
          </w:p>
        </w:tc>
        <w:tc>
          <w:tcPr>
            <w:tcW w:w="1234" w:type="dxa"/>
            <w:gridSpan w:val="2"/>
            <w:vAlign w:val="center"/>
          </w:tcPr>
          <w:p w14:paraId="46DB9E72">
            <w:pPr>
              <w:ind w:firstLine="0" w:firstLineChars="0"/>
              <w:jc w:val="center"/>
              <w:rPr>
                <w:b/>
                <w:color w:val="000000" w:themeColor="text1"/>
                <w:kern w:val="0"/>
                <w:sz w:val="21"/>
                <w:szCs w:val="21"/>
                <w14:textFill>
                  <w14:solidFill>
                    <w14:schemeClr w14:val="tx1"/>
                  </w14:solidFill>
                </w14:textFill>
              </w:rPr>
            </w:pPr>
            <w:r>
              <w:rPr>
                <w:rFonts w:ascii="宋体" w:hAnsi="宋体"/>
                <w:b/>
                <w:color w:val="000000" w:themeColor="text1"/>
                <w:kern w:val="0"/>
                <w:sz w:val="21"/>
                <w:szCs w:val="21"/>
                <w14:textFill>
                  <w14:solidFill>
                    <w14:schemeClr w14:val="tx1"/>
                  </w14:solidFill>
                </w14:textFill>
              </w:rPr>
              <w:t>影响类型</w:t>
            </w:r>
          </w:p>
        </w:tc>
        <w:tc>
          <w:tcPr>
            <w:tcW w:w="1235" w:type="dxa"/>
            <w:gridSpan w:val="2"/>
            <w:vAlign w:val="center"/>
          </w:tcPr>
          <w:p w14:paraId="03FFC58F">
            <w:pPr>
              <w:ind w:firstLine="0" w:firstLineChars="0"/>
              <w:jc w:val="center"/>
              <w:rPr>
                <w:b/>
                <w:color w:val="000000" w:themeColor="text1"/>
                <w:kern w:val="0"/>
                <w:sz w:val="21"/>
                <w:szCs w:val="21"/>
                <w14:textFill>
                  <w14:solidFill>
                    <w14:schemeClr w14:val="tx1"/>
                  </w14:solidFill>
                </w14:textFill>
              </w:rPr>
            </w:pPr>
            <w:r>
              <w:rPr>
                <w:rFonts w:ascii="宋体" w:hAnsi="宋体"/>
                <w:b/>
                <w:color w:val="000000" w:themeColor="text1"/>
                <w:kern w:val="0"/>
                <w:sz w:val="21"/>
                <w:szCs w:val="21"/>
                <w14:textFill>
                  <w14:solidFill>
                    <w14:schemeClr w14:val="tx1"/>
                  </w14:solidFill>
                </w14:textFill>
              </w:rPr>
              <w:t>影响性质</w:t>
            </w:r>
          </w:p>
        </w:tc>
      </w:tr>
      <w:tr w14:paraId="7539C0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947" w:type="dxa"/>
            <w:gridSpan w:val="2"/>
            <w:vMerge w:val="continue"/>
            <w:vAlign w:val="center"/>
          </w:tcPr>
          <w:p w14:paraId="0E5CA8D4">
            <w:pPr>
              <w:widowControl/>
              <w:spacing w:line="240" w:lineRule="auto"/>
              <w:ind w:firstLine="0" w:firstLineChars="0"/>
              <w:jc w:val="left"/>
              <w:rPr>
                <w:b/>
                <w:color w:val="000000" w:themeColor="text1"/>
                <w:kern w:val="0"/>
                <w:sz w:val="21"/>
                <w:szCs w:val="21"/>
                <w14:textFill>
                  <w14:solidFill>
                    <w14:schemeClr w14:val="tx1"/>
                  </w14:solidFill>
                </w14:textFill>
              </w:rPr>
            </w:pPr>
          </w:p>
        </w:tc>
        <w:tc>
          <w:tcPr>
            <w:tcW w:w="1707" w:type="dxa"/>
            <w:vMerge w:val="continue"/>
            <w:vAlign w:val="center"/>
          </w:tcPr>
          <w:p w14:paraId="46D6D8BB">
            <w:pPr>
              <w:widowControl/>
              <w:spacing w:line="240" w:lineRule="auto"/>
              <w:ind w:firstLine="0" w:firstLineChars="0"/>
              <w:jc w:val="left"/>
              <w:rPr>
                <w:b/>
                <w:color w:val="000000" w:themeColor="text1"/>
                <w:kern w:val="0"/>
                <w:sz w:val="21"/>
                <w:szCs w:val="21"/>
                <w14:textFill>
                  <w14:solidFill>
                    <w14:schemeClr w14:val="tx1"/>
                  </w14:solidFill>
                </w14:textFill>
              </w:rPr>
            </w:pPr>
          </w:p>
        </w:tc>
        <w:tc>
          <w:tcPr>
            <w:tcW w:w="1732" w:type="dxa"/>
            <w:vMerge w:val="continue"/>
            <w:vAlign w:val="center"/>
          </w:tcPr>
          <w:p w14:paraId="74F41166">
            <w:pPr>
              <w:widowControl/>
              <w:spacing w:line="240" w:lineRule="auto"/>
              <w:ind w:firstLine="0" w:firstLineChars="0"/>
              <w:jc w:val="left"/>
              <w:rPr>
                <w:b/>
                <w:color w:val="000000" w:themeColor="text1"/>
                <w:kern w:val="0"/>
                <w:sz w:val="21"/>
                <w:szCs w:val="21"/>
                <w14:textFill>
                  <w14:solidFill>
                    <w14:schemeClr w14:val="tx1"/>
                  </w14:solidFill>
                </w14:textFill>
              </w:rPr>
            </w:pPr>
          </w:p>
        </w:tc>
        <w:tc>
          <w:tcPr>
            <w:tcW w:w="617" w:type="dxa"/>
            <w:vAlign w:val="center"/>
          </w:tcPr>
          <w:p w14:paraId="1B431A39">
            <w:pPr>
              <w:ind w:firstLine="0" w:firstLineChars="0"/>
              <w:jc w:val="center"/>
              <w:rPr>
                <w:b/>
                <w:color w:val="000000" w:themeColor="text1"/>
                <w:kern w:val="0"/>
                <w:sz w:val="21"/>
                <w:szCs w:val="21"/>
                <w14:textFill>
                  <w14:solidFill>
                    <w14:schemeClr w14:val="tx1"/>
                  </w14:solidFill>
                </w14:textFill>
              </w:rPr>
            </w:pPr>
            <w:r>
              <w:rPr>
                <w:rFonts w:ascii="宋体" w:hAnsi="宋体"/>
                <w:b/>
                <w:color w:val="000000" w:themeColor="text1"/>
                <w:kern w:val="0"/>
                <w:sz w:val="21"/>
                <w:szCs w:val="21"/>
                <w14:textFill>
                  <w14:solidFill>
                    <w14:schemeClr w14:val="tx1"/>
                  </w14:solidFill>
                </w14:textFill>
              </w:rPr>
              <w:t>长期</w:t>
            </w:r>
          </w:p>
        </w:tc>
        <w:tc>
          <w:tcPr>
            <w:tcW w:w="617" w:type="dxa"/>
            <w:vAlign w:val="center"/>
          </w:tcPr>
          <w:p w14:paraId="7F6C4B97">
            <w:pPr>
              <w:ind w:firstLine="0" w:firstLineChars="0"/>
              <w:jc w:val="center"/>
              <w:rPr>
                <w:b/>
                <w:color w:val="000000" w:themeColor="text1"/>
                <w:kern w:val="0"/>
                <w:sz w:val="21"/>
                <w:szCs w:val="21"/>
                <w14:textFill>
                  <w14:solidFill>
                    <w14:schemeClr w14:val="tx1"/>
                  </w14:solidFill>
                </w14:textFill>
              </w:rPr>
            </w:pPr>
            <w:r>
              <w:rPr>
                <w:rFonts w:ascii="宋体" w:hAnsi="宋体"/>
                <w:b/>
                <w:color w:val="000000" w:themeColor="text1"/>
                <w:kern w:val="0"/>
                <w:sz w:val="21"/>
                <w:szCs w:val="21"/>
                <w14:textFill>
                  <w14:solidFill>
                    <w14:schemeClr w14:val="tx1"/>
                  </w14:solidFill>
                </w14:textFill>
              </w:rPr>
              <w:t>短期</w:t>
            </w:r>
          </w:p>
        </w:tc>
        <w:tc>
          <w:tcPr>
            <w:tcW w:w="617" w:type="dxa"/>
            <w:vAlign w:val="center"/>
          </w:tcPr>
          <w:p w14:paraId="18D2AD32">
            <w:pPr>
              <w:ind w:firstLine="0" w:firstLineChars="0"/>
              <w:jc w:val="center"/>
              <w:rPr>
                <w:b/>
                <w:color w:val="000000" w:themeColor="text1"/>
                <w:kern w:val="0"/>
                <w:sz w:val="21"/>
                <w:szCs w:val="21"/>
                <w14:textFill>
                  <w14:solidFill>
                    <w14:schemeClr w14:val="tx1"/>
                  </w14:solidFill>
                </w14:textFill>
              </w:rPr>
            </w:pPr>
            <w:r>
              <w:rPr>
                <w:rFonts w:ascii="宋体" w:hAnsi="宋体"/>
                <w:b/>
                <w:color w:val="000000" w:themeColor="text1"/>
                <w:kern w:val="0"/>
                <w:sz w:val="21"/>
                <w:szCs w:val="21"/>
                <w14:textFill>
                  <w14:solidFill>
                    <w14:schemeClr w14:val="tx1"/>
                  </w14:solidFill>
                </w14:textFill>
              </w:rPr>
              <w:t>有利</w:t>
            </w:r>
          </w:p>
        </w:tc>
        <w:tc>
          <w:tcPr>
            <w:tcW w:w="618" w:type="dxa"/>
            <w:vAlign w:val="center"/>
          </w:tcPr>
          <w:p w14:paraId="1C61EC19">
            <w:pPr>
              <w:ind w:firstLine="0" w:firstLineChars="0"/>
              <w:jc w:val="center"/>
              <w:rPr>
                <w:b/>
                <w:color w:val="000000" w:themeColor="text1"/>
                <w:kern w:val="0"/>
                <w:sz w:val="21"/>
                <w:szCs w:val="21"/>
                <w14:textFill>
                  <w14:solidFill>
                    <w14:schemeClr w14:val="tx1"/>
                  </w14:solidFill>
                </w14:textFill>
              </w:rPr>
            </w:pPr>
            <w:r>
              <w:rPr>
                <w:rFonts w:ascii="宋体" w:hAnsi="宋体"/>
                <w:b/>
                <w:color w:val="000000" w:themeColor="text1"/>
                <w:kern w:val="0"/>
                <w:sz w:val="21"/>
                <w:szCs w:val="21"/>
                <w14:textFill>
                  <w14:solidFill>
                    <w14:schemeClr w14:val="tx1"/>
                  </w14:solidFill>
                </w14:textFill>
              </w:rPr>
              <w:t>不利</w:t>
            </w:r>
          </w:p>
        </w:tc>
      </w:tr>
      <w:tr w14:paraId="231587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609" w:type="dxa"/>
            <w:vMerge w:val="restart"/>
            <w:vAlign w:val="center"/>
          </w:tcPr>
          <w:p w14:paraId="5FBD807E">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施</w:t>
            </w:r>
          </w:p>
          <w:p w14:paraId="5DA5E00C">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工</w:t>
            </w:r>
          </w:p>
          <w:p w14:paraId="32CA988A">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期</w:t>
            </w:r>
          </w:p>
        </w:tc>
        <w:tc>
          <w:tcPr>
            <w:tcW w:w="2669" w:type="dxa"/>
            <w:vAlign w:val="center"/>
          </w:tcPr>
          <w:p w14:paraId="79918C63">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物料运输</w:t>
            </w:r>
          </w:p>
        </w:tc>
        <w:tc>
          <w:tcPr>
            <w:tcW w:w="1707" w:type="dxa"/>
            <w:vAlign w:val="center"/>
          </w:tcPr>
          <w:p w14:paraId="4D10B7EB">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扬尘、废气、噪声</w:t>
            </w:r>
          </w:p>
        </w:tc>
        <w:tc>
          <w:tcPr>
            <w:tcW w:w="1732" w:type="dxa"/>
            <w:vAlign w:val="center"/>
          </w:tcPr>
          <w:p w14:paraId="4AA26293">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大气环境、声环境</w:t>
            </w:r>
          </w:p>
        </w:tc>
        <w:tc>
          <w:tcPr>
            <w:tcW w:w="617" w:type="dxa"/>
            <w:vAlign w:val="center"/>
          </w:tcPr>
          <w:p w14:paraId="027D208F">
            <w:pPr>
              <w:ind w:firstLine="0" w:firstLineChars="0"/>
              <w:jc w:val="center"/>
              <w:rPr>
                <w:color w:val="000000" w:themeColor="text1"/>
                <w:kern w:val="0"/>
                <w:sz w:val="21"/>
                <w:szCs w:val="21"/>
                <w14:textFill>
                  <w14:solidFill>
                    <w14:schemeClr w14:val="tx1"/>
                  </w14:solidFill>
                </w14:textFill>
              </w:rPr>
            </w:pPr>
          </w:p>
        </w:tc>
        <w:tc>
          <w:tcPr>
            <w:tcW w:w="617" w:type="dxa"/>
            <w:vAlign w:val="center"/>
          </w:tcPr>
          <w:p w14:paraId="44815CAE">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617" w:type="dxa"/>
            <w:vAlign w:val="center"/>
          </w:tcPr>
          <w:p w14:paraId="3741A8B7">
            <w:pPr>
              <w:ind w:firstLine="0" w:firstLineChars="0"/>
              <w:jc w:val="center"/>
              <w:rPr>
                <w:color w:val="000000" w:themeColor="text1"/>
                <w:kern w:val="0"/>
                <w:sz w:val="21"/>
                <w:szCs w:val="21"/>
                <w14:textFill>
                  <w14:solidFill>
                    <w14:schemeClr w14:val="tx1"/>
                  </w14:solidFill>
                </w14:textFill>
              </w:rPr>
            </w:pPr>
          </w:p>
        </w:tc>
        <w:tc>
          <w:tcPr>
            <w:tcW w:w="618" w:type="dxa"/>
            <w:vAlign w:val="center"/>
          </w:tcPr>
          <w:p w14:paraId="728A8265">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r>
      <w:tr w14:paraId="40B694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278" w:type="dxa"/>
            <w:vMerge w:val="continue"/>
            <w:vAlign w:val="center"/>
          </w:tcPr>
          <w:p w14:paraId="2500035F">
            <w:pPr>
              <w:widowControl/>
              <w:spacing w:line="240" w:lineRule="auto"/>
              <w:ind w:firstLine="0" w:firstLineChars="0"/>
              <w:jc w:val="left"/>
              <w:rPr>
                <w:color w:val="000000" w:themeColor="text1"/>
                <w:kern w:val="0"/>
                <w:sz w:val="21"/>
                <w:szCs w:val="21"/>
                <w14:textFill>
                  <w14:solidFill>
                    <w14:schemeClr w14:val="tx1"/>
                  </w14:solidFill>
                </w14:textFill>
              </w:rPr>
            </w:pPr>
          </w:p>
        </w:tc>
        <w:tc>
          <w:tcPr>
            <w:tcW w:w="2669" w:type="dxa"/>
            <w:vAlign w:val="center"/>
          </w:tcPr>
          <w:p w14:paraId="08BE00C5">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设备安装与调整</w:t>
            </w:r>
          </w:p>
        </w:tc>
        <w:tc>
          <w:tcPr>
            <w:tcW w:w="1707" w:type="dxa"/>
            <w:vAlign w:val="center"/>
          </w:tcPr>
          <w:p w14:paraId="2B4CDB20">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噪声</w:t>
            </w:r>
          </w:p>
        </w:tc>
        <w:tc>
          <w:tcPr>
            <w:tcW w:w="1732" w:type="dxa"/>
            <w:vAlign w:val="center"/>
          </w:tcPr>
          <w:p w14:paraId="0C1303EE">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声环境</w:t>
            </w:r>
          </w:p>
        </w:tc>
        <w:tc>
          <w:tcPr>
            <w:tcW w:w="617" w:type="dxa"/>
            <w:vAlign w:val="center"/>
          </w:tcPr>
          <w:p w14:paraId="2EA2F6A3">
            <w:pPr>
              <w:ind w:firstLine="0" w:firstLineChars="0"/>
              <w:jc w:val="center"/>
              <w:rPr>
                <w:color w:val="000000" w:themeColor="text1"/>
                <w:kern w:val="0"/>
                <w:sz w:val="21"/>
                <w:szCs w:val="21"/>
                <w14:textFill>
                  <w14:solidFill>
                    <w14:schemeClr w14:val="tx1"/>
                  </w14:solidFill>
                </w14:textFill>
              </w:rPr>
            </w:pPr>
          </w:p>
        </w:tc>
        <w:tc>
          <w:tcPr>
            <w:tcW w:w="617" w:type="dxa"/>
            <w:vAlign w:val="center"/>
          </w:tcPr>
          <w:p w14:paraId="15E35D6A">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617" w:type="dxa"/>
            <w:vAlign w:val="center"/>
          </w:tcPr>
          <w:p w14:paraId="2336DB3D">
            <w:pPr>
              <w:ind w:firstLine="0" w:firstLineChars="0"/>
              <w:jc w:val="center"/>
              <w:rPr>
                <w:color w:val="000000" w:themeColor="text1"/>
                <w:kern w:val="0"/>
                <w:sz w:val="21"/>
                <w:szCs w:val="21"/>
                <w14:textFill>
                  <w14:solidFill>
                    <w14:schemeClr w14:val="tx1"/>
                  </w14:solidFill>
                </w14:textFill>
              </w:rPr>
            </w:pPr>
          </w:p>
        </w:tc>
        <w:tc>
          <w:tcPr>
            <w:tcW w:w="618" w:type="dxa"/>
            <w:vAlign w:val="center"/>
          </w:tcPr>
          <w:p w14:paraId="3861FD02">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r>
      <w:tr w14:paraId="3883F2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278" w:type="dxa"/>
            <w:vMerge w:val="continue"/>
            <w:vAlign w:val="center"/>
          </w:tcPr>
          <w:p w14:paraId="7932504F">
            <w:pPr>
              <w:widowControl/>
              <w:spacing w:line="240" w:lineRule="auto"/>
              <w:ind w:firstLine="0" w:firstLineChars="0"/>
              <w:jc w:val="left"/>
              <w:rPr>
                <w:color w:val="000000" w:themeColor="text1"/>
                <w:kern w:val="0"/>
                <w:sz w:val="21"/>
                <w:szCs w:val="21"/>
                <w14:textFill>
                  <w14:solidFill>
                    <w14:schemeClr w14:val="tx1"/>
                  </w14:solidFill>
                </w14:textFill>
              </w:rPr>
            </w:pPr>
          </w:p>
        </w:tc>
        <w:tc>
          <w:tcPr>
            <w:tcW w:w="2669" w:type="dxa"/>
            <w:vAlign w:val="center"/>
          </w:tcPr>
          <w:p w14:paraId="52E3D4B2">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施工机械、车辆</w:t>
            </w:r>
            <w:r>
              <w:rPr>
                <w:rFonts w:hint="eastAsia" w:ascii="宋体" w:hAnsi="宋体"/>
                <w:color w:val="000000" w:themeColor="text1"/>
                <w:kern w:val="0"/>
                <w:sz w:val="21"/>
                <w:szCs w:val="21"/>
                <w14:textFill>
                  <w14:solidFill>
                    <w14:schemeClr w14:val="tx1"/>
                  </w14:solidFill>
                </w14:textFill>
              </w:rPr>
              <w:t>、船舶</w:t>
            </w:r>
            <w:r>
              <w:rPr>
                <w:rFonts w:ascii="宋体" w:hAnsi="宋体"/>
                <w:color w:val="000000" w:themeColor="text1"/>
                <w:kern w:val="0"/>
                <w:sz w:val="21"/>
                <w:szCs w:val="21"/>
                <w14:textFill>
                  <w14:solidFill>
                    <w14:schemeClr w14:val="tx1"/>
                  </w14:solidFill>
                </w14:textFill>
              </w:rPr>
              <w:t>尾气</w:t>
            </w:r>
          </w:p>
        </w:tc>
        <w:tc>
          <w:tcPr>
            <w:tcW w:w="1707" w:type="dxa"/>
            <w:vAlign w:val="center"/>
          </w:tcPr>
          <w:p w14:paraId="690DF655">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废气</w:t>
            </w:r>
          </w:p>
        </w:tc>
        <w:tc>
          <w:tcPr>
            <w:tcW w:w="1732" w:type="dxa"/>
            <w:vAlign w:val="center"/>
          </w:tcPr>
          <w:p w14:paraId="09A7729D">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大气环境</w:t>
            </w:r>
          </w:p>
        </w:tc>
        <w:tc>
          <w:tcPr>
            <w:tcW w:w="617" w:type="dxa"/>
            <w:vAlign w:val="center"/>
          </w:tcPr>
          <w:p w14:paraId="1AD157BA">
            <w:pPr>
              <w:ind w:firstLine="0" w:firstLineChars="0"/>
              <w:jc w:val="center"/>
              <w:rPr>
                <w:color w:val="000000" w:themeColor="text1"/>
                <w:kern w:val="0"/>
                <w:sz w:val="21"/>
                <w:szCs w:val="21"/>
                <w14:textFill>
                  <w14:solidFill>
                    <w14:schemeClr w14:val="tx1"/>
                  </w14:solidFill>
                </w14:textFill>
              </w:rPr>
            </w:pPr>
          </w:p>
        </w:tc>
        <w:tc>
          <w:tcPr>
            <w:tcW w:w="617" w:type="dxa"/>
            <w:vAlign w:val="center"/>
          </w:tcPr>
          <w:p w14:paraId="4DCD6225">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617" w:type="dxa"/>
            <w:vAlign w:val="center"/>
          </w:tcPr>
          <w:p w14:paraId="58FC6C7C">
            <w:pPr>
              <w:ind w:firstLine="0" w:firstLineChars="0"/>
              <w:jc w:val="center"/>
              <w:rPr>
                <w:color w:val="000000" w:themeColor="text1"/>
                <w:kern w:val="0"/>
                <w:sz w:val="21"/>
                <w:szCs w:val="21"/>
                <w14:textFill>
                  <w14:solidFill>
                    <w14:schemeClr w14:val="tx1"/>
                  </w14:solidFill>
                </w14:textFill>
              </w:rPr>
            </w:pPr>
          </w:p>
        </w:tc>
        <w:tc>
          <w:tcPr>
            <w:tcW w:w="618" w:type="dxa"/>
            <w:vAlign w:val="center"/>
          </w:tcPr>
          <w:p w14:paraId="798CFB9F">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r>
      <w:tr w14:paraId="63D704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278" w:type="dxa"/>
            <w:vMerge w:val="continue"/>
            <w:vAlign w:val="center"/>
          </w:tcPr>
          <w:p w14:paraId="53FDE83D">
            <w:pPr>
              <w:widowControl/>
              <w:spacing w:line="240" w:lineRule="auto"/>
              <w:ind w:firstLine="0" w:firstLineChars="0"/>
              <w:jc w:val="left"/>
              <w:rPr>
                <w:color w:val="000000" w:themeColor="text1"/>
                <w:kern w:val="0"/>
                <w:sz w:val="21"/>
                <w:szCs w:val="21"/>
                <w14:textFill>
                  <w14:solidFill>
                    <w14:schemeClr w14:val="tx1"/>
                  </w14:solidFill>
                </w14:textFill>
              </w:rPr>
            </w:pPr>
          </w:p>
        </w:tc>
        <w:tc>
          <w:tcPr>
            <w:tcW w:w="2669" w:type="dxa"/>
            <w:vAlign w:val="center"/>
          </w:tcPr>
          <w:p w14:paraId="3C031848">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施工废弃垃圾、生活垃圾</w:t>
            </w:r>
          </w:p>
        </w:tc>
        <w:tc>
          <w:tcPr>
            <w:tcW w:w="1707" w:type="dxa"/>
            <w:vAlign w:val="center"/>
          </w:tcPr>
          <w:p w14:paraId="536BE3CF">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固体废物</w:t>
            </w:r>
          </w:p>
        </w:tc>
        <w:tc>
          <w:tcPr>
            <w:tcW w:w="1732" w:type="dxa"/>
            <w:vAlign w:val="center"/>
          </w:tcPr>
          <w:p w14:paraId="004F9107">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生态环境</w:t>
            </w:r>
          </w:p>
        </w:tc>
        <w:tc>
          <w:tcPr>
            <w:tcW w:w="617" w:type="dxa"/>
            <w:vAlign w:val="center"/>
          </w:tcPr>
          <w:p w14:paraId="5956A67B">
            <w:pPr>
              <w:ind w:firstLine="0" w:firstLineChars="0"/>
              <w:jc w:val="center"/>
              <w:rPr>
                <w:color w:val="000000" w:themeColor="text1"/>
                <w:kern w:val="0"/>
                <w:sz w:val="21"/>
                <w:szCs w:val="21"/>
                <w14:textFill>
                  <w14:solidFill>
                    <w14:schemeClr w14:val="tx1"/>
                  </w14:solidFill>
                </w14:textFill>
              </w:rPr>
            </w:pPr>
          </w:p>
        </w:tc>
        <w:tc>
          <w:tcPr>
            <w:tcW w:w="617" w:type="dxa"/>
            <w:vAlign w:val="center"/>
          </w:tcPr>
          <w:p w14:paraId="6BEFC86E">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617" w:type="dxa"/>
            <w:vAlign w:val="center"/>
          </w:tcPr>
          <w:p w14:paraId="36BAEBEC">
            <w:pPr>
              <w:ind w:firstLine="0" w:firstLineChars="0"/>
              <w:jc w:val="center"/>
              <w:rPr>
                <w:color w:val="000000" w:themeColor="text1"/>
                <w:kern w:val="0"/>
                <w:sz w:val="21"/>
                <w:szCs w:val="21"/>
                <w14:textFill>
                  <w14:solidFill>
                    <w14:schemeClr w14:val="tx1"/>
                  </w14:solidFill>
                </w14:textFill>
              </w:rPr>
            </w:pPr>
          </w:p>
        </w:tc>
        <w:tc>
          <w:tcPr>
            <w:tcW w:w="618" w:type="dxa"/>
            <w:vAlign w:val="center"/>
          </w:tcPr>
          <w:p w14:paraId="50BC95B4">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r>
      <w:tr w14:paraId="1030EC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39" w:hRule="atLeast"/>
          <w:jc w:val="center"/>
        </w:trPr>
        <w:tc>
          <w:tcPr>
            <w:tcW w:w="609" w:type="dxa"/>
            <w:vMerge w:val="restart"/>
            <w:vAlign w:val="center"/>
          </w:tcPr>
          <w:p w14:paraId="7624F64C">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运</w:t>
            </w:r>
          </w:p>
          <w:p w14:paraId="3E495A1A">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营</w:t>
            </w:r>
          </w:p>
          <w:p w14:paraId="5683DEBE">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期</w:t>
            </w:r>
          </w:p>
        </w:tc>
        <w:tc>
          <w:tcPr>
            <w:tcW w:w="2669" w:type="dxa"/>
            <w:vAlign w:val="center"/>
          </w:tcPr>
          <w:p w14:paraId="19EC0ADD">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生产废水、到港船舶废水</w:t>
            </w:r>
          </w:p>
        </w:tc>
        <w:tc>
          <w:tcPr>
            <w:tcW w:w="1707" w:type="dxa"/>
            <w:vAlign w:val="center"/>
          </w:tcPr>
          <w:p w14:paraId="4A04AE60">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废水</w:t>
            </w:r>
          </w:p>
        </w:tc>
        <w:tc>
          <w:tcPr>
            <w:tcW w:w="1732" w:type="dxa"/>
            <w:vAlign w:val="center"/>
          </w:tcPr>
          <w:p w14:paraId="4243E63D">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水环境</w:t>
            </w:r>
          </w:p>
        </w:tc>
        <w:tc>
          <w:tcPr>
            <w:tcW w:w="617" w:type="dxa"/>
            <w:vAlign w:val="center"/>
          </w:tcPr>
          <w:p w14:paraId="188572C5">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617" w:type="dxa"/>
            <w:vAlign w:val="center"/>
          </w:tcPr>
          <w:p w14:paraId="40E073A5">
            <w:pPr>
              <w:ind w:firstLine="0" w:firstLineChars="0"/>
              <w:jc w:val="center"/>
              <w:rPr>
                <w:color w:val="000000" w:themeColor="text1"/>
                <w:kern w:val="0"/>
                <w:sz w:val="21"/>
                <w:szCs w:val="21"/>
                <w14:textFill>
                  <w14:solidFill>
                    <w14:schemeClr w14:val="tx1"/>
                  </w14:solidFill>
                </w14:textFill>
              </w:rPr>
            </w:pPr>
          </w:p>
        </w:tc>
        <w:tc>
          <w:tcPr>
            <w:tcW w:w="617" w:type="dxa"/>
            <w:vAlign w:val="center"/>
          </w:tcPr>
          <w:p w14:paraId="2DA01359">
            <w:pPr>
              <w:ind w:firstLine="0" w:firstLineChars="0"/>
              <w:jc w:val="center"/>
              <w:rPr>
                <w:color w:val="000000" w:themeColor="text1"/>
                <w:kern w:val="0"/>
                <w:sz w:val="21"/>
                <w:szCs w:val="21"/>
                <w14:textFill>
                  <w14:solidFill>
                    <w14:schemeClr w14:val="tx1"/>
                  </w14:solidFill>
                </w14:textFill>
              </w:rPr>
            </w:pPr>
          </w:p>
        </w:tc>
        <w:tc>
          <w:tcPr>
            <w:tcW w:w="618" w:type="dxa"/>
            <w:vAlign w:val="center"/>
          </w:tcPr>
          <w:p w14:paraId="29CF556E">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r>
      <w:tr w14:paraId="65B559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278" w:type="dxa"/>
            <w:vMerge w:val="continue"/>
            <w:vAlign w:val="center"/>
          </w:tcPr>
          <w:p w14:paraId="762C0AB7">
            <w:pPr>
              <w:widowControl/>
              <w:spacing w:line="240" w:lineRule="auto"/>
              <w:ind w:firstLine="0" w:firstLineChars="0"/>
              <w:jc w:val="left"/>
              <w:rPr>
                <w:color w:val="000000" w:themeColor="text1"/>
                <w:kern w:val="0"/>
                <w:sz w:val="21"/>
                <w:szCs w:val="21"/>
                <w14:textFill>
                  <w14:solidFill>
                    <w14:schemeClr w14:val="tx1"/>
                  </w14:solidFill>
                </w14:textFill>
              </w:rPr>
            </w:pPr>
          </w:p>
        </w:tc>
        <w:tc>
          <w:tcPr>
            <w:tcW w:w="2669" w:type="dxa"/>
            <w:vAlign w:val="center"/>
          </w:tcPr>
          <w:p w14:paraId="4931E273">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货物装卸及运输、到港船舶</w:t>
            </w:r>
          </w:p>
        </w:tc>
        <w:tc>
          <w:tcPr>
            <w:tcW w:w="1707" w:type="dxa"/>
            <w:vAlign w:val="center"/>
          </w:tcPr>
          <w:p w14:paraId="0DE6CFF6">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噪声</w:t>
            </w:r>
          </w:p>
        </w:tc>
        <w:tc>
          <w:tcPr>
            <w:tcW w:w="1732" w:type="dxa"/>
            <w:vAlign w:val="center"/>
          </w:tcPr>
          <w:p w14:paraId="10535C70">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声环境</w:t>
            </w:r>
          </w:p>
        </w:tc>
        <w:tc>
          <w:tcPr>
            <w:tcW w:w="617" w:type="dxa"/>
            <w:vAlign w:val="center"/>
          </w:tcPr>
          <w:p w14:paraId="7251E48A">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617" w:type="dxa"/>
            <w:vAlign w:val="center"/>
          </w:tcPr>
          <w:p w14:paraId="3418B65B">
            <w:pPr>
              <w:ind w:firstLine="0" w:firstLineChars="0"/>
              <w:jc w:val="center"/>
              <w:rPr>
                <w:color w:val="000000" w:themeColor="text1"/>
                <w:kern w:val="0"/>
                <w:sz w:val="21"/>
                <w:szCs w:val="21"/>
                <w14:textFill>
                  <w14:solidFill>
                    <w14:schemeClr w14:val="tx1"/>
                  </w14:solidFill>
                </w14:textFill>
              </w:rPr>
            </w:pPr>
          </w:p>
        </w:tc>
        <w:tc>
          <w:tcPr>
            <w:tcW w:w="617" w:type="dxa"/>
            <w:vAlign w:val="center"/>
          </w:tcPr>
          <w:p w14:paraId="1BC9AD1E">
            <w:pPr>
              <w:ind w:firstLine="0" w:firstLineChars="0"/>
              <w:jc w:val="center"/>
              <w:rPr>
                <w:color w:val="000000" w:themeColor="text1"/>
                <w:kern w:val="0"/>
                <w:sz w:val="21"/>
                <w:szCs w:val="21"/>
                <w14:textFill>
                  <w14:solidFill>
                    <w14:schemeClr w14:val="tx1"/>
                  </w14:solidFill>
                </w14:textFill>
              </w:rPr>
            </w:pPr>
          </w:p>
        </w:tc>
        <w:tc>
          <w:tcPr>
            <w:tcW w:w="618" w:type="dxa"/>
            <w:vAlign w:val="center"/>
          </w:tcPr>
          <w:p w14:paraId="47A65674">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r>
      <w:tr w14:paraId="6CFD4C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278" w:type="dxa"/>
            <w:vMerge w:val="continue"/>
            <w:vAlign w:val="center"/>
          </w:tcPr>
          <w:p w14:paraId="7E651653">
            <w:pPr>
              <w:widowControl/>
              <w:spacing w:line="240" w:lineRule="auto"/>
              <w:ind w:firstLine="0" w:firstLineChars="0"/>
              <w:jc w:val="left"/>
              <w:rPr>
                <w:color w:val="000000" w:themeColor="text1"/>
                <w:kern w:val="0"/>
                <w:sz w:val="21"/>
                <w:szCs w:val="21"/>
                <w14:textFill>
                  <w14:solidFill>
                    <w14:schemeClr w14:val="tx1"/>
                  </w14:solidFill>
                </w14:textFill>
              </w:rPr>
            </w:pPr>
          </w:p>
        </w:tc>
        <w:tc>
          <w:tcPr>
            <w:tcW w:w="2669" w:type="dxa"/>
            <w:vAlign w:val="center"/>
          </w:tcPr>
          <w:p w14:paraId="094964E7">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船舶固体废物、</w:t>
            </w:r>
            <w:r>
              <w:rPr>
                <w:rFonts w:hint="eastAsia" w:ascii="宋体" w:hAnsi="宋体"/>
                <w:color w:val="000000" w:themeColor="text1"/>
                <w:kern w:val="0"/>
                <w:sz w:val="21"/>
                <w:szCs w:val="21"/>
                <w14:textFill>
                  <w14:solidFill>
                    <w14:schemeClr w14:val="tx1"/>
                  </w14:solidFill>
                </w14:textFill>
              </w:rPr>
              <w:t>维修废物</w:t>
            </w:r>
          </w:p>
        </w:tc>
        <w:tc>
          <w:tcPr>
            <w:tcW w:w="1707" w:type="dxa"/>
            <w:vAlign w:val="center"/>
          </w:tcPr>
          <w:p w14:paraId="6077FBCB">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固体废物</w:t>
            </w:r>
          </w:p>
        </w:tc>
        <w:tc>
          <w:tcPr>
            <w:tcW w:w="1732" w:type="dxa"/>
            <w:vAlign w:val="center"/>
          </w:tcPr>
          <w:p w14:paraId="31E553DE">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生态环境</w:t>
            </w:r>
          </w:p>
        </w:tc>
        <w:tc>
          <w:tcPr>
            <w:tcW w:w="617" w:type="dxa"/>
            <w:vAlign w:val="center"/>
          </w:tcPr>
          <w:p w14:paraId="491CC9B4">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617" w:type="dxa"/>
            <w:vAlign w:val="center"/>
          </w:tcPr>
          <w:p w14:paraId="61F733F4">
            <w:pPr>
              <w:ind w:firstLine="0" w:firstLineChars="0"/>
              <w:jc w:val="center"/>
              <w:rPr>
                <w:color w:val="000000" w:themeColor="text1"/>
                <w:kern w:val="0"/>
                <w:sz w:val="21"/>
                <w:szCs w:val="21"/>
                <w14:textFill>
                  <w14:solidFill>
                    <w14:schemeClr w14:val="tx1"/>
                  </w14:solidFill>
                </w14:textFill>
              </w:rPr>
            </w:pPr>
          </w:p>
        </w:tc>
        <w:tc>
          <w:tcPr>
            <w:tcW w:w="617" w:type="dxa"/>
            <w:vAlign w:val="center"/>
          </w:tcPr>
          <w:p w14:paraId="5387B89C">
            <w:pPr>
              <w:ind w:firstLine="0" w:firstLineChars="0"/>
              <w:jc w:val="center"/>
              <w:rPr>
                <w:color w:val="000000" w:themeColor="text1"/>
                <w:kern w:val="0"/>
                <w:sz w:val="21"/>
                <w:szCs w:val="21"/>
                <w14:textFill>
                  <w14:solidFill>
                    <w14:schemeClr w14:val="tx1"/>
                  </w14:solidFill>
                </w14:textFill>
              </w:rPr>
            </w:pPr>
          </w:p>
        </w:tc>
        <w:tc>
          <w:tcPr>
            <w:tcW w:w="618" w:type="dxa"/>
            <w:vAlign w:val="center"/>
          </w:tcPr>
          <w:p w14:paraId="480F6D0F">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r>
      <w:tr w14:paraId="2D9BCD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278" w:type="dxa"/>
            <w:vMerge w:val="continue"/>
            <w:vAlign w:val="center"/>
          </w:tcPr>
          <w:p w14:paraId="4F2750B2">
            <w:pPr>
              <w:widowControl/>
              <w:spacing w:line="240" w:lineRule="auto"/>
              <w:ind w:firstLine="0" w:firstLineChars="0"/>
              <w:jc w:val="left"/>
              <w:rPr>
                <w:color w:val="000000" w:themeColor="text1"/>
                <w:kern w:val="0"/>
                <w:sz w:val="21"/>
                <w:szCs w:val="21"/>
                <w14:textFill>
                  <w14:solidFill>
                    <w14:schemeClr w14:val="tx1"/>
                  </w14:solidFill>
                </w14:textFill>
              </w:rPr>
            </w:pPr>
          </w:p>
        </w:tc>
        <w:tc>
          <w:tcPr>
            <w:tcW w:w="2669" w:type="dxa"/>
            <w:vAlign w:val="center"/>
          </w:tcPr>
          <w:p w14:paraId="3BE6310C">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装卸运输、船舶废气</w:t>
            </w:r>
          </w:p>
        </w:tc>
        <w:tc>
          <w:tcPr>
            <w:tcW w:w="1707" w:type="dxa"/>
            <w:vAlign w:val="center"/>
          </w:tcPr>
          <w:p w14:paraId="3348F9B7">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废气</w:t>
            </w:r>
          </w:p>
        </w:tc>
        <w:tc>
          <w:tcPr>
            <w:tcW w:w="1732" w:type="dxa"/>
            <w:vAlign w:val="center"/>
          </w:tcPr>
          <w:p w14:paraId="2262D5E9">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大气环境</w:t>
            </w:r>
          </w:p>
        </w:tc>
        <w:tc>
          <w:tcPr>
            <w:tcW w:w="617" w:type="dxa"/>
            <w:vAlign w:val="center"/>
          </w:tcPr>
          <w:p w14:paraId="4CEF6838">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617" w:type="dxa"/>
            <w:vAlign w:val="center"/>
          </w:tcPr>
          <w:p w14:paraId="4B51F524">
            <w:pPr>
              <w:ind w:firstLine="0" w:firstLineChars="0"/>
              <w:jc w:val="center"/>
              <w:rPr>
                <w:color w:val="000000" w:themeColor="text1"/>
                <w:kern w:val="0"/>
                <w:sz w:val="21"/>
                <w:szCs w:val="21"/>
                <w14:textFill>
                  <w14:solidFill>
                    <w14:schemeClr w14:val="tx1"/>
                  </w14:solidFill>
                </w14:textFill>
              </w:rPr>
            </w:pPr>
          </w:p>
        </w:tc>
        <w:tc>
          <w:tcPr>
            <w:tcW w:w="617" w:type="dxa"/>
            <w:vAlign w:val="center"/>
          </w:tcPr>
          <w:p w14:paraId="71E5C628">
            <w:pPr>
              <w:ind w:firstLine="0" w:firstLineChars="0"/>
              <w:jc w:val="center"/>
              <w:rPr>
                <w:color w:val="000000" w:themeColor="text1"/>
                <w:kern w:val="0"/>
                <w:sz w:val="21"/>
                <w:szCs w:val="21"/>
                <w14:textFill>
                  <w14:solidFill>
                    <w14:schemeClr w14:val="tx1"/>
                  </w14:solidFill>
                </w14:textFill>
              </w:rPr>
            </w:pPr>
          </w:p>
        </w:tc>
        <w:tc>
          <w:tcPr>
            <w:tcW w:w="618" w:type="dxa"/>
            <w:vAlign w:val="center"/>
          </w:tcPr>
          <w:p w14:paraId="73158C3B">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r>
    </w:tbl>
    <w:p w14:paraId="58661652">
      <w:pPr>
        <w:pStyle w:val="4"/>
        <w:rPr>
          <w:color w:val="000000" w:themeColor="text1"/>
          <w14:textFill>
            <w14:solidFill>
              <w14:schemeClr w14:val="tx1"/>
            </w14:solidFill>
          </w14:textFill>
        </w:rPr>
      </w:pPr>
      <w:bookmarkStart w:id="67" w:name="_Toc216103172"/>
      <w:bookmarkStart w:id="68" w:name="_Toc26909955"/>
      <w:bookmarkStart w:id="69" w:name="_Toc25436909"/>
      <w:bookmarkStart w:id="70" w:name="_Toc135090170"/>
      <w:bookmarkStart w:id="71" w:name="_Toc136878419"/>
      <w:bookmarkStart w:id="72" w:name="_Toc29131769"/>
      <w:bookmarkStart w:id="73" w:name="_Toc216620331"/>
      <w:r>
        <w:rPr>
          <w:color w:val="000000" w:themeColor="text1"/>
          <w14:textFill>
            <w14:solidFill>
              <w14:schemeClr w14:val="tx1"/>
            </w14:solidFill>
          </w14:textFill>
        </w:rPr>
        <w:t>评价因子筛选</w:t>
      </w:r>
      <w:bookmarkEnd w:id="67"/>
      <w:bookmarkEnd w:id="68"/>
      <w:bookmarkEnd w:id="69"/>
      <w:bookmarkEnd w:id="70"/>
      <w:bookmarkEnd w:id="71"/>
      <w:bookmarkEnd w:id="72"/>
      <w:bookmarkEnd w:id="73"/>
    </w:p>
    <w:p w14:paraId="19DFEFB4">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本项目主要评价因子见表1.3-</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p>
    <w:p w14:paraId="57618715">
      <w:pPr>
        <w:pStyle w:val="7"/>
        <w:rPr>
          <w:color w:val="000000" w:themeColor="text1"/>
          <w14:textFill>
            <w14:solidFill>
              <w14:schemeClr w14:val="tx1"/>
            </w14:solidFill>
          </w14:textFill>
        </w:rPr>
      </w:pPr>
      <w:r>
        <w:rPr>
          <w:color w:val="000000" w:themeColor="text1"/>
          <w14:textFill>
            <w14:solidFill>
              <w14:schemeClr w14:val="tx1"/>
            </w14:solidFill>
          </w14:textFill>
        </w:rPr>
        <w:t>项目主要评价因子表</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95"/>
        <w:gridCol w:w="1134"/>
        <w:gridCol w:w="4819"/>
        <w:gridCol w:w="2394"/>
      </w:tblGrid>
      <w:tr w14:paraId="7623A6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blHeader/>
          <w:jc w:val="center"/>
        </w:trPr>
        <w:tc>
          <w:tcPr>
            <w:tcW w:w="695" w:type="dxa"/>
            <w:tcMar>
              <w:left w:w="0" w:type="dxa"/>
              <w:right w:w="0" w:type="dxa"/>
            </w:tcMar>
            <w:vAlign w:val="center"/>
          </w:tcPr>
          <w:p w14:paraId="4531439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时期</w:t>
            </w:r>
          </w:p>
        </w:tc>
        <w:tc>
          <w:tcPr>
            <w:tcW w:w="1134" w:type="dxa"/>
            <w:tcMar>
              <w:left w:w="0" w:type="dxa"/>
              <w:right w:w="0" w:type="dxa"/>
            </w:tcMar>
            <w:vAlign w:val="center"/>
          </w:tcPr>
          <w:p w14:paraId="69467958">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环境要素</w:t>
            </w:r>
          </w:p>
        </w:tc>
        <w:tc>
          <w:tcPr>
            <w:tcW w:w="4819" w:type="dxa"/>
            <w:tcMar>
              <w:left w:w="0" w:type="dxa"/>
              <w:right w:w="0" w:type="dxa"/>
            </w:tcMar>
            <w:vAlign w:val="center"/>
          </w:tcPr>
          <w:p w14:paraId="74964AD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现状评价因子</w:t>
            </w:r>
          </w:p>
        </w:tc>
        <w:tc>
          <w:tcPr>
            <w:tcW w:w="2394" w:type="dxa"/>
            <w:tcMar>
              <w:left w:w="0" w:type="dxa"/>
              <w:right w:w="0" w:type="dxa"/>
            </w:tcMar>
            <w:vAlign w:val="center"/>
          </w:tcPr>
          <w:p w14:paraId="5050AA88">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预测评价因子、影响分析</w:t>
            </w:r>
          </w:p>
        </w:tc>
      </w:tr>
      <w:tr w14:paraId="25D469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95" w:type="dxa"/>
            <w:vMerge w:val="restart"/>
            <w:tcMar>
              <w:left w:w="0" w:type="dxa"/>
              <w:right w:w="0" w:type="dxa"/>
            </w:tcMar>
            <w:vAlign w:val="center"/>
          </w:tcPr>
          <w:p w14:paraId="15B3C30E">
            <w:pPr>
              <w:pStyle w:val="70"/>
              <w:rPr>
                <w:color w:val="000000" w:themeColor="text1"/>
                <w14:textFill>
                  <w14:solidFill>
                    <w14:schemeClr w14:val="tx1"/>
                  </w14:solidFill>
                </w14:textFill>
              </w:rPr>
            </w:pPr>
            <w:r>
              <w:rPr>
                <w:color w:val="000000" w:themeColor="text1"/>
                <w14:textFill>
                  <w14:solidFill>
                    <w14:schemeClr w14:val="tx1"/>
                  </w14:solidFill>
                </w14:textFill>
              </w:rPr>
              <w:t>陆域</w:t>
            </w:r>
          </w:p>
          <w:p w14:paraId="1DD3FFC8">
            <w:pPr>
              <w:pStyle w:val="70"/>
              <w:rPr>
                <w:color w:val="000000" w:themeColor="text1"/>
                <w14:textFill>
                  <w14:solidFill>
                    <w14:schemeClr w14:val="tx1"/>
                  </w14:solidFill>
                </w14:textFill>
              </w:rPr>
            </w:pPr>
            <w:r>
              <w:rPr>
                <w:color w:val="000000" w:themeColor="text1"/>
                <w14:textFill>
                  <w14:solidFill>
                    <w14:schemeClr w14:val="tx1"/>
                  </w14:solidFill>
                </w14:textFill>
              </w:rPr>
              <w:t>环境</w:t>
            </w:r>
          </w:p>
        </w:tc>
        <w:tc>
          <w:tcPr>
            <w:tcW w:w="1134" w:type="dxa"/>
            <w:tcMar>
              <w:left w:w="0" w:type="dxa"/>
              <w:right w:w="0" w:type="dxa"/>
            </w:tcMar>
            <w:vAlign w:val="center"/>
          </w:tcPr>
          <w:p w14:paraId="1C179927">
            <w:pPr>
              <w:pStyle w:val="70"/>
              <w:rPr>
                <w:color w:val="000000" w:themeColor="text1"/>
                <w14:textFill>
                  <w14:solidFill>
                    <w14:schemeClr w14:val="tx1"/>
                  </w14:solidFill>
                </w14:textFill>
              </w:rPr>
            </w:pPr>
            <w:r>
              <w:rPr>
                <w:color w:val="000000" w:themeColor="text1"/>
                <w14:textFill>
                  <w14:solidFill>
                    <w14:schemeClr w14:val="tx1"/>
                  </w14:solidFill>
                </w14:textFill>
              </w:rPr>
              <w:t>环境空气</w:t>
            </w:r>
          </w:p>
        </w:tc>
        <w:tc>
          <w:tcPr>
            <w:tcW w:w="4819" w:type="dxa"/>
            <w:tcMar>
              <w:left w:w="0" w:type="dxa"/>
              <w:right w:w="0" w:type="dxa"/>
            </w:tcMar>
            <w:vAlign w:val="center"/>
          </w:tcPr>
          <w:p w14:paraId="308DC264">
            <w:pPr>
              <w:pStyle w:val="70"/>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、CO、臭氧、</w:t>
            </w:r>
            <w:r>
              <w:rPr>
                <w:rFonts w:hint="eastAsia"/>
                <w:color w:val="000000" w:themeColor="text1"/>
                <w14:textFill>
                  <w14:solidFill>
                    <w14:schemeClr w14:val="tx1"/>
                  </w14:solidFill>
                </w14:textFill>
              </w:rPr>
              <w:t>非甲烷总烃、苯乙烯、硫酸、臭气浓度</w:t>
            </w:r>
          </w:p>
        </w:tc>
        <w:tc>
          <w:tcPr>
            <w:tcW w:w="2394" w:type="dxa"/>
            <w:tcMar>
              <w:left w:w="0" w:type="dxa"/>
              <w:right w:w="0" w:type="dxa"/>
            </w:tcMar>
            <w:vAlign w:val="center"/>
          </w:tcPr>
          <w:p w14:paraId="5D63C0D1">
            <w:pPr>
              <w:pStyle w:val="7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非甲烷总烃、苯乙烯、</w:t>
            </w:r>
            <w:r>
              <w:rPr>
                <w:rFonts w:hint="eastAsia"/>
                <w:color w:val="000000" w:themeColor="text1"/>
                <w:lang w:val="en-US" w:eastAsia="zh-CN"/>
                <w14:textFill>
                  <w14:solidFill>
                    <w14:schemeClr w14:val="tx1"/>
                  </w14:solidFill>
                </w14:textFill>
              </w:rPr>
              <w:t>硫酸雾</w:t>
            </w:r>
          </w:p>
        </w:tc>
      </w:tr>
      <w:tr w14:paraId="3543F6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95" w:type="dxa"/>
            <w:vMerge w:val="continue"/>
            <w:tcMar>
              <w:left w:w="0" w:type="dxa"/>
              <w:right w:w="0" w:type="dxa"/>
            </w:tcMar>
            <w:vAlign w:val="center"/>
          </w:tcPr>
          <w:p w14:paraId="5D8ACE2F">
            <w:pPr>
              <w:pStyle w:val="70"/>
              <w:rPr>
                <w:color w:val="000000" w:themeColor="text1"/>
                <w14:textFill>
                  <w14:solidFill>
                    <w14:schemeClr w14:val="tx1"/>
                  </w14:solidFill>
                </w14:textFill>
              </w:rPr>
            </w:pPr>
          </w:p>
        </w:tc>
        <w:tc>
          <w:tcPr>
            <w:tcW w:w="1134" w:type="dxa"/>
            <w:tcMar>
              <w:left w:w="0" w:type="dxa"/>
              <w:right w:w="0" w:type="dxa"/>
            </w:tcMar>
            <w:vAlign w:val="center"/>
          </w:tcPr>
          <w:p w14:paraId="33C77484">
            <w:pPr>
              <w:pStyle w:val="70"/>
              <w:rPr>
                <w:color w:val="000000" w:themeColor="text1"/>
                <w14:textFill>
                  <w14:solidFill>
                    <w14:schemeClr w14:val="tx1"/>
                  </w14:solidFill>
                </w14:textFill>
              </w:rPr>
            </w:pPr>
            <w:r>
              <w:rPr>
                <w:color w:val="000000" w:themeColor="text1"/>
                <w14:textFill>
                  <w14:solidFill>
                    <w14:schemeClr w14:val="tx1"/>
                  </w14:solidFill>
                </w14:textFill>
              </w:rPr>
              <w:t>地下水环境</w:t>
            </w:r>
          </w:p>
        </w:tc>
        <w:tc>
          <w:tcPr>
            <w:tcW w:w="4819" w:type="dxa"/>
            <w:tcMar>
              <w:left w:w="0" w:type="dxa"/>
              <w:right w:w="0" w:type="dxa"/>
            </w:tcMar>
            <w:vAlign w:val="center"/>
          </w:tcPr>
          <w:p w14:paraId="13BA8C64">
            <w:pPr>
              <w:pStyle w:val="7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p</w:t>
            </w:r>
            <w:r>
              <w:rPr>
                <w:rFonts w:hint="eastAsia"/>
                <w:color w:val="000000" w:themeColor="text1"/>
                <w14:textFill>
                  <w14:solidFill>
                    <w14:schemeClr w14:val="tx1"/>
                  </w14:solidFill>
                </w14:textFill>
              </w:rPr>
              <w:t>H、总硬度、溶解性总固体、硫酸盐、氯化物、挥发性酚类、耗氧量、氨氮、硫化物；硝酸盐、亚硝酸盐、氟化物、氰化物、砷、汞、铅、六价铬、镉、苯乙烯。 同步记录井深、水位、埋深。</w:t>
            </w:r>
          </w:p>
        </w:tc>
        <w:tc>
          <w:tcPr>
            <w:tcW w:w="2394" w:type="dxa"/>
            <w:tcMar>
              <w:left w:w="0" w:type="dxa"/>
              <w:right w:w="0" w:type="dxa"/>
            </w:tcMar>
            <w:vAlign w:val="center"/>
          </w:tcPr>
          <w:p w14:paraId="518ADE1B">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58DCD3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95" w:type="dxa"/>
            <w:vMerge w:val="continue"/>
            <w:tcMar>
              <w:left w:w="0" w:type="dxa"/>
              <w:right w:w="0" w:type="dxa"/>
            </w:tcMar>
            <w:vAlign w:val="center"/>
          </w:tcPr>
          <w:p w14:paraId="6F7D5AD5">
            <w:pPr>
              <w:pStyle w:val="70"/>
              <w:rPr>
                <w:color w:val="000000" w:themeColor="text1"/>
                <w14:textFill>
                  <w14:solidFill>
                    <w14:schemeClr w14:val="tx1"/>
                  </w14:solidFill>
                </w14:textFill>
              </w:rPr>
            </w:pPr>
          </w:p>
        </w:tc>
        <w:tc>
          <w:tcPr>
            <w:tcW w:w="1134" w:type="dxa"/>
            <w:tcMar>
              <w:left w:w="0" w:type="dxa"/>
              <w:right w:w="0" w:type="dxa"/>
            </w:tcMar>
            <w:vAlign w:val="center"/>
          </w:tcPr>
          <w:p w14:paraId="31B32057">
            <w:pPr>
              <w:pStyle w:val="70"/>
              <w:rPr>
                <w:color w:val="000000" w:themeColor="text1"/>
                <w14:textFill>
                  <w14:solidFill>
                    <w14:schemeClr w14:val="tx1"/>
                  </w14:solidFill>
                </w14:textFill>
              </w:rPr>
            </w:pPr>
            <w:r>
              <w:rPr>
                <w:color w:val="000000" w:themeColor="text1"/>
                <w14:textFill>
                  <w14:solidFill>
                    <w14:schemeClr w14:val="tx1"/>
                  </w14:solidFill>
                </w14:textFill>
              </w:rPr>
              <w:t>土壤环境</w:t>
            </w:r>
          </w:p>
        </w:tc>
        <w:tc>
          <w:tcPr>
            <w:tcW w:w="4819" w:type="dxa"/>
            <w:tcMar>
              <w:left w:w="0" w:type="dxa"/>
              <w:right w:w="0" w:type="dxa"/>
            </w:tcMar>
            <w:vAlign w:val="center"/>
          </w:tcPr>
          <w:p w14:paraId="006D7550">
            <w:pPr>
              <w:pStyle w:val="70"/>
              <w:rPr>
                <w:color w:val="000000" w:themeColor="text1"/>
                <w14:textFill>
                  <w14:solidFill>
                    <w14:schemeClr w14:val="tx1"/>
                  </w14:solidFill>
                </w14:textFill>
              </w:rPr>
            </w:pPr>
            <w:r>
              <w:rPr>
                <w:color w:val="000000" w:themeColor="text1"/>
                <w14:textFill>
                  <w14:solidFill>
                    <w14:schemeClr w14:val="tx1"/>
                  </w14:solidFill>
                </w14:textFill>
              </w:rPr>
              <w:t>《土壤环境质量 建设用地土壤污染风险管控标准》（GB36600-2018）第二类用地筛选值45项</w:t>
            </w:r>
          </w:p>
        </w:tc>
        <w:tc>
          <w:tcPr>
            <w:tcW w:w="2394" w:type="dxa"/>
            <w:tcMar>
              <w:left w:w="0" w:type="dxa"/>
              <w:right w:w="0" w:type="dxa"/>
            </w:tcMar>
            <w:vAlign w:val="center"/>
          </w:tcPr>
          <w:p w14:paraId="45655C29">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3DEA25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95" w:type="dxa"/>
            <w:vMerge w:val="continue"/>
            <w:tcMar>
              <w:left w:w="0" w:type="dxa"/>
              <w:right w:w="0" w:type="dxa"/>
            </w:tcMar>
            <w:vAlign w:val="center"/>
          </w:tcPr>
          <w:p w14:paraId="19EC44D7">
            <w:pPr>
              <w:pStyle w:val="70"/>
              <w:rPr>
                <w:color w:val="000000" w:themeColor="text1"/>
                <w14:textFill>
                  <w14:solidFill>
                    <w14:schemeClr w14:val="tx1"/>
                  </w14:solidFill>
                </w14:textFill>
              </w:rPr>
            </w:pPr>
          </w:p>
        </w:tc>
        <w:tc>
          <w:tcPr>
            <w:tcW w:w="1134" w:type="dxa"/>
            <w:tcMar>
              <w:left w:w="0" w:type="dxa"/>
              <w:right w:w="0" w:type="dxa"/>
            </w:tcMar>
            <w:vAlign w:val="center"/>
          </w:tcPr>
          <w:p w14:paraId="5CEF164F">
            <w:pPr>
              <w:pStyle w:val="70"/>
              <w:rPr>
                <w:color w:val="000000" w:themeColor="text1"/>
                <w14:textFill>
                  <w14:solidFill>
                    <w14:schemeClr w14:val="tx1"/>
                  </w14:solidFill>
                </w14:textFill>
              </w:rPr>
            </w:pPr>
            <w:r>
              <w:rPr>
                <w:color w:val="000000" w:themeColor="text1"/>
                <w14:textFill>
                  <w14:solidFill>
                    <w14:schemeClr w14:val="tx1"/>
                  </w14:solidFill>
                </w14:textFill>
              </w:rPr>
              <w:t>声环境</w:t>
            </w:r>
          </w:p>
        </w:tc>
        <w:tc>
          <w:tcPr>
            <w:tcW w:w="4819" w:type="dxa"/>
            <w:tcMar>
              <w:left w:w="0" w:type="dxa"/>
              <w:right w:w="0" w:type="dxa"/>
            </w:tcMar>
            <w:vAlign w:val="center"/>
          </w:tcPr>
          <w:p w14:paraId="1E0D3335">
            <w:pPr>
              <w:pStyle w:val="70"/>
              <w:rPr>
                <w:color w:val="000000" w:themeColor="text1"/>
                <w14:textFill>
                  <w14:solidFill>
                    <w14:schemeClr w14:val="tx1"/>
                  </w14:solidFill>
                </w14:textFill>
              </w:rPr>
            </w:pPr>
            <w:r>
              <w:rPr>
                <w:color w:val="000000" w:themeColor="text1"/>
                <w14:textFill>
                  <w14:solidFill>
                    <w14:schemeClr w14:val="tx1"/>
                  </w14:solidFill>
                </w14:textFill>
              </w:rPr>
              <w:t>等效连续A声级Leq[A]</w:t>
            </w:r>
          </w:p>
        </w:tc>
        <w:tc>
          <w:tcPr>
            <w:tcW w:w="2394" w:type="dxa"/>
            <w:tcMar>
              <w:left w:w="0" w:type="dxa"/>
              <w:right w:w="0" w:type="dxa"/>
            </w:tcMar>
            <w:vAlign w:val="center"/>
          </w:tcPr>
          <w:p w14:paraId="6A62CB55">
            <w:pPr>
              <w:pStyle w:val="70"/>
              <w:rPr>
                <w:color w:val="000000" w:themeColor="text1"/>
                <w14:textFill>
                  <w14:solidFill>
                    <w14:schemeClr w14:val="tx1"/>
                  </w14:solidFill>
                </w14:textFill>
              </w:rPr>
            </w:pPr>
            <w:r>
              <w:rPr>
                <w:color w:val="000000" w:themeColor="text1"/>
                <w14:textFill>
                  <w14:solidFill>
                    <w14:schemeClr w14:val="tx1"/>
                  </w14:solidFill>
                </w14:textFill>
              </w:rPr>
              <w:t>Leq[A]</w:t>
            </w:r>
          </w:p>
        </w:tc>
      </w:tr>
      <w:tr w14:paraId="66B45D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95" w:type="dxa"/>
            <w:vMerge w:val="continue"/>
            <w:tcMar>
              <w:left w:w="0" w:type="dxa"/>
              <w:right w:w="0" w:type="dxa"/>
            </w:tcMar>
            <w:vAlign w:val="center"/>
          </w:tcPr>
          <w:p w14:paraId="17085C6D">
            <w:pPr>
              <w:pStyle w:val="70"/>
              <w:rPr>
                <w:color w:val="000000" w:themeColor="text1"/>
                <w14:textFill>
                  <w14:solidFill>
                    <w14:schemeClr w14:val="tx1"/>
                  </w14:solidFill>
                </w14:textFill>
              </w:rPr>
            </w:pPr>
          </w:p>
        </w:tc>
        <w:tc>
          <w:tcPr>
            <w:tcW w:w="1134" w:type="dxa"/>
            <w:tcMar>
              <w:left w:w="0" w:type="dxa"/>
              <w:right w:w="0" w:type="dxa"/>
            </w:tcMar>
            <w:vAlign w:val="center"/>
          </w:tcPr>
          <w:p w14:paraId="107CE14C">
            <w:pPr>
              <w:pStyle w:val="70"/>
              <w:rPr>
                <w:color w:val="000000" w:themeColor="text1"/>
                <w14:textFill>
                  <w14:solidFill>
                    <w14:schemeClr w14:val="tx1"/>
                  </w14:solidFill>
                </w14:textFill>
              </w:rPr>
            </w:pPr>
            <w:r>
              <w:rPr>
                <w:color w:val="000000" w:themeColor="text1"/>
                <w14:textFill>
                  <w14:solidFill>
                    <w14:schemeClr w14:val="tx1"/>
                  </w14:solidFill>
                </w14:textFill>
              </w:rPr>
              <w:t>固体废物</w:t>
            </w:r>
          </w:p>
        </w:tc>
        <w:tc>
          <w:tcPr>
            <w:tcW w:w="4819" w:type="dxa"/>
            <w:tcMar>
              <w:left w:w="0" w:type="dxa"/>
              <w:right w:w="0" w:type="dxa"/>
            </w:tcMar>
            <w:vAlign w:val="center"/>
          </w:tcPr>
          <w:p w14:paraId="12CB952A">
            <w:pPr>
              <w:pStyle w:val="70"/>
              <w:rPr>
                <w:color w:val="000000" w:themeColor="text1"/>
                <w14:textFill>
                  <w14:solidFill>
                    <w14:schemeClr w14:val="tx1"/>
                  </w14:solidFill>
                </w14:textFill>
              </w:rPr>
            </w:pPr>
            <w:r>
              <w:rPr>
                <w:color w:val="000000" w:themeColor="text1"/>
                <w14:textFill>
                  <w14:solidFill>
                    <w14:schemeClr w14:val="tx1"/>
                  </w14:solidFill>
                </w14:textFill>
              </w:rPr>
              <w:t>一般废物、生活垃圾</w:t>
            </w:r>
          </w:p>
        </w:tc>
        <w:tc>
          <w:tcPr>
            <w:tcW w:w="2394" w:type="dxa"/>
            <w:tcMar>
              <w:left w:w="0" w:type="dxa"/>
              <w:right w:w="0" w:type="dxa"/>
            </w:tcMar>
            <w:vAlign w:val="center"/>
          </w:tcPr>
          <w:p w14:paraId="58EB82A8">
            <w:pPr>
              <w:pStyle w:val="70"/>
              <w:rPr>
                <w:color w:val="000000" w:themeColor="text1"/>
                <w14:textFill>
                  <w14:solidFill>
                    <w14:schemeClr w14:val="tx1"/>
                  </w14:solidFill>
                </w14:textFill>
              </w:rPr>
            </w:pPr>
            <w:r>
              <w:rPr>
                <w:color w:val="000000" w:themeColor="text1"/>
                <w14:textFill>
                  <w14:solidFill>
                    <w14:schemeClr w14:val="tx1"/>
                  </w14:solidFill>
                </w14:textFill>
              </w:rPr>
              <w:t>简单分析</w:t>
            </w:r>
          </w:p>
        </w:tc>
      </w:tr>
      <w:tr w14:paraId="3000EB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95" w:type="dxa"/>
            <w:vMerge w:val="continue"/>
            <w:tcMar>
              <w:left w:w="0" w:type="dxa"/>
              <w:right w:w="0" w:type="dxa"/>
            </w:tcMar>
            <w:vAlign w:val="center"/>
          </w:tcPr>
          <w:p w14:paraId="7B7915B1">
            <w:pPr>
              <w:pStyle w:val="70"/>
              <w:rPr>
                <w:color w:val="000000" w:themeColor="text1"/>
                <w14:textFill>
                  <w14:solidFill>
                    <w14:schemeClr w14:val="tx1"/>
                  </w14:solidFill>
                </w14:textFill>
              </w:rPr>
            </w:pPr>
          </w:p>
        </w:tc>
        <w:tc>
          <w:tcPr>
            <w:tcW w:w="1134" w:type="dxa"/>
            <w:tcMar>
              <w:left w:w="0" w:type="dxa"/>
              <w:right w:w="0" w:type="dxa"/>
            </w:tcMar>
            <w:vAlign w:val="center"/>
          </w:tcPr>
          <w:p w14:paraId="172373E2">
            <w:pPr>
              <w:pStyle w:val="70"/>
              <w:rPr>
                <w:color w:val="000000" w:themeColor="text1"/>
                <w14:textFill>
                  <w14:solidFill>
                    <w14:schemeClr w14:val="tx1"/>
                  </w14:solidFill>
                </w14:textFill>
              </w:rPr>
            </w:pPr>
            <w:r>
              <w:rPr>
                <w:color w:val="000000" w:themeColor="text1"/>
                <w14:textFill>
                  <w14:solidFill>
                    <w14:schemeClr w14:val="tx1"/>
                  </w14:solidFill>
                </w14:textFill>
              </w:rPr>
              <w:t>环境风险</w:t>
            </w:r>
          </w:p>
        </w:tc>
        <w:tc>
          <w:tcPr>
            <w:tcW w:w="4819" w:type="dxa"/>
            <w:tcMar>
              <w:left w:w="0" w:type="dxa"/>
              <w:right w:w="0" w:type="dxa"/>
            </w:tcMar>
            <w:vAlign w:val="center"/>
          </w:tcPr>
          <w:p w14:paraId="2CFD9387">
            <w:pPr>
              <w:pStyle w:val="70"/>
              <w:rPr>
                <w:color w:val="000000" w:themeColor="text1"/>
                <w14:textFill>
                  <w14:solidFill>
                    <w14:schemeClr w14:val="tx1"/>
                  </w14:solidFill>
                </w14:textFill>
              </w:rPr>
            </w:pPr>
            <w:r>
              <w:rPr>
                <w:color w:val="000000" w:themeColor="text1"/>
                <w14:textFill>
                  <w14:solidFill>
                    <w14:schemeClr w14:val="tx1"/>
                  </w14:solidFill>
                </w14:textFill>
              </w:rPr>
              <w:t>泄漏事故及引发的次生污染</w:t>
            </w:r>
          </w:p>
        </w:tc>
        <w:tc>
          <w:tcPr>
            <w:tcW w:w="2394" w:type="dxa"/>
            <w:tcMar>
              <w:left w:w="0" w:type="dxa"/>
              <w:right w:w="0" w:type="dxa"/>
            </w:tcMar>
            <w:vAlign w:val="center"/>
          </w:tcPr>
          <w:p w14:paraId="7075F17B">
            <w:pPr>
              <w:pStyle w:val="7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苯乙烯、液碱、发烟硫酸</w:t>
            </w:r>
            <w:r>
              <w:rPr>
                <w:color w:val="000000" w:themeColor="text1"/>
                <w14:textFill>
                  <w14:solidFill>
                    <w14:schemeClr w14:val="tx1"/>
                  </w14:solidFill>
                </w14:textFill>
              </w:rPr>
              <w:t>、溢油等</w:t>
            </w:r>
          </w:p>
        </w:tc>
      </w:tr>
      <w:tr w14:paraId="503FC0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95" w:type="dxa"/>
            <w:tcMar>
              <w:left w:w="0" w:type="dxa"/>
              <w:right w:w="0" w:type="dxa"/>
            </w:tcMar>
            <w:vAlign w:val="center"/>
          </w:tcPr>
          <w:p w14:paraId="1D986848">
            <w:pPr>
              <w:pStyle w:val="70"/>
              <w:rPr>
                <w:color w:val="000000" w:themeColor="text1"/>
                <w14:textFill>
                  <w14:solidFill>
                    <w14:schemeClr w14:val="tx1"/>
                  </w14:solidFill>
                </w14:textFill>
              </w:rPr>
            </w:pPr>
            <w:r>
              <w:rPr>
                <w:color w:val="000000" w:themeColor="text1"/>
                <w14:textFill>
                  <w14:solidFill>
                    <w14:schemeClr w14:val="tx1"/>
                  </w14:solidFill>
                </w14:textFill>
              </w:rPr>
              <w:t>海域</w:t>
            </w:r>
          </w:p>
          <w:p w14:paraId="4F0A5D25">
            <w:pPr>
              <w:pStyle w:val="70"/>
              <w:rPr>
                <w:color w:val="000000" w:themeColor="text1"/>
                <w14:textFill>
                  <w14:solidFill>
                    <w14:schemeClr w14:val="tx1"/>
                  </w14:solidFill>
                </w14:textFill>
              </w:rPr>
            </w:pPr>
            <w:r>
              <w:rPr>
                <w:color w:val="000000" w:themeColor="text1"/>
                <w14:textFill>
                  <w14:solidFill>
                    <w14:schemeClr w14:val="tx1"/>
                  </w14:solidFill>
                </w14:textFill>
              </w:rPr>
              <w:t>环境</w:t>
            </w:r>
          </w:p>
        </w:tc>
        <w:tc>
          <w:tcPr>
            <w:tcW w:w="1134" w:type="dxa"/>
            <w:tcMar>
              <w:left w:w="0" w:type="dxa"/>
              <w:right w:w="0" w:type="dxa"/>
            </w:tcMar>
            <w:vAlign w:val="center"/>
          </w:tcPr>
          <w:p w14:paraId="589A7888">
            <w:pPr>
              <w:pStyle w:val="70"/>
              <w:rPr>
                <w:color w:val="000000" w:themeColor="text1"/>
                <w14:textFill>
                  <w14:solidFill>
                    <w14:schemeClr w14:val="tx1"/>
                  </w14:solidFill>
                </w14:textFill>
              </w:rPr>
            </w:pPr>
            <w:r>
              <w:rPr>
                <w:color w:val="000000" w:themeColor="text1"/>
                <w14:textFill>
                  <w14:solidFill>
                    <w14:schemeClr w14:val="tx1"/>
                  </w14:solidFill>
                </w14:textFill>
              </w:rPr>
              <w:t>海洋生态</w:t>
            </w:r>
          </w:p>
        </w:tc>
        <w:tc>
          <w:tcPr>
            <w:tcW w:w="4819" w:type="dxa"/>
            <w:tcMar>
              <w:left w:w="0" w:type="dxa"/>
              <w:right w:w="0" w:type="dxa"/>
            </w:tcMar>
            <w:vAlign w:val="center"/>
          </w:tcPr>
          <w:p w14:paraId="4383C820">
            <w:pPr>
              <w:pStyle w:val="70"/>
              <w:rPr>
                <w:color w:val="000000" w:themeColor="text1"/>
                <w14:textFill>
                  <w14:solidFill>
                    <w14:schemeClr w14:val="tx1"/>
                  </w14:solidFill>
                </w14:textFill>
              </w:rPr>
            </w:pPr>
            <w:r>
              <w:rPr>
                <w:color w:val="000000" w:themeColor="text1"/>
                <w14:textFill>
                  <w14:solidFill>
                    <w14:schemeClr w14:val="tx1"/>
                  </w14:solidFill>
                </w14:textFill>
              </w:rPr>
              <w:t>贝类、软体动物、甲壳类、鱼类</w:t>
            </w:r>
            <w:r>
              <w:rPr>
                <w:rFonts w:hint="eastAsia"/>
                <w:color w:val="000000" w:themeColor="text1"/>
                <w14:textFill>
                  <w14:solidFill>
                    <w14:schemeClr w14:val="tx1"/>
                  </w14:solidFill>
                </w14:textFill>
              </w:rPr>
              <w:t>等</w:t>
            </w:r>
          </w:p>
        </w:tc>
        <w:tc>
          <w:tcPr>
            <w:tcW w:w="2394" w:type="dxa"/>
            <w:tcMar>
              <w:left w:w="0" w:type="dxa"/>
              <w:right w:w="0" w:type="dxa"/>
            </w:tcMar>
            <w:vAlign w:val="center"/>
          </w:tcPr>
          <w:p w14:paraId="006AFF45">
            <w:pPr>
              <w:pStyle w:val="70"/>
              <w:rPr>
                <w:color w:val="000000" w:themeColor="text1"/>
                <w14:textFill>
                  <w14:solidFill>
                    <w14:schemeClr w14:val="tx1"/>
                  </w14:solidFill>
                </w14:textFill>
              </w:rPr>
            </w:pPr>
            <w:r>
              <w:rPr>
                <w:color w:val="000000" w:themeColor="text1"/>
                <w14:textFill>
                  <w14:solidFill>
                    <w14:schemeClr w14:val="tx1"/>
                  </w14:solidFill>
                </w14:textFill>
              </w:rPr>
              <w:t>定性分析</w:t>
            </w:r>
          </w:p>
        </w:tc>
      </w:tr>
    </w:tbl>
    <w:p w14:paraId="0A67D047">
      <w:pPr>
        <w:pStyle w:val="5"/>
        <w:rPr>
          <w:color w:val="000000" w:themeColor="text1"/>
          <w14:textFill>
            <w14:solidFill>
              <w14:schemeClr w14:val="tx1"/>
            </w14:solidFill>
          </w14:textFill>
        </w:rPr>
      </w:pPr>
      <w:bookmarkStart w:id="74" w:name="_Toc216620332"/>
      <w:r>
        <w:rPr>
          <w:color w:val="000000" w:themeColor="text1"/>
          <w14:textFill>
            <w14:solidFill>
              <w14:schemeClr w14:val="tx1"/>
            </w14:solidFill>
          </w14:textFill>
        </w:rPr>
        <w:t>环境功能区划及评价标准</w:t>
      </w:r>
      <w:bookmarkEnd w:id="74"/>
    </w:p>
    <w:p w14:paraId="45998BE9">
      <w:pPr>
        <w:pStyle w:val="4"/>
        <w:rPr>
          <w:color w:val="000000" w:themeColor="text1"/>
          <w14:textFill>
            <w14:solidFill>
              <w14:schemeClr w14:val="tx1"/>
            </w14:solidFill>
          </w14:textFill>
        </w:rPr>
      </w:pPr>
      <w:bookmarkStart w:id="75" w:name="_Toc25436920"/>
      <w:bookmarkStart w:id="76" w:name="_Toc216620333"/>
      <w:bookmarkStart w:id="77" w:name="_Toc136878421"/>
      <w:bookmarkStart w:id="78" w:name="_Toc216103174"/>
      <w:bookmarkStart w:id="79" w:name="_Toc135090172"/>
      <w:bookmarkStart w:id="80" w:name="_Toc26909966"/>
      <w:bookmarkStart w:id="81" w:name="_Toc29131780"/>
      <w:r>
        <w:rPr>
          <w:color w:val="000000" w:themeColor="text1"/>
          <w14:textFill>
            <w14:solidFill>
              <w14:schemeClr w14:val="tx1"/>
            </w14:solidFill>
          </w14:textFill>
        </w:rPr>
        <w:t>环境功能区划</w:t>
      </w:r>
      <w:bookmarkEnd w:id="75"/>
      <w:bookmarkEnd w:id="76"/>
      <w:bookmarkEnd w:id="77"/>
      <w:bookmarkEnd w:id="78"/>
      <w:bookmarkEnd w:id="79"/>
      <w:bookmarkEnd w:id="80"/>
      <w:bookmarkEnd w:id="81"/>
    </w:p>
    <w:p w14:paraId="69091171">
      <w:pPr>
        <w:pStyle w:val="6"/>
        <w:rPr>
          <w:color w:val="000000" w:themeColor="text1"/>
          <w14:textFill>
            <w14:solidFill>
              <w14:schemeClr w14:val="tx1"/>
            </w14:solidFill>
          </w14:textFill>
        </w:rPr>
      </w:pPr>
      <w:r>
        <w:rPr>
          <w:color w:val="000000" w:themeColor="text1"/>
          <w14:textFill>
            <w14:solidFill>
              <w14:schemeClr w14:val="tx1"/>
            </w14:solidFill>
          </w14:textFill>
        </w:rPr>
        <w:t>大气环境</w:t>
      </w:r>
    </w:p>
    <w:p w14:paraId="58361731">
      <w:pPr>
        <w:ind w:firstLine="480"/>
        <w:rPr>
          <w:color w:val="000000" w:themeColor="text1"/>
          <w14:textFill>
            <w14:solidFill>
              <w14:schemeClr w14:val="tx1"/>
            </w14:solidFill>
          </w14:textFill>
        </w:rPr>
      </w:pPr>
      <w:r>
        <w:rPr>
          <w:color w:val="000000" w:themeColor="text1"/>
          <w14:textFill>
            <w14:solidFill>
              <w14:schemeClr w14:val="tx1"/>
            </w14:solidFill>
          </w14:textFill>
        </w:rPr>
        <w:t>工程所在地尚未划分环境空气质量功能区，环境空气质量执行《环境空气质量标准》（GB3095-2012）二级标准。</w:t>
      </w:r>
    </w:p>
    <w:p w14:paraId="52A7C747">
      <w:pPr>
        <w:pStyle w:val="6"/>
        <w:rPr>
          <w:color w:val="000000" w:themeColor="text1"/>
          <w14:textFill>
            <w14:solidFill>
              <w14:schemeClr w14:val="tx1"/>
            </w14:solidFill>
          </w14:textFill>
        </w:rPr>
      </w:pPr>
      <w:r>
        <w:rPr>
          <w:color w:val="000000" w:themeColor="text1"/>
          <w14:textFill>
            <w14:solidFill>
              <w14:schemeClr w14:val="tx1"/>
            </w14:solidFill>
          </w14:textFill>
        </w:rPr>
        <w:t>声环境</w:t>
      </w:r>
    </w:p>
    <w:p w14:paraId="4EAB26D6">
      <w:pPr>
        <w:ind w:firstLine="480"/>
        <w:rPr>
          <w:color w:val="000000" w:themeColor="text1"/>
          <w14:textFill>
            <w14:solidFill>
              <w14:schemeClr w14:val="tx1"/>
            </w14:solidFill>
          </w14:textFill>
        </w:rPr>
      </w:pPr>
      <w:r>
        <w:rPr>
          <w:color w:val="000000" w:themeColor="text1"/>
          <w14:textFill>
            <w14:solidFill>
              <w14:schemeClr w14:val="tx1"/>
            </w14:solidFill>
          </w14:textFill>
        </w:rPr>
        <w:t>根据《</w:t>
      </w:r>
      <w:r>
        <w:rPr>
          <w:rFonts w:hint="eastAsia"/>
          <w:color w:val="000000" w:themeColor="text1"/>
          <w:lang w:val="en-US" w:eastAsia="zh-CN"/>
          <w14:textFill>
            <w14:solidFill>
              <w14:schemeClr w14:val="tx1"/>
            </w14:solidFill>
          </w14:textFill>
        </w:rPr>
        <w:t>钦州市中心城区声环境功能区划</w:t>
      </w:r>
      <w:r>
        <w:rPr>
          <w:color w:val="000000" w:themeColor="text1"/>
          <w14:textFill>
            <w14:solidFill>
              <w14:schemeClr w14:val="tx1"/>
            </w14:solidFill>
          </w14:textFill>
        </w:rPr>
        <w:t>》区域声环境划分为3类声功能区，声环境质量执行</w:t>
      </w:r>
      <w:r>
        <w:rPr>
          <w:color w:val="000000" w:themeColor="text1"/>
          <w:u w:val="none"/>
          <w14:textFill>
            <w14:solidFill>
              <w14:schemeClr w14:val="tx1"/>
            </w14:solidFill>
          </w14:textFill>
        </w:rPr>
        <w:t>《工业企业场界环境噪声排放标准》（GB12348-2008）</w:t>
      </w:r>
      <w:r>
        <w:rPr>
          <w:color w:val="000000" w:themeColor="text1"/>
          <w14:textFill>
            <w14:solidFill>
              <w14:schemeClr w14:val="tx1"/>
            </w14:solidFill>
          </w14:textFill>
        </w:rPr>
        <w:t>3类区标准。</w:t>
      </w:r>
    </w:p>
    <w:p w14:paraId="502FC5A8">
      <w:pPr>
        <w:pStyle w:val="6"/>
        <w:rPr>
          <w:color w:val="000000" w:themeColor="text1"/>
          <w14:textFill>
            <w14:solidFill>
              <w14:schemeClr w14:val="tx1"/>
            </w14:solidFill>
          </w14:textFill>
        </w:rPr>
      </w:pPr>
      <w:r>
        <w:rPr>
          <w:color w:val="000000" w:themeColor="text1"/>
          <w14:textFill>
            <w14:solidFill>
              <w14:schemeClr w14:val="tx1"/>
            </w14:solidFill>
          </w14:textFill>
        </w:rPr>
        <w:t>近岸海域环境</w:t>
      </w:r>
    </w:p>
    <w:p w14:paraId="1B66D00A">
      <w:pPr>
        <w:ind w:firstLine="480"/>
        <w:rPr>
          <w:color w:val="000000" w:themeColor="text1"/>
          <w14:textFill>
            <w14:solidFill>
              <w14:schemeClr w14:val="tx1"/>
            </w14:solidFill>
          </w14:textFill>
        </w:rPr>
      </w:pPr>
      <w:r>
        <w:rPr>
          <w:color w:val="000000" w:themeColor="text1"/>
          <w14:textFill>
            <w14:solidFill>
              <w14:schemeClr w14:val="tx1"/>
            </w14:solidFill>
          </w14:textFill>
        </w:rPr>
        <w:t>根据《广西壮族自治区近岸海域环境功能区划调整方案》（桂环发〔2023〕9号），本工程位于钦州港大榄坪港口、工业区（代码</w:t>
      </w:r>
      <w:r>
        <w:rPr>
          <w:color w:val="000000" w:themeColor="text1"/>
          <w:kern w:val="0"/>
          <w:szCs w:val="22"/>
          <w14:textFill>
            <w14:solidFill>
              <w14:schemeClr w14:val="tx1"/>
            </w14:solidFill>
          </w14:textFill>
        </w:rPr>
        <w:t>GX055DⅣ</w:t>
      </w:r>
      <w:r>
        <w:rPr>
          <w:color w:val="000000" w:themeColor="text1"/>
          <w14:textFill>
            <w14:solidFill>
              <w14:schemeClr w14:val="tx1"/>
            </w14:solidFill>
          </w14:textFill>
        </w:rPr>
        <w:t>），主导功能为港口、工业用海，水质保护目标为四类。</w:t>
      </w:r>
    </w:p>
    <w:p w14:paraId="4EE23221">
      <w:pPr>
        <w:pStyle w:val="6"/>
        <w:rPr>
          <w:color w:val="000000" w:themeColor="text1"/>
          <w14:textFill>
            <w14:solidFill>
              <w14:schemeClr w14:val="tx1"/>
            </w14:solidFill>
          </w14:textFill>
        </w:rPr>
      </w:pPr>
      <w:r>
        <w:rPr>
          <w:color w:val="000000" w:themeColor="text1"/>
          <w14:textFill>
            <w14:solidFill>
              <w14:schemeClr w14:val="tx1"/>
            </w14:solidFill>
          </w14:textFill>
        </w:rPr>
        <w:t>海洋功能区划</w:t>
      </w:r>
    </w:p>
    <w:p w14:paraId="5A09D079">
      <w:pPr>
        <w:ind w:firstLine="480"/>
        <w:rPr>
          <w:color w:val="000000" w:themeColor="text1"/>
          <w14:textFill>
            <w14:solidFill>
              <w14:schemeClr w14:val="tx1"/>
            </w14:solidFill>
          </w14:textFill>
        </w:rPr>
      </w:pPr>
      <w:r>
        <w:rPr>
          <w:color w:val="000000" w:themeColor="text1"/>
          <w14:textFill>
            <w14:solidFill>
              <w14:schemeClr w14:val="tx1"/>
            </w14:solidFill>
          </w14:textFill>
        </w:rPr>
        <w:t>根据《广西壮族自治区海洋功能区划（2011-2020年）》（报批稿），本工程所在海域海洋功能为鹰岭-果子山-金鼓江港口航运区（代码A2-10），用海方式“允许适度改变海域自然属性，坚持集约、节约用海”。</w:t>
      </w:r>
    </w:p>
    <w:p w14:paraId="6402295E">
      <w:pPr>
        <w:pStyle w:val="4"/>
        <w:rPr>
          <w:color w:val="000000" w:themeColor="text1"/>
          <w14:textFill>
            <w14:solidFill>
              <w14:schemeClr w14:val="tx1"/>
            </w14:solidFill>
          </w14:textFill>
        </w:rPr>
      </w:pPr>
      <w:bookmarkStart w:id="82" w:name="_Toc136878422"/>
      <w:bookmarkStart w:id="83" w:name="_Toc135090173"/>
      <w:bookmarkStart w:id="84" w:name="_Toc216620334"/>
      <w:bookmarkStart w:id="85" w:name="_Toc26909967"/>
      <w:bookmarkStart w:id="86" w:name="_Toc216103175"/>
      <w:bookmarkStart w:id="87" w:name="_Toc25436921"/>
      <w:bookmarkStart w:id="88" w:name="_Toc29131781"/>
      <w:r>
        <w:rPr>
          <w:color w:val="000000" w:themeColor="text1"/>
          <w14:textFill>
            <w14:solidFill>
              <w14:schemeClr w14:val="tx1"/>
            </w14:solidFill>
          </w14:textFill>
        </w:rPr>
        <w:t>环境质量标准</w:t>
      </w:r>
      <w:bookmarkEnd w:id="82"/>
      <w:bookmarkEnd w:id="83"/>
      <w:bookmarkEnd w:id="84"/>
      <w:bookmarkEnd w:id="85"/>
      <w:bookmarkEnd w:id="86"/>
      <w:bookmarkEnd w:id="87"/>
      <w:bookmarkEnd w:id="88"/>
    </w:p>
    <w:p w14:paraId="7469792C">
      <w:pPr>
        <w:pStyle w:val="6"/>
        <w:rPr>
          <w:color w:val="000000" w:themeColor="text1"/>
          <w14:textFill>
            <w14:solidFill>
              <w14:schemeClr w14:val="tx1"/>
            </w14:solidFill>
          </w14:textFill>
        </w:rPr>
      </w:pPr>
      <w:r>
        <w:rPr>
          <w:color w:val="000000" w:themeColor="text1"/>
          <w14:textFill>
            <w14:solidFill>
              <w14:schemeClr w14:val="tx1"/>
            </w14:solidFill>
          </w14:textFill>
        </w:rPr>
        <w:t>环境空气质量标准</w:t>
      </w:r>
    </w:p>
    <w:p w14:paraId="41DB63CD">
      <w:pPr>
        <w:ind w:firstLine="480"/>
        <w:rPr>
          <w:color w:val="000000" w:themeColor="text1"/>
          <w:u w:val="single"/>
          <w14:textFill>
            <w14:solidFill>
              <w14:schemeClr w14:val="tx1"/>
            </w14:solidFill>
          </w14:textFill>
        </w:rPr>
      </w:pPr>
      <w:r>
        <w:rPr>
          <w:snapToGrid w:val="0"/>
          <w:color w:val="000000" w:themeColor="text1"/>
          <w:kern w:val="0"/>
          <w14:textFill>
            <w14:solidFill>
              <w14:schemeClr w14:val="tx1"/>
            </w14:solidFill>
          </w14:textFill>
        </w:rPr>
        <w:t>环境空气中</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r>
        <w:rPr>
          <w:color w:val="000000" w:themeColor="text1"/>
          <w14:textFill>
            <w14:solidFill>
              <w14:schemeClr w14:val="tx1"/>
            </w14:solidFill>
          </w14:textFill>
        </w:rPr>
        <w:t>、CO、O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执行《环境空气质量标准》（GB3095-2012）</w:t>
      </w:r>
      <w:r>
        <w:rPr>
          <w:snapToGrid w:val="0"/>
          <w:color w:val="000000" w:themeColor="text1"/>
          <w:kern w:val="0"/>
          <w14:textFill>
            <w14:solidFill>
              <w14:schemeClr w14:val="tx1"/>
            </w14:solidFill>
          </w14:textFill>
        </w:rPr>
        <w:t>二级标准</w:t>
      </w:r>
      <w:r>
        <w:rPr>
          <w:color w:val="000000" w:themeColor="text1"/>
          <w14:textFill>
            <w14:solidFill>
              <w14:schemeClr w14:val="tx1"/>
            </w14:solidFill>
          </w14:textFill>
        </w:rPr>
        <w:t>；</w:t>
      </w:r>
      <w:r>
        <w:rPr>
          <w:snapToGrid w:val="0"/>
          <w:color w:val="000000" w:themeColor="text1"/>
          <w:kern w:val="0"/>
          <w14:textFill>
            <w14:solidFill>
              <w14:schemeClr w14:val="tx1"/>
            </w14:solidFill>
          </w14:textFill>
        </w:rPr>
        <w:t>特征因子苯乙烯、硫酸、VOCs参照《环境影响评价技术导则 大气环境》（HJ2.2-2018）中附录D空气质量浓度参考限值执行；非甲烷总烃质量标准参照执行GB16297-1996中无组织排放浓度限值，执行一次浓度限值2.0mg/m</w:t>
      </w:r>
      <w:r>
        <w:rPr>
          <w:snapToGrid w:val="0"/>
          <w:color w:val="000000" w:themeColor="text1"/>
          <w:kern w:val="0"/>
          <w:vertAlign w:val="superscript"/>
          <w14:textFill>
            <w14:solidFill>
              <w14:schemeClr w14:val="tx1"/>
            </w14:solidFill>
          </w14:textFill>
        </w:rPr>
        <w:t>3</w:t>
      </w:r>
      <w:r>
        <w:rPr>
          <w:snapToGrid w:val="0"/>
          <w:color w:val="000000" w:themeColor="text1"/>
          <w:kern w:val="0"/>
          <w14:textFill>
            <w14:solidFill>
              <w14:schemeClr w14:val="tx1"/>
            </w14:solidFill>
          </w14:textFill>
        </w:rPr>
        <w:t>要求。</w:t>
      </w:r>
    </w:p>
    <w:p w14:paraId="0F64B402">
      <w:pPr>
        <w:pStyle w:val="7"/>
        <w:rPr>
          <w:color w:val="000000" w:themeColor="text1"/>
          <w14:textFill>
            <w14:solidFill>
              <w14:schemeClr w14:val="tx1"/>
            </w14:solidFill>
          </w14:textFill>
        </w:rPr>
      </w:pPr>
      <w:r>
        <w:rPr>
          <w:color w:val="000000" w:themeColor="text1"/>
          <w14:textFill>
            <w14:solidFill>
              <w14:schemeClr w14:val="tx1"/>
            </w14:solidFill>
          </w14:textFill>
        </w:rPr>
        <w:t>环境空气质量标准值    单位：μg/m</w:t>
      </w:r>
      <w:r>
        <w:rPr>
          <w:color w:val="000000" w:themeColor="text1"/>
          <w:vertAlign w:val="superscript"/>
          <w14:textFill>
            <w14:solidFill>
              <w14:schemeClr w14:val="tx1"/>
            </w14:solidFill>
          </w14:textFill>
        </w:rPr>
        <w:t>3</w:t>
      </w:r>
    </w:p>
    <w:tbl>
      <w:tblPr>
        <w:tblStyle w:val="43"/>
        <w:tblW w:w="902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62"/>
        <w:gridCol w:w="1276"/>
        <w:gridCol w:w="1418"/>
        <w:gridCol w:w="850"/>
        <w:gridCol w:w="851"/>
        <w:gridCol w:w="4068"/>
      </w:tblGrid>
      <w:tr w14:paraId="42F4AF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blHeader/>
          <w:jc w:val="center"/>
        </w:trPr>
        <w:tc>
          <w:tcPr>
            <w:tcW w:w="562" w:type="dxa"/>
            <w:vMerge w:val="restart"/>
            <w:tcMar>
              <w:left w:w="0" w:type="dxa"/>
              <w:right w:w="0" w:type="dxa"/>
            </w:tcMar>
            <w:vAlign w:val="center"/>
          </w:tcPr>
          <w:p w14:paraId="2DC121A1">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序号</w:t>
            </w:r>
          </w:p>
        </w:tc>
        <w:tc>
          <w:tcPr>
            <w:tcW w:w="1276" w:type="dxa"/>
            <w:vMerge w:val="restart"/>
            <w:tcMar>
              <w:left w:w="0" w:type="dxa"/>
              <w:right w:w="0" w:type="dxa"/>
            </w:tcMar>
            <w:vAlign w:val="center"/>
          </w:tcPr>
          <w:p w14:paraId="424498B0">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污染物项目</w:t>
            </w:r>
          </w:p>
        </w:tc>
        <w:tc>
          <w:tcPr>
            <w:tcW w:w="1418" w:type="dxa"/>
            <w:vMerge w:val="restart"/>
            <w:tcMar>
              <w:left w:w="0" w:type="dxa"/>
              <w:right w:w="0" w:type="dxa"/>
            </w:tcMar>
            <w:vAlign w:val="center"/>
          </w:tcPr>
          <w:p w14:paraId="37952A3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平均时间</w:t>
            </w:r>
          </w:p>
        </w:tc>
        <w:tc>
          <w:tcPr>
            <w:tcW w:w="1701" w:type="dxa"/>
            <w:gridSpan w:val="2"/>
            <w:tcMar>
              <w:left w:w="0" w:type="dxa"/>
              <w:right w:w="0" w:type="dxa"/>
            </w:tcMar>
            <w:vAlign w:val="center"/>
          </w:tcPr>
          <w:p w14:paraId="20F3234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标准限值</w:t>
            </w:r>
          </w:p>
        </w:tc>
        <w:tc>
          <w:tcPr>
            <w:tcW w:w="4068" w:type="dxa"/>
            <w:vMerge w:val="restart"/>
            <w:tcMar>
              <w:left w:w="0" w:type="dxa"/>
              <w:right w:w="0" w:type="dxa"/>
            </w:tcMar>
            <w:vAlign w:val="center"/>
          </w:tcPr>
          <w:p w14:paraId="2D7FA7C5">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选用标准</w:t>
            </w:r>
          </w:p>
        </w:tc>
      </w:tr>
      <w:tr w14:paraId="2395A3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blHeader/>
          <w:jc w:val="center"/>
        </w:trPr>
        <w:tc>
          <w:tcPr>
            <w:tcW w:w="562" w:type="dxa"/>
            <w:vMerge w:val="continue"/>
            <w:tcMar>
              <w:left w:w="0" w:type="dxa"/>
              <w:right w:w="0" w:type="dxa"/>
            </w:tcMar>
            <w:vAlign w:val="center"/>
          </w:tcPr>
          <w:p w14:paraId="4DD85505">
            <w:pPr>
              <w:pStyle w:val="70"/>
              <w:rPr>
                <w:b/>
                <w:bCs/>
                <w:color w:val="000000" w:themeColor="text1"/>
                <w14:textFill>
                  <w14:solidFill>
                    <w14:schemeClr w14:val="tx1"/>
                  </w14:solidFill>
                </w14:textFill>
              </w:rPr>
            </w:pPr>
          </w:p>
        </w:tc>
        <w:tc>
          <w:tcPr>
            <w:tcW w:w="1276" w:type="dxa"/>
            <w:vMerge w:val="continue"/>
            <w:tcMar>
              <w:left w:w="0" w:type="dxa"/>
              <w:right w:w="0" w:type="dxa"/>
            </w:tcMar>
            <w:vAlign w:val="center"/>
          </w:tcPr>
          <w:p w14:paraId="1CE4A35E">
            <w:pPr>
              <w:pStyle w:val="70"/>
              <w:rPr>
                <w:b/>
                <w:bCs/>
                <w:color w:val="000000" w:themeColor="text1"/>
                <w14:textFill>
                  <w14:solidFill>
                    <w14:schemeClr w14:val="tx1"/>
                  </w14:solidFill>
                </w14:textFill>
              </w:rPr>
            </w:pPr>
          </w:p>
        </w:tc>
        <w:tc>
          <w:tcPr>
            <w:tcW w:w="1418" w:type="dxa"/>
            <w:vMerge w:val="continue"/>
            <w:tcMar>
              <w:left w:w="0" w:type="dxa"/>
              <w:right w:w="0" w:type="dxa"/>
            </w:tcMar>
            <w:vAlign w:val="center"/>
          </w:tcPr>
          <w:p w14:paraId="5EA880C6">
            <w:pPr>
              <w:pStyle w:val="70"/>
              <w:rPr>
                <w:b/>
                <w:bCs/>
                <w:color w:val="000000" w:themeColor="text1"/>
                <w14:textFill>
                  <w14:solidFill>
                    <w14:schemeClr w14:val="tx1"/>
                  </w14:solidFill>
                </w14:textFill>
              </w:rPr>
            </w:pPr>
          </w:p>
        </w:tc>
        <w:tc>
          <w:tcPr>
            <w:tcW w:w="850" w:type="dxa"/>
            <w:tcMar>
              <w:left w:w="0" w:type="dxa"/>
              <w:right w:w="0" w:type="dxa"/>
            </w:tcMar>
            <w:vAlign w:val="center"/>
          </w:tcPr>
          <w:p w14:paraId="2BA664B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一级</w:t>
            </w:r>
          </w:p>
        </w:tc>
        <w:tc>
          <w:tcPr>
            <w:tcW w:w="851" w:type="dxa"/>
            <w:tcMar>
              <w:left w:w="0" w:type="dxa"/>
              <w:right w:w="0" w:type="dxa"/>
            </w:tcMar>
            <w:vAlign w:val="center"/>
          </w:tcPr>
          <w:p w14:paraId="7FC7F9F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二级</w:t>
            </w:r>
          </w:p>
        </w:tc>
        <w:tc>
          <w:tcPr>
            <w:tcW w:w="4068" w:type="dxa"/>
            <w:vMerge w:val="continue"/>
            <w:tcMar>
              <w:left w:w="0" w:type="dxa"/>
              <w:right w:w="0" w:type="dxa"/>
            </w:tcMar>
            <w:vAlign w:val="center"/>
          </w:tcPr>
          <w:p w14:paraId="43FF6167">
            <w:pPr>
              <w:pStyle w:val="70"/>
              <w:rPr>
                <w:color w:val="000000" w:themeColor="text1"/>
                <w14:textFill>
                  <w14:solidFill>
                    <w14:schemeClr w14:val="tx1"/>
                  </w14:solidFill>
                </w14:textFill>
              </w:rPr>
            </w:pPr>
          </w:p>
        </w:tc>
      </w:tr>
      <w:tr w14:paraId="3667E0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restart"/>
            <w:tcMar>
              <w:left w:w="0" w:type="dxa"/>
              <w:right w:w="0" w:type="dxa"/>
            </w:tcMar>
            <w:vAlign w:val="center"/>
          </w:tcPr>
          <w:p w14:paraId="55DC338B">
            <w:pPr>
              <w:pStyle w:val="70"/>
              <w:numPr>
                <w:ilvl w:val="0"/>
                <w:numId w:val="10"/>
              </w:numPr>
              <w:rPr>
                <w:color w:val="000000" w:themeColor="text1"/>
                <w14:textFill>
                  <w14:solidFill>
                    <w14:schemeClr w14:val="tx1"/>
                  </w14:solidFill>
                </w14:textFill>
              </w:rPr>
            </w:pPr>
          </w:p>
        </w:tc>
        <w:tc>
          <w:tcPr>
            <w:tcW w:w="1276" w:type="dxa"/>
            <w:vMerge w:val="restart"/>
            <w:tcMar>
              <w:left w:w="0" w:type="dxa"/>
              <w:right w:w="0" w:type="dxa"/>
            </w:tcMar>
            <w:vAlign w:val="center"/>
          </w:tcPr>
          <w:p w14:paraId="5252817E">
            <w:pPr>
              <w:pStyle w:val="70"/>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p>
        </w:tc>
        <w:tc>
          <w:tcPr>
            <w:tcW w:w="1418" w:type="dxa"/>
            <w:tcMar>
              <w:left w:w="0" w:type="dxa"/>
              <w:right w:w="0" w:type="dxa"/>
            </w:tcMar>
            <w:vAlign w:val="center"/>
          </w:tcPr>
          <w:p w14:paraId="3C7A72D2">
            <w:pPr>
              <w:pStyle w:val="70"/>
              <w:rPr>
                <w:color w:val="000000" w:themeColor="text1"/>
                <w14:textFill>
                  <w14:solidFill>
                    <w14:schemeClr w14:val="tx1"/>
                  </w14:solidFill>
                </w14:textFill>
              </w:rPr>
            </w:pPr>
            <w:r>
              <w:rPr>
                <w:color w:val="000000" w:themeColor="text1"/>
                <w14:textFill>
                  <w14:solidFill>
                    <w14:schemeClr w14:val="tx1"/>
                  </w14:solidFill>
                </w14:textFill>
              </w:rPr>
              <w:t>1小时平均</w:t>
            </w:r>
          </w:p>
        </w:tc>
        <w:tc>
          <w:tcPr>
            <w:tcW w:w="850" w:type="dxa"/>
            <w:tcMar>
              <w:left w:w="0" w:type="dxa"/>
              <w:right w:w="0" w:type="dxa"/>
            </w:tcMar>
            <w:vAlign w:val="center"/>
          </w:tcPr>
          <w:p w14:paraId="50BD2048">
            <w:pPr>
              <w:pStyle w:val="70"/>
              <w:rPr>
                <w:color w:val="000000" w:themeColor="text1"/>
                <w14:textFill>
                  <w14:solidFill>
                    <w14:schemeClr w14:val="tx1"/>
                  </w14:solidFill>
                </w14:textFill>
              </w:rPr>
            </w:pPr>
            <w:r>
              <w:rPr>
                <w:color w:val="000000" w:themeColor="text1"/>
                <w14:textFill>
                  <w14:solidFill>
                    <w14:schemeClr w14:val="tx1"/>
                  </w14:solidFill>
                </w14:textFill>
              </w:rPr>
              <w:t>150</w:t>
            </w:r>
          </w:p>
        </w:tc>
        <w:tc>
          <w:tcPr>
            <w:tcW w:w="851" w:type="dxa"/>
            <w:tcMar>
              <w:left w:w="0" w:type="dxa"/>
              <w:right w:w="0" w:type="dxa"/>
            </w:tcMar>
            <w:vAlign w:val="center"/>
          </w:tcPr>
          <w:p w14:paraId="3EC0841D">
            <w:pPr>
              <w:pStyle w:val="70"/>
              <w:rPr>
                <w:color w:val="000000" w:themeColor="text1"/>
                <w14:textFill>
                  <w14:solidFill>
                    <w14:schemeClr w14:val="tx1"/>
                  </w14:solidFill>
                </w14:textFill>
              </w:rPr>
            </w:pPr>
            <w:r>
              <w:rPr>
                <w:color w:val="000000" w:themeColor="text1"/>
                <w14:textFill>
                  <w14:solidFill>
                    <w14:schemeClr w14:val="tx1"/>
                  </w14:solidFill>
                </w14:textFill>
              </w:rPr>
              <w:t>500</w:t>
            </w:r>
          </w:p>
        </w:tc>
        <w:tc>
          <w:tcPr>
            <w:tcW w:w="4068" w:type="dxa"/>
            <w:vMerge w:val="restart"/>
            <w:tcMar>
              <w:left w:w="0" w:type="dxa"/>
              <w:right w:w="0" w:type="dxa"/>
            </w:tcMar>
            <w:vAlign w:val="center"/>
          </w:tcPr>
          <w:p w14:paraId="1FDE3336">
            <w:pPr>
              <w:pStyle w:val="70"/>
              <w:rPr>
                <w:color w:val="000000" w:themeColor="text1"/>
                <w14:textFill>
                  <w14:solidFill>
                    <w14:schemeClr w14:val="tx1"/>
                  </w14:solidFill>
                </w14:textFill>
              </w:rPr>
            </w:pPr>
            <w:r>
              <w:rPr>
                <w:color w:val="000000" w:themeColor="text1"/>
                <w14:textFill>
                  <w14:solidFill>
                    <w14:schemeClr w14:val="tx1"/>
                  </w14:solidFill>
                </w14:textFill>
              </w:rPr>
              <w:t>《环境空气质量标准》（GB3095-2012）</w:t>
            </w:r>
          </w:p>
        </w:tc>
      </w:tr>
      <w:tr w14:paraId="6765A6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Mar>
              <w:left w:w="0" w:type="dxa"/>
              <w:right w:w="0" w:type="dxa"/>
            </w:tcMar>
            <w:vAlign w:val="center"/>
          </w:tcPr>
          <w:p w14:paraId="5B8E9742">
            <w:pPr>
              <w:pStyle w:val="70"/>
              <w:numPr>
                <w:ilvl w:val="0"/>
                <w:numId w:val="10"/>
              </w:numPr>
              <w:rPr>
                <w:color w:val="000000" w:themeColor="text1"/>
                <w14:textFill>
                  <w14:solidFill>
                    <w14:schemeClr w14:val="tx1"/>
                  </w14:solidFill>
                </w14:textFill>
              </w:rPr>
            </w:pPr>
          </w:p>
        </w:tc>
        <w:tc>
          <w:tcPr>
            <w:tcW w:w="1276" w:type="dxa"/>
            <w:vMerge w:val="continue"/>
            <w:tcMar>
              <w:left w:w="0" w:type="dxa"/>
              <w:right w:w="0" w:type="dxa"/>
            </w:tcMar>
            <w:vAlign w:val="center"/>
          </w:tcPr>
          <w:p w14:paraId="629E072A">
            <w:pPr>
              <w:pStyle w:val="70"/>
              <w:rPr>
                <w:color w:val="000000" w:themeColor="text1"/>
                <w14:textFill>
                  <w14:solidFill>
                    <w14:schemeClr w14:val="tx1"/>
                  </w14:solidFill>
                </w14:textFill>
              </w:rPr>
            </w:pPr>
          </w:p>
        </w:tc>
        <w:tc>
          <w:tcPr>
            <w:tcW w:w="1418" w:type="dxa"/>
            <w:tcMar>
              <w:left w:w="0" w:type="dxa"/>
              <w:right w:w="0" w:type="dxa"/>
            </w:tcMar>
            <w:vAlign w:val="center"/>
          </w:tcPr>
          <w:p w14:paraId="4B8C7DF8">
            <w:pPr>
              <w:pStyle w:val="70"/>
              <w:rPr>
                <w:color w:val="000000" w:themeColor="text1"/>
                <w14:textFill>
                  <w14:solidFill>
                    <w14:schemeClr w14:val="tx1"/>
                  </w14:solidFill>
                </w14:textFill>
              </w:rPr>
            </w:pPr>
            <w:r>
              <w:rPr>
                <w:color w:val="000000" w:themeColor="text1"/>
                <w14:textFill>
                  <w14:solidFill>
                    <w14:schemeClr w14:val="tx1"/>
                  </w14:solidFill>
                </w14:textFill>
              </w:rPr>
              <w:t>24小时平均</w:t>
            </w:r>
          </w:p>
        </w:tc>
        <w:tc>
          <w:tcPr>
            <w:tcW w:w="850" w:type="dxa"/>
            <w:tcMar>
              <w:left w:w="0" w:type="dxa"/>
              <w:right w:w="0" w:type="dxa"/>
            </w:tcMar>
            <w:vAlign w:val="center"/>
          </w:tcPr>
          <w:p w14:paraId="4F719036">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851" w:type="dxa"/>
            <w:tcMar>
              <w:left w:w="0" w:type="dxa"/>
              <w:right w:w="0" w:type="dxa"/>
            </w:tcMar>
            <w:vAlign w:val="center"/>
          </w:tcPr>
          <w:p w14:paraId="67793989">
            <w:pPr>
              <w:pStyle w:val="70"/>
              <w:rPr>
                <w:color w:val="000000" w:themeColor="text1"/>
                <w14:textFill>
                  <w14:solidFill>
                    <w14:schemeClr w14:val="tx1"/>
                  </w14:solidFill>
                </w14:textFill>
              </w:rPr>
            </w:pPr>
            <w:r>
              <w:rPr>
                <w:color w:val="000000" w:themeColor="text1"/>
                <w14:textFill>
                  <w14:solidFill>
                    <w14:schemeClr w14:val="tx1"/>
                  </w14:solidFill>
                </w14:textFill>
              </w:rPr>
              <w:t>150</w:t>
            </w:r>
          </w:p>
        </w:tc>
        <w:tc>
          <w:tcPr>
            <w:tcW w:w="4068" w:type="dxa"/>
            <w:vMerge w:val="continue"/>
            <w:tcMar>
              <w:left w:w="0" w:type="dxa"/>
              <w:right w:w="0" w:type="dxa"/>
            </w:tcMar>
            <w:vAlign w:val="center"/>
          </w:tcPr>
          <w:p w14:paraId="499E4AE9">
            <w:pPr>
              <w:pStyle w:val="70"/>
              <w:rPr>
                <w:color w:val="000000" w:themeColor="text1"/>
                <w14:textFill>
                  <w14:solidFill>
                    <w14:schemeClr w14:val="tx1"/>
                  </w14:solidFill>
                </w14:textFill>
              </w:rPr>
            </w:pPr>
          </w:p>
        </w:tc>
      </w:tr>
      <w:tr w14:paraId="30EEC7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Mar>
              <w:left w:w="0" w:type="dxa"/>
              <w:right w:w="0" w:type="dxa"/>
            </w:tcMar>
            <w:vAlign w:val="center"/>
          </w:tcPr>
          <w:p w14:paraId="6CAF6FFB">
            <w:pPr>
              <w:pStyle w:val="70"/>
              <w:numPr>
                <w:ilvl w:val="0"/>
                <w:numId w:val="10"/>
              </w:numPr>
              <w:rPr>
                <w:color w:val="000000" w:themeColor="text1"/>
                <w14:textFill>
                  <w14:solidFill>
                    <w14:schemeClr w14:val="tx1"/>
                  </w14:solidFill>
                </w14:textFill>
              </w:rPr>
            </w:pPr>
          </w:p>
        </w:tc>
        <w:tc>
          <w:tcPr>
            <w:tcW w:w="1276" w:type="dxa"/>
            <w:vMerge w:val="continue"/>
            <w:tcMar>
              <w:left w:w="0" w:type="dxa"/>
              <w:right w:w="0" w:type="dxa"/>
            </w:tcMar>
            <w:vAlign w:val="center"/>
          </w:tcPr>
          <w:p w14:paraId="059D6E40">
            <w:pPr>
              <w:pStyle w:val="70"/>
              <w:rPr>
                <w:color w:val="000000" w:themeColor="text1"/>
                <w14:textFill>
                  <w14:solidFill>
                    <w14:schemeClr w14:val="tx1"/>
                  </w14:solidFill>
                </w14:textFill>
              </w:rPr>
            </w:pPr>
          </w:p>
        </w:tc>
        <w:tc>
          <w:tcPr>
            <w:tcW w:w="1418" w:type="dxa"/>
            <w:tcMar>
              <w:left w:w="0" w:type="dxa"/>
              <w:right w:w="0" w:type="dxa"/>
            </w:tcMar>
            <w:vAlign w:val="center"/>
          </w:tcPr>
          <w:p w14:paraId="34CC2FD3">
            <w:pPr>
              <w:pStyle w:val="70"/>
              <w:rPr>
                <w:color w:val="000000" w:themeColor="text1"/>
                <w14:textFill>
                  <w14:solidFill>
                    <w14:schemeClr w14:val="tx1"/>
                  </w14:solidFill>
                </w14:textFill>
              </w:rPr>
            </w:pPr>
            <w:r>
              <w:rPr>
                <w:color w:val="000000" w:themeColor="text1"/>
                <w14:textFill>
                  <w14:solidFill>
                    <w14:schemeClr w14:val="tx1"/>
                  </w14:solidFill>
                </w14:textFill>
              </w:rPr>
              <w:t>年平均</w:t>
            </w:r>
          </w:p>
        </w:tc>
        <w:tc>
          <w:tcPr>
            <w:tcW w:w="850" w:type="dxa"/>
            <w:tcMar>
              <w:left w:w="0" w:type="dxa"/>
              <w:right w:w="0" w:type="dxa"/>
            </w:tcMar>
            <w:vAlign w:val="center"/>
          </w:tcPr>
          <w:p w14:paraId="727E37DC">
            <w:pPr>
              <w:pStyle w:val="70"/>
              <w:rPr>
                <w:color w:val="000000" w:themeColor="text1"/>
                <w14:textFill>
                  <w14:solidFill>
                    <w14:schemeClr w14:val="tx1"/>
                  </w14:solidFill>
                </w14:textFill>
              </w:rPr>
            </w:pPr>
            <w:r>
              <w:rPr>
                <w:color w:val="000000" w:themeColor="text1"/>
                <w14:textFill>
                  <w14:solidFill>
                    <w14:schemeClr w14:val="tx1"/>
                  </w14:solidFill>
                </w14:textFill>
              </w:rPr>
              <w:t>20</w:t>
            </w:r>
          </w:p>
        </w:tc>
        <w:tc>
          <w:tcPr>
            <w:tcW w:w="851" w:type="dxa"/>
            <w:tcMar>
              <w:left w:w="0" w:type="dxa"/>
              <w:right w:w="0" w:type="dxa"/>
            </w:tcMar>
            <w:vAlign w:val="center"/>
          </w:tcPr>
          <w:p w14:paraId="739E3538">
            <w:pPr>
              <w:pStyle w:val="70"/>
              <w:rPr>
                <w:color w:val="000000" w:themeColor="text1"/>
                <w14:textFill>
                  <w14:solidFill>
                    <w14:schemeClr w14:val="tx1"/>
                  </w14:solidFill>
                </w14:textFill>
              </w:rPr>
            </w:pPr>
            <w:r>
              <w:rPr>
                <w:color w:val="000000" w:themeColor="text1"/>
                <w14:textFill>
                  <w14:solidFill>
                    <w14:schemeClr w14:val="tx1"/>
                  </w14:solidFill>
                </w14:textFill>
              </w:rPr>
              <w:t>60</w:t>
            </w:r>
          </w:p>
        </w:tc>
        <w:tc>
          <w:tcPr>
            <w:tcW w:w="4068" w:type="dxa"/>
            <w:vMerge w:val="continue"/>
            <w:tcMar>
              <w:left w:w="0" w:type="dxa"/>
              <w:right w:w="0" w:type="dxa"/>
            </w:tcMar>
            <w:vAlign w:val="center"/>
          </w:tcPr>
          <w:p w14:paraId="2F366DB5">
            <w:pPr>
              <w:pStyle w:val="70"/>
              <w:rPr>
                <w:color w:val="000000" w:themeColor="text1"/>
                <w14:textFill>
                  <w14:solidFill>
                    <w14:schemeClr w14:val="tx1"/>
                  </w14:solidFill>
                </w14:textFill>
              </w:rPr>
            </w:pPr>
          </w:p>
        </w:tc>
      </w:tr>
      <w:tr w14:paraId="01342D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restart"/>
            <w:tcMar>
              <w:left w:w="0" w:type="dxa"/>
              <w:right w:w="0" w:type="dxa"/>
            </w:tcMar>
            <w:vAlign w:val="center"/>
          </w:tcPr>
          <w:p w14:paraId="666ED970">
            <w:pPr>
              <w:pStyle w:val="70"/>
              <w:numPr>
                <w:ilvl w:val="0"/>
                <w:numId w:val="10"/>
              </w:numPr>
              <w:rPr>
                <w:color w:val="000000" w:themeColor="text1"/>
                <w14:textFill>
                  <w14:solidFill>
                    <w14:schemeClr w14:val="tx1"/>
                  </w14:solidFill>
                </w14:textFill>
              </w:rPr>
            </w:pPr>
          </w:p>
        </w:tc>
        <w:tc>
          <w:tcPr>
            <w:tcW w:w="1276" w:type="dxa"/>
            <w:vMerge w:val="restart"/>
            <w:tcMar>
              <w:left w:w="0" w:type="dxa"/>
              <w:right w:w="0" w:type="dxa"/>
            </w:tcMar>
            <w:vAlign w:val="center"/>
          </w:tcPr>
          <w:p w14:paraId="754E3721">
            <w:pPr>
              <w:pStyle w:val="70"/>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p>
        </w:tc>
        <w:tc>
          <w:tcPr>
            <w:tcW w:w="1418" w:type="dxa"/>
            <w:tcMar>
              <w:left w:w="0" w:type="dxa"/>
              <w:right w:w="0" w:type="dxa"/>
            </w:tcMar>
            <w:vAlign w:val="center"/>
          </w:tcPr>
          <w:p w14:paraId="553D3587">
            <w:pPr>
              <w:pStyle w:val="70"/>
              <w:rPr>
                <w:color w:val="000000" w:themeColor="text1"/>
                <w14:textFill>
                  <w14:solidFill>
                    <w14:schemeClr w14:val="tx1"/>
                  </w14:solidFill>
                </w14:textFill>
              </w:rPr>
            </w:pPr>
            <w:r>
              <w:rPr>
                <w:color w:val="000000" w:themeColor="text1"/>
                <w14:textFill>
                  <w14:solidFill>
                    <w14:schemeClr w14:val="tx1"/>
                  </w14:solidFill>
                </w14:textFill>
              </w:rPr>
              <w:t>1小时平均</w:t>
            </w:r>
          </w:p>
        </w:tc>
        <w:tc>
          <w:tcPr>
            <w:tcW w:w="850" w:type="dxa"/>
            <w:tcMar>
              <w:left w:w="0" w:type="dxa"/>
              <w:right w:w="0" w:type="dxa"/>
            </w:tcMar>
            <w:vAlign w:val="center"/>
          </w:tcPr>
          <w:p w14:paraId="11317A7F">
            <w:pPr>
              <w:pStyle w:val="70"/>
              <w:rPr>
                <w:color w:val="000000" w:themeColor="text1"/>
                <w14:textFill>
                  <w14:solidFill>
                    <w14:schemeClr w14:val="tx1"/>
                  </w14:solidFill>
                </w14:textFill>
              </w:rPr>
            </w:pPr>
            <w:r>
              <w:rPr>
                <w:color w:val="000000" w:themeColor="text1"/>
                <w14:textFill>
                  <w14:solidFill>
                    <w14:schemeClr w14:val="tx1"/>
                  </w14:solidFill>
                </w14:textFill>
              </w:rPr>
              <w:t>200</w:t>
            </w:r>
          </w:p>
        </w:tc>
        <w:tc>
          <w:tcPr>
            <w:tcW w:w="851" w:type="dxa"/>
            <w:tcMar>
              <w:left w:w="0" w:type="dxa"/>
              <w:right w:w="0" w:type="dxa"/>
            </w:tcMar>
            <w:vAlign w:val="center"/>
          </w:tcPr>
          <w:p w14:paraId="1D39C9BA">
            <w:pPr>
              <w:pStyle w:val="70"/>
              <w:rPr>
                <w:color w:val="000000" w:themeColor="text1"/>
                <w14:textFill>
                  <w14:solidFill>
                    <w14:schemeClr w14:val="tx1"/>
                  </w14:solidFill>
                </w14:textFill>
              </w:rPr>
            </w:pPr>
            <w:r>
              <w:rPr>
                <w:color w:val="000000" w:themeColor="text1"/>
                <w14:textFill>
                  <w14:solidFill>
                    <w14:schemeClr w14:val="tx1"/>
                  </w14:solidFill>
                </w14:textFill>
              </w:rPr>
              <w:t>200</w:t>
            </w:r>
          </w:p>
        </w:tc>
        <w:tc>
          <w:tcPr>
            <w:tcW w:w="4068" w:type="dxa"/>
            <w:vMerge w:val="continue"/>
            <w:tcMar>
              <w:left w:w="0" w:type="dxa"/>
              <w:right w:w="0" w:type="dxa"/>
            </w:tcMar>
            <w:vAlign w:val="center"/>
          </w:tcPr>
          <w:p w14:paraId="646FC5A1">
            <w:pPr>
              <w:pStyle w:val="70"/>
              <w:rPr>
                <w:color w:val="000000" w:themeColor="text1"/>
                <w14:textFill>
                  <w14:solidFill>
                    <w14:schemeClr w14:val="tx1"/>
                  </w14:solidFill>
                </w14:textFill>
              </w:rPr>
            </w:pPr>
          </w:p>
        </w:tc>
      </w:tr>
      <w:tr w14:paraId="311E13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Mar>
              <w:left w:w="0" w:type="dxa"/>
              <w:right w:w="0" w:type="dxa"/>
            </w:tcMar>
            <w:vAlign w:val="center"/>
          </w:tcPr>
          <w:p w14:paraId="50B57B52">
            <w:pPr>
              <w:pStyle w:val="70"/>
              <w:numPr>
                <w:ilvl w:val="0"/>
                <w:numId w:val="10"/>
              </w:numPr>
              <w:rPr>
                <w:color w:val="000000" w:themeColor="text1"/>
                <w14:textFill>
                  <w14:solidFill>
                    <w14:schemeClr w14:val="tx1"/>
                  </w14:solidFill>
                </w14:textFill>
              </w:rPr>
            </w:pPr>
          </w:p>
        </w:tc>
        <w:tc>
          <w:tcPr>
            <w:tcW w:w="1276" w:type="dxa"/>
            <w:vMerge w:val="continue"/>
            <w:tcMar>
              <w:left w:w="0" w:type="dxa"/>
              <w:right w:w="0" w:type="dxa"/>
            </w:tcMar>
            <w:vAlign w:val="center"/>
          </w:tcPr>
          <w:p w14:paraId="01B21336">
            <w:pPr>
              <w:pStyle w:val="70"/>
              <w:rPr>
                <w:color w:val="000000" w:themeColor="text1"/>
                <w14:textFill>
                  <w14:solidFill>
                    <w14:schemeClr w14:val="tx1"/>
                  </w14:solidFill>
                </w14:textFill>
              </w:rPr>
            </w:pPr>
          </w:p>
        </w:tc>
        <w:tc>
          <w:tcPr>
            <w:tcW w:w="1418" w:type="dxa"/>
            <w:tcMar>
              <w:left w:w="0" w:type="dxa"/>
              <w:right w:w="0" w:type="dxa"/>
            </w:tcMar>
            <w:vAlign w:val="center"/>
          </w:tcPr>
          <w:p w14:paraId="204A7E14">
            <w:pPr>
              <w:pStyle w:val="70"/>
              <w:rPr>
                <w:color w:val="000000" w:themeColor="text1"/>
                <w14:textFill>
                  <w14:solidFill>
                    <w14:schemeClr w14:val="tx1"/>
                  </w14:solidFill>
                </w14:textFill>
              </w:rPr>
            </w:pPr>
            <w:r>
              <w:rPr>
                <w:color w:val="000000" w:themeColor="text1"/>
                <w14:textFill>
                  <w14:solidFill>
                    <w14:schemeClr w14:val="tx1"/>
                  </w14:solidFill>
                </w14:textFill>
              </w:rPr>
              <w:t>24小时平均</w:t>
            </w:r>
          </w:p>
        </w:tc>
        <w:tc>
          <w:tcPr>
            <w:tcW w:w="850" w:type="dxa"/>
            <w:tcMar>
              <w:left w:w="0" w:type="dxa"/>
              <w:right w:w="0" w:type="dxa"/>
            </w:tcMar>
            <w:vAlign w:val="center"/>
          </w:tcPr>
          <w:p w14:paraId="5783B11C">
            <w:pPr>
              <w:pStyle w:val="70"/>
              <w:rPr>
                <w:color w:val="000000" w:themeColor="text1"/>
                <w14:textFill>
                  <w14:solidFill>
                    <w14:schemeClr w14:val="tx1"/>
                  </w14:solidFill>
                </w14:textFill>
              </w:rPr>
            </w:pPr>
            <w:r>
              <w:rPr>
                <w:color w:val="000000" w:themeColor="text1"/>
                <w14:textFill>
                  <w14:solidFill>
                    <w14:schemeClr w14:val="tx1"/>
                  </w14:solidFill>
                </w14:textFill>
              </w:rPr>
              <w:t>80</w:t>
            </w:r>
          </w:p>
        </w:tc>
        <w:tc>
          <w:tcPr>
            <w:tcW w:w="851" w:type="dxa"/>
            <w:tcMar>
              <w:left w:w="0" w:type="dxa"/>
              <w:right w:w="0" w:type="dxa"/>
            </w:tcMar>
            <w:vAlign w:val="center"/>
          </w:tcPr>
          <w:p w14:paraId="7C27E589">
            <w:pPr>
              <w:pStyle w:val="70"/>
              <w:rPr>
                <w:color w:val="000000" w:themeColor="text1"/>
                <w14:textFill>
                  <w14:solidFill>
                    <w14:schemeClr w14:val="tx1"/>
                  </w14:solidFill>
                </w14:textFill>
              </w:rPr>
            </w:pPr>
            <w:r>
              <w:rPr>
                <w:color w:val="000000" w:themeColor="text1"/>
                <w14:textFill>
                  <w14:solidFill>
                    <w14:schemeClr w14:val="tx1"/>
                  </w14:solidFill>
                </w14:textFill>
              </w:rPr>
              <w:t>80</w:t>
            </w:r>
          </w:p>
        </w:tc>
        <w:tc>
          <w:tcPr>
            <w:tcW w:w="4068" w:type="dxa"/>
            <w:vMerge w:val="continue"/>
            <w:tcMar>
              <w:left w:w="0" w:type="dxa"/>
              <w:right w:w="0" w:type="dxa"/>
            </w:tcMar>
            <w:vAlign w:val="center"/>
          </w:tcPr>
          <w:p w14:paraId="4A0EB9AB">
            <w:pPr>
              <w:pStyle w:val="70"/>
              <w:rPr>
                <w:color w:val="000000" w:themeColor="text1"/>
                <w14:textFill>
                  <w14:solidFill>
                    <w14:schemeClr w14:val="tx1"/>
                  </w14:solidFill>
                </w14:textFill>
              </w:rPr>
            </w:pPr>
          </w:p>
        </w:tc>
      </w:tr>
      <w:tr w14:paraId="04C6B1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Mar>
              <w:left w:w="0" w:type="dxa"/>
              <w:right w:w="0" w:type="dxa"/>
            </w:tcMar>
            <w:vAlign w:val="center"/>
          </w:tcPr>
          <w:p w14:paraId="249B29EA">
            <w:pPr>
              <w:pStyle w:val="70"/>
              <w:numPr>
                <w:ilvl w:val="0"/>
                <w:numId w:val="10"/>
              </w:numPr>
              <w:rPr>
                <w:color w:val="000000" w:themeColor="text1"/>
                <w14:textFill>
                  <w14:solidFill>
                    <w14:schemeClr w14:val="tx1"/>
                  </w14:solidFill>
                </w14:textFill>
              </w:rPr>
            </w:pPr>
          </w:p>
        </w:tc>
        <w:tc>
          <w:tcPr>
            <w:tcW w:w="1276" w:type="dxa"/>
            <w:vMerge w:val="continue"/>
            <w:tcMar>
              <w:left w:w="0" w:type="dxa"/>
              <w:right w:w="0" w:type="dxa"/>
            </w:tcMar>
            <w:vAlign w:val="center"/>
          </w:tcPr>
          <w:p w14:paraId="12A7C228">
            <w:pPr>
              <w:pStyle w:val="70"/>
              <w:rPr>
                <w:color w:val="000000" w:themeColor="text1"/>
                <w14:textFill>
                  <w14:solidFill>
                    <w14:schemeClr w14:val="tx1"/>
                  </w14:solidFill>
                </w14:textFill>
              </w:rPr>
            </w:pPr>
          </w:p>
        </w:tc>
        <w:tc>
          <w:tcPr>
            <w:tcW w:w="1418" w:type="dxa"/>
            <w:tcMar>
              <w:left w:w="0" w:type="dxa"/>
              <w:right w:w="0" w:type="dxa"/>
            </w:tcMar>
            <w:vAlign w:val="center"/>
          </w:tcPr>
          <w:p w14:paraId="72662AC6">
            <w:pPr>
              <w:pStyle w:val="70"/>
              <w:rPr>
                <w:color w:val="000000" w:themeColor="text1"/>
                <w14:textFill>
                  <w14:solidFill>
                    <w14:schemeClr w14:val="tx1"/>
                  </w14:solidFill>
                </w14:textFill>
              </w:rPr>
            </w:pPr>
            <w:r>
              <w:rPr>
                <w:color w:val="000000" w:themeColor="text1"/>
                <w14:textFill>
                  <w14:solidFill>
                    <w14:schemeClr w14:val="tx1"/>
                  </w14:solidFill>
                </w14:textFill>
              </w:rPr>
              <w:t>年平均</w:t>
            </w:r>
          </w:p>
        </w:tc>
        <w:tc>
          <w:tcPr>
            <w:tcW w:w="850" w:type="dxa"/>
            <w:tcMar>
              <w:left w:w="0" w:type="dxa"/>
              <w:right w:w="0" w:type="dxa"/>
            </w:tcMar>
            <w:vAlign w:val="center"/>
          </w:tcPr>
          <w:p w14:paraId="059ED55C">
            <w:pPr>
              <w:pStyle w:val="70"/>
              <w:rPr>
                <w:color w:val="000000" w:themeColor="text1"/>
                <w14:textFill>
                  <w14:solidFill>
                    <w14:schemeClr w14:val="tx1"/>
                  </w14:solidFill>
                </w14:textFill>
              </w:rPr>
            </w:pPr>
            <w:r>
              <w:rPr>
                <w:color w:val="000000" w:themeColor="text1"/>
                <w14:textFill>
                  <w14:solidFill>
                    <w14:schemeClr w14:val="tx1"/>
                  </w14:solidFill>
                </w14:textFill>
              </w:rPr>
              <w:t>40</w:t>
            </w:r>
          </w:p>
        </w:tc>
        <w:tc>
          <w:tcPr>
            <w:tcW w:w="851" w:type="dxa"/>
            <w:tcMar>
              <w:left w:w="0" w:type="dxa"/>
              <w:right w:w="0" w:type="dxa"/>
            </w:tcMar>
            <w:vAlign w:val="center"/>
          </w:tcPr>
          <w:p w14:paraId="53435101">
            <w:pPr>
              <w:pStyle w:val="70"/>
              <w:rPr>
                <w:color w:val="000000" w:themeColor="text1"/>
                <w14:textFill>
                  <w14:solidFill>
                    <w14:schemeClr w14:val="tx1"/>
                  </w14:solidFill>
                </w14:textFill>
              </w:rPr>
            </w:pPr>
            <w:r>
              <w:rPr>
                <w:color w:val="000000" w:themeColor="text1"/>
                <w14:textFill>
                  <w14:solidFill>
                    <w14:schemeClr w14:val="tx1"/>
                  </w14:solidFill>
                </w14:textFill>
              </w:rPr>
              <w:t>40</w:t>
            </w:r>
          </w:p>
        </w:tc>
        <w:tc>
          <w:tcPr>
            <w:tcW w:w="4068" w:type="dxa"/>
            <w:vMerge w:val="continue"/>
            <w:tcMar>
              <w:left w:w="0" w:type="dxa"/>
              <w:right w:w="0" w:type="dxa"/>
            </w:tcMar>
            <w:vAlign w:val="center"/>
          </w:tcPr>
          <w:p w14:paraId="3BA87902">
            <w:pPr>
              <w:pStyle w:val="70"/>
              <w:rPr>
                <w:color w:val="000000" w:themeColor="text1"/>
                <w14:textFill>
                  <w14:solidFill>
                    <w14:schemeClr w14:val="tx1"/>
                  </w14:solidFill>
                </w14:textFill>
              </w:rPr>
            </w:pPr>
          </w:p>
        </w:tc>
      </w:tr>
      <w:tr w14:paraId="568143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restart"/>
            <w:tcMar>
              <w:left w:w="0" w:type="dxa"/>
              <w:right w:w="0" w:type="dxa"/>
            </w:tcMar>
            <w:vAlign w:val="center"/>
          </w:tcPr>
          <w:p w14:paraId="1873B814">
            <w:pPr>
              <w:pStyle w:val="70"/>
              <w:numPr>
                <w:ilvl w:val="0"/>
                <w:numId w:val="10"/>
              </w:numPr>
              <w:rPr>
                <w:color w:val="000000" w:themeColor="text1"/>
                <w14:textFill>
                  <w14:solidFill>
                    <w14:schemeClr w14:val="tx1"/>
                  </w14:solidFill>
                </w14:textFill>
              </w:rPr>
            </w:pPr>
          </w:p>
        </w:tc>
        <w:tc>
          <w:tcPr>
            <w:tcW w:w="1276" w:type="dxa"/>
            <w:vMerge w:val="restart"/>
            <w:tcMar>
              <w:left w:w="0" w:type="dxa"/>
              <w:right w:w="0" w:type="dxa"/>
            </w:tcMar>
            <w:vAlign w:val="center"/>
          </w:tcPr>
          <w:p w14:paraId="00ECD35C">
            <w:pPr>
              <w:pStyle w:val="70"/>
              <w:rPr>
                <w:color w:val="000000" w:themeColor="text1"/>
                <w14:textFill>
                  <w14:solidFill>
                    <w14:schemeClr w14:val="tx1"/>
                  </w14:solidFill>
                </w14:textFill>
              </w:rPr>
            </w:pPr>
            <w:r>
              <w:rPr>
                <w:color w:val="000000" w:themeColor="text1"/>
                <w14:textFill>
                  <w14:solidFill>
                    <w14:schemeClr w14:val="tx1"/>
                  </w14:solidFill>
                </w14:textFill>
              </w:rPr>
              <w:t>CO</w:t>
            </w:r>
          </w:p>
        </w:tc>
        <w:tc>
          <w:tcPr>
            <w:tcW w:w="1418" w:type="dxa"/>
            <w:tcMar>
              <w:left w:w="0" w:type="dxa"/>
              <w:right w:w="0" w:type="dxa"/>
            </w:tcMar>
            <w:vAlign w:val="center"/>
          </w:tcPr>
          <w:p w14:paraId="57840CD5">
            <w:pPr>
              <w:pStyle w:val="70"/>
              <w:rPr>
                <w:color w:val="000000" w:themeColor="text1"/>
                <w14:textFill>
                  <w14:solidFill>
                    <w14:schemeClr w14:val="tx1"/>
                  </w14:solidFill>
                </w14:textFill>
              </w:rPr>
            </w:pPr>
            <w:r>
              <w:rPr>
                <w:color w:val="000000" w:themeColor="text1"/>
                <w14:textFill>
                  <w14:solidFill>
                    <w14:schemeClr w14:val="tx1"/>
                  </w14:solidFill>
                </w14:textFill>
              </w:rPr>
              <w:t>1小时平均</w:t>
            </w:r>
          </w:p>
        </w:tc>
        <w:tc>
          <w:tcPr>
            <w:tcW w:w="850" w:type="dxa"/>
            <w:tcMar>
              <w:left w:w="0" w:type="dxa"/>
              <w:right w:w="0" w:type="dxa"/>
            </w:tcMar>
            <w:vAlign w:val="center"/>
          </w:tcPr>
          <w:p w14:paraId="30D12DD9">
            <w:pPr>
              <w:pStyle w:val="70"/>
              <w:rPr>
                <w:color w:val="000000" w:themeColor="text1"/>
                <w14:textFill>
                  <w14:solidFill>
                    <w14:schemeClr w14:val="tx1"/>
                  </w14:solidFill>
                </w14:textFill>
              </w:rPr>
            </w:pPr>
            <w:r>
              <w:rPr>
                <w:color w:val="000000" w:themeColor="text1"/>
                <w14:textFill>
                  <w14:solidFill>
                    <w14:schemeClr w14:val="tx1"/>
                  </w14:solidFill>
                </w14:textFill>
              </w:rPr>
              <w:t>10000</w:t>
            </w:r>
          </w:p>
        </w:tc>
        <w:tc>
          <w:tcPr>
            <w:tcW w:w="851" w:type="dxa"/>
            <w:tcMar>
              <w:left w:w="0" w:type="dxa"/>
              <w:right w:w="0" w:type="dxa"/>
            </w:tcMar>
            <w:vAlign w:val="center"/>
          </w:tcPr>
          <w:p w14:paraId="52CE1F94">
            <w:pPr>
              <w:pStyle w:val="70"/>
              <w:rPr>
                <w:color w:val="000000" w:themeColor="text1"/>
                <w14:textFill>
                  <w14:solidFill>
                    <w14:schemeClr w14:val="tx1"/>
                  </w14:solidFill>
                </w14:textFill>
              </w:rPr>
            </w:pPr>
            <w:r>
              <w:rPr>
                <w:color w:val="000000" w:themeColor="text1"/>
                <w14:textFill>
                  <w14:solidFill>
                    <w14:schemeClr w14:val="tx1"/>
                  </w14:solidFill>
                </w14:textFill>
              </w:rPr>
              <w:t>10000</w:t>
            </w:r>
          </w:p>
        </w:tc>
        <w:tc>
          <w:tcPr>
            <w:tcW w:w="4068" w:type="dxa"/>
            <w:vMerge w:val="continue"/>
            <w:tcMar>
              <w:left w:w="0" w:type="dxa"/>
              <w:right w:w="0" w:type="dxa"/>
            </w:tcMar>
            <w:vAlign w:val="center"/>
          </w:tcPr>
          <w:p w14:paraId="5600E441">
            <w:pPr>
              <w:pStyle w:val="70"/>
              <w:rPr>
                <w:color w:val="000000" w:themeColor="text1"/>
                <w14:textFill>
                  <w14:solidFill>
                    <w14:schemeClr w14:val="tx1"/>
                  </w14:solidFill>
                </w14:textFill>
              </w:rPr>
            </w:pPr>
          </w:p>
        </w:tc>
      </w:tr>
      <w:tr w14:paraId="69EBA2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Mar>
              <w:left w:w="0" w:type="dxa"/>
              <w:right w:w="0" w:type="dxa"/>
            </w:tcMar>
            <w:vAlign w:val="center"/>
          </w:tcPr>
          <w:p w14:paraId="6B0819C2">
            <w:pPr>
              <w:pStyle w:val="70"/>
              <w:numPr>
                <w:ilvl w:val="0"/>
                <w:numId w:val="10"/>
              </w:numPr>
              <w:rPr>
                <w:color w:val="000000" w:themeColor="text1"/>
                <w14:textFill>
                  <w14:solidFill>
                    <w14:schemeClr w14:val="tx1"/>
                  </w14:solidFill>
                </w14:textFill>
              </w:rPr>
            </w:pPr>
          </w:p>
        </w:tc>
        <w:tc>
          <w:tcPr>
            <w:tcW w:w="1276" w:type="dxa"/>
            <w:vMerge w:val="continue"/>
            <w:tcMar>
              <w:left w:w="0" w:type="dxa"/>
              <w:right w:w="0" w:type="dxa"/>
            </w:tcMar>
            <w:vAlign w:val="center"/>
          </w:tcPr>
          <w:p w14:paraId="339D70F3">
            <w:pPr>
              <w:pStyle w:val="70"/>
              <w:rPr>
                <w:color w:val="000000" w:themeColor="text1"/>
                <w14:textFill>
                  <w14:solidFill>
                    <w14:schemeClr w14:val="tx1"/>
                  </w14:solidFill>
                </w14:textFill>
              </w:rPr>
            </w:pPr>
          </w:p>
        </w:tc>
        <w:tc>
          <w:tcPr>
            <w:tcW w:w="1418" w:type="dxa"/>
            <w:tcMar>
              <w:left w:w="0" w:type="dxa"/>
              <w:right w:w="0" w:type="dxa"/>
            </w:tcMar>
            <w:vAlign w:val="center"/>
          </w:tcPr>
          <w:p w14:paraId="02A92AE1">
            <w:pPr>
              <w:pStyle w:val="70"/>
              <w:rPr>
                <w:color w:val="000000" w:themeColor="text1"/>
                <w14:textFill>
                  <w14:solidFill>
                    <w14:schemeClr w14:val="tx1"/>
                  </w14:solidFill>
                </w14:textFill>
              </w:rPr>
            </w:pPr>
            <w:r>
              <w:rPr>
                <w:color w:val="000000" w:themeColor="text1"/>
                <w14:textFill>
                  <w14:solidFill>
                    <w14:schemeClr w14:val="tx1"/>
                  </w14:solidFill>
                </w14:textFill>
              </w:rPr>
              <w:t>24小时平均</w:t>
            </w:r>
          </w:p>
        </w:tc>
        <w:tc>
          <w:tcPr>
            <w:tcW w:w="850" w:type="dxa"/>
            <w:tcMar>
              <w:left w:w="0" w:type="dxa"/>
              <w:right w:w="0" w:type="dxa"/>
            </w:tcMar>
            <w:vAlign w:val="center"/>
          </w:tcPr>
          <w:p w14:paraId="2550A6AB">
            <w:pPr>
              <w:pStyle w:val="70"/>
              <w:rPr>
                <w:color w:val="000000" w:themeColor="text1"/>
                <w14:textFill>
                  <w14:solidFill>
                    <w14:schemeClr w14:val="tx1"/>
                  </w14:solidFill>
                </w14:textFill>
              </w:rPr>
            </w:pPr>
            <w:r>
              <w:rPr>
                <w:color w:val="000000" w:themeColor="text1"/>
                <w14:textFill>
                  <w14:solidFill>
                    <w14:schemeClr w14:val="tx1"/>
                  </w14:solidFill>
                </w14:textFill>
              </w:rPr>
              <w:t>4000</w:t>
            </w:r>
          </w:p>
        </w:tc>
        <w:tc>
          <w:tcPr>
            <w:tcW w:w="851" w:type="dxa"/>
            <w:tcMar>
              <w:left w:w="0" w:type="dxa"/>
              <w:right w:w="0" w:type="dxa"/>
            </w:tcMar>
            <w:vAlign w:val="center"/>
          </w:tcPr>
          <w:p w14:paraId="702EBEAC">
            <w:pPr>
              <w:pStyle w:val="70"/>
              <w:rPr>
                <w:color w:val="000000" w:themeColor="text1"/>
                <w14:textFill>
                  <w14:solidFill>
                    <w14:schemeClr w14:val="tx1"/>
                  </w14:solidFill>
                </w14:textFill>
              </w:rPr>
            </w:pPr>
            <w:r>
              <w:rPr>
                <w:color w:val="000000" w:themeColor="text1"/>
                <w14:textFill>
                  <w14:solidFill>
                    <w14:schemeClr w14:val="tx1"/>
                  </w14:solidFill>
                </w14:textFill>
              </w:rPr>
              <w:t>4000</w:t>
            </w:r>
          </w:p>
        </w:tc>
        <w:tc>
          <w:tcPr>
            <w:tcW w:w="4068" w:type="dxa"/>
            <w:vMerge w:val="continue"/>
            <w:tcMar>
              <w:left w:w="0" w:type="dxa"/>
              <w:right w:w="0" w:type="dxa"/>
            </w:tcMar>
            <w:vAlign w:val="center"/>
          </w:tcPr>
          <w:p w14:paraId="4170AA85">
            <w:pPr>
              <w:pStyle w:val="70"/>
              <w:rPr>
                <w:color w:val="000000" w:themeColor="text1"/>
                <w14:textFill>
                  <w14:solidFill>
                    <w14:schemeClr w14:val="tx1"/>
                  </w14:solidFill>
                </w14:textFill>
              </w:rPr>
            </w:pPr>
          </w:p>
        </w:tc>
      </w:tr>
      <w:tr w14:paraId="2F884D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restart"/>
            <w:tcMar>
              <w:left w:w="0" w:type="dxa"/>
              <w:right w:w="0" w:type="dxa"/>
            </w:tcMar>
            <w:vAlign w:val="center"/>
          </w:tcPr>
          <w:p w14:paraId="544FB6D7">
            <w:pPr>
              <w:pStyle w:val="70"/>
              <w:numPr>
                <w:ilvl w:val="0"/>
                <w:numId w:val="10"/>
              </w:numPr>
              <w:rPr>
                <w:color w:val="000000" w:themeColor="text1"/>
                <w14:textFill>
                  <w14:solidFill>
                    <w14:schemeClr w14:val="tx1"/>
                  </w14:solidFill>
                </w14:textFill>
              </w:rPr>
            </w:pPr>
          </w:p>
        </w:tc>
        <w:tc>
          <w:tcPr>
            <w:tcW w:w="1276" w:type="dxa"/>
            <w:vMerge w:val="restart"/>
            <w:tcMar>
              <w:left w:w="0" w:type="dxa"/>
              <w:right w:w="0" w:type="dxa"/>
            </w:tcMar>
            <w:vAlign w:val="center"/>
          </w:tcPr>
          <w:p w14:paraId="4492124C">
            <w:pPr>
              <w:pStyle w:val="70"/>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p>
        </w:tc>
        <w:tc>
          <w:tcPr>
            <w:tcW w:w="1418" w:type="dxa"/>
            <w:tcMar>
              <w:left w:w="0" w:type="dxa"/>
              <w:right w:w="0" w:type="dxa"/>
            </w:tcMar>
            <w:vAlign w:val="center"/>
          </w:tcPr>
          <w:p w14:paraId="1B4D4F2E">
            <w:pPr>
              <w:pStyle w:val="70"/>
              <w:rPr>
                <w:color w:val="000000" w:themeColor="text1"/>
                <w14:textFill>
                  <w14:solidFill>
                    <w14:schemeClr w14:val="tx1"/>
                  </w14:solidFill>
                </w14:textFill>
              </w:rPr>
            </w:pPr>
            <w:r>
              <w:rPr>
                <w:color w:val="000000" w:themeColor="text1"/>
                <w14:textFill>
                  <w14:solidFill>
                    <w14:schemeClr w14:val="tx1"/>
                  </w14:solidFill>
                </w14:textFill>
              </w:rPr>
              <w:t>24小时平均</w:t>
            </w:r>
          </w:p>
        </w:tc>
        <w:tc>
          <w:tcPr>
            <w:tcW w:w="850" w:type="dxa"/>
            <w:tcMar>
              <w:left w:w="0" w:type="dxa"/>
              <w:right w:w="0" w:type="dxa"/>
            </w:tcMar>
            <w:vAlign w:val="center"/>
          </w:tcPr>
          <w:p w14:paraId="36EB8D14">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851" w:type="dxa"/>
            <w:tcMar>
              <w:left w:w="0" w:type="dxa"/>
              <w:right w:w="0" w:type="dxa"/>
            </w:tcMar>
            <w:vAlign w:val="center"/>
          </w:tcPr>
          <w:p w14:paraId="4A3F9093">
            <w:pPr>
              <w:pStyle w:val="70"/>
              <w:rPr>
                <w:color w:val="000000" w:themeColor="text1"/>
                <w14:textFill>
                  <w14:solidFill>
                    <w14:schemeClr w14:val="tx1"/>
                  </w14:solidFill>
                </w14:textFill>
              </w:rPr>
            </w:pPr>
            <w:r>
              <w:rPr>
                <w:color w:val="000000" w:themeColor="text1"/>
                <w14:textFill>
                  <w14:solidFill>
                    <w14:schemeClr w14:val="tx1"/>
                  </w14:solidFill>
                </w14:textFill>
              </w:rPr>
              <w:t>150</w:t>
            </w:r>
          </w:p>
        </w:tc>
        <w:tc>
          <w:tcPr>
            <w:tcW w:w="4068" w:type="dxa"/>
            <w:vMerge w:val="continue"/>
            <w:tcMar>
              <w:left w:w="0" w:type="dxa"/>
              <w:right w:w="0" w:type="dxa"/>
            </w:tcMar>
            <w:vAlign w:val="center"/>
          </w:tcPr>
          <w:p w14:paraId="356640EE">
            <w:pPr>
              <w:pStyle w:val="70"/>
              <w:rPr>
                <w:color w:val="000000" w:themeColor="text1"/>
                <w14:textFill>
                  <w14:solidFill>
                    <w14:schemeClr w14:val="tx1"/>
                  </w14:solidFill>
                </w14:textFill>
              </w:rPr>
            </w:pPr>
          </w:p>
        </w:tc>
      </w:tr>
      <w:tr w14:paraId="3A1FE1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Mar>
              <w:left w:w="0" w:type="dxa"/>
              <w:right w:w="0" w:type="dxa"/>
            </w:tcMar>
            <w:vAlign w:val="center"/>
          </w:tcPr>
          <w:p w14:paraId="5D7E132D">
            <w:pPr>
              <w:pStyle w:val="70"/>
              <w:numPr>
                <w:ilvl w:val="0"/>
                <w:numId w:val="10"/>
              </w:numPr>
              <w:rPr>
                <w:color w:val="000000" w:themeColor="text1"/>
                <w14:textFill>
                  <w14:solidFill>
                    <w14:schemeClr w14:val="tx1"/>
                  </w14:solidFill>
                </w14:textFill>
              </w:rPr>
            </w:pPr>
          </w:p>
        </w:tc>
        <w:tc>
          <w:tcPr>
            <w:tcW w:w="1276" w:type="dxa"/>
            <w:vMerge w:val="continue"/>
            <w:tcMar>
              <w:left w:w="0" w:type="dxa"/>
              <w:right w:w="0" w:type="dxa"/>
            </w:tcMar>
            <w:vAlign w:val="center"/>
          </w:tcPr>
          <w:p w14:paraId="4B7CF70C">
            <w:pPr>
              <w:pStyle w:val="70"/>
              <w:rPr>
                <w:color w:val="000000" w:themeColor="text1"/>
                <w14:textFill>
                  <w14:solidFill>
                    <w14:schemeClr w14:val="tx1"/>
                  </w14:solidFill>
                </w14:textFill>
              </w:rPr>
            </w:pPr>
          </w:p>
        </w:tc>
        <w:tc>
          <w:tcPr>
            <w:tcW w:w="1418" w:type="dxa"/>
            <w:tcMar>
              <w:left w:w="0" w:type="dxa"/>
              <w:right w:w="0" w:type="dxa"/>
            </w:tcMar>
            <w:vAlign w:val="center"/>
          </w:tcPr>
          <w:p w14:paraId="0F00AF1B">
            <w:pPr>
              <w:pStyle w:val="70"/>
              <w:rPr>
                <w:color w:val="000000" w:themeColor="text1"/>
                <w14:textFill>
                  <w14:solidFill>
                    <w14:schemeClr w14:val="tx1"/>
                  </w14:solidFill>
                </w14:textFill>
              </w:rPr>
            </w:pPr>
            <w:r>
              <w:rPr>
                <w:color w:val="000000" w:themeColor="text1"/>
                <w14:textFill>
                  <w14:solidFill>
                    <w14:schemeClr w14:val="tx1"/>
                  </w14:solidFill>
                </w14:textFill>
              </w:rPr>
              <w:t>年平均</w:t>
            </w:r>
          </w:p>
        </w:tc>
        <w:tc>
          <w:tcPr>
            <w:tcW w:w="850" w:type="dxa"/>
            <w:tcMar>
              <w:left w:w="0" w:type="dxa"/>
              <w:right w:w="0" w:type="dxa"/>
            </w:tcMar>
            <w:vAlign w:val="center"/>
          </w:tcPr>
          <w:p w14:paraId="6C70D58B">
            <w:pPr>
              <w:pStyle w:val="70"/>
              <w:rPr>
                <w:color w:val="000000" w:themeColor="text1"/>
                <w14:textFill>
                  <w14:solidFill>
                    <w14:schemeClr w14:val="tx1"/>
                  </w14:solidFill>
                </w14:textFill>
              </w:rPr>
            </w:pPr>
            <w:r>
              <w:rPr>
                <w:color w:val="000000" w:themeColor="text1"/>
                <w14:textFill>
                  <w14:solidFill>
                    <w14:schemeClr w14:val="tx1"/>
                  </w14:solidFill>
                </w14:textFill>
              </w:rPr>
              <w:t>40</w:t>
            </w:r>
          </w:p>
        </w:tc>
        <w:tc>
          <w:tcPr>
            <w:tcW w:w="851" w:type="dxa"/>
            <w:tcMar>
              <w:left w:w="0" w:type="dxa"/>
              <w:right w:w="0" w:type="dxa"/>
            </w:tcMar>
            <w:vAlign w:val="center"/>
          </w:tcPr>
          <w:p w14:paraId="228CFC69">
            <w:pPr>
              <w:pStyle w:val="70"/>
              <w:rPr>
                <w:color w:val="000000" w:themeColor="text1"/>
                <w14:textFill>
                  <w14:solidFill>
                    <w14:schemeClr w14:val="tx1"/>
                  </w14:solidFill>
                </w14:textFill>
              </w:rPr>
            </w:pPr>
            <w:r>
              <w:rPr>
                <w:color w:val="000000" w:themeColor="text1"/>
                <w14:textFill>
                  <w14:solidFill>
                    <w14:schemeClr w14:val="tx1"/>
                  </w14:solidFill>
                </w14:textFill>
              </w:rPr>
              <w:t>70</w:t>
            </w:r>
          </w:p>
        </w:tc>
        <w:tc>
          <w:tcPr>
            <w:tcW w:w="4068" w:type="dxa"/>
            <w:vMerge w:val="continue"/>
            <w:tcMar>
              <w:left w:w="0" w:type="dxa"/>
              <w:right w:w="0" w:type="dxa"/>
            </w:tcMar>
            <w:vAlign w:val="center"/>
          </w:tcPr>
          <w:p w14:paraId="7A226CC8">
            <w:pPr>
              <w:pStyle w:val="70"/>
              <w:rPr>
                <w:color w:val="000000" w:themeColor="text1"/>
                <w14:textFill>
                  <w14:solidFill>
                    <w14:schemeClr w14:val="tx1"/>
                  </w14:solidFill>
                </w14:textFill>
              </w:rPr>
            </w:pPr>
          </w:p>
        </w:tc>
      </w:tr>
      <w:tr w14:paraId="7591C0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restart"/>
            <w:tcMar>
              <w:left w:w="0" w:type="dxa"/>
              <w:right w:w="0" w:type="dxa"/>
            </w:tcMar>
            <w:vAlign w:val="center"/>
          </w:tcPr>
          <w:p w14:paraId="4D9EEF7A">
            <w:pPr>
              <w:pStyle w:val="70"/>
              <w:numPr>
                <w:ilvl w:val="0"/>
                <w:numId w:val="10"/>
              </w:numPr>
              <w:rPr>
                <w:color w:val="000000" w:themeColor="text1"/>
                <w14:textFill>
                  <w14:solidFill>
                    <w14:schemeClr w14:val="tx1"/>
                  </w14:solidFill>
                </w14:textFill>
              </w:rPr>
            </w:pPr>
          </w:p>
        </w:tc>
        <w:tc>
          <w:tcPr>
            <w:tcW w:w="1276" w:type="dxa"/>
            <w:vMerge w:val="restart"/>
            <w:tcMar>
              <w:left w:w="0" w:type="dxa"/>
              <w:right w:w="0" w:type="dxa"/>
            </w:tcMar>
            <w:vAlign w:val="center"/>
          </w:tcPr>
          <w:p w14:paraId="6DEED4CF">
            <w:pPr>
              <w:pStyle w:val="70"/>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p>
        </w:tc>
        <w:tc>
          <w:tcPr>
            <w:tcW w:w="1418" w:type="dxa"/>
            <w:tcMar>
              <w:left w:w="0" w:type="dxa"/>
              <w:right w:w="0" w:type="dxa"/>
            </w:tcMar>
            <w:vAlign w:val="center"/>
          </w:tcPr>
          <w:p w14:paraId="5A9FE5FD">
            <w:pPr>
              <w:pStyle w:val="70"/>
              <w:rPr>
                <w:color w:val="000000" w:themeColor="text1"/>
                <w14:textFill>
                  <w14:solidFill>
                    <w14:schemeClr w14:val="tx1"/>
                  </w14:solidFill>
                </w14:textFill>
              </w:rPr>
            </w:pPr>
            <w:r>
              <w:rPr>
                <w:color w:val="000000" w:themeColor="text1"/>
                <w14:textFill>
                  <w14:solidFill>
                    <w14:schemeClr w14:val="tx1"/>
                  </w14:solidFill>
                </w14:textFill>
              </w:rPr>
              <w:t>24小时平均</w:t>
            </w:r>
          </w:p>
        </w:tc>
        <w:tc>
          <w:tcPr>
            <w:tcW w:w="850" w:type="dxa"/>
            <w:tcMar>
              <w:left w:w="0" w:type="dxa"/>
              <w:right w:w="0" w:type="dxa"/>
            </w:tcMar>
            <w:vAlign w:val="center"/>
          </w:tcPr>
          <w:p w14:paraId="1E305571">
            <w:pPr>
              <w:pStyle w:val="70"/>
              <w:rPr>
                <w:color w:val="000000" w:themeColor="text1"/>
                <w14:textFill>
                  <w14:solidFill>
                    <w14:schemeClr w14:val="tx1"/>
                  </w14:solidFill>
                </w14:textFill>
              </w:rPr>
            </w:pPr>
            <w:r>
              <w:rPr>
                <w:color w:val="000000" w:themeColor="text1"/>
                <w14:textFill>
                  <w14:solidFill>
                    <w14:schemeClr w14:val="tx1"/>
                  </w14:solidFill>
                </w14:textFill>
              </w:rPr>
              <w:t>35</w:t>
            </w:r>
          </w:p>
        </w:tc>
        <w:tc>
          <w:tcPr>
            <w:tcW w:w="851" w:type="dxa"/>
            <w:tcMar>
              <w:left w:w="0" w:type="dxa"/>
              <w:right w:w="0" w:type="dxa"/>
            </w:tcMar>
            <w:vAlign w:val="center"/>
          </w:tcPr>
          <w:p w14:paraId="70419DEB">
            <w:pPr>
              <w:pStyle w:val="70"/>
              <w:rPr>
                <w:color w:val="000000" w:themeColor="text1"/>
                <w14:textFill>
                  <w14:solidFill>
                    <w14:schemeClr w14:val="tx1"/>
                  </w14:solidFill>
                </w14:textFill>
              </w:rPr>
            </w:pPr>
            <w:r>
              <w:rPr>
                <w:color w:val="000000" w:themeColor="text1"/>
                <w14:textFill>
                  <w14:solidFill>
                    <w14:schemeClr w14:val="tx1"/>
                  </w14:solidFill>
                </w14:textFill>
              </w:rPr>
              <w:t>75</w:t>
            </w:r>
          </w:p>
        </w:tc>
        <w:tc>
          <w:tcPr>
            <w:tcW w:w="4068" w:type="dxa"/>
            <w:vMerge w:val="continue"/>
            <w:tcMar>
              <w:left w:w="0" w:type="dxa"/>
              <w:right w:w="0" w:type="dxa"/>
            </w:tcMar>
            <w:vAlign w:val="center"/>
          </w:tcPr>
          <w:p w14:paraId="0E2785BF">
            <w:pPr>
              <w:pStyle w:val="70"/>
              <w:rPr>
                <w:color w:val="000000" w:themeColor="text1"/>
                <w14:textFill>
                  <w14:solidFill>
                    <w14:schemeClr w14:val="tx1"/>
                  </w14:solidFill>
                </w14:textFill>
              </w:rPr>
            </w:pPr>
          </w:p>
        </w:tc>
      </w:tr>
      <w:tr w14:paraId="5C46AF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Mar>
              <w:left w:w="0" w:type="dxa"/>
              <w:right w:w="0" w:type="dxa"/>
            </w:tcMar>
            <w:vAlign w:val="center"/>
          </w:tcPr>
          <w:p w14:paraId="73710429">
            <w:pPr>
              <w:pStyle w:val="70"/>
              <w:numPr>
                <w:ilvl w:val="0"/>
                <w:numId w:val="10"/>
              </w:numPr>
              <w:rPr>
                <w:color w:val="000000" w:themeColor="text1"/>
                <w14:textFill>
                  <w14:solidFill>
                    <w14:schemeClr w14:val="tx1"/>
                  </w14:solidFill>
                </w14:textFill>
              </w:rPr>
            </w:pPr>
          </w:p>
        </w:tc>
        <w:tc>
          <w:tcPr>
            <w:tcW w:w="1276" w:type="dxa"/>
            <w:vMerge w:val="continue"/>
            <w:tcMar>
              <w:left w:w="0" w:type="dxa"/>
              <w:right w:w="0" w:type="dxa"/>
            </w:tcMar>
            <w:vAlign w:val="center"/>
          </w:tcPr>
          <w:p w14:paraId="46E4A8D6">
            <w:pPr>
              <w:pStyle w:val="70"/>
              <w:rPr>
                <w:color w:val="000000" w:themeColor="text1"/>
                <w14:textFill>
                  <w14:solidFill>
                    <w14:schemeClr w14:val="tx1"/>
                  </w14:solidFill>
                </w14:textFill>
              </w:rPr>
            </w:pPr>
          </w:p>
        </w:tc>
        <w:tc>
          <w:tcPr>
            <w:tcW w:w="1418" w:type="dxa"/>
            <w:tcMar>
              <w:left w:w="0" w:type="dxa"/>
              <w:right w:w="0" w:type="dxa"/>
            </w:tcMar>
            <w:vAlign w:val="center"/>
          </w:tcPr>
          <w:p w14:paraId="43FBABD1">
            <w:pPr>
              <w:pStyle w:val="70"/>
              <w:rPr>
                <w:color w:val="000000" w:themeColor="text1"/>
                <w14:textFill>
                  <w14:solidFill>
                    <w14:schemeClr w14:val="tx1"/>
                  </w14:solidFill>
                </w14:textFill>
              </w:rPr>
            </w:pPr>
            <w:r>
              <w:rPr>
                <w:color w:val="000000" w:themeColor="text1"/>
                <w14:textFill>
                  <w14:solidFill>
                    <w14:schemeClr w14:val="tx1"/>
                  </w14:solidFill>
                </w14:textFill>
              </w:rPr>
              <w:t>年平均</w:t>
            </w:r>
          </w:p>
        </w:tc>
        <w:tc>
          <w:tcPr>
            <w:tcW w:w="850" w:type="dxa"/>
            <w:tcMar>
              <w:left w:w="0" w:type="dxa"/>
              <w:right w:w="0" w:type="dxa"/>
            </w:tcMar>
            <w:vAlign w:val="center"/>
          </w:tcPr>
          <w:p w14:paraId="2F2F36DD">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851" w:type="dxa"/>
            <w:tcMar>
              <w:left w:w="0" w:type="dxa"/>
              <w:right w:w="0" w:type="dxa"/>
            </w:tcMar>
            <w:vAlign w:val="center"/>
          </w:tcPr>
          <w:p w14:paraId="75BDDCC2">
            <w:pPr>
              <w:pStyle w:val="70"/>
              <w:rPr>
                <w:color w:val="000000" w:themeColor="text1"/>
                <w14:textFill>
                  <w14:solidFill>
                    <w14:schemeClr w14:val="tx1"/>
                  </w14:solidFill>
                </w14:textFill>
              </w:rPr>
            </w:pPr>
            <w:r>
              <w:rPr>
                <w:color w:val="000000" w:themeColor="text1"/>
                <w14:textFill>
                  <w14:solidFill>
                    <w14:schemeClr w14:val="tx1"/>
                  </w14:solidFill>
                </w14:textFill>
              </w:rPr>
              <w:t>35</w:t>
            </w:r>
          </w:p>
        </w:tc>
        <w:tc>
          <w:tcPr>
            <w:tcW w:w="4068" w:type="dxa"/>
            <w:vMerge w:val="continue"/>
            <w:tcMar>
              <w:left w:w="0" w:type="dxa"/>
              <w:right w:w="0" w:type="dxa"/>
            </w:tcMar>
            <w:vAlign w:val="center"/>
          </w:tcPr>
          <w:p w14:paraId="052137C6">
            <w:pPr>
              <w:pStyle w:val="70"/>
              <w:rPr>
                <w:color w:val="000000" w:themeColor="text1"/>
                <w14:textFill>
                  <w14:solidFill>
                    <w14:schemeClr w14:val="tx1"/>
                  </w14:solidFill>
                </w14:textFill>
              </w:rPr>
            </w:pPr>
          </w:p>
        </w:tc>
      </w:tr>
      <w:tr w14:paraId="5B705B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tcMar>
              <w:left w:w="0" w:type="dxa"/>
              <w:right w:w="0" w:type="dxa"/>
            </w:tcMar>
            <w:vAlign w:val="center"/>
          </w:tcPr>
          <w:p w14:paraId="4F23EFBA">
            <w:pPr>
              <w:pStyle w:val="70"/>
              <w:numPr>
                <w:ilvl w:val="0"/>
                <w:numId w:val="10"/>
              </w:numPr>
              <w:rPr>
                <w:color w:val="000000" w:themeColor="text1"/>
                <w14:textFill>
                  <w14:solidFill>
                    <w14:schemeClr w14:val="tx1"/>
                  </w14:solidFill>
                </w14:textFill>
              </w:rPr>
            </w:pPr>
          </w:p>
        </w:tc>
        <w:tc>
          <w:tcPr>
            <w:tcW w:w="1276" w:type="dxa"/>
            <w:tcMar>
              <w:left w:w="0" w:type="dxa"/>
              <w:right w:w="0" w:type="dxa"/>
            </w:tcMar>
            <w:vAlign w:val="center"/>
          </w:tcPr>
          <w:p w14:paraId="3996BFDE">
            <w:pPr>
              <w:pStyle w:val="70"/>
              <w:rPr>
                <w:color w:val="000000" w:themeColor="text1"/>
                <w14:textFill>
                  <w14:solidFill>
                    <w14:schemeClr w14:val="tx1"/>
                  </w14:solidFill>
                </w14:textFill>
              </w:rPr>
            </w:pPr>
            <w:r>
              <w:rPr>
                <w:color w:val="000000" w:themeColor="text1"/>
                <w14:textFill>
                  <w14:solidFill>
                    <w14:schemeClr w14:val="tx1"/>
                  </w14:solidFill>
                </w14:textFill>
              </w:rPr>
              <w:t>O</w:t>
            </w:r>
            <w:r>
              <w:rPr>
                <w:color w:val="000000" w:themeColor="text1"/>
                <w:vertAlign w:val="subscript"/>
                <w14:textFill>
                  <w14:solidFill>
                    <w14:schemeClr w14:val="tx1"/>
                  </w14:solidFill>
                </w14:textFill>
              </w:rPr>
              <w:t>3</w:t>
            </w:r>
          </w:p>
        </w:tc>
        <w:tc>
          <w:tcPr>
            <w:tcW w:w="1418" w:type="dxa"/>
            <w:tcMar>
              <w:left w:w="0" w:type="dxa"/>
              <w:right w:w="0" w:type="dxa"/>
            </w:tcMar>
            <w:vAlign w:val="center"/>
          </w:tcPr>
          <w:p w14:paraId="14DB2F7D">
            <w:pPr>
              <w:pStyle w:val="70"/>
              <w:rPr>
                <w:color w:val="000000" w:themeColor="text1"/>
                <w14:textFill>
                  <w14:solidFill>
                    <w14:schemeClr w14:val="tx1"/>
                  </w14:solidFill>
                </w14:textFill>
              </w:rPr>
            </w:pPr>
            <w:r>
              <w:rPr>
                <w:color w:val="000000" w:themeColor="text1"/>
                <w14:textFill>
                  <w14:solidFill>
                    <w14:schemeClr w14:val="tx1"/>
                  </w14:solidFill>
                </w14:textFill>
              </w:rPr>
              <w:t>日最大8小时平均</w:t>
            </w:r>
          </w:p>
        </w:tc>
        <w:tc>
          <w:tcPr>
            <w:tcW w:w="850" w:type="dxa"/>
            <w:tcMar>
              <w:left w:w="0" w:type="dxa"/>
              <w:right w:w="0" w:type="dxa"/>
            </w:tcMar>
            <w:vAlign w:val="center"/>
          </w:tcPr>
          <w:p w14:paraId="35453768">
            <w:pPr>
              <w:pStyle w:val="70"/>
              <w:rPr>
                <w:color w:val="000000" w:themeColor="text1"/>
                <w14:textFill>
                  <w14:solidFill>
                    <w14:schemeClr w14:val="tx1"/>
                  </w14:solidFill>
                </w14:textFill>
              </w:rPr>
            </w:pPr>
            <w:r>
              <w:rPr>
                <w:color w:val="000000" w:themeColor="text1"/>
                <w14:textFill>
                  <w14:solidFill>
                    <w14:schemeClr w14:val="tx1"/>
                  </w14:solidFill>
                </w14:textFill>
              </w:rPr>
              <w:t>100</w:t>
            </w:r>
          </w:p>
        </w:tc>
        <w:tc>
          <w:tcPr>
            <w:tcW w:w="851" w:type="dxa"/>
            <w:tcMar>
              <w:left w:w="0" w:type="dxa"/>
              <w:right w:w="0" w:type="dxa"/>
            </w:tcMar>
            <w:vAlign w:val="center"/>
          </w:tcPr>
          <w:p w14:paraId="06E7113E">
            <w:pPr>
              <w:pStyle w:val="70"/>
              <w:rPr>
                <w:color w:val="000000" w:themeColor="text1"/>
                <w14:textFill>
                  <w14:solidFill>
                    <w14:schemeClr w14:val="tx1"/>
                  </w14:solidFill>
                </w14:textFill>
              </w:rPr>
            </w:pPr>
            <w:r>
              <w:rPr>
                <w:color w:val="000000" w:themeColor="text1"/>
                <w14:textFill>
                  <w14:solidFill>
                    <w14:schemeClr w14:val="tx1"/>
                  </w14:solidFill>
                </w14:textFill>
              </w:rPr>
              <w:t>160</w:t>
            </w:r>
          </w:p>
        </w:tc>
        <w:tc>
          <w:tcPr>
            <w:tcW w:w="4068" w:type="dxa"/>
            <w:vMerge w:val="continue"/>
            <w:tcMar>
              <w:left w:w="0" w:type="dxa"/>
              <w:right w:w="0" w:type="dxa"/>
            </w:tcMar>
            <w:vAlign w:val="center"/>
          </w:tcPr>
          <w:p w14:paraId="3F184B4B">
            <w:pPr>
              <w:pStyle w:val="70"/>
              <w:rPr>
                <w:color w:val="000000" w:themeColor="text1"/>
                <w14:textFill>
                  <w14:solidFill>
                    <w14:schemeClr w14:val="tx1"/>
                  </w14:solidFill>
                </w14:textFill>
              </w:rPr>
            </w:pPr>
          </w:p>
        </w:tc>
      </w:tr>
      <w:tr w14:paraId="3F6D1F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restart"/>
            <w:tcMar>
              <w:left w:w="0" w:type="dxa"/>
              <w:right w:w="0" w:type="dxa"/>
            </w:tcMar>
            <w:vAlign w:val="center"/>
          </w:tcPr>
          <w:p w14:paraId="7A37F72C">
            <w:pPr>
              <w:pStyle w:val="70"/>
              <w:numPr>
                <w:ilvl w:val="0"/>
                <w:numId w:val="10"/>
              </w:numPr>
              <w:rPr>
                <w:color w:val="000000" w:themeColor="text1"/>
                <w14:textFill>
                  <w14:solidFill>
                    <w14:schemeClr w14:val="tx1"/>
                  </w14:solidFill>
                </w14:textFill>
              </w:rPr>
            </w:pPr>
          </w:p>
        </w:tc>
        <w:tc>
          <w:tcPr>
            <w:tcW w:w="1276" w:type="dxa"/>
            <w:vMerge w:val="restart"/>
            <w:tcMar>
              <w:left w:w="0" w:type="dxa"/>
              <w:right w:w="0" w:type="dxa"/>
            </w:tcMar>
            <w:vAlign w:val="center"/>
          </w:tcPr>
          <w:p w14:paraId="0B93A12D">
            <w:pPr>
              <w:pStyle w:val="70"/>
              <w:rPr>
                <w:color w:val="000000" w:themeColor="text1"/>
                <w14:textFill>
                  <w14:solidFill>
                    <w14:schemeClr w14:val="tx1"/>
                  </w14:solidFill>
                </w14:textFill>
              </w:rPr>
            </w:pPr>
            <w:r>
              <w:rPr>
                <w:color w:val="000000" w:themeColor="text1"/>
                <w14:textFill>
                  <w14:solidFill>
                    <w14:schemeClr w14:val="tx1"/>
                  </w14:solidFill>
                </w14:textFill>
              </w:rPr>
              <w:t>TSP</w:t>
            </w:r>
          </w:p>
        </w:tc>
        <w:tc>
          <w:tcPr>
            <w:tcW w:w="1418" w:type="dxa"/>
            <w:tcMar>
              <w:left w:w="0" w:type="dxa"/>
              <w:right w:w="0" w:type="dxa"/>
            </w:tcMar>
            <w:vAlign w:val="center"/>
          </w:tcPr>
          <w:p w14:paraId="6D24162C">
            <w:pPr>
              <w:pStyle w:val="70"/>
              <w:rPr>
                <w:color w:val="000000" w:themeColor="text1"/>
                <w14:textFill>
                  <w14:solidFill>
                    <w14:schemeClr w14:val="tx1"/>
                  </w14:solidFill>
                </w14:textFill>
              </w:rPr>
            </w:pPr>
            <w:r>
              <w:rPr>
                <w:color w:val="000000" w:themeColor="text1"/>
                <w14:textFill>
                  <w14:solidFill>
                    <w14:schemeClr w14:val="tx1"/>
                  </w14:solidFill>
                </w14:textFill>
              </w:rPr>
              <w:t>年平均</w:t>
            </w:r>
          </w:p>
        </w:tc>
        <w:tc>
          <w:tcPr>
            <w:tcW w:w="850" w:type="dxa"/>
            <w:tcMar>
              <w:left w:w="0" w:type="dxa"/>
              <w:right w:w="0" w:type="dxa"/>
            </w:tcMar>
            <w:vAlign w:val="center"/>
          </w:tcPr>
          <w:p w14:paraId="07FE16DC">
            <w:pPr>
              <w:pStyle w:val="70"/>
              <w:rPr>
                <w:color w:val="000000" w:themeColor="text1"/>
                <w14:textFill>
                  <w14:solidFill>
                    <w14:schemeClr w14:val="tx1"/>
                  </w14:solidFill>
                </w14:textFill>
              </w:rPr>
            </w:pPr>
            <w:r>
              <w:rPr>
                <w:color w:val="000000" w:themeColor="text1"/>
                <w14:textFill>
                  <w14:solidFill>
                    <w14:schemeClr w14:val="tx1"/>
                  </w14:solidFill>
                </w14:textFill>
              </w:rPr>
              <w:t>80</w:t>
            </w:r>
          </w:p>
        </w:tc>
        <w:tc>
          <w:tcPr>
            <w:tcW w:w="851" w:type="dxa"/>
            <w:tcMar>
              <w:left w:w="0" w:type="dxa"/>
              <w:right w:w="0" w:type="dxa"/>
            </w:tcMar>
            <w:vAlign w:val="center"/>
          </w:tcPr>
          <w:p w14:paraId="26ED1665">
            <w:pPr>
              <w:pStyle w:val="70"/>
              <w:rPr>
                <w:color w:val="000000" w:themeColor="text1"/>
                <w14:textFill>
                  <w14:solidFill>
                    <w14:schemeClr w14:val="tx1"/>
                  </w14:solidFill>
                </w14:textFill>
              </w:rPr>
            </w:pPr>
            <w:r>
              <w:rPr>
                <w:color w:val="000000" w:themeColor="text1"/>
                <w14:textFill>
                  <w14:solidFill>
                    <w14:schemeClr w14:val="tx1"/>
                  </w14:solidFill>
                </w14:textFill>
              </w:rPr>
              <w:t>200</w:t>
            </w:r>
          </w:p>
        </w:tc>
        <w:tc>
          <w:tcPr>
            <w:tcW w:w="4068" w:type="dxa"/>
            <w:vMerge w:val="continue"/>
            <w:tcMar>
              <w:left w:w="0" w:type="dxa"/>
              <w:right w:w="0" w:type="dxa"/>
            </w:tcMar>
            <w:vAlign w:val="center"/>
          </w:tcPr>
          <w:p w14:paraId="02BC8519">
            <w:pPr>
              <w:pStyle w:val="70"/>
              <w:rPr>
                <w:color w:val="000000" w:themeColor="text1"/>
                <w14:textFill>
                  <w14:solidFill>
                    <w14:schemeClr w14:val="tx1"/>
                  </w14:solidFill>
                </w14:textFill>
              </w:rPr>
            </w:pPr>
          </w:p>
        </w:tc>
      </w:tr>
      <w:tr w14:paraId="450169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Mar>
              <w:left w:w="0" w:type="dxa"/>
              <w:right w:w="0" w:type="dxa"/>
            </w:tcMar>
            <w:vAlign w:val="center"/>
          </w:tcPr>
          <w:p w14:paraId="5576507A">
            <w:pPr>
              <w:pStyle w:val="70"/>
              <w:numPr>
                <w:ilvl w:val="0"/>
                <w:numId w:val="10"/>
              </w:numPr>
              <w:rPr>
                <w:color w:val="000000" w:themeColor="text1"/>
                <w14:textFill>
                  <w14:solidFill>
                    <w14:schemeClr w14:val="tx1"/>
                  </w14:solidFill>
                </w14:textFill>
              </w:rPr>
            </w:pPr>
          </w:p>
        </w:tc>
        <w:tc>
          <w:tcPr>
            <w:tcW w:w="1276" w:type="dxa"/>
            <w:vMerge w:val="continue"/>
            <w:tcMar>
              <w:left w:w="0" w:type="dxa"/>
              <w:right w:w="0" w:type="dxa"/>
            </w:tcMar>
            <w:vAlign w:val="center"/>
          </w:tcPr>
          <w:p w14:paraId="40CE5A25">
            <w:pPr>
              <w:pStyle w:val="70"/>
              <w:rPr>
                <w:color w:val="000000" w:themeColor="text1"/>
                <w14:textFill>
                  <w14:solidFill>
                    <w14:schemeClr w14:val="tx1"/>
                  </w14:solidFill>
                </w14:textFill>
              </w:rPr>
            </w:pPr>
          </w:p>
        </w:tc>
        <w:tc>
          <w:tcPr>
            <w:tcW w:w="1418" w:type="dxa"/>
            <w:tcMar>
              <w:left w:w="0" w:type="dxa"/>
              <w:right w:w="0" w:type="dxa"/>
            </w:tcMar>
            <w:vAlign w:val="center"/>
          </w:tcPr>
          <w:p w14:paraId="62EC6049">
            <w:pPr>
              <w:pStyle w:val="70"/>
              <w:rPr>
                <w:color w:val="000000" w:themeColor="text1"/>
                <w14:textFill>
                  <w14:solidFill>
                    <w14:schemeClr w14:val="tx1"/>
                  </w14:solidFill>
                </w14:textFill>
              </w:rPr>
            </w:pPr>
            <w:r>
              <w:rPr>
                <w:color w:val="000000" w:themeColor="text1"/>
                <w14:textFill>
                  <w14:solidFill>
                    <w14:schemeClr w14:val="tx1"/>
                  </w14:solidFill>
                </w14:textFill>
              </w:rPr>
              <w:t>24小时平均</w:t>
            </w:r>
          </w:p>
        </w:tc>
        <w:tc>
          <w:tcPr>
            <w:tcW w:w="850" w:type="dxa"/>
            <w:tcMar>
              <w:left w:w="0" w:type="dxa"/>
              <w:right w:w="0" w:type="dxa"/>
            </w:tcMar>
            <w:vAlign w:val="center"/>
          </w:tcPr>
          <w:p w14:paraId="268ADAA2">
            <w:pPr>
              <w:pStyle w:val="70"/>
              <w:rPr>
                <w:color w:val="000000" w:themeColor="text1"/>
                <w14:textFill>
                  <w14:solidFill>
                    <w14:schemeClr w14:val="tx1"/>
                  </w14:solidFill>
                </w14:textFill>
              </w:rPr>
            </w:pPr>
            <w:r>
              <w:rPr>
                <w:color w:val="000000" w:themeColor="text1"/>
                <w14:textFill>
                  <w14:solidFill>
                    <w14:schemeClr w14:val="tx1"/>
                  </w14:solidFill>
                </w14:textFill>
              </w:rPr>
              <w:t>120</w:t>
            </w:r>
          </w:p>
        </w:tc>
        <w:tc>
          <w:tcPr>
            <w:tcW w:w="851" w:type="dxa"/>
            <w:tcMar>
              <w:left w:w="0" w:type="dxa"/>
              <w:right w:w="0" w:type="dxa"/>
            </w:tcMar>
            <w:vAlign w:val="center"/>
          </w:tcPr>
          <w:p w14:paraId="62B6123B">
            <w:pPr>
              <w:pStyle w:val="70"/>
              <w:rPr>
                <w:color w:val="000000" w:themeColor="text1"/>
                <w14:textFill>
                  <w14:solidFill>
                    <w14:schemeClr w14:val="tx1"/>
                  </w14:solidFill>
                </w14:textFill>
              </w:rPr>
            </w:pPr>
            <w:r>
              <w:rPr>
                <w:color w:val="000000" w:themeColor="text1"/>
                <w14:textFill>
                  <w14:solidFill>
                    <w14:schemeClr w14:val="tx1"/>
                  </w14:solidFill>
                </w14:textFill>
              </w:rPr>
              <w:t>300</w:t>
            </w:r>
          </w:p>
        </w:tc>
        <w:tc>
          <w:tcPr>
            <w:tcW w:w="4068" w:type="dxa"/>
            <w:vMerge w:val="continue"/>
            <w:tcMar>
              <w:left w:w="0" w:type="dxa"/>
              <w:right w:w="0" w:type="dxa"/>
            </w:tcMar>
            <w:vAlign w:val="center"/>
          </w:tcPr>
          <w:p w14:paraId="39BE04FC">
            <w:pPr>
              <w:pStyle w:val="70"/>
              <w:rPr>
                <w:color w:val="000000" w:themeColor="text1"/>
                <w14:textFill>
                  <w14:solidFill>
                    <w14:schemeClr w14:val="tx1"/>
                  </w14:solidFill>
                </w14:textFill>
              </w:rPr>
            </w:pPr>
          </w:p>
        </w:tc>
      </w:tr>
      <w:tr w14:paraId="648F65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tcMar>
              <w:left w:w="0" w:type="dxa"/>
              <w:right w:w="0" w:type="dxa"/>
            </w:tcMar>
            <w:vAlign w:val="center"/>
          </w:tcPr>
          <w:p w14:paraId="38B38591">
            <w:pPr>
              <w:pStyle w:val="70"/>
              <w:numPr>
                <w:ilvl w:val="0"/>
                <w:numId w:val="10"/>
              </w:numPr>
              <w:rPr>
                <w:color w:val="000000" w:themeColor="text1"/>
                <w14:textFill>
                  <w14:solidFill>
                    <w14:schemeClr w14:val="tx1"/>
                  </w14:solidFill>
                </w14:textFill>
              </w:rPr>
            </w:pPr>
          </w:p>
        </w:tc>
        <w:tc>
          <w:tcPr>
            <w:tcW w:w="1276" w:type="dxa"/>
            <w:shd w:val="clear" w:color="auto" w:fill="auto"/>
            <w:tcMar>
              <w:left w:w="0" w:type="dxa"/>
              <w:right w:w="0" w:type="dxa"/>
            </w:tcMar>
            <w:vAlign w:val="center"/>
          </w:tcPr>
          <w:p w14:paraId="4178FB3F">
            <w:pPr>
              <w:pStyle w:val="70"/>
              <w:rPr>
                <w:color w:val="000000" w:themeColor="text1"/>
                <w14:textFill>
                  <w14:solidFill>
                    <w14:schemeClr w14:val="tx1"/>
                  </w14:solidFill>
                </w14:textFill>
              </w:rPr>
            </w:pPr>
            <w:r>
              <w:rPr>
                <w:color w:val="000000" w:themeColor="text1"/>
                <w14:textFill>
                  <w14:solidFill>
                    <w14:schemeClr w14:val="tx1"/>
                  </w14:solidFill>
                </w14:textFill>
              </w:rPr>
              <w:t>苯乙烯</w:t>
            </w:r>
          </w:p>
        </w:tc>
        <w:tc>
          <w:tcPr>
            <w:tcW w:w="1418" w:type="dxa"/>
            <w:shd w:val="clear" w:color="auto" w:fill="auto"/>
            <w:tcMar>
              <w:left w:w="0" w:type="dxa"/>
              <w:right w:w="0" w:type="dxa"/>
            </w:tcMar>
            <w:vAlign w:val="center"/>
          </w:tcPr>
          <w:p w14:paraId="5C11750D">
            <w:pPr>
              <w:pStyle w:val="70"/>
              <w:rPr>
                <w:color w:val="000000" w:themeColor="text1"/>
                <w14:textFill>
                  <w14:solidFill>
                    <w14:schemeClr w14:val="tx1"/>
                  </w14:solidFill>
                </w14:textFill>
              </w:rPr>
            </w:pPr>
            <w:r>
              <w:rPr>
                <w:color w:val="000000" w:themeColor="text1"/>
                <w14:textFill>
                  <w14:solidFill>
                    <w14:schemeClr w14:val="tx1"/>
                  </w14:solidFill>
                </w14:textFill>
              </w:rPr>
              <w:t>1h平均</w:t>
            </w:r>
          </w:p>
        </w:tc>
        <w:tc>
          <w:tcPr>
            <w:tcW w:w="1701" w:type="dxa"/>
            <w:gridSpan w:val="2"/>
            <w:shd w:val="clear" w:color="auto" w:fill="auto"/>
            <w:tcMar>
              <w:left w:w="0" w:type="dxa"/>
              <w:right w:w="0" w:type="dxa"/>
            </w:tcMar>
            <w:vAlign w:val="center"/>
          </w:tcPr>
          <w:p w14:paraId="3344D077">
            <w:pPr>
              <w:pStyle w:val="70"/>
              <w:rPr>
                <w:color w:val="000000" w:themeColor="text1"/>
                <w14:textFill>
                  <w14:solidFill>
                    <w14:schemeClr w14:val="tx1"/>
                  </w14:solidFill>
                </w14:textFill>
              </w:rPr>
            </w:pPr>
            <w:r>
              <w:rPr>
                <w:color w:val="000000" w:themeColor="text1"/>
                <w14:textFill>
                  <w14:solidFill>
                    <w14:schemeClr w14:val="tx1"/>
                  </w14:solidFill>
                </w14:textFill>
              </w:rPr>
              <w:t>10</w:t>
            </w:r>
          </w:p>
        </w:tc>
        <w:tc>
          <w:tcPr>
            <w:tcW w:w="4068" w:type="dxa"/>
            <w:vMerge w:val="restart"/>
            <w:tcMar>
              <w:left w:w="0" w:type="dxa"/>
              <w:right w:w="0" w:type="dxa"/>
            </w:tcMar>
            <w:vAlign w:val="center"/>
          </w:tcPr>
          <w:p w14:paraId="166961F1">
            <w:pPr>
              <w:pStyle w:val="70"/>
              <w:rPr>
                <w:color w:val="000000" w:themeColor="text1"/>
                <w14:textFill>
                  <w14:solidFill>
                    <w14:schemeClr w14:val="tx1"/>
                  </w14:solidFill>
                </w14:textFill>
              </w:rPr>
            </w:pPr>
            <w:r>
              <w:rPr>
                <w:color w:val="000000" w:themeColor="text1"/>
                <w14:textFill>
                  <w14:solidFill>
                    <w14:schemeClr w14:val="tx1"/>
                  </w14:solidFill>
                </w14:textFill>
              </w:rPr>
              <w:t>参照《环境影响评价技术导则 大气环境》（HJ2.2-2018）中附录D</w:t>
            </w:r>
          </w:p>
        </w:tc>
      </w:tr>
      <w:tr w14:paraId="5DB172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tcMar>
              <w:left w:w="0" w:type="dxa"/>
              <w:right w:w="0" w:type="dxa"/>
            </w:tcMar>
            <w:vAlign w:val="center"/>
          </w:tcPr>
          <w:p w14:paraId="30372F20">
            <w:pPr>
              <w:pStyle w:val="70"/>
              <w:numPr>
                <w:ilvl w:val="0"/>
                <w:numId w:val="10"/>
              </w:numPr>
              <w:rPr>
                <w:color w:val="000000" w:themeColor="text1"/>
                <w14:textFill>
                  <w14:solidFill>
                    <w14:schemeClr w14:val="tx1"/>
                  </w14:solidFill>
                </w14:textFill>
              </w:rPr>
            </w:pPr>
          </w:p>
        </w:tc>
        <w:tc>
          <w:tcPr>
            <w:tcW w:w="1276" w:type="dxa"/>
            <w:tcMar>
              <w:left w:w="0" w:type="dxa"/>
              <w:right w:w="0" w:type="dxa"/>
            </w:tcMar>
            <w:vAlign w:val="center"/>
          </w:tcPr>
          <w:p w14:paraId="34D03070">
            <w:pPr>
              <w:pStyle w:val="70"/>
              <w:rPr>
                <w:color w:val="000000" w:themeColor="text1"/>
                <w14:textFill>
                  <w14:solidFill>
                    <w14:schemeClr w14:val="tx1"/>
                  </w14:solidFill>
                </w14:textFill>
              </w:rPr>
            </w:pPr>
            <w:r>
              <w:rPr>
                <w:color w:val="000000" w:themeColor="text1"/>
                <w14:textFill>
                  <w14:solidFill>
                    <w14:schemeClr w14:val="tx1"/>
                  </w14:solidFill>
                </w14:textFill>
              </w:rPr>
              <w:t>硫酸</w:t>
            </w:r>
          </w:p>
        </w:tc>
        <w:tc>
          <w:tcPr>
            <w:tcW w:w="1418" w:type="dxa"/>
            <w:tcMar>
              <w:left w:w="0" w:type="dxa"/>
              <w:right w:w="0" w:type="dxa"/>
            </w:tcMar>
            <w:vAlign w:val="center"/>
          </w:tcPr>
          <w:p w14:paraId="56F2890F">
            <w:pPr>
              <w:pStyle w:val="70"/>
              <w:rPr>
                <w:color w:val="000000" w:themeColor="text1"/>
                <w14:textFill>
                  <w14:solidFill>
                    <w14:schemeClr w14:val="tx1"/>
                  </w14:solidFill>
                </w14:textFill>
              </w:rPr>
            </w:pPr>
            <w:r>
              <w:rPr>
                <w:color w:val="000000" w:themeColor="text1"/>
                <w14:textFill>
                  <w14:solidFill>
                    <w14:schemeClr w14:val="tx1"/>
                  </w14:solidFill>
                </w14:textFill>
              </w:rPr>
              <w:t>1h平均</w:t>
            </w:r>
          </w:p>
        </w:tc>
        <w:tc>
          <w:tcPr>
            <w:tcW w:w="1701" w:type="dxa"/>
            <w:gridSpan w:val="2"/>
            <w:tcMar>
              <w:left w:w="0" w:type="dxa"/>
              <w:right w:w="0" w:type="dxa"/>
            </w:tcMar>
            <w:vAlign w:val="center"/>
          </w:tcPr>
          <w:p w14:paraId="39BF613A">
            <w:pPr>
              <w:pStyle w:val="70"/>
              <w:rPr>
                <w:color w:val="000000" w:themeColor="text1"/>
                <w14:textFill>
                  <w14:solidFill>
                    <w14:schemeClr w14:val="tx1"/>
                  </w14:solidFill>
                </w14:textFill>
              </w:rPr>
            </w:pPr>
            <w:r>
              <w:rPr>
                <w:color w:val="000000" w:themeColor="text1"/>
                <w14:textFill>
                  <w14:solidFill>
                    <w14:schemeClr w14:val="tx1"/>
                  </w14:solidFill>
                </w14:textFill>
              </w:rPr>
              <w:t>300</w:t>
            </w:r>
          </w:p>
        </w:tc>
        <w:tc>
          <w:tcPr>
            <w:tcW w:w="4068" w:type="dxa"/>
            <w:vMerge w:val="continue"/>
            <w:tcMar>
              <w:left w:w="0" w:type="dxa"/>
              <w:right w:w="0" w:type="dxa"/>
            </w:tcMar>
            <w:vAlign w:val="center"/>
          </w:tcPr>
          <w:p w14:paraId="41AE4374">
            <w:pPr>
              <w:pStyle w:val="70"/>
              <w:rPr>
                <w:color w:val="000000" w:themeColor="text1"/>
                <w14:textFill>
                  <w14:solidFill>
                    <w14:schemeClr w14:val="tx1"/>
                  </w14:solidFill>
                </w14:textFill>
              </w:rPr>
            </w:pPr>
          </w:p>
        </w:tc>
      </w:tr>
      <w:tr w14:paraId="28533F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tcMar>
              <w:left w:w="0" w:type="dxa"/>
              <w:right w:w="0" w:type="dxa"/>
            </w:tcMar>
            <w:vAlign w:val="center"/>
          </w:tcPr>
          <w:p w14:paraId="69032AB0">
            <w:pPr>
              <w:pStyle w:val="70"/>
              <w:numPr>
                <w:ilvl w:val="0"/>
                <w:numId w:val="10"/>
              </w:numPr>
              <w:rPr>
                <w:color w:val="000000" w:themeColor="text1"/>
                <w14:textFill>
                  <w14:solidFill>
                    <w14:schemeClr w14:val="tx1"/>
                  </w14:solidFill>
                </w14:textFill>
              </w:rPr>
            </w:pPr>
          </w:p>
        </w:tc>
        <w:tc>
          <w:tcPr>
            <w:tcW w:w="1276" w:type="dxa"/>
            <w:tcMar>
              <w:left w:w="0" w:type="dxa"/>
              <w:right w:w="0" w:type="dxa"/>
            </w:tcMar>
            <w:vAlign w:val="center"/>
          </w:tcPr>
          <w:p w14:paraId="272FA87C">
            <w:pPr>
              <w:pStyle w:val="70"/>
              <w:rPr>
                <w:color w:val="000000" w:themeColor="text1"/>
                <w14:textFill>
                  <w14:solidFill>
                    <w14:schemeClr w14:val="tx1"/>
                  </w14:solidFill>
                </w14:textFill>
              </w:rPr>
            </w:pPr>
            <w:r>
              <w:rPr>
                <w:color w:val="000000" w:themeColor="text1"/>
                <w14:textFill>
                  <w14:solidFill>
                    <w14:schemeClr w14:val="tx1"/>
                  </w14:solidFill>
                </w14:textFill>
              </w:rPr>
              <w:t>VOCs</w:t>
            </w:r>
          </w:p>
        </w:tc>
        <w:tc>
          <w:tcPr>
            <w:tcW w:w="1418" w:type="dxa"/>
            <w:tcMar>
              <w:left w:w="0" w:type="dxa"/>
              <w:right w:w="0" w:type="dxa"/>
            </w:tcMar>
            <w:vAlign w:val="center"/>
          </w:tcPr>
          <w:p w14:paraId="31DA823C">
            <w:pPr>
              <w:pStyle w:val="70"/>
              <w:rPr>
                <w:color w:val="000000" w:themeColor="text1"/>
                <w14:textFill>
                  <w14:solidFill>
                    <w14:schemeClr w14:val="tx1"/>
                  </w14:solidFill>
                </w14:textFill>
              </w:rPr>
            </w:pPr>
            <w:r>
              <w:rPr>
                <w:color w:val="000000" w:themeColor="text1"/>
                <w14:textFill>
                  <w14:solidFill>
                    <w14:schemeClr w14:val="tx1"/>
                  </w14:solidFill>
                </w14:textFill>
              </w:rPr>
              <w:t>8h平均</w:t>
            </w:r>
          </w:p>
        </w:tc>
        <w:tc>
          <w:tcPr>
            <w:tcW w:w="1701" w:type="dxa"/>
            <w:gridSpan w:val="2"/>
            <w:tcMar>
              <w:left w:w="0" w:type="dxa"/>
              <w:right w:w="0" w:type="dxa"/>
            </w:tcMar>
            <w:vAlign w:val="center"/>
          </w:tcPr>
          <w:p w14:paraId="20CC4585">
            <w:pPr>
              <w:pStyle w:val="70"/>
              <w:rPr>
                <w:color w:val="000000" w:themeColor="text1"/>
                <w14:textFill>
                  <w14:solidFill>
                    <w14:schemeClr w14:val="tx1"/>
                  </w14:solidFill>
                </w14:textFill>
              </w:rPr>
            </w:pPr>
            <w:r>
              <w:rPr>
                <w:color w:val="000000" w:themeColor="text1"/>
                <w14:textFill>
                  <w14:solidFill>
                    <w14:schemeClr w14:val="tx1"/>
                  </w14:solidFill>
                </w14:textFill>
              </w:rPr>
              <w:t>600</w:t>
            </w:r>
          </w:p>
        </w:tc>
        <w:tc>
          <w:tcPr>
            <w:tcW w:w="4068" w:type="dxa"/>
            <w:vMerge w:val="continue"/>
            <w:tcMar>
              <w:left w:w="0" w:type="dxa"/>
              <w:right w:w="0" w:type="dxa"/>
            </w:tcMar>
            <w:vAlign w:val="center"/>
          </w:tcPr>
          <w:p w14:paraId="6E81B43D">
            <w:pPr>
              <w:pStyle w:val="70"/>
              <w:rPr>
                <w:color w:val="000000" w:themeColor="text1"/>
                <w14:textFill>
                  <w14:solidFill>
                    <w14:schemeClr w14:val="tx1"/>
                  </w14:solidFill>
                </w14:textFill>
              </w:rPr>
            </w:pPr>
          </w:p>
        </w:tc>
      </w:tr>
      <w:tr w14:paraId="361F85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4" w:hRule="atLeast"/>
          <w:jc w:val="center"/>
        </w:trPr>
        <w:tc>
          <w:tcPr>
            <w:tcW w:w="562" w:type="dxa"/>
            <w:tcMar>
              <w:left w:w="0" w:type="dxa"/>
              <w:right w:w="0" w:type="dxa"/>
            </w:tcMar>
            <w:vAlign w:val="center"/>
          </w:tcPr>
          <w:p w14:paraId="5F44BEF4">
            <w:pPr>
              <w:pStyle w:val="70"/>
              <w:numPr>
                <w:ilvl w:val="0"/>
                <w:numId w:val="10"/>
              </w:numPr>
              <w:rPr>
                <w:color w:val="000000" w:themeColor="text1"/>
                <w14:textFill>
                  <w14:solidFill>
                    <w14:schemeClr w14:val="tx1"/>
                  </w14:solidFill>
                </w14:textFill>
              </w:rPr>
            </w:pPr>
          </w:p>
        </w:tc>
        <w:tc>
          <w:tcPr>
            <w:tcW w:w="1276" w:type="dxa"/>
            <w:tcMar>
              <w:left w:w="0" w:type="dxa"/>
              <w:right w:w="0" w:type="dxa"/>
            </w:tcMar>
            <w:vAlign w:val="center"/>
          </w:tcPr>
          <w:p w14:paraId="64B5390B">
            <w:pPr>
              <w:pStyle w:val="70"/>
              <w:rPr>
                <w:color w:val="000000" w:themeColor="text1"/>
                <w14:textFill>
                  <w14:solidFill>
                    <w14:schemeClr w14:val="tx1"/>
                  </w14:solidFill>
                </w14:textFill>
              </w:rPr>
            </w:pPr>
            <w:r>
              <w:rPr>
                <w:color w:val="000000" w:themeColor="text1"/>
                <w14:textFill>
                  <w14:solidFill>
                    <w14:schemeClr w14:val="tx1"/>
                  </w14:solidFill>
                </w14:textFill>
              </w:rPr>
              <w:t>非甲烷总烃</w:t>
            </w:r>
          </w:p>
        </w:tc>
        <w:tc>
          <w:tcPr>
            <w:tcW w:w="1418" w:type="dxa"/>
            <w:tcMar>
              <w:left w:w="0" w:type="dxa"/>
              <w:right w:w="0" w:type="dxa"/>
            </w:tcMar>
            <w:vAlign w:val="center"/>
          </w:tcPr>
          <w:p w14:paraId="5072513F">
            <w:pPr>
              <w:pStyle w:val="70"/>
              <w:rPr>
                <w:color w:val="000000" w:themeColor="text1"/>
                <w14:textFill>
                  <w14:solidFill>
                    <w14:schemeClr w14:val="tx1"/>
                  </w14:solidFill>
                </w14:textFill>
              </w:rPr>
            </w:pPr>
            <w:r>
              <w:rPr>
                <w:color w:val="000000" w:themeColor="text1"/>
                <w14:textFill>
                  <w14:solidFill>
                    <w14:schemeClr w14:val="tx1"/>
                  </w14:solidFill>
                </w14:textFill>
              </w:rPr>
              <w:t>1小时平均</w:t>
            </w:r>
          </w:p>
        </w:tc>
        <w:tc>
          <w:tcPr>
            <w:tcW w:w="1701" w:type="dxa"/>
            <w:gridSpan w:val="2"/>
            <w:tcMar>
              <w:left w:w="0" w:type="dxa"/>
              <w:right w:w="0" w:type="dxa"/>
            </w:tcMar>
            <w:vAlign w:val="center"/>
          </w:tcPr>
          <w:p w14:paraId="41D21C69">
            <w:pPr>
              <w:pStyle w:val="70"/>
              <w:rPr>
                <w:color w:val="000000" w:themeColor="text1"/>
                <w14:textFill>
                  <w14:solidFill>
                    <w14:schemeClr w14:val="tx1"/>
                  </w14:solidFill>
                </w14:textFill>
              </w:rPr>
            </w:pPr>
            <w:r>
              <w:rPr>
                <w:color w:val="000000" w:themeColor="text1"/>
                <w14:textFill>
                  <w14:solidFill>
                    <w14:schemeClr w14:val="tx1"/>
                  </w14:solidFill>
                </w14:textFill>
              </w:rPr>
              <w:t>2000</w:t>
            </w:r>
          </w:p>
        </w:tc>
        <w:tc>
          <w:tcPr>
            <w:tcW w:w="4068" w:type="dxa"/>
            <w:tcMar>
              <w:left w:w="0" w:type="dxa"/>
              <w:right w:w="0" w:type="dxa"/>
            </w:tcMar>
            <w:vAlign w:val="center"/>
          </w:tcPr>
          <w:p w14:paraId="24FD2147">
            <w:pPr>
              <w:pStyle w:val="70"/>
              <w:rPr>
                <w:color w:val="000000" w:themeColor="text1"/>
                <w14:textFill>
                  <w14:solidFill>
                    <w14:schemeClr w14:val="tx1"/>
                  </w14:solidFill>
                </w14:textFill>
              </w:rPr>
            </w:pPr>
            <w:r>
              <w:rPr>
                <w:color w:val="000000" w:themeColor="text1"/>
                <w14:textFill>
                  <w14:solidFill>
                    <w14:schemeClr w14:val="tx1"/>
                  </w14:solidFill>
                </w14:textFill>
              </w:rPr>
              <w:t>《大气污染物综合排放标准详解》关于非甲烷总烃环境空气质量推荐值</w:t>
            </w:r>
          </w:p>
        </w:tc>
      </w:tr>
    </w:tbl>
    <w:p w14:paraId="01E56F2D">
      <w:pPr>
        <w:pStyle w:val="6"/>
        <w:rPr>
          <w:color w:val="000000" w:themeColor="text1"/>
          <w14:textFill>
            <w14:solidFill>
              <w14:schemeClr w14:val="tx1"/>
            </w14:solidFill>
          </w14:textFill>
        </w:rPr>
      </w:pPr>
      <w:r>
        <w:rPr>
          <w:color w:val="000000" w:themeColor="text1"/>
          <w14:textFill>
            <w14:solidFill>
              <w14:schemeClr w14:val="tx1"/>
            </w14:solidFill>
          </w14:textFill>
        </w:rPr>
        <w:t>地下水环境质量标准</w:t>
      </w:r>
    </w:p>
    <w:p w14:paraId="04650611">
      <w:pPr>
        <w:ind w:firstLine="480"/>
        <w:rPr>
          <w:color w:val="000000" w:themeColor="text1"/>
          <w14:textFill>
            <w14:solidFill>
              <w14:schemeClr w14:val="tx1"/>
            </w14:solidFill>
          </w14:textFill>
        </w:rPr>
      </w:pPr>
      <w:r>
        <w:rPr>
          <w:color w:val="000000" w:themeColor="text1"/>
          <w14:textFill>
            <w14:solidFill>
              <w14:schemeClr w14:val="tx1"/>
            </w14:solidFill>
          </w14:textFill>
        </w:rPr>
        <w:t>地下水执行《地下水质量标准》（GB/T14848-2017）Ⅲ类标准，具体见表1.4-2。</w:t>
      </w:r>
    </w:p>
    <w:p w14:paraId="422A1B44">
      <w:pPr>
        <w:pStyle w:val="7"/>
        <w:rPr>
          <w:color w:val="000000" w:themeColor="text1"/>
          <w14:textFill>
            <w14:solidFill>
              <w14:schemeClr w14:val="tx1"/>
            </w14:solidFill>
          </w14:textFill>
        </w:rPr>
      </w:pPr>
      <w:r>
        <w:rPr>
          <w:color w:val="000000" w:themeColor="text1"/>
          <w14:textFill>
            <w14:solidFill>
              <w14:schemeClr w14:val="tx1"/>
            </w14:solidFill>
          </w14:textFill>
        </w:rPr>
        <w:t>地下水质量标准   单位：mg/L</w:t>
      </w:r>
    </w:p>
    <w:tbl>
      <w:tblPr>
        <w:tblStyle w:val="43"/>
        <w:tblW w:w="906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916"/>
        <w:gridCol w:w="5167"/>
        <w:gridCol w:w="1979"/>
      </w:tblGrid>
      <w:tr w14:paraId="27AB06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916" w:type="dxa"/>
            <w:vAlign w:val="center"/>
          </w:tcPr>
          <w:p w14:paraId="62338281">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序号</w:t>
            </w:r>
          </w:p>
        </w:tc>
        <w:tc>
          <w:tcPr>
            <w:tcW w:w="5167" w:type="dxa"/>
            <w:vAlign w:val="center"/>
          </w:tcPr>
          <w:p w14:paraId="6000CD00">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项目</w:t>
            </w:r>
          </w:p>
        </w:tc>
        <w:tc>
          <w:tcPr>
            <w:tcW w:w="1979" w:type="dxa"/>
            <w:vAlign w:val="center"/>
          </w:tcPr>
          <w:p w14:paraId="50CE171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III类</w:t>
            </w:r>
          </w:p>
        </w:tc>
      </w:tr>
      <w:tr w14:paraId="6A7B8C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24A98E73">
            <w:pPr>
              <w:pStyle w:val="70"/>
              <w:numPr>
                <w:ilvl w:val="0"/>
                <w:numId w:val="11"/>
              </w:numPr>
              <w:rPr>
                <w:color w:val="000000" w:themeColor="text1"/>
                <w14:textFill>
                  <w14:solidFill>
                    <w14:schemeClr w14:val="tx1"/>
                  </w14:solidFill>
                </w14:textFill>
              </w:rPr>
            </w:pPr>
          </w:p>
        </w:tc>
        <w:tc>
          <w:tcPr>
            <w:tcW w:w="5167" w:type="dxa"/>
            <w:vAlign w:val="center"/>
          </w:tcPr>
          <w:p w14:paraId="686C84CE">
            <w:pPr>
              <w:pStyle w:val="70"/>
              <w:rPr>
                <w:color w:val="000000" w:themeColor="text1"/>
                <w14:textFill>
                  <w14:solidFill>
                    <w14:schemeClr w14:val="tx1"/>
                  </w14:solidFill>
                </w14:textFill>
              </w:rPr>
            </w:pPr>
            <w:r>
              <w:rPr>
                <w:color w:val="000000" w:themeColor="text1"/>
                <w14:textFill>
                  <w14:solidFill>
                    <w14:schemeClr w14:val="tx1"/>
                  </w14:solidFill>
                </w14:textFill>
              </w:rPr>
              <w:t>pH 值</w:t>
            </w:r>
          </w:p>
        </w:tc>
        <w:tc>
          <w:tcPr>
            <w:tcW w:w="1979" w:type="dxa"/>
            <w:vAlign w:val="center"/>
          </w:tcPr>
          <w:p w14:paraId="3791A0A3">
            <w:pPr>
              <w:pStyle w:val="70"/>
              <w:rPr>
                <w:color w:val="000000" w:themeColor="text1"/>
                <w14:textFill>
                  <w14:solidFill>
                    <w14:schemeClr w14:val="tx1"/>
                  </w14:solidFill>
                </w14:textFill>
              </w:rPr>
            </w:pPr>
            <w:r>
              <w:rPr>
                <w:color w:val="000000" w:themeColor="text1"/>
                <w14:textFill>
                  <w14:solidFill>
                    <w14:schemeClr w14:val="tx1"/>
                  </w14:solidFill>
                </w14:textFill>
              </w:rPr>
              <w:t>6.5≤pH≤8.5</w:t>
            </w:r>
          </w:p>
        </w:tc>
      </w:tr>
      <w:tr w14:paraId="55A8E4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392AB8C8">
            <w:pPr>
              <w:pStyle w:val="70"/>
              <w:numPr>
                <w:ilvl w:val="0"/>
                <w:numId w:val="11"/>
              </w:numPr>
              <w:rPr>
                <w:color w:val="000000" w:themeColor="text1"/>
                <w14:textFill>
                  <w14:solidFill>
                    <w14:schemeClr w14:val="tx1"/>
                  </w14:solidFill>
                </w14:textFill>
              </w:rPr>
            </w:pPr>
          </w:p>
        </w:tc>
        <w:tc>
          <w:tcPr>
            <w:tcW w:w="5167" w:type="dxa"/>
            <w:vAlign w:val="center"/>
          </w:tcPr>
          <w:p w14:paraId="05B883AC">
            <w:pPr>
              <w:pStyle w:val="70"/>
              <w:rPr>
                <w:color w:val="000000" w:themeColor="text1"/>
                <w14:textFill>
                  <w14:solidFill>
                    <w14:schemeClr w14:val="tx1"/>
                  </w14:solidFill>
                </w14:textFill>
              </w:rPr>
            </w:pPr>
            <w:r>
              <w:rPr>
                <w:color w:val="000000" w:themeColor="text1"/>
                <w14:textFill>
                  <w14:solidFill>
                    <w14:schemeClr w14:val="tx1"/>
                  </w14:solidFill>
                </w14:textFill>
              </w:rPr>
              <w:t>硫酸盐</w:t>
            </w:r>
          </w:p>
        </w:tc>
        <w:tc>
          <w:tcPr>
            <w:tcW w:w="1979" w:type="dxa"/>
            <w:vAlign w:val="center"/>
          </w:tcPr>
          <w:p w14:paraId="274C179C">
            <w:pPr>
              <w:pStyle w:val="70"/>
              <w:rPr>
                <w:color w:val="000000" w:themeColor="text1"/>
                <w14:textFill>
                  <w14:solidFill>
                    <w14:schemeClr w14:val="tx1"/>
                  </w14:solidFill>
                </w14:textFill>
              </w:rPr>
            </w:pPr>
            <w:r>
              <w:rPr>
                <w:color w:val="000000" w:themeColor="text1"/>
                <w14:textFill>
                  <w14:solidFill>
                    <w14:schemeClr w14:val="tx1"/>
                  </w14:solidFill>
                </w14:textFill>
              </w:rPr>
              <w:t>≤250</w:t>
            </w:r>
          </w:p>
        </w:tc>
      </w:tr>
      <w:tr w14:paraId="59C30C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34407335">
            <w:pPr>
              <w:pStyle w:val="70"/>
              <w:numPr>
                <w:ilvl w:val="0"/>
                <w:numId w:val="11"/>
              </w:numPr>
              <w:rPr>
                <w:color w:val="000000" w:themeColor="text1"/>
                <w14:textFill>
                  <w14:solidFill>
                    <w14:schemeClr w14:val="tx1"/>
                  </w14:solidFill>
                </w14:textFill>
              </w:rPr>
            </w:pPr>
          </w:p>
        </w:tc>
        <w:tc>
          <w:tcPr>
            <w:tcW w:w="5167" w:type="dxa"/>
            <w:vAlign w:val="center"/>
          </w:tcPr>
          <w:p w14:paraId="31471570">
            <w:pPr>
              <w:pStyle w:val="70"/>
              <w:rPr>
                <w:color w:val="000000" w:themeColor="text1"/>
                <w14:textFill>
                  <w14:solidFill>
                    <w14:schemeClr w14:val="tx1"/>
                  </w14:solidFill>
                </w14:textFill>
              </w:rPr>
            </w:pPr>
            <w:r>
              <w:rPr>
                <w:color w:val="000000" w:themeColor="text1"/>
                <w14:textFill>
                  <w14:solidFill>
                    <w14:schemeClr w14:val="tx1"/>
                  </w14:solidFill>
                </w14:textFill>
              </w:rPr>
              <w:t>氯化物</w:t>
            </w:r>
          </w:p>
        </w:tc>
        <w:tc>
          <w:tcPr>
            <w:tcW w:w="1979" w:type="dxa"/>
            <w:vAlign w:val="center"/>
          </w:tcPr>
          <w:p w14:paraId="6B0BA25B">
            <w:pPr>
              <w:pStyle w:val="70"/>
              <w:rPr>
                <w:color w:val="000000" w:themeColor="text1"/>
                <w14:textFill>
                  <w14:solidFill>
                    <w14:schemeClr w14:val="tx1"/>
                  </w14:solidFill>
                </w14:textFill>
              </w:rPr>
            </w:pPr>
            <w:r>
              <w:rPr>
                <w:color w:val="000000" w:themeColor="text1"/>
                <w14:textFill>
                  <w14:solidFill>
                    <w14:schemeClr w14:val="tx1"/>
                  </w14:solidFill>
                </w14:textFill>
              </w:rPr>
              <w:t>≤250</w:t>
            </w:r>
          </w:p>
        </w:tc>
      </w:tr>
      <w:tr w14:paraId="73E4C7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6716D950">
            <w:pPr>
              <w:pStyle w:val="70"/>
              <w:numPr>
                <w:ilvl w:val="0"/>
                <w:numId w:val="11"/>
              </w:numPr>
              <w:rPr>
                <w:color w:val="000000" w:themeColor="text1"/>
                <w14:textFill>
                  <w14:solidFill>
                    <w14:schemeClr w14:val="tx1"/>
                  </w14:solidFill>
                </w14:textFill>
              </w:rPr>
            </w:pPr>
          </w:p>
        </w:tc>
        <w:tc>
          <w:tcPr>
            <w:tcW w:w="5167" w:type="dxa"/>
            <w:vAlign w:val="center"/>
          </w:tcPr>
          <w:p w14:paraId="53996BC6">
            <w:pPr>
              <w:pStyle w:val="70"/>
              <w:rPr>
                <w:color w:val="000000" w:themeColor="text1"/>
                <w14:textFill>
                  <w14:solidFill>
                    <w14:schemeClr w14:val="tx1"/>
                  </w14:solidFill>
                </w14:textFill>
              </w:rPr>
            </w:pPr>
            <w:r>
              <w:rPr>
                <w:color w:val="000000" w:themeColor="text1"/>
                <w14:textFill>
                  <w14:solidFill>
                    <w14:schemeClr w14:val="tx1"/>
                  </w14:solidFill>
                </w14:textFill>
              </w:rPr>
              <w:t>氨氮（以 N 计）</w:t>
            </w:r>
          </w:p>
        </w:tc>
        <w:tc>
          <w:tcPr>
            <w:tcW w:w="1979" w:type="dxa"/>
            <w:vAlign w:val="center"/>
          </w:tcPr>
          <w:p w14:paraId="7D021510">
            <w:pPr>
              <w:pStyle w:val="70"/>
              <w:rPr>
                <w:color w:val="000000" w:themeColor="text1"/>
                <w14:textFill>
                  <w14:solidFill>
                    <w14:schemeClr w14:val="tx1"/>
                  </w14:solidFill>
                </w14:textFill>
              </w:rPr>
            </w:pPr>
            <w:r>
              <w:rPr>
                <w:color w:val="000000" w:themeColor="text1"/>
                <w14:textFill>
                  <w14:solidFill>
                    <w14:schemeClr w14:val="tx1"/>
                  </w14:solidFill>
                </w14:textFill>
              </w:rPr>
              <w:t>≤0.5</w:t>
            </w:r>
          </w:p>
        </w:tc>
      </w:tr>
      <w:tr w14:paraId="5219FF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22C49A7D">
            <w:pPr>
              <w:pStyle w:val="70"/>
              <w:numPr>
                <w:ilvl w:val="0"/>
                <w:numId w:val="11"/>
              </w:numPr>
              <w:rPr>
                <w:color w:val="000000" w:themeColor="text1"/>
                <w14:textFill>
                  <w14:solidFill>
                    <w14:schemeClr w14:val="tx1"/>
                  </w14:solidFill>
                </w14:textFill>
              </w:rPr>
            </w:pPr>
          </w:p>
        </w:tc>
        <w:tc>
          <w:tcPr>
            <w:tcW w:w="5167" w:type="dxa"/>
            <w:vAlign w:val="center"/>
          </w:tcPr>
          <w:p w14:paraId="1BC078E8">
            <w:pPr>
              <w:pStyle w:val="70"/>
              <w:rPr>
                <w:color w:val="000000" w:themeColor="text1"/>
                <w14:textFill>
                  <w14:solidFill>
                    <w14:schemeClr w14:val="tx1"/>
                  </w14:solidFill>
                </w14:textFill>
              </w:rPr>
            </w:pPr>
            <w:r>
              <w:rPr>
                <w:color w:val="000000" w:themeColor="text1"/>
                <w14:textFill>
                  <w14:solidFill>
                    <w14:schemeClr w14:val="tx1"/>
                  </w14:solidFill>
                </w14:textFill>
              </w:rPr>
              <w:t>硝酸盐（以 N 计）</w:t>
            </w:r>
          </w:p>
        </w:tc>
        <w:tc>
          <w:tcPr>
            <w:tcW w:w="1979" w:type="dxa"/>
            <w:vAlign w:val="center"/>
          </w:tcPr>
          <w:p w14:paraId="6F9D3243">
            <w:pPr>
              <w:pStyle w:val="70"/>
              <w:rPr>
                <w:color w:val="000000" w:themeColor="text1"/>
                <w14:textFill>
                  <w14:solidFill>
                    <w14:schemeClr w14:val="tx1"/>
                  </w14:solidFill>
                </w14:textFill>
              </w:rPr>
            </w:pPr>
            <w:r>
              <w:rPr>
                <w:color w:val="000000" w:themeColor="text1"/>
                <w14:textFill>
                  <w14:solidFill>
                    <w14:schemeClr w14:val="tx1"/>
                  </w14:solidFill>
                </w14:textFill>
              </w:rPr>
              <w:t>≤20</w:t>
            </w:r>
          </w:p>
        </w:tc>
      </w:tr>
      <w:tr w14:paraId="04BE84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5BFF8C27">
            <w:pPr>
              <w:pStyle w:val="70"/>
              <w:numPr>
                <w:ilvl w:val="0"/>
                <w:numId w:val="11"/>
              </w:numPr>
              <w:rPr>
                <w:color w:val="000000" w:themeColor="text1"/>
                <w14:textFill>
                  <w14:solidFill>
                    <w14:schemeClr w14:val="tx1"/>
                  </w14:solidFill>
                </w14:textFill>
              </w:rPr>
            </w:pPr>
          </w:p>
        </w:tc>
        <w:tc>
          <w:tcPr>
            <w:tcW w:w="5167" w:type="dxa"/>
            <w:vAlign w:val="center"/>
          </w:tcPr>
          <w:p w14:paraId="08BA2C9B">
            <w:pPr>
              <w:pStyle w:val="70"/>
              <w:rPr>
                <w:color w:val="000000" w:themeColor="text1"/>
                <w14:textFill>
                  <w14:solidFill>
                    <w14:schemeClr w14:val="tx1"/>
                  </w14:solidFill>
                </w14:textFill>
              </w:rPr>
            </w:pPr>
            <w:r>
              <w:rPr>
                <w:color w:val="000000" w:themeColor="text1"/>
                <w14:textFill>
                  <w14:solidFill>
                    <w14:schemeClr w14:val="tx1"/>
                  </w14:solidFill>
                </w14:textFill>
              </w:rPr>
              <w:t>亚硝酸盐（以 N 计）</w:t>
            </w:r>
          </w:p>
        </w:tc>
        <w:tc>
          <w:tcPr>
            <w:tcW w:w="1979" w:type="dxa"/>
            <w:vAlign w:val="center"/>
          </w:tcPr>
          <w:p w14:paraId="186E017F">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r>
      <w:tr w14:paraId="577CB3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3F84D7E6">
            <w:pPr>
              <w:pStyle w:val="70"/>
              <w:numPr>
                <w:ilvl w:val="0"/>
                <w:numId w:val="11"/>
              </w:numPr>
              <w:rPr>
                <w:color w:val="000000" w:themeColor="text1"/>
                <w14:textFill>
                  <w14:solidFill>
                    <w14:schemeClr w14:val="tx1"/>
                  </w14:solidFill>
                </w14:textFill>
              </w:rPr>
            </w:pPr>
          </w:p>
        </w:tc>
        <w:tc>
          <w:tcPr>
            <w:tcW w:w="5167" w:type="dxa"/>
            <w:vAlign w:val="center"/>
          </w:tcPr>
          <w:p w14:paraId="3A7CAD52">
            <w:pPr>
              <w:pStyle w:val="70"/>
              <w:rPr>
                <w:color w:val="000000" w:themeColor="text1"/>
                <w14:textFill>
                  <w14:solidFill>
                    <w14:schemeClr w14:val="tx1"/>
                  </w14:solidFill>
                </w14:textFill>
              </w:rPr>
            </w:pPr>
            <w:r>
              <w:rPr>
                <w:color w:val="000000" w:themeColor="text1"/>
                <w14:textFill>
                  <w14:solidFill>
                    <w14:schemeClr w14:val="tx1"/>
                  </w14:solidFill>
                </w14:textFill>
              </w:rPr>
              <w:t>挥发酚（以苯酚计）</w:t>
            </w:r>
          </w:p>
        </w:tc>
        <w:tc>
          <w:tcPr>
            <w:tcW w:w="1979" w:type="dxa"/>
            <w:vAlign w:val="center"/>
          </w:tcPr>
          <w:p w14:paraId="3244ECFB">
            <w:pPr>
              <w:pStyle w:val="70"/>
              <w:rPr>
                <w:color w:val="000000" w:themeColor="text1"/>
                <w14:textFill>
                  <w14:solidFill>
                    <w14:schemeClr w14:val="tx1"/>
                  </w14:solidFill>
                </w14:textFill>
              </w:rPr>
            </w:pPr>
            <w:r>
              <w:rPr>
                <w:color w:val="000000" w:themeColor="text1"/>
                <w14:textFill>
                  <w14:solidFill>
                    <w14:schemeClr w14:val="tx1"/>
                  </w14:solidFill>
                </w14:textFill>
              </w:rPr>
              <w:t>≤0.002</w:t>
            </w:r>
          </w:p>
        </w:tc>
      </w:tr>
      <w:tr w14:paraId="0790C3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20FB41FD">
            <w:pPr>
              <w:pStyle w:val="70"/>
              <w:numPr>
                <w:ilvl w:val="0"/>
                <w:numId w:val="11"/>
              </w:numPr>
              <w:rPr>
                <w:color w:val="000000" w:themeColor="text1"/>
                <w14:textFill>
                  <w14:solidFill>
                    <w14:schemeClr w14:val="tx1"/>
                  </w14:solidFill>
                </w14:textFill>
              </w:rPr>
            </w:pPr>
          </w:p>
        </w:tc>
        <w:tc>
          <w:tcPr>
            <w:tcW w:w="5167" w:type="dxa"/>
            <w:vAlign w:val="center"/>
          </w:tcPr>
          <w:p w14:paraId="1CAFC5E7">
            <w:pPr>
              <w:pStyle w:val="70"/>
              <w:rPr>
                <w:color w:val="000000" w:themeColor="text1"/>
                <w14:textFill>
                  <w14:solidFill>
                    <w14:schemeClr w14:val="tx1"/>
                  </w14:solidFill>
                </w14:textFill>
              </w:rPr>
            </w:pPr>
            <w:r>
              <w:rPr>
                <w:color w:val="000000" w:themeColor="text1"/>
                <w14:textFill>
                  <w14:solidFill>
                    <w14:schemeClr w14:val="tx1"/>
                  </w14:solidFill>
                </w14:textFill>
              </w:rPr>
              <w:t>溶解性总固体</w:t>
            </w:r>
          </w:p>
        </w:tc>
        <w:tc>
          <w:tcPr>
            <w:tcW w:w="1979" w:type="dxa"/>
            <w:vAlign w:val="center"/>
          </w:tcPr>
          <w:p w14:paraId="65EAE757">
            <w:pPr>
              <w:pStyle w:val="70"/>
              <w:rPr>
                <w:color w:val="000000" w:themeColor="text1"/>
                <w14:textFill>
                  <w14:solidFill>
                    <w14:schemeClr w14:val="tx1"/>
                  </w14:solidFill>
                </w14:textFill>
              </w:rPr>
            </w:pPr>
            <w:r>
              <w:rPr>
                <w:color w:val="000000" w:themeColor="text1"/>
                <w14:textFill>
                  <w14:solidFill>
                    <w14:schemeClr w14:val="tx1"/>
                  </w14:solidFill>
                </w14:textFill>
              </w:rPr>
              <w:t>≤1000</w:t>
            </w:r>
          </w:p>
        </w:tc>
      </w:tr>
      <w:tr w14:paraId="163D91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588DBE9F">
            <w:pPr>
              <w:pStyle w:val="70"/>
              <w:numPr>
                <w:ilvl w:val="0"/>
                <w:numId w:val="11"/>
              </w:numPr>
              <w:rPr>
                <w:color w:val="000000" w:themeColor="text1"/>
                <w14:textFill>
                  <w14:solidFill>
                    <w14:schemeClr w14:val="tx1"/>
                  </w14:solidFill>
                </w14:textFill>
              </w:rPr>
            </w:pPr>
          </w:p>
        </w:tc>
        <w:tc>
          <w:tcPr>
            <w:tcW w:w="5167" w:type="dxa"/>
            <w:vAlign w:val="center"/>
          </w:tcPr>
          <w:p w14:paraId="3233C297">
            <w:pPr>
              <w:pStyle w:val="70"/>
              <w:rPr>
                <w:color w:val="000000" w:themeColor="text1"/>
                <w14:textFill>
                  <w14:solidFill>
                    <w14:schemeClr w14:val="tx1"/>
                  </w14:solidFill>
                </w14:textFill>
              </w:rPr>
            </w:pPr>
            <w:r>
              <w:rPr>
                <w:color w:val="000000" w:themeColor="text1"/>
                <w14:textFill>
                  <w14:solidFill>
                    <w14:schemeClr w14:val="tx1"/>
                  </w14:solidFill>
                </w14:textFill>
              </w:rPr>
              <w:t>耗氧量（以 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 xml:space="preserve"> 计）</w:t>
            </w:r>
          </w:p>
        </w:tc>
        <w:tc>
          <w:tcPr>
            <w:tcW w:w="1979" w:type="dxa"/>
            <w:vAlign w:val="center"/>
          </w:tcPr>
          <w:p w14:paraId="7A016E6F">
            <w:pPr>
              <w:pStyle w:val="70"/>
              <w:rPr>
                <w:color w:val="000000" w:themeColor="text1"/>
                <w14:textFill>
                  <w14:solidFill>
                    <w14:schemeClr w14:val="tx1"/>
                  </w14:solidFill>
                </w14:textFill>
              </w:rPr>
            </w:pPr>
            <w:r>
              <w:rPr>
                <w:color w:val="000000" w:themeColor="text1"/>
                <w14:textFill>
                  <w14:solidFill>
                    <w14:schemeClr w14:val="tx1"/>
                  </w14:solidFill>
                </w14:textFill>
              </w:rPr>
              <w:t>≤3</w:t>
            </w:r>
          </w:p>
        </w:tc>
      </w:tr>
      <w:tr w14:paraId="74AF3C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063F4FE8">
            <w:pPr>
              <w:pStyle w:val="70"/>
              <w:numPr>
                <w:ilvl w:val="0"/>
                <w:numId w:val="11"/>
              </w:numPr>
              <w:rPr>
                <w:color w:val="000000" w:themeColor="text1"/>
                <w14:textFill>
                  <w14:solidFill>
                    <w14:schemeClr w14:val="tx1"/>
                  </w14:solidFill>
                </w14:textFill>
              </w:rPr>
            </w:pPr>
          </w:p>
        </w:tc>
        <w:tc>
          <w:tcPr>
            <w:tcW w:w="5167" w:type="dxa"/>
            <w:vAlign w:val="center"/>
          </w:tcPr>
          <w:p w14:paraId="12D0D1CF">
            <w:pPr>
              <w:pStyle w:val="70"/>
              <w:rPr>
                <w:color w:val="000000" w:themeColor="text1"/>
                <w14:textFill>
                  <w14:solidFill>
                    <w14:schemeClr w14:val="tx1"/>
                  </w14:solidFill>
                </w14:textFill>
              </w:rPr>
            </w:pPr>
            <w:r>
              <w:rPr>
                <w:color w:val="000000" w:themeColor="text1"/>
                <w14:textFill>
                  <w14:solidFill>
                    <w14:schemeClr w14:val="tx1"/>
                  </w14:solidFill>
                </w14:textFill>
              </w:rPr>
              <w:t>总硬度（以 CaCO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 xml:space="preserve"> 计）</w:t>
            </w:r>
          </w:p>
        </w:tc>
        <w:tc>
          <w:tcPr>
            <w:tcW w:w="1979" w:type="dxa"/>
            <w:vAlign w:val="center"/>
          </w:tcPr>
          <w:p w14:paraId="15B53312">
            <w:pPr>
              <w:pStyle w:val="70"/>
              <w:rPr>
                <w:color w:val="000000" w:themeColor="text1"/>
                <w14:textFill>
                  <w14:solidFill>
                    <w14:schemeClr w14:val="tx1"/>
                  </w14:solidFill>
                </w14:textFill>
              </w:rPr>
            </w:pPr>
            <w:r>
              <w:rPr>
                <w:color w:val="000000" w:themeColor="text1"/>
                <w14:textFill>
                  <w14:solidFill>
                    <w14:schemeClr w14:val="tx1"/>
                  </w14:solidFill>
                </w14:textFill>
              </w:rPr>
              <w:t>≤450</w:t>
            </w:r>
          </w:p>
        </w:tc>
      </w:tr>
      <w:tr w14:paraId="19CD99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58DBA188">
            <w:pPr>
              <w:pStyle w:val="70"/>
              <w:numPr>
                <w:ilvl w:val="0"/>
                <w:numId w:val="11"/>
              </w:numPr>
              <w:rPr>
                <w:color w:val="000000" w:themeColor="text1"/>
                <w14:textFill>
                  <w14:solidFill>
                    <w14:schemeClr w14:val="tx1"/>
                  </w14:solidFill>
                </w14:textFill>
              </w:rPr>
            </w:pPr>
          </w:p>
        </w:tc>
        <w:tc>
          <w:tcPr>
            <w:tcW w:w="5167" w:type="dxa"/>
            <w:vAlign w:val="center"/>
          </w:tcPr>
          <w:p w14:paraId="1E108E97">
            <w:pPr>
              <w:pStyle w:val="70"/>
              <w:rPr>
                <w:color w:val="000000" w:themeColor="text1"/>
                <w14:textFill>
                  <w14:solidFill>
                    <w14:schemeClr w14:val="tx1"/>
                  </w14:solidFill>
                </w14:textFill>
              </w:rPr>
            </w:pPr>
            <w:r>
              <w:rPr>
                <w:color w:val="000000" w:themeColor="text1"/>
                <w14:textFill>
                  <w14:solidFill>
                    <w14:schemeClr w14:val="tx1"/>
                  </w14:solidFill>
                </w14:textFill>
              </w:rPr>
              <w:t>阴离子表面活性剂</w:t>
            </w:r>
          </w:p>
        </w:tc>
        <w:tc>
          <w:tcPr>
            <w:tcW w:w="1979" w:type="dxa"/>
            <w:vAlign w:val="center"/>
          </w:tcPr>
          <w:p w14:paraId="791089CA">
            <w:pPr>
              <w:pStyle w:val="70"/>
              <w:rPr>
                <w:color w:val="000000" w:themeColor="text1"/>
                <w14:textFill>
                  <w14:solidFill>
                    <w14:schemeClr w14:val="tx1"/>
                  </w14:solidFill>
                </w14:textFill>
              </w:rPr>
            </w:pPr>
            <w:r>
              <w:rPr>
                <w:color w:val="000000" w:themeColor="text1"/>
                <w14:textFill>
                  <w14:solidFill>
                    <w14:schemeClr w14:val="tx1"/>
                  </w14:solidFill>
                </w14:textFill>
              </w:rPr>
              <w:t>≤0.3</w:t>
            </w:r>
          </w:p>
        </w:tc>
      </w:tr>
      <w:tr w14:paraId="6DC1CE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1B67F4B4">
            <w:pPr>
              <w:pStyle w:val="70"/>
              <w:numPr>
                <w:ilvl w:val="0"/>
                <w:numId w:val="11"/>
              </w:numPr>
              <w:rPr>
                <w:color w:val="000000" w:themeColor="text1"/>
                <w14:textFill>
                  <w14:solidFill>
                    <w14:schemeClr w14:val="tx1"/>
                  </w14:solidFill>
                </w14:textFill>
              </w:rPr>
            </w:pPr>
          </w:p>
        </w:tc>
        <w:tc>
          <w:tcPr>
            <w:tcW w:w="5167" w:type="dxa"/>
            <w:vAlign w:val="center"/>
          </w:tcPr>
          <w:p w14:paraId="4190E6F0">
            <w:pPr>
              <w:pStyle w:val="70"/>
              <w:rPr>
                <w:color w:val="000000" w:themeColor="text1"/>
                <w14:textFill>
                  <w14:solidFill>
                    <w14:schemeClr w14:val="tx1"/>
                  </w14:solidFill>
                </w14:textFill>
              </w:rPr>
            </w:pPr>
            <w:r>
              <w:rPr>
                <w:color w:val="000000" w:themeColor="text1"/>
                <w14:textFill>
                  <w14:solidFill>
                    <w14:schemeClr w14:val="tx1"/>
                  </w14:solidFill>
                </w14:textFill>
              </w:rPr>
              <w:t>苯</w:t>
            </w:r>
          </w:p>
        </w:tc>
        <w:tc>
          <w:tcPr>
            <w:tcW w:w="1979" w:type="dxa"/>
            <w:vAlign w:val="center"/>
          </w:tcPr>
          <w:p w14:paraId="32B2CF1E">
            <w:pPr>
              <w:pStyle w:val="70"/>
              <w:rPr>
                <w:color w:val="000000" w:themeColor="text1"/>
                <w14:textFill>
                  <w14:solidFill>
                    <w14:schemeClr w14:val="tx1"/>
                  </w14:solidFill>
                </w14:textFill>
              </w:rPr>
            </w:pPr>
            <w:r>
              <w:rPr>
                <w:color w:val="000000" w:themeColor="text1"/>
                <w14:textFill>
                  <w14:solidFill>
                    <w14:schemeClr w14:val="tx1"/>
                  </w14:solidFill>
                </w14:textFill>
              </w:rPr>
              <w:t>≤0.01</w:t>
            </w:r>
          </w:p>
        </w:tc>
      </w:tr>
      <w:tr w14:paraId="41B65D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0DCD5C85">
            <w:pPr>
              <w:pStyle w:val="70"/>
              <w:numPr>
                <w:ilvl w:val="0"/>
                <w:numId w:val="11"/>
              </w:numPr>
              <w:rPr>
                <w:color w:val="000000" w:themeColor="text1"/>
                <w14:textFill>
                  <w14:solidFill>
                    <w14:schemeClr w14:val="tx1"/>
                  </w14:solidFill>
                </w14:textFill>
              </w:rPr>
            </w:pPr>
          </w:p>
        </w:tc>
        <w:tc>
          <w:tcPr>
            <w:tcW w:w="5167" w:type="dxa"/>
            <w:vAlign w:val="center"/>
          </w:tcPr>
          <w:p w14:paraId="6EF5C643">
            <w:pPr>
              <w:pStyle w:val="70"/>
              <w:rPr>
                <w:color w:val="000000" w:themeColor="text1"/>
                <w14:textFill>
                  <w14:solidFill>
                    <w14:schemeClr w14:val="tx1"/>
                  </w14:solidFill>
                </w14:textFill>
              </w:rPr>
            </w:pPr>
            <w:r>
              <w:rPr>
                <w:color w:val="000000" w:themeColor="text1"/>
                <w14:textFill>
                  <w14:solidFill>
                    <w14:schemeClr w14:val="tx1"/>
                  </w14:solidFill>
                </w14:textFill>
              </w:rPr>
              <w:t>甲苯</w:t>
            </w:r>
          </w:p>
        </w:tc>
        <w:tc>
          <w:tcPr>
            <w:tcW w:w="1979" w:type="dxa"/>
            <w:vAlign w:val="center"/>
          </w:tcPr>
          <w:p w14:paraId="03900685">
            <w:pPr>
              <w:pStyle w:val="70"/>
              <w:rPr>
                <w:color w:val="000000" w:themeColor="text1"/>
                <w14:textFill>
                  <w14:solidFill>
                    <w14:schemeClr w14:val="tx1"/>
                  </w14:solidFill>
                </w14:textFill>
              </w:rPr>
            </w:pPr>
            <w:r>
              <w:rPr>
                <w:color w:val="000000" w:themeColor="text1"/>
                <w14:textFill>
                  <w14:solidFill>
                    <w14:schemeClr w14:val="tx1"/>
                  </w14:solidFill>
                </w14:textFill>
              </w:rPr>
              <w:t>≤0.7</w:t>
            </w:r>
          </w:p>
        </w:tc>
      </w:tr>
      <w:tr w14:paraId="775C0A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30F71C1F">
            <w:pPr>
              <w:pStyle w:val="70"/>
              <w:numPr>
                <w:ilvl w:val="0"/>
                <w:numId w:val="11"/>
              </w:numPr>
              <w:rPr>
                <w:color w:val="000000" w:themeColor="text1"/>
                <w14:textFill>
                  <w14:solidFill>
                    <w14:schemeClr w14:val="tx1"/>
                  </w14:solidFill>
                </w14:textFill>
              </w:rPr>
            </w:pPr>
          </w:p>
        </w:tc>
        <w:tc>
          <w:tcPr>
            <w:tcW w:w="5167" w:type="dxa"/>
            <w:vAlign w:val="center"/>
          </w:tcPr>
          <w:p w14:paraId="752BB31C">
            <w:pPr>
              <w:pStyle w:val="70"/>
              <w:rPr>
                <w:color w:val="000000" w:themeColor="text1"/>
                <w14:textFill>
                  <w14:solidFill>
                    <w14:schemeClr w14:val="tx1"/>
                  </w14:solidFill>
                </w14:textFill>
              </w:rPr>
            </w:pPr>
            <w:r>
              <w:rPr>
                <w:color w:val="000000" w:themeColor="text1"/>
                <w14:textFill>
                  <w14:solidFill>
                    <w14:schemeClr w14:val="tx1"/>
                  </w14:solidFill>
                </w14:textFill>
              </w:rPr>
              <w:t>氯乙烯</w:t>
            </w:r>
          </w:p>
        </w:tc>
        <w:tc>
          <w:tcPr>
            <w:tcW w:w="1979" w:type="dxa"/>
            <w:vAlign w:val="center"/>
          </w:tcPr>
          <w:p w14:paraId="1EA116D1">
            <w:pPr>
              <w:pStyle w:val="70"/>
              <w:rPr>
                <w:color w:val="000000" w:themeColor="text1"/>
                <w14:textFill>
                  <w14:solidFill>
                    <w14:schemeClr w14:val="tx1"/>
                  </w14:solidFill>
                </w14:textFill>
              </w:rPr>
            </w:pPr>
            <w:r>
              <w:rPr>
                <w:color w:val="000000" w:themeColor="text1"/>
                <w14:textFill>
                  <w14:solidFill>
                    <w14:schemeClr w14:val="tx1"/>
                  </w14:solidFill>
                </w14:textFill>
              </w:rPr>
              <w:t>≤0.005</w:t>
            </w:r>
          </w:p>
        </w:tc>
      </w:tr>
      <w:tr w14:paraId="2FFC95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3261C0DF">
            <w:pPr>
              <w:pStyle w:val="70"/>
              <w:numPr>
                <w:ilvl w:val="0"/>
                <w:numId w:val="11"/>
              </w:numPr>
              <w:rPr>
                <w:color w:val="000000" w:themeColor="text1"/>
                <w14:textFill>
                  <w14:solidFill>
                    <w14:schemeClr w14:val="tx1"/>
                  </w14:solidFill>
                </w14:textFill>
              </w:rPr>
            </w:pPr>
          </w:p>
        </w:tc>
        <w:tc>
          <w:tcPr>
            <w:tcW w:w="5167" w:type="dxa"/>
            <w:vAlign w:val="center"/>
          </w:tcPr>
          <w:p w14:paraId="02381534">
            <w:pPr>
              <w:pStyle w:val="70"/>
              <w:rPr>
                <w:color w:val="000000" w:themeColor="text1"/>
                <w14:textFill>
                  <w14:solidFill>
                    <w14:schemeClr w14:val="tx1"/>
                  </w14:solidFill>
                </w14:textFill>
              </w:rPr>
            </w:pPr>
            <w:r>
              <w:rPr>
                <w:color w:val="000000" w:themeColor="text1"/>
                <w14:textFill>
                  <w14:solidFill>
                    <w14:schemeClr w14:val="tx1"/>
                  </w14:solidFill>
                </w14:textFill>
              </w:rPr>
              <w:t>乙苯</w:t>
            </w:r>
          </w:p>
        </w:tc>
        <w:tc>
          <w:tcPr>
            <w:tcW w:w="1979" w:type="dxa"/>
            <w:vAlign w:val="center"/>
          </w:tcPr>
          <w:p w14:paraId="3F371B68">
            <w:pPr>
              <w:pStyle w:val="70"/>
              <w:rPr>
                <w:color w:val="000000" w:themeColor="text1"/>
                <w14:textFill>
                  <w14:solidFill>
                    <w14:schemeClr w14:val="tx1"/>
                  </w14:solidFill>
                </w14:textFill>
              </w:rPr>
            </w:pPr>
            <w:r>
              <w:rPr>
                <w:color w:val="000000" w:themeColor="text1"/>
                <w14:textFill>
                  <w14:solidFill>
                    <w14:schemeClr w14:val="tx1"/>
                  </w14:solidFill>
                </w14:textFill>
              </w:rPr>
              <w:t>≤0.3</w:t>
            </w:r>
          </w:p>
        </w:tc>
      </w:tr>
      <w:tr w14:paraId="2AB8DD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1A715EC6">
            <w:pPr>
              <w:pStyle w:val="70"/>
              <w:numPr>
                <w:ilvl w:val="0"/>
                <w:numId w:val="11"/>
              </w:numPr>
              <w:rPr>
                <w:color w:val="000000" w:themeColor="text1"/>
                <w14:textFill>
                  <w14:solidFill>
                    <w14:schemeClr w14:val="tx1"/>
                  </w14:solidFill>
                </w14:textFill>
              </w:rPr>
            </w:pPr>
          </w:p>
        </w:tc>
        <w:tc>
          <w:tcPr>
            <w:tcW w:w="5167" w:type="dxa"/>
            <w:vAlign w:val="center"/>
          </w:tcPr>
          <w:p w14:paraId="08671CA7">
            <w:pPr>
              <w:pStyle w:val="70"/>
              <w:rPr>
                <w:color w:val="000000" w:themeColor="text1"/>
                <w14:textFill>
                  <w14:solidFill>
                    <w14:schemeClr w14:val="tx1"/>
                  </w14:solidFill>
                </w14:textFill>
              </w:rPr>
            </w:pPr>
            <w:r>
              <w:rPr>
                <w:color w:val="000000" w:themeColor="text1"/>
                <w14:textFill>
                  <w14:solidFill>
                    <w14:schemeClr w14:val="tx1"/>
                  </w14:solidFill>
                </w14:textFill>
              </w:rPr>
              <w:t>汞</w:t>
            </w:r>
          </w:p>
        </w:tc>
        <w:tc>
          <w:tcPr>
            <w:tcW w:w="1979" w:type="dxa"/>
            <w:vAlign w:val="center"/>
          </w:tcPr>
          <w:p w14:paraId="3144AF2C">
            <w:pPr>
              <w:pStyle w:val="70"/>
              <w:rPr>
                <w:color w:val="000000" w:themeColor="text1"/>
                <w14:textFill>
                  <w14:solidFill>
                    <w14:schemeClr w14:val="tx1"/>
                  </w14:solidFill>
                </w14:textFill>
              </w:rPr>
            </w:pPr>
            <w:r>
              <w:rPr>
                <w:color w:val="000000" w:themeColor="text1"/>
                <w14:textFill>
                  <w14:solidFill>
                    <w14:schemeClr w14:val="tx1"/>
                  </w14:solidFill>
                </w14:textFill>
              </w:rPr>
              <w:t>≤0.001</w:t>
            </w:r>
          </w:p>
        </w:tc>
      </w:tr>
      <w:tr w14:paraId="57AF2A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2984F0C7">
            <w:pPr>
              <w:pStyle w:val="70"/>
              <w:numPr>
                <w:ilvl w:val="0"/>
                <w:numId w:val="11"/>
              </w:numPr>
              <w:rPr>
                <w:color w:val="000000" w:themeColor="text1"/>
                <w14:textFill>
                  <w14:solidFill>
                    <w14:schemeClr w14:val="tx1"/>
                  </w14:solidFill>
                </w14:textFill>
              </w:rPr>
            </w:pPr>
          </w:p>
        </w:tc>
        <w:tc>
          <w:tcPr>
            <w:tcW w:w="5167" w:type="dxa"/>
            <w:vAlign w:val="center"/>
          </w:tcPr>
          <w:p w14:paraId="2ACFAD80">
            <w:pPr>
              <w:pStyle w:val="70"/>
              <w:rPr>
                <w:color w:val="000000" w:themeColor="text1"/>
                <w14:textFill>
                  <w14:solidFill>
                    <w14:schemeClr w14:val="tx1"/>
                  </w14:solidFill>
                </w14:textFill>
              </w:rPr>
            </w:pPr>
            <w:r>
              <w:rPr>
                <w:color w:val="000000" w:themeColor="text1"/>
                <w14:textFill>
                  <w14:solidFill>
                    <w14:schemeClr w14:val="tx1"/>
                  </w14:solidFill>
                </w14:textFill>
              </w:rPr>
              <w:t>砷</w:t>
            </w:r>
          </w:p>
        </w:tc>
        <w:tc>
          <w:tcPr>
            <w:tcW w:w="1979" w:type="dxa"/>
            <w:vAlign w:val="center"/>
          </w:tcPr>
          <w:p w14:paraId="1CD0DD96">
            <w:pPr>
              <w:pStyle w:val="70"/>
              <w:rPr>
                <w:color w:val="000000" w:themeColor="text1"/>
                <w14:textFill>
                  <w14:solidFill>
                    <w14:schemeClr w14:val="tx1"/>
                  </w14:solidFill>
                </w14:textFill>
              </w:rPr>
            </w:pPr>
            <w:r>
              <w:rPr>
                <w:color w:val="000000" w:themeColor="text1"/>
                <w14:textFill>
                  <w14:solidFill>
                    <w14:schemeClr w14:val="tx1"/>
                  </w14:solidFill>
                </w14:textFill>
              </w:rPr>
              <w:t>≤0.01</w:t>
            </w:r>
          </w:p>
        </w:tc>
      </w:tr>
      <w:tr w14:paraId="6563CE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006F0CF7">
            <w:pPr>
              <w:pStyle w:val="70"/>
              <w:numPr>
                <w:ilvl w:val="0"/>
                <w:numId w:val="11"/>
              </w:numPr>
              <w:rPr>
                <w:color w:val="000000" w:themeColor="text1"/>
                <w14:textFill>
                  <w14:solidFill>
                    <w14:schemeClr w14:val="tx1"/>
                  </w14:solidFill>
                </w14:textFill>
              </w:rPr>
            </w:pPr>
          </w:p>
        </w:tc>
        <w:tc>
          <w:tcPr>
            <w:tcW w:w="5167" w:type="dxa"/>
            <w:vAlign w:val="center"/>
          </w:tcPr>
          <w:p w14:paraId="757644D7">
            <w:pPr>
              <w:pStyle w:val="70"/>
              <w:rPr>
                <w:color w:val="000000" w:themeColor="text1"/>
                <w14:textFill>
                  <w14:solidFill>
                    <w14:schemeClr w14:val="tx1"/>
                  </w14:solidFill>
                </w14:textFill>
              </w:rPr>
            </w:pPr>
            <w:r>
              <w:rPr>
                <w:color w:val="000000" w:themeColor="text1"/>
                <w14:textFill>
                  <w14:solidFill>
                    <w14:schemeClr w14:val="tx1"/>
                  </w14:solidFill>
                </w14:textFill>
              </w:rPr>
              <w:t>铜</w:t>
            </w:r>
          </w:p>
        </w:tc>
        <w:tc>
          <w:tcPr>
            <w:tcW w:w="1979" w:type="dxa"/>
            <w:vAlign w:val="center"/>
          </w:tcPr>
          <w:p w14:paraId="1CF22767">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r>
      <w:tr w14:paraId="3509DD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4ADF6470">
            <w:pPr>
              <w:pStyle w:val="70"/>
              <w:numPr>
                <w:ilvl w:val="0"/>
                <w:numId w:val="11"/>
              </w:numPr>
              <w:rPr>
                <w:color w:val="000000" w:themeColor="text1"/>
                <w14:textFill>
                  <w14:solidFill>
                    <w14:schemeClr w14:val="tx1"/>
                  </w14:solidFill>
                </w14:textFill>
              </w:rPr>
            </w:pPr>
          </w:p>
        </w:tc>
        <w:tc>
          <w:tcPr>
            <w:tcW w:w="5167" w:type="dxa"/>
            <w:vAlign w:val="center"/>
          </w:tcPr>
          <w:p w14:paraId="6796BB32">
            <w:pPr>
              <w:pStyle w:val="70"/>
              <w:rPr>
                <w:color w:val="000000" w:themeColor="text1"/>
                <w14:textFill>
                  <w14:solidFill>
                    <w14:schemeClr w14:val="tx1"/>
                  </w14:solidFill>
                </w14:textFill>
              </w:rPr>
            </w:pPr>
            <w:r>
              <w:rPr>
                <w:color w:val="000000" w:themeColor="text1"/>
                <w14:textFill>
                  <w14:solidFill>
                    <w14:schemeClr w14:val="tx1"/>
                  </w14:solidFill>
                </w14:textFill>
              </w:rPr>
              <w:t>镉</w:t>
            </w:r>
          </w:p>
        </w:tc>
        <w:tc>
          <w:tcPr>
            <w:tcW w:w="1979" w:type="dxa"/>
            <w:vAlign w:val="center"/>
          </w:tcPr>
          <w:p w14:paraId="0BFA478B">
            <w:pPr>
              <w:pStyle w:val="70"/>
              <w:rPr>
                <w:color w:val="000000" w:themeColor="text1"/>
                <w14:textFill>
                  <w14:solidFill>
                    <w14:schemeClr w14:val="tx1"/>
                  </w14:solidFill>
                </w14:textFill>
              </w:rPr>
            </w:pPr>
            <w:r>
              <w:rPr>
                <w:color w:val="000000" w:themeColor="text1"/>
                <w14:textFill>
                  <w14:solidFill>
                    <w14:schemeClr w14:val="tx1"/>
                  </w14:solidFill>
                </w14:textFill>
              </w:rPr>
              <w:t>≤0.005</w:t>
            </w:r>
          </w:p>
        </w:tc>
      </w:tr>
      <w:tr w14:paraId="3598E8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2951C19B">
            <w:pPr>
              <w:pStyle w:val="70"/>
              <w:numPr>
                <w:ilvl w:val="0"/>
                <w:numId w:val="11"/>
              </w:numPr>
              <w:rPr>
                <w:color w:val="000000" w:themeColor="text1"/>
                <w14:textFill>
                  <w14:solidFill>
                    <w14:schemeClr w14:val="tx1"/>
                  </w14:solidFill>
                </w14:textFill>
              </w:rPr>
            </w:pPr>
          </w:p>
        </w:tc>
        <w:tc>
          <w:tcPr>
            <w:tcW w:w="5167" w:type="dxa"/>
            <w:vAlign w:val="center"/>
          </w:tcPr>
          <w:p w14:paraId="234F80EE">
            <w:pPr>
              <w:pStyle w:val="70"/>
              <w:rPr>
                <w:color w:val="000000" w:themeColor="text1"/>
                <w14:textFill>
                  <w14:solidFill>
                    <w14:schemeClr w14:val="tx1"/>
                  </w14:solidFill>
                </w14:textFill>
              </w:rPr>
            </w:pPr>
            <w:r>
              <w:rPr>
                <w:color w:val="000000" w:themeColor="text1"/>
                <w14:textFill>
                  <w14:solidFill>
                    <w14:schemeClr w14:val="tx1"/>
                  </w14:solidFill>
                </w14:textFill>
              </w:rPr>
              <w:t>六价铬</w:t>
            </w:r>
          </w:p>
        </w:tc>
        <w:tc>
          <w:tcPr>
            <w:tcW w:w="1979" w:type="dxa"/>
            <w:vAlign w:val="center"/>
          </w:tcPr>
          <w:p w14:paraId="799EBF1A">
            <w:pPr>
              <w:pStyle w:val="70"/>
              <w:rPr>
                <w:color w:val="000000" w:themeColor="text1"/>
                <w14:textFill>
                  <w14:solidFill>
                    <w14:schemeClr w14:val="tx1"/>
                  </w14:solidFill>
                </w14:textFill>
              </w:rPr>
            </w:pPr>
            <w:r>
              <w:rPr>
                <w:color w:val="000000" w:themeColor="text1"/>
                <w14:textFill>
                  <w14:solidFill>
                    <w14:schemeClr w14:val="tx1"/>
                  </w14:solidFill>
                </w14:textFill>
              </w:rPr>
              <w:t>≤0.05</w:t>
            </w:r>
          </w:p>
        </w:tc>
      </w:tr>
      <w:tr w14:paraId="19C203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108D33F4">
            <w:pPr>
              <w:pStyle w:val="70"/>
              <w:numPr>
                <w:ilvl w:val="0"/>
                <w:numId w:val="11"/>
              </w:numPr>
              <w:rPr>
                <w:color w:val="000000" w:themeColor="text1"/>
                <w14:textFill>
                  <w14:solidFill>
                    <w14:schemeClr w14:val="tx1"/>
                  </w14:solidFill>
                </w14:textFill>
              </w:rPr>
            </w:pPr>
          </w:p>
        </w:tc>
        <w:tc>
          <w:tcPr>
            <w:tcW w:w="5167" w:type="dxa"/>
            <w:vAlign w:val="center"/>
          </w:tcPr>
          <w:p w14:paraId="4348CF67">
            <w:pPr>
              <w:pStyle w:val="70"/>
              <w:rPr>
                <w:color w:val="000000" w:themeColor="text1"/>
                <w14:textFill>
                  <w14:solidFill>
                    <w14:schemeClr w14:val="tx1"/>
                  </w14:solidFill>
                </w14:textFill>
              </w:rPr>
            </w:pPr>
            <w:r>
              <w:rPr>
                <w:color w:val="000000" w:themeColor="text1"/>
                <w14:textFill>
                  <w14:solidFill>
                    <w14:schemeClr w14:val="tx1"/>
                  </w14:solidFill>
                </w14:textFill>
              </w:rPr>
              <w:t>铅</w:t>
            </w:r>
          </w:p>
        </w:tc>
        <w:tc>
          <w:tcPr>
            <w:tcW w:w="1979" w:type="dxa"/>
            <w:vAlign w:val="center"/>
          </w:tcPr>
          <w:p w14:paraId="531460BC">
            <w:pPr>
              <w:pStyle w:val="70"/>
              <w:rPr>
                <w:color w:val="000000" w:themeColor="text1"/>
                <w14:textFill>
                  <w14:solidFill>
                    <w14:schemeClr w14:val="tx1"/>
                  </w14:solidFill>
                </w14:textFill>
              </w:rPr>
            </w:pPr>
            <w:r>
              <w:rPr>
                <w:color w:val="000000" w:themeColor="text1"/>
                <w14:textFill>
                  <w14:solidFill>
                    <w14:schemeClr w14:val="tx1"/>
                  </w14:solidFill>
                </w14:textFill>
              </w:rPr>
              <w:t>≤0.01</w:t>
            </w:r>
          </w:p>
        </w:tc>
      </w:tr>
      <w:tr w14:paraId="3B43CA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4CAD3C20">
            <w:pPr>
              <w:pStyle w:val="70"/>
              <w:numPr>
                <w:ilvl w:val="0"/>
                <w:numId w:val="11"/>
              </w:numPr>
              <w:rPr>
                <w:color w:val="000000" w:themeColor="text1"/>
                <w14:textFill>
                  <w14:solidFill>
                    <w14:schemeClr w14:val="tx1"/>
                  </w14:solidFill>
                </w14:textFill>
              </w:rPr>
            </w:pPr>
          </w:p>
        </w:tc>
        <w:tc>
          <w:tcPr>
            <w:tcW w:w="5167" w:type="dxa"/>
            <w:vAlign w:val="center"/>
          </w:tcPr>
          <w:p w14:paraId="687788BF">
            <w:pPr>
              <w:pStyle w:val="70"/>
              <w:rPr>
                <w:color w:val="000000" w:themeColor="text1"/>
                <w14:textFill>
                  <w14:solidFill>
                    <w14:schemeClr w14:val="tx1"/>
                  </w14:solidFill>
                </w14:textFill>
              </w:rPr>
            </w:pPr>
            <w:r>
              <w:rPr>
                <w:color w:val="000000" w:themeColor="text1"/>
                <w14:textFill>
                  <w14:solidFill>
                    <w14:schemeClr w14:val="tx1"/>
                  </w14:solidFill>
                </w14:textFill>
              </w:rPr>
              <w:t>镍</w:t>
            </w:r>
          </w:p>
        </w:tc>
        <w:tc>
          <w:tcPr>
            <w:tcW w:w="1979" w:type="dxa"/>
            <w:vAlign w:val="center"/>
          </w:tcPr>
          <w:p w14:paraId="08B9D885">
            <w:pPr>
              <w:pStyle w:val="70"/>
              <w:rPr>
                <w:color w:val="000000" w:themeColor="text1"/>
                <w14:textFill>
                  <w14:solidFill>
                    <w14:schemeClr w14:val="tx1"/>
                  </w14:solidFill>
                </w14:textFill>
              </w:rPr>
            </w:pPr>
            <w:r>
              <w:rPr>
                <w:color w:val="000000" w:themeColor="text1"/>
                <w14:textFill>
                  <w14:solidFill>
                    <w14:schemeClr w14:val="tx1"/>
                  </w14:solidFill>
                </w14:textFill>
              </w:rPr>
              <w:t>≤0.02</w:t>
            </w:r>
          </w:p>
        </w:tc>
      </w:tr>
      <w:tr w14:paraId="05A0F5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143E9625">
            <w:pPr>
              <w:pStyle w:val="70"/>
              <w:numPr>
                <w:ilvl w:val="0"/>
                <w:numId w:val="11"/>
              </w:numPr>
              <w:rPr>
                <w:color w:val="000000" w:themeColor="text1"/>
                <w14:textFill>
                  <w14:solidFill>
                    <w14:schemeClr w14:val="tx1"/>
                  </w14:solidFill>
                </w14:textFill>
              </w:rPr>
            </w:pPr>
          </w:p>
        </w:tc>
        <w:tc>
          <w:tcPr>
            <w:tcW w:w="5167" w:type="dxa"/>
            <w:vAlign w:val="center"/>
          </w:tcPr>
          <w:p w14:paraId="13DA817A">
            <w:pPr>
              <w:pStyle w:val="70"/>
              <w:rPr>
                <w:color w:val="000000" w:themeColor="text1"/>
                <w14:textFill>
                  <w14:solidFill>
                    <w14:schemeClr w14:val="tx1"/>
                  </w14:solidFill>
                </w14:textFill>
              </w:rPr>
            </w:pPr>
            <w:r>
              <w:rPr>
                <w:color w:val="000000" w:themeColor="text1"/>
                <w14:textFill>
                  <w14:solidFill>
                    <w14:schemeClr w14:val="tx1"/>
                  </w14:solidFill>
                </w14:textFill>
              </w:rPr>
              <w:t>氟化物</w:t>
            </w:r>
          </w:p>
        </w:tc>
        <w:tc>
          <w:tcPr>
            <w:tcW w:w="1979" w:type="dxa"/>
            <w:vAlign w:val="center"/>
          </w:tcPr>
          <w:p w14:paraId="37748007">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r>
      <w:tr w14:paraId="7974BD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2A4223BA">
            <w:pPr>
              <w:pStyle w:val="70"/>
              <w:numPr>
                <w:ilvl w:val="0"/>
                <w:numId w:val="11"/>
              </w:numPr>
              <w:rPr>
                <w:color w:val="000000" w:themeColor="text1"/>
                <w14:textFill>
                  <w14:solidFill>
                    <w14:schemeClr w14:val="tx1"/>
                  </w14:solidFill>
                </w14:textFill>
              </w:rPr>
            </w:pPr>
          </w:p>
        </w:tc>
        <w:tc>
          <w:tcPr>
            <w:tcW w:w="5167" w:type="dxa"/>
            <w:vAlign w:val="center"/>
          </w:tcPr>
          <w:p w14:paraId="0086DF15">
            <w:pPr>
              <w:pStyle w:val="70"/>
              <w:rPr>
                <w:color w:val="000000" w:themeColor="text1"/>
                <w14:textFill>
                  <w14:solidFill>
                    <w14:schemeClr w14:val="tx1"/>
                  </w14:solidFill>
                </w14:textFill>
              </w:rPr>
            </w:pPr>
            <w:r>
              <w:rPr>
                <w:color w:val="000000" w:themeColor="text1"/>
                <w14:textFill>
                  <w14:solidFill>
                    <w14:schemeClr w14:val="tx1"/>
                  </w14:solidFill>
                </w14:textFill>
              </w:rPr>
              <w:t>锌</w:t>
            </w:r>
          </w:p>
        </w:tc>
        <w:tc>
          <w:tcPr>
            <w:tcW w:w="1979" w:type="dxa"/>
            <w:vAlign w:val="center"/>
          </w:tcPr>
          <w:p w14:paraId="4A0FFC06">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r>
      <w:tr w14:paraId="5229B5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258FA0DF">
            <w:pPr>
              <w:pStyle w:val="70"/>
              <w:numPr>
                <w:ilvl w:val="0"/>
                <w:numId w:val="11"/>
              </w:numPr>
              <w:rPr>
                <w:color w:val="000000" w:themeColor="text1"/>
                <w14:textFill>
                  <w14:solidFill>
                    <w14:schemeClr w14:val="tx1"/>
                  </w14:solidFill>
                </w14:textFill>
              </w:rPr>
            </w:pPr>
          </w:p>
        </w:tc>
        <w:tc>
          <w:tcPr>
            <w:tcW w:w="5167" w:type="dxa"/>
            <w:vAlign w:val="center"/>
          </w:tcPr>
          <w:p w14:paraId="7997032D">
            <w:pPr>
              <w:pStyle w:val="70"/>
              <w:rPr>
                <w:color w:val="000000" w:themeColor="text1"/>
                <w:lang w:val="zh-CN"/>
                <w14:textFill>
                  <w14:solidFill>
                    <w14:schemeClr w14:val="tx1"/>
                  </w14:solidFill>
                </w14:textFill>
              </w:rPr>
            </w:pPr>
            <w:r>
              <w:rPr>
                <w:color w:val="000000" w:themeColor="text1"/>
                <w:lang w:val="zh-CN"/>
                <w14:textFill>
                  <w14:solidFill>
                    <w14:schemeClr w14:val="tx1"/>
                  </w14:solidFill>
                </w14:textFill>
              </w:rPr>
              <w:t>二甲苯</w:t>
            </w:r>
          </w:p>
        </w:tc>
        <w:tc>
          <w:tcPr>
            <w:tcW w:w="1979" w:type="dxa"/>
            <w:vAlign w:val="center"/>
          </w:tcPr>
          <w:p w14:paraId="09B6D339">
            <w:pPr>
              <w:pStyle w:val="70"/>
              <w:rPr>
                <w:color w:val="000000" w:themeColor="text1"/>
                <w14:textFill>
                  <w14:solidFill>
                    <w14:schemeClr w14:val="tx1"/>
                  </w14:solidFill>
                </w14:textFill>
              </w:rPr>
            </w:pPr>
            <w:r>
              <w:rPr>
                <w:color w:val="000000" w:themeColor="text1"/>
                <w14:textFill>
                  <w14:solidFill>
                    <w14:schemeClr w14:val="tx1"/>
                  </w14:solidFill>
                </w14:textFill>
              </w:rPr>
              <w:t>≤0.5</w:t>
            </w:r>
          </w:p>
        </w:tc>
      </w:tr>
      <w:tr w14:paraId="73FC0B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20AAFF94">
            <w:pPr>
              <w:pStyle w:val="70"/>
              <w:numPr>
                <w:ilvl w:val="0"/>
                <w:numId w:val="11"/>
              </w:numPr>
              <w:rPr>
                <w:color w:val="000000" w:themeColor="text1"/>
                <w14:textFill>
                  <w14:solidFill>
                    <w14:schemeClr w14:val="tx1"/>
                  </w14:solidFill>
                </w14:textFill>
              </w:rPr>
            </w:pPr>
          </w:p>
        </w:tc>
        <w:tc>
          <w:tcPr>
            <w:tcW w:w="5167" w:type="dxa"/>
            <w:vAlign w:val="center"/>
          </w:tcPr>
          <w:p w14:paraId="7A622597">
            <w:pPr>
              <w:pStyle w:val="70"/>
              <w:rPr>
                <w:color w:val="000000" w:themeColor="text1"/>
                <w:lang w:val="zh-CN"/>
                <w14:textFill>
                  <w14:solidFill>
                    <w14:schemeClr w14:val="tx1"/>
                  </w14:solidFill>
                </w14:textFill>
              </w:rPr>
            </w:pPr>
            <w:r>
              <w:rPr>
                <w:color w:val="000000" w:themeColor="text1"/>
                <w:lang w:val="zh-CN"/>
                <w14:textFill>
                  <w14:solidFill>
                    <w14:schemeClr w14:val="tx1"/>
                  </w14:solidFill>
                </w14:textFill>
              </w:rPr>
              <w:t>苯乙烯</w:t>
            </w:r>
          </w:p>
        </w:tc>
        <w:tc>
          <w:tcPr>
            <w:tcW w:w="1979" w:type="dxa"/>
            <w:vAlign w:val="center"/>
          </w:tcPr>
          <w:p w14:paraId="14CE6241">
            <w:pPr>
              <w:pStyle w:val="70"/>
              <w:rPr>
                <w:color w:val="000000" w:themeColor="text1"/>
                <w14:textFill>
                  <w14:solidFill>
                    <w14:schemeClr w14:val="tx1"/>
                  </w14:solidFill>
                </w14:textFill>
              </w:rPr>
            </w:pPr>
            <w:r>
              <w:rPr>
                <w:color w:val="000000" w:themeColor="text1"/>
                <w14:textFill>
                  <w14:solidFill>
                    <w14:schemeClr w14:val="tx1"/>
                  </w14:solidFill>
                </w14:textFill>
              </w:rPr>
              <w:t>≤0.02</w:t>
            </w:r>
          </w:p>
        </w:tc>
      </w:tr>
      <w:tr w14:paraId="604FAA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5098CE87">
            <w:pPr>
              <w:pStyle w:val="70"/>
              <w:numPr>
                <w:ilvl w:val="0"/>
                <w:numId w:val="11"/>
              </w:numPr>
              <w:rPr>
                <w:color w:val="000000" w:themeColor="text1"/>
                <w14:textFill>
                  <w14:solidFill>
                    <w14:schemeClr w14:val="tx1"/>
                  </w14:solidFill>
                </w14:textFill>
              </w:rPr>
            </w:pPr>
          </w:p>
        </w:tc>
        <w:tc>
          <w:tcPr>
            <w:tcW w:w="5167" w:type="dxa"/>
            <w:vAlign w:val="center"/>
          </w:tcPr>
          <w:p w14:paraId="657E7C22">
            <w:pPr>
              <w:pStyle w:val="70"/>
              <w:rPr>
                <w:color w:val="000000" w:themeColor="text1"/>
                <w14:textFill>
                  <w14:solidFill>
                    <w14:schemeClr w14:val="tx1"/>
                  </w14:solidFill>
                </w14:textFill>
              </w:rPr>
            </w:pPr>
            <w:r>
              <w:rPr>
                <w:color w:val="000000" w:themeColor="text1"/>
                <w:lang w:val="zh-CN"/>
                <w14:textFill>
                  <w14:solidFill>
                    <w14:schemeClr w14:val="tx1"/>
                  </w14:solidFill>
                </w14:textFill>
              </w:rPr>
              <w:t>苯并芘</w:t>
            </w:r>
          </w:p>
        </w:tc>
        <w:tc>
          <w:tcPr>
            <w:tcW w:w="1979" w:type="dxa"/>
            <w:vAlign w:val="center"/>
          </w:tcPr>
          <w:p w14:paraId="2DAE3D48">
            <w:pPr>
              <w:pStyle w:val="70"/>
              <w:rPr>
                <w:color w:val="000000" w:themeColor="text1"/>
                <w14:textFill>
                  <w14:solidFill>
                    <w14:schemeClr w14:val="tx1"/>
                  </w14:solidFill>
                </w14:textFill>
              </w:rPr>
            </w:pPr>
            <w:r>
              <w:rPr>
                <w:color w:val="000000" w:themeColor="text1"/>
                <w14:textFill>
                  <w14:solidFill>
                    <w14:schemeClr w14:val="tx1"/>
                  </w14:solidFill>
                </w14:textFill>
              </w:rPr>
              <w:t>≤0.00001</w:t>
            </w:r>
          </w:p>
        </w:tc>
      </w:tr>
    </w:tbl>
    <w:p w14:paraId="3B0201A6">
      <w:pPr>
        <w:pStyle w:val="6"/>
        <w:rPr>
          <w:color w:val="000000" w:themeColor="text1"/>
          <w14:textFill>
            <w14:solidFill>
              <w14:schemeClr w14:val="tx1"/>
            </w14:solidFill>
          </w14:textFill>
        </w:rPr>
      </w:pPr>
      <w:r>
        <w:rPr>
          <w:color w:val="000000" w:themeColor="text1"/>
          <w14:textFill>
            <w14:solidFill>
              <w14:schemeClr w14:val="tx1"/>
            </w14:solidFill>
          </w14:textFill>
        </w:rPr>
        <w:t>环境质量标准</w:t>
      </w:r>
    </w:p>
    <w:p w14:paraId="6509A19B">
      <w:pPr>
        <w:ind w:firstLine="480"/>
        <w:rPr>
          <w:color w:val="000000" w:themeColor="text1"/>
          <w14:textFill>
            <w14:solidFill>
              <w14:schemeClr w14:val="tx1"/>
            </w14:solidFill>
          </w14:textFill>
        </w:rPr>
      </w:pPr>
      <w:r>
        <w:rPr>
          <w:color w:val="000000" w:themeColor="text1"/>
          <w14:textFill>
            <w14:solidFill>
              <w14:schemeClr w14:val="tx1"/>
            </w14:solidFill>
          </w14:textFill>
        </w:rPr>
        <w:t>根据《</w:t>
      </w:r>
      <w:r>
        <w:rPr>
          <w:rFonts w:hint="eastAsia"/>
          <w:color w:val="000000" w:themeColor="text1"/>
          <w:lang w:val="en-US" w:eastAsia="zh-CN"/>
          <w14:textFill>
            <w14:solidFill>
              <w14:schemeClr w14:val="tx1"/>
            </w14:solidFill>
          </w14:textFill>
        </w:rPr>
        <w:t>钦州市中心城区声环境功能区划</w:t>
      </w:r>
      <w:r>
        <w:rPr>
          <w:color w:val="000000" w:themeColor="text1"/>
          <w14:textFill>
            <w14:solidFill>
              <w14:schemeClr w14:val="tx1"/>
            </w14:solidFill>
          </w14:textFill>
        </w:rPr>
        <w:t>》区域声环境划分为3类声功能区，执行</w:t>
      </w:r>
      <w:r>
        <w:rPr>
          <w:color w:val="000000" w:themeColor="text1"/>
          <w:u w:val="none"/>
          <w14:textFill>
            <w14:solidFill>
              <w14:schemeClr w14:val="tx1"/>
            </w14:solidFill>
          </w14:textFill>
        </w:rPr>
        <w:t>《</w:t>
      </w:r>
      <w:r>
        <w:rPr>
          <w:rFonts w:hint="eastAsia"/>
          <w:color w:val="000000" w:themeColor="text1"/>
          <w:u w:val="none"/>
          <w:lang w:val="en-US" w:eastAsia="zh-CN"/>
          <w14:textFill>
            <w14:solidFill>
              <w14:schemeClr w14:val="tx1"/>
            </w14:solidFill>
          </w14:textFill>
        </w:rPr>
        <w:t>声环境质量</w:t>
      </w:r>
      <w:r>
        <w:rPr>
          <w:color w:val="000000" w:themeColor="text1"/>
          <w:u w:val="none"/>
          <w14:textFill>
            <w14:solidFill>
              <w14:schemeClr w14:val="tx1"/>
            </w14:solidFill>
          </w14:textFill>
        </w:rPr>
        <w:t>标准》（GB12348-2008）</w:t>
      </w:r>
      <w:r>
        <w:rPr>
          <w:color w:val="000000" w:themeColor="text1"/>
          <w14:textFill>
            <w14:solidFill>
              <w14:schemeClr w14:val="tx1"/>
            </w14:solidFill>
          </w14:textFill>
        </w:rPr>
        <w:t>中3类标准，具体标准值见表1.4-3。</w:t>
      </w:r>
    </w:p>
    <w:p w14:paraId="1B4CD54F">
      <w:pPr>
        <w:pStyle w:val="7"/>
        <w:rPr>
          <w:color w:val="000000" w:themeColor="text1"/>
          <w14:textFill>
            <w14:solidFill>
              <w14:schemeClr w14:val="tx1"/>
            </w14:solidFill>
          </w14:textFill>
        </w:rPr>
      </w:pPr>
      <w:r>
        <w:rPr>
          <w:color w:val="000000" w:themeColor="text1"/>
          <w14:textFill>
            <w14:solidFill>
              <w14:schemeClr w14:val="tx1"/>
            </w14:solidFill>
          </w14:textFill>
        </w:rPr>
        <w:t>声环境质量标准   单位：dB（A）</w:t>
      </w:r>
    </w:p>
    <w:tbl>
      <w:tblPr>
        <w:tblStyle w:val="43"/>
        <w:tblW w:w="928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096"/>
        <w:gridCol w:w="3095"/>
        <w:gridCol w:w="3095"/>
      </w:tblGrid>
      <w:tr w14:paraId="073D9A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3096" w:type="dxa"/>
            <w:vAlign w:val="center"/>
          </w:tcPr>
          <w:p w14:paraId="411138E8">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类别</w:t>
            </w:r>
          </w:p>
        </w:tc>
        <w:tc>
          <w:tcPr>
            <w:tcW w:w="3095" w:type="dxa"/>
            <w:vAlign w:val="center"/>
          </w:tcPr>
          <w:p w14:paraId="5185C26B">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昼间</w:t>
            </w:r>
          </w:p>
        </w:tc>
        <w:tc>
          <w:tcPr>
            <w:tcW w:w="3095" w:type="dxa"/>
            <w:vAlign w:val="center"/>
          </w:tcPr>
          <w:p w14:paraId="1B946595">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夜间</w:t>
            </w:r>
          </w:p>
        </w:tc>
      </w:tr>
      <w:tr w14:paraId="0A6904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096" w:type="dxa"/>
            <w:vAlign w:val="center"/>
          </w:tcPr>
          <w:p w14:paraId="3DCF152A">
            <w:pPr>
              <w:pStyle w:val="70"/>
              <w:rPr>
                <w:color w:val="000000" w:themeColor="text1"/>
                <w14:textFill>
                  <w14:solidFill>
                    <w14:schemeClr w14:val="tx1"/>
                  </w14:solidFill>
                </w14:textFill>
              </w:rPr>
            </w:pPr>
            <w:r>
              <w:rPr>
                <w:color w:val="000000" w:themeColor="text1"/>
                <w14:textFill>
                  <w14:solidFill>
                    <w14:schemeClr w14:val="tx1"/>
                  </w14:solidFill>
                </w14:textFill>
              </w:rPr>
              <w:t>3类</w:t>
            </w:r>
          </w:p>
        </w:tc>
        <w:tc>
          <w:tcPr>
            <w:tcW w:w="3095" w:type="dxa"/>
            <w:vAlign w:val="center"/>
          </w:tcPr>
          <w:p w14:paraId="661EB794">
            <w:pPr>
              <w:pStyle w:val="70"/>
              <w:rPr>
                <w:color w:val="000000" w:themeColor="text1"/>
                <w14:textFill>
                  <w14:solidFill>
                    <w14:schemeClr w14:val="tx1"/>
                  </w14:solidFill>
                </w14:textFill>
              </w:rPr>
            </w:pPr>
            <w:r>
              <w:rPr>
                <w:color w:val="000000" w:themeColor="text1"/>
                <w14:textFill>
                  <w14:solidFill>
                    <w14:schemeClr w14:val="tx1"/>
                  </w14:solidFill>
                </w14:textFill>
              </w:rPr>
              <w:t>65</w:t>
            </w:r>
          </w:p>
        </w:tc>
        <w:tc>
          <w:tcPr>
            <w:tcW w:w="3095" w:type="dxa"/>
            <w:vAlign w:val="center"/>
          </w:tcPr>
          <w:p w14:paraId="47C19638">
            <w:pPr>
              <w:pStyle w:val="70"/>
              <w:rPr>
                <w:color w:val="000000" w:themeColor="text1"/>
                <w14:textFill>
                  <w14:solidFill>
                    <w14:schemeClr w14:val="tx1"/>
                  </w14:solidFill>
                </w14:textFill>
              </w:rPr>
            </w:pPr>
            <w:r>
              <w:rPr>
                <w:color w:val="000000" w:themeColor="text1"/>
                <w14:textFill>
                  <w14:solidFill>
                    <w14:schemeClr w14:val="tx1"/>
                  </w14:solidFill>
                </w14:textFill>
              </w:rPr>
              <w:t>55</w:t>
            </w:r>
          </w:p>
        </w:tc>
      </w:tr>
    </w:tbl>
    <w:p w14:paraId="795FE0F1">
      <w:pPr>
        <w:pStyle w:val="6"/>
        <w:rPr>
          <w:color w:val="000000" w:themeColor="text1"/>
          <w14:textFill>
            <w14:solidFill>
              <w14:schemeClr w14:val="tx1"/>
            </w14:solidFill>
          </w14:textFill>
        </w:rPr>
      </w:pPr>
      <w:r>
        <w:rPr>
          <w:color w:val="000000" w:themeColor="text1"/>
          <w14:textFill>
            <w14:solidFill>
              <w14:schemeClr w14:val="tx1"/>
            </w14:solidFill>
          </w14:textFill>
        </w:rPr>
        <w:t>海水水质标准</w:t>
      </w:r>
    </w:p>
    <w:p w14:paraId="0E22D4BE">
      <w:pPr>
        <w:ind w:firstLine="480"/>
        <w:rPr>
          <w:rFonts w:hint="eastAsia" w:eastAsia="宋体"/>
          <w:color w:val="000000" w:themeColor="text1"/>
          <w:u w:val="single"/>
          <w:lang w:eastAsia="zh-CN"/>
          <w14:textFill>
            <w14:solidFill>
              <w14:schemeClr w14:val="tx1"/>
            </w14:solidFill>
          </w14:textFill>
        </w:rPr>
      </w:pPr>
      <w:r>
        <w:rPr>
          <w:color w:val="000000" w:themeColor="text1"/>
          <w14:textFill>
            <w14:solidFill>
              <w14:schemeClr w14:val="tx1"/>
            </w14:solidFill>
          </w14:textFill>
        </w:rPr>
        <w:t>根据《广西壮族自治区近岸海域环境功能区划调整方案》（桂环发〔2023〕9号）、《广西壮族自治区海洋功能区划》（2011-2020），评价海域功能区划属于一类、二类、三类、四类功能区，评价海域海水水质执行《海水水质标准》（GB3097-1997）第一类、二类、三类、四类标准；评价海域海洋沉积物执行《海洋沉积物质量》（GB18668-2002）第一类、二类、三类标准</w:t>
      </w:r>
      <w:r>
        <w:rPr>
          <w:rFonts w:hint="eastAsia"/>
          <w:color w:val="000000" w:themeColor="text1"/>
          <w:lang w:eastAsia="zh-CN"/>
          <w14:textFill>
            <w14:solidFill>
              <w14:schemeClr w14:val="tx1"/>
            </w14:solidFill>
          </w14:textFill>
        </w:rPr>
        <w:t>。</w:t>
      </w:r>
    </w:p>
    <w:p w14:paraId="0486C885">
      <w:pPr>
        <w:pStyle w:val="7"/>
        <w:rPr>
          <w:color w:val="000000" w:themeColor="text1"/>
          <w14:textFill>
            <w14:solidFill>
              <w14:schemeClr w14:val="tx1"/>
            </w14:solidFill>
          </w14:textFill>
        </w:rPr>
      </w:pPr>
      <w:r>
        <w:rPr>
          <w:color w:val="000000" w:themeColor="text1"/>
          <w14:textFill>
            <w14:solidFill>
              <w14:schemeClr w14:val="tx1"/>
            </w14:solidFill>
          </w14:textFill>
        </w:rPr>
        <w:t>海水水质标准 单位：mg/L（除pH值外）</w:t>
      </w:r>
    </w:p>
    <w:tbl>
      <w:tblPr>
        <w:tblStyle w:val="43"/>
        <w:tblW w:w="904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55"/>
        <w:gridCol w:w="2369"/>
        <w:gridCol w:w="1698"/>
        <w:gridCol w:w="1506"/>
        <w:gridCol w:w="1508"/>
        <w:gridCol w:w="1506"/>
      </w:tblGrid>
      <w:tr w14:paraId="6E03AB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455" w:type="dxa"/>
            <w:vMerge w:val="restart"/>
            <w:vAlign w:val="center"/>
          </w:tcPr>
          <w:p w14:paraId="3910BD3D">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序号</w:t>
            </w:r>
          </w:p>
        </w:tc>
        <w:tc>
          <w:tcPr>
            <w:tcW w:w="2369" w:type="dxa"/>
            <w:vMerge w:val="restart"/>
            <w:vAlign w:val="center"/>
          </w:tcPr>
          <w:p w14:paraId="126B3C1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项目</w:t>
            </w:r>
          </w:p>
        </w:tc>
        <w:tc>
          <w:tcPr>
            <w:tcW w:w="6218" w:type="dxa"/>
            <w:gridSpan w:val="4"/>
            <w:vAlign w:val="center"/>
          </w:tcPr>
          <w:p w14:paraId="036E0B5E">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海水水质标准</w:t>
            </w:r>
          </w:p>
        </w:tc>
      </w:tr>
      <w:tr w14:paraId="75F69B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455" w:type="dxa"/>
            <w:vMerge w:val="continue"/>
            <w:vAlign w:val="center"/>
          </w:tcPr>
          <w:p w14:paraId="3EBC5887">
            <w:pPr>
              <w:pStyle w:val="70"/>
              <w:rPr>
                <w:b/>
                <w:bCs/>
                <w:color w:val="000000" w:themeColor="text1"/>
                <w14:textFill>
                  <w14:solidFill>
                    <w14:schemeClr w14:val="tx1"/>
                  </w14:solidFill>
                </w14:textFill>
              </w:rPr>
            </w:pPr>
          </w:p>
        </w:tc>
        <w:tc>
          <w:tcPr>
            <w:tcW w:w="2369" w:type="dxa"/>
            <w:vMerge w:val="continue"/>
            <w:vAlign w:val="center"/>
          </w:tcPr>
          <w:p w14:paraId="407851EE">
            <w:pPr>
              <w:pStyle w:val="70"/>
              <w:rPr>
                <w:b/>
                <w:bCs/>
                <w:color w:val="000000" w:themeColor="text1"/>
                <w14:textFill>
                  <w14:solidFill>
                    <w14:schemeClr w14:val="tx1"/>
                  </w14:solidFill>
                </w14:textFill>
              </w:rPr>
            </w:pPr>
          </w:p>
        </w:tc>
        <w:tc>
          <w:tcPr>
            <w:tcW w:w="1698" w:type="dxa"/>
            <w:vAlign w:val="center"/>
          </w:tcPr>
          <w:p w14:paraId="29182F0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第一类</w:t>
            </w:r>
          </w:p>
        </w:tc>
        <w:tc>
          <w:tcPr>
            <w:tcW w:w="1506" w:type="dxa"/>
            <w:vAlign w:val="center"/>
          </w:tcPr>
          <w:p w14:paraId="336042A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第二类</w:t>
            </w:r>
          </w:p>
        </w:tc>
        <w:tc>
          <w:tcPr>
            <w:tcW w:w="1508" w:type="dxa"/>
            <w:vAlign w:val="center"/>
          </w:tcPr>
          <w:p w14:paraId="55E95AF8">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第三类</w:t>
            </w:r>
          </w:p>
        </w:tc>
        <w:tc>
          <w:tcPr>
            <w:tcW w:w="1506" w:type="dxa"/>
            <w:vAlign w:val="center"/>
          </w:tcPr>
          <w:p w14:paraId="25C3C6D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第四类</w:t>
            </w:r>
          </w:p>
        </w:tc>
      </w:tr>
      <w:tr w14:paraId="679165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65219A09">
            <w:pPr>
              <w:pStyle w:val="70"/>
              <w:numPr>
                <w:ilvl w:val="0"/>
                <w:numId w:val="12"/>
              </w:numPr>
              <w:rPr>
                <w:color w:val="000000" w:themeColor="text1"/>
                <w14:textFill>
                  <w14:solidFill>
                    <w14:schemeClr w14:val="tx1"/>
                  </w14:solidFill>
                </w14:textFill>
              </w:rPr>
            </w:pPr>
          </w:p>
        </w:tc>
        <w:tc>
          <w:tcPr>
            <w:tcW w:w="2369" w:type="dxa"/>
            <w:vAlign w:val="center"/>
          </w:tcPr>
          <w:p w14:paraId="0FFAB43A">
            <w:pPr>
              <w:pStyle w:val="70"/>
              <w:rPr>
                <w:color w:val="000000" w:themeColor="text1"/>
                <w14:textFill>
                  <w14:solidFill>
                    <w14:schemeClr w14:val="tx1"/>
                  </w14:solidFill>
                </w14:textFill>
              </w:rPr>
            </w:pPr>
            <w:r>
              <w:rPr>
                <w:color w:val="000000" w:themeColor="text1"/>
                <w14:textFill>
                  <w14:solidFill>
                    <w14:schemeClr w14:val="tx1"/>
                  </w14:solidFill>
                </w14:textFill>
              </w:rPr>
              <w:t>水文</w:t>
            </w:r>
          </w:p>
        </w:tc>
        <w:tc>
          <w:tcPr>
            <w:tcW w:w="3204" w:type="dxa"/>
            <w:gridSpan w:val="2"/>
            <w:vAlign w:val="center"/>
          </w:tcPr>
          <w:p w14:paraId="0EF57965">
            <w:pPr>
              <w:pStyle w:val="70"/>
              <w:rPr>
                <w:color w:val="000000" w:themeColor="text1"/>
                <w14:textFill>
                  <w14:solidFill>
                    <w14:schemeClr w14:val="tx1"/>
                  </w14:solidFill>
                </w14:textFill>
              </w:rPr>
            </w:pPr>
            <w:r>
              <w:rPr>
                <w:color w:val="000000" w:themeColor="text1"/>
                <w14:textFill>
                  <w14:solidFill>
                    <w14:schemeClr w14:val="tx1"/>
                  </w14:solidFill>
                </w14:textFill>
              </w:rPr>
              <w:t>人为造成当地水温升高夏季不</w:t>
            </w:r>
          </w:p>
          <w:p w14:paraId="3B1B50D5">
            <w:pPr>
              <w:pStyle w:val="70"/>
              <w:rPr>
                <w:color w:val="000000" w:themeColor="text1"/>
                <w14:textFill>
                  <w14:solidFill>
                    <w14:schemeClr w14:val="tx1"/>
                  </w14:solidFill>
                </w14:textFill>
              </w:rPr>
            </w:pPr>
            <w:r>
              <w:rPr>
                <w:color w:val="000000" w:themeColor="text1"/>
                <w14:textFill>
                  <w14:solidFill>
                    <w14:schemeClr w14:val="tx1"/>
                  </w14:solidFill>
                </w14:textFill>
              </w:rPr>
              <w:t>超过1℃，其他季节不超过2℃</w:t>
            </w:r>
          </w:p>
        </w:tc>
        <w:tc>
          <w:tcPr>
            <w:tcW w:w="3014" w:type="dxa"/>
            <w:gridSpan w:val="2"/>
            <w:vAlign w:val="center"/>
          </w:tcPr>
          <w:p w14:paraId="5AF5E39E">
            <w:pPr>
              <w:pStyle w:val="70"/>
              <w:rPr>
                <w:color w:val="000000" w:themeColor="text1"/>
                <w14:textFill>
                  <w14:solidFill>
                    <w14:schemeClr w14:val="tx1"/>
                  </w14:solidFill>
                </w14:textFill>
              </w:rPr>
            </w:pPr>
            <w:r>
              <w:rPr>
                <w:color w:val="000000" w:themeColor="text1"/>
                <w14:textFill>
                  <w14:solidFill>
                    <w14:schemeClr w14:val="tx1"/>
                  </w14:solidFill>
                </w14:textFill>
              </w:rPr>
              <w:t>人为造成当地水温升不超过4℃</w:t>
            </w:r>
          </w:p>
        </w:tc>
      </w:tr>
      <w:tr w14:paraId="636EF5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73B5643F">
            <w:pPr>
              <w:pStyle w:val="70"/>
              <w:numPr>
                <w:ilvl w:val="0"/>
                <w:numId w:val="12"/>
              </w:numPr>
              <w:rPr>
                <w:color w:val="000000" w:themeColor="text1"/>
                <w14:textFill>
                  <w14:solidFill>
                    <w14:schemeClr w14:val="tx1"/>
                  </w14:solidFill>
                </w14:textFill>
              </w:rPr>
            </w:pPr>
          </w:p>
        </w:tc>
        <w:tc>
          <w:tcPr>
            <w:tcW w:w="2369" w:type="dxa"/>
            <w:vAlign w:val="center"/>
          </w:tcPr>
          <w:p w14:paraId="6085FB9E">
            <w:pPr>
              <w:pStyle w:val="70"/>
              <w:rPr>
                <w:color w:val="000000" w:themeColor="text1"/>
                <w14:textFill>
                  <w14:solidFill>
                    <w14:schemeClr w14:val="tx1"/>
                  </w14:solidFill>
                </w14:textFill>
              </w:rPr>
            </w:pPr>
            <w:r>
              <w:rPr>
                <w:color w:val="000000" w:themeColor="text1"/>
                <w14:textFill>
                  <w14:solidFill>
                    <w14:schemeClr w14:val="tx1"/>
                  </w14:solidFill>
                </w14:textFill>
              </w:rPr>
              <w:t>pH值</w:t>
            </w:r>
          </w:p>
        </w:tc>
        <w:tc>
          <w:tcPr>
            <w:tcW w:w="3204" w:type="dxa"/>
            <w:gridSpan w:val="2"/>
            <w:vAlign w:val="center"/>
          </w:tcPr>
          <w:p w14:paraId="0BCE258B">
            <w:pPr>
              <w:pStyle w:val="70"/>
              <w:rPr>
                <w:color w:val="000000" w:themeColor="text1"/>
                <w14:textFill>
                  <w14:solidFill>
                    <w14:schemeClr w14:val="tx1"/>
                  </w14:solidFill>
                </w14:textFill>
              </w:rPr>
            </w:pPr>
            <w:r>
              <w:rPr>
                <w:color w:val="000000" w:themeColor="text1"/>
                <w14:textFill>
                  <w14:solidFill>
                    <w14:schemeClr w14:val="tx1"/>
                  </w14:solidFill>
                </w14:textFill>
              </w:rPr>
              <w:t>7.8～8.5，同时不超出该海域</w:t>
            </w:r>
          </w:p>
          <w:p w14:paraId="7B344DB4">
            <w:pPr>
              <w:pStyle w:val="70"/>
              <w:rPr>
                <w:color w:val="000000" w:themeColor="text1"/>
                <w14:textFill>
                  <w14:solidFill>
                    <w14:schemeClr w14:val="tx1"/>
                  </w14:solidFill>
                </w14:textFill>
              </w:rPr>
            </w:pPr>
            <w:r>
              <w:rPr>
                <w:color w:val="000000" w:themeColor="text1"/>
                <w14:textFill>
                  <w14:solidFill>
                    <w14:schemeClr w14:val="tx1"/>
                  </w14:solidFill>
                </w14:textFill>
              </w:rPr>
              <w:t>正常变动范围的0.2pH 单位</w:t>
            </w:r>
          </w:p>
        </w:tc>
        <w:tc>
          <w:tcPr>
            <w:tcW w:w="3014" w:type="dxa"/>
            <w:gridSpan w:val="2"/>
            <w:vAlign w:val="center"/>
          </w:tcPr>
          <w:p w14:paraId="03E416DF">
            <w:pPr>
              <w:pStyle w:val="70"/>
              <w:rPr>
                <w:color w:val="000000" w:themeColor="text1"/>
                <w14:textFill>
                  <w14:solidFill>
                    <w14:schemeClr w14:val="tx1"/>
                  </w14:solidFill>
                </w14:textFill>
              </w:rPr>
            </w:pPr>
            <w:r>
              <w:rPr>
                <w:color w:val="000000" w:themeColor="text1"/>
                <w14:textFill>
                  <w14:solidFill>
                    <w14:schemeClr w14:val="tx1"/>
                  </w14:solidFill>
                </w14:textFill>
              </w:rPr>
              <w:t>6.8～8.8，同时不超出该海域</w:t>
            </w:r>
          </w:p>
          <w:p w14:paraId="3E20BB8B">
            <w:pPr>
              <w:pStyle w:val="70"/>
              <w:rPr>
                <w:color w:val="000000" w:themeColor="text1"/>
                <w14:textFill>
                  <w14:solidFill>
                    <w14:schemeClr w14:val="tx1"/>
                  </w14:solidFill>
                </w14:textFill>
              </w:rPr>
            </w:pPr>
            <w:r>
              <w:rPr>
                <w:color w:val="000000" w:themeColor="text1"/>
                <w14:textFill>
                  <w14:solidFill>
                    <w14:schemeClr w14:val="tx1"/>
                  </w14:solidFill>
                </w14:textFill>
              </w:rPr>
              <w:t>正常变动范围的0.5pH 单位</w:t>
            </w:r>
          </w:p>
        </w:tc>
      </w:tr>
      <w:tr w14:paraId="3A0565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146401B9">
            <w:pPr>
              <w:pStyle w:val="70"/>
              <w:numPr>
                <w:ilvl w:val="0"/>
                <w:numId w:val="12"/>
              </w:numPr>
              <w:rPr>
                <w:color w:val="000000" w:themeColor="text1"/>
                <w14:textFill>
                  <w14:solidFill>
                    <w14:schemeClr w14:val="tx1"/>
                  </w14:solidFill>
                </w14:textFill>
              </w:rPr>
            </w:pPr>
          </w:p>
        </w:tc>
        <w:tc>
          <w:tcPr>
            <w:tcW w:w="2369" w:type="dxa"/>
            <w:vAlign w:val="center"/>
          </w:tcPr>
          <w:p w14:paraId="337F22EB">
            <w:pPr>
              <w:pStyle w:val="70"/>
              <w:rPr>
                <w:color w:val="000000" w:themeColor="text1"/>
                <w14:textFill>
                  <w14:solidFill>
                    <w14:schemeClr w14:val="tx1"/>
                  </w14:solidFill>
                </w14:textFill>
              </w:rPr>
            </w:pPr>
            <w:r>
              <w:rPr>
                <w:color w:val="000000" w:themeColor="text1"/>
                <w14:textFill>
                  <w14:solidFill>
                    <w14:schemeClr w14:val="tx1"/>
                  </w14:solidFill>
                </w14:textFill>
              </w:rPr>
              <w:t>悬浮物</w:t>
            </w:r>
          </w:p>
        </w:tc>
        <w:tc>
          <w:tcPr>
            <w:tcW w:w="3204" w:type="dxa"/>
            <w:gridSpan w:val="2"/>
            <w:vAlign w:val="center"/>
          </w:tcPr>
          <w:p w14:paraId="5E4A51EC">
            <w:pPr>
              <w:pStyle w:val="70"/>
              <w:rPr>
                <w:color w:val="000000" w:themeColor="text1"/>
                <w14:textFill>
                  <w14:solidFill>
                    <w14:schemeClr w14:val="tx1"/>
                  </w14:solidFill>
                </w14:textFill>
              </w:rPr>
            </w:pPr>
            <w:r>
              <w:rPr>
                <w:color w:val="000000" w:themeColor="text1"/>
                <w14:textFill>
                  <w14:solidFill>
                    <w14:schemeClr w14:val="tx1"/>
                  </w14:solidFill>
                </w14:textFill>
              </w:rPr>
              <w:t>人为增加的量≤10</w:t>
            </w:r>
          </w:p>
        </w:tc>
        <w:tc>
          <w:tcPr>
            <w:tcW w:w="1508" w:type="dxa"/>
            <w:vAlign w:val="center"/>
          </w:tcPr>
          <w:p w14:paraId="0A1F098F">
            <w:pPr>
              <w:pStyle w:val="70"/>
              <w:rPr>
                <w:color w:val="000000" w:themeColor="text1"/>
                <w14:textFill>
                  <w14:solidFill>
                    <w14:schemeClr w14:val="tx1"/>
                  </w14:solidFill>
                </w14:textFill>
              </w:rPr>
            </w:pPr>
            <w:r>
              <w:rPr>
                <w:color w:val="000000" w:themeColor="text1"/>
                <w14:textFill>
                  <w14:solidFill>
                    <w14:schemeClr w14:val="tx1"/>
                  </w14:solidFill>
                </w14:textFill>
              </w:rPr>
              <w:t>人为增加的量≤100</w:t>
            </w:r>
          </w:p>
        </w:tc>
        <w:tc>
          <w:tcPr>
            <w:tcW w:w="1506" w:type="dxa"/>
            <w:vAlign w:val="center"/>
          </w:tcPr>
          <w:p w14:paraId="7A7A09F2">
            <w:pPr>
              <w:pStyle w:val="70"/>
              <w:rPr>
                <w:color w:val="000000" w:themeColor="text1"/>
                <w14:textFill>
                  <w14:solidFill>
                    <w14:schemeClr w14:val="tx1"/>
                  </w14:solidFill>
                </w14:textFill>
              </w:rPr>
            </w:pPr>
            <w:r>
              <w:rPr>
                <w:color w:val="000000" w:themeColor="text1"/>
                <w14:textFill>
                  <w14:solidFill>
                    <w14:schemeClr w14:val="tx1"/>
                  </w14:solidFill>
                </w14:textFill>
              </w:rPr>
              <w:t>人为增加的量≤150</w:t>
            </w:r>
          </w:p>
        </w:tc>
      </w:tr>
      <w:tr w14:paraId="0D9E90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461857D1">
            <w:pPr>
              <w:pStyle w:val="70"/>
              <w:numPr>
                <w:ilvl w:val="0"/>
                <w:numId w:val="12"/>
              </w:numPr>
              <w:rPr>
                <w:color w:val="000000" w:themeColor="text1"/>
                <w14:textFill>
                  <w14:solidFill>
                    <w14:schemeClr w14:val="tx1"/>
                  </w14:solidFill>
                </w14:textFill>
              </w:rPr>
            </w:pPr>
          </w:p>
        </w:tc>
        <w:tc>
          <w:tcPr>
            <w:tcW w:w="2369" w:type="dxa"/>
            <w:vAlign w:val="center"/>
          </w:tcPr>
          <w:p w14:paraId="1840857E">
            <w:pPr>
              <w:pStyle w:val="70"/>
              <w:rPr>
                <w:color w:val="000000" w:themeColor="text1"/>
                <w14:textFill>
                  <w14:solidFill>
                    <w14:schemeClr w14:val="tx1"/>
                  </w14:solidFill>
                </w14:textFill>
              </w:rPr>
            </w:pPr>
            <w:r>
              <w:rPr>
                <w:color w:val="000000" w:themeColor="text1"/>
                <w14:textFill>
                  <w14:solidFill>
                    <w14:schemeClr w14:val="tx1"/>
                  </w14:solidFill>
                </w14:textFill>
              </w:rPr>
              <w:t>溶解氧</w:t>
            </w:r>
          </w:p>
        </w:tc>
        <w:tc>
          <w:tcPr>
            <w:tcW w:w="1698" w:type="dxa"/>
            <w:vAlign w:val="center"/>
          </w:tcPr>
          <w:p w14:paraId="5D1105EA">
            <w:pPr>
              <w:pStyle w:val="70"/>
              <w:rPr>
                <w:color w:val="000000" w:themeColor="text1"/>
                <w14:textFill>
                  <w14:solidFill>
                    <w14:schemeClr w14:val="tx1"/>
                  </w14:solidFill>
                </w14:textFill>
              </w:rPr>
            </w:pPr>
            <w:r>
              <w:rPr>
                <w:color w:val="000000" w:themeColor="text1"/>
                <w14:textFill>
                  <w14:solidFill>
                    <w14:schemeClr w14:val="tx1"/>
                  </w14:solidFill>
                </w14:textFill>
              </w:rPr>
              <w:t>6</w:t>
            </w:r>
          </w:p>
        </w:tc>
        <w:tc>
          <w:tcPr>
            <w:tcW w:w="1506" w:type="dxa"/>
            <w:vAlign w:val="center"/>
          </w:tcPr>
          <w:p w14:paraId="2FA01B28">
            <w:pPr>
              <w:pStyle w:val="70"/>
              <w:rPr>
                <w:color w:val="000000" w:themeColor="text1"/>
                <w14:textFill>
                  <w14:solidFill>
                    <w14:schemeClr w14:val="tx1"/>
                  </w14:solidFill>
                </w14:textFill>
              </w:rPr>
            </w:pPr>
            <w:r>
              <w:rPr>
                <w:color w:val="000000" w:themeColor="text1"/>
                <w14:textFill>
                  <w14:solidFill>
                    <w14:schemeClr w14:val="tx1"/>
                  </w14:solidFill>
                </w14:textFill>
              </w:rPr>
              <w:t>5</w:t>
            </w:r>
          </w:p>
        </w:tc>
        <w:tc>
          <w:tcPr>
            <w:tcW w:w="1508" w:type="dxa"/>
            <w:vAlign w:val="center"/>
          </w:tcPr>
          <w:p w14:paraId="368F9126">
            <w:pPr>
              <w:pStyle w:val="70"/>
              <w:rPr>
                <w:color w:val="000000" w:themeColor="text1"/>
                <w14:textFill>
                  <w14:solidFill>
                    <w14:schemeClr w14:val="tx1"/>
                  </w14:solidFill>
                </w14:textFill>
              </w:rPr>
            </w:pPr>
            <w:r>
              <w:rPr>
                <w:color w:val="000000" w:themeColor="text1"/>
                <w14:textFill>
                  <w14:solidFill>
                    <w14:schemeClr w14:val="tx1"/>
                  </w14:solidFill>
                </w14:textFill>
              </w:rPr>
              <w:t>4</w:t>
            </w:r>
          </w:p>
        </w:tc>
        <w:tc>
          <w:tcPr>
            <w:tcW w:w="1506" w:type="dxa"/>
            <w:vAlign w:val="center"/>
          </w:tcPr>
          <w:p w14:paraId="43885B52">
            <w:pPr>
              <w:pStyle w:val="70"/>
              <w:rPr>
                <w:color w:val="000000" w:themeColor="text1"/>
                <w14:textFill>
                  <w14:solidFill>
                    <w14:schemeClr w14:val="tx1"/>
                  </w14:solidFill>
                </w14:textFill>
              </w:rPr>
            </w:pPr>
            <w:r>
              <w:rPr>
                <w:color w:val="000000" w:themeColor="text1"/>
                <w14:textFill>
                  <w14:solidFill>
                    <w14:schemeClr w14:val="tx1"/>
                  </w14:solidFill>
                </w14:textFill>
              </w:rPr>
              <w:t>3</w:t>
            </w:r>
          </w:p>
        </w:tc>
      </w:tr>
      <w:tr w14:paraId="74CD36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6110ACBF">
            <w:pPr>
              <w:pStyle w:val="70"/>
              <w:numPr>
                <w:ilvl w:val="0"/>
                <w:numId w:val="12"/>
              </w:numPr>
              <w:rPr>
                <w:color w:val="000000" w:themeColor="text1"/>
                <w14:textFill>
                  <w14:solidFill>
                    <w14:schemeClr w14:val="tx1"/>
                  </w14:solidFill>
                </w14:textFill>
              </w:rPr>
            </w:pPr>
          </w:p>
        </w:tc>
        <w:tc>
          <w:tcPr>
            <w:tcW w:w="2369" w:type="dxa"/>
            <w:vAlign w:val="center"/>
          </w:tcPr>
          <w:p w14:paraId="4A6688C5">
            <w:pPr>
              <w:pStyle w:val="70"/>
              <w:rPr>
                <w:color w:val="000000" w:themeColor="text1"/>
                <w14:textFill>
                  <w14:solidFill>
                    <w14:schemeClr w14:val="tx1"/>
                  </w14:solidFill>
                </w14:textFill>
              </w:rPr>
            </w:pPr>
            <w:r>
              <w:rPr>
                <w:color w:val="000000" w:themeColor="text1"/>
                <w14:textFill>
                  <w14:solidFill>
                    <w14:schemeClr w14:val="tx1"/>
                  </w14:solidFill>
                </w14:textFill>
              </w:rPr>
              <w:t>化学需氧量</w:t>
            </w:r>
          </w:p>
        </w:tc>
        <w:tc>
          <w:tcPr>
            <w:tcW w:w="1698" w:type="dxa"/>
            <w:vAlign w:val="center"/>
          </w:tcPr>
          <w:p w14:paraId="39520C56">
            <w:pPr>
              <w:pStyle w:val="70"/>
              <w:rPr>
                <w:color w:val="000000" w:themeColor="text1"/>
                <w14:textFill>
                  <w14:solidFill>
                    <w14:schemeClr w14:val="tx1"/>
                  </w14:solidFill>
                </w14:textFill>
              </w:rPr>
            </w:pPr>
            <w:r>
              <w:rPr>
                <w:color w:val="000000" w:themeColor="text1"/>
                <w14:textFill>
                  <w14:solidFill>
                    <w14:schemeClr w14:val="tx1"/>
                  </w14:solidFill>
                </w14:textFill>
              </w:rPr>
              <w:t>2</w:t>
            </w:r>
          </w:p>
        </w:tc>
        <w:tc>
          <w:tcPr>
            <w:tcW w:w="1506" w:type="dxa"/>
            <w:vAlign w:val="center"/>
          </w:tcPr>
          <w:p w14:paraId="4FE01114">
            <w:pPr>
              <w:pStyle w:val="7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508" w:type="dxa"/>
            <w:vAlign w:val="center"/>
          </w:tcPr>
          <w:p w14:paraId="5A652018">
            <w:pPr>
              <w:pStyle w:val="70"/>
              <w:rPr>
                <w:color w:val="000000" w:themeColor="text1"/>
                <w14:textFill>
                  <w14:solidFill>
                    <w14:schemeClr w14:val="tx1"/>
                  </w14:solidFill>
                </w14:textFill>
              </w:rPr>
            </w:pPr>
            <w:r>
              <w:rPr>
                <w:color w:val="000000" w:themeColor="text1"/>
                <w14:textFill>
                  <w14:solidFill>
                    <w14:schemeClr w14:val="tx1"/>
                  </w14:solidFill>
                </w14:textFill>
              </w:rPr>
              <w:t>4</w:t>
            </w:r>
          </w:p>
        </w:tc>
        <w:tc>
          <w:tcPr>
            <w:tcW w:w="1506" w:type="dxa"/>
            <w:vAlign w:val="center"/>
          </w:tcPr>
          <w:p w14:paraId="2B6916BE">
            <w:pPr>
              <w:pStyle w:val="70"/>
              <w:rPr>
                <w:color w:val="000000" w:themeColor="text1"/>
                <w14:textFill>
                  <w14:solidFill>
                    <w14:schemeClr w14:val="tx1"/>
                  </w14:solidFill>
                </w14:textFill>
              </w:rPr>
            </w:pPr>
            <w:r>
              <w:rPr>
                <w:color w:val="000000" w:themeColor="text1"/>
                <w14:textFill>
                  <w14:solidFill>
                    <w14:schemeClr w14:val="tx1"/>
                  </w14:solidFill>
                </w14:textFill>
              </w:rPr>
              <w:t>5</w:t>
            </w:r>
          </w:p>
        </w:tc>
      </w:tr>
      <w:tr w14:paraId="28E324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34AC68F9">
            <w:pPr>
              <w:pStyle w:val="70"/>
              <w:numPr>
                <w:ilvl w:val="0"/>
                <w:numId w:val="12"/>
              </w:numPr>
              <w:rPr>
                <w:color w:val="000000" w:themeColor="text1"/>
                <w14:textFill>
                  <w14:solidFill>
                    <w14:schemeClr w14:val="tx1"/>
                  </w14:solidFill>
                </w14:textFill>
              </w:rPr>
            </w:pPr>
          </w:p>
        </w:tc>
        <w:tc>
          <w:tcPr>
            <w:tcW w:w="2369" w:type="dxa"/>
            <w:vAlign w:val="center"/>
          </w:tcPr>
          <w:p w14:paraId="557B2CB4">
            <w:pPr>
              <w:pStyle w:val="70"/>
              <w:rPr>
                <w:color w:val="000000" w:themeColor="text1"/>
                <w14:textFill>
                  <w14:solidFill>
                    <w14:schemeClr w14:val="tx1"/>
                  </w14:solidFill>
                </w14:textFill>
              </w:rPr>
            </w:pPr>
            <w:r>
              <w:rPr>
                <w:color w:val="000000" w:themeColor="text1"/>
                <w14:textFill>
                  <w14:solidFill>
                    <w14:schemeClr w14:val="tx1"/>
                  </w14:solidFill>
                </w14:textFill>
              </w:rPr>
              <w:t>生化需氧量</w:t>
            </w:r>
          </w:p>
        </w:tc>
        <w:tc>
          <w:tcPr>
            <w:tcW w:w="1698" w:type="dxa"/>
            <w:vAlign w:val="center"/>
          </w:tcPr>
          <w:p w14:paraId="120D08AD">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c>
          <w:tcPr>
            <w:tcW w:w="1506" w:type="dxa"/>
            <w:vAlign w:val="center"/>
          </w:tcPr>
          <w:p w14:paraId="52DB2940">
            <w:pPr>
              <w:pStyle w:val="7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508" w:type="dxa"/>
            <w:vAlign w:val="center"/>
          </w:tcPr>
          <w:p w14:paraId="2EACA70F">
            <w:pPr>
              <w:pStyle w:val="70"/>
              <w:rPr>
                <w:color w:val="000000" w:themeColor="text1"/>
                <w14:textFill>
                  <w14:solidFill>
                    <w14:schemeClr w14:val="tx1"/>
                  </w14:solidFill>
                </w14:textFill>
              </w:rPr>
            </w:pPr>
            <w:r>
              <w:rPr>
                <w:color w:val="000000" w:themeColor="text1"/>
                <w14:textFill>
                  <w14:solidFill>
                    <w14:schemeClr w14:val="tx1"/>
                  </w14:solidFill>
                </w14:textFill>
              </w:rPr>
              <w:t>4</w:t>
            </w:r>
          </w:p>
        </w:tc>
        <w:tc>
          <w:tcPr>
            <w:tcW w:w="1506" w:type="dxa"/>
            <w:vAlign w:val="center"/>
          </w:tcPr>
          <w:p w14:paraId="13D42C12">
            <w:pPr>
              <w:pStyle w:val="70"/>
              <w:rPr>
                <w:color w:val="000000" w:themeColor="text1"/>
                <w14:textFill>
                  <w14:solidFill>
                    <w14:schemeClr w14:val="tx1"/>
                  </w14:solidFill>
                </w14:textFill>
              </w:rPr>
            </w:pPr>
            <w:r>
              <w:rPr>
                <w:color w:val="000000" w:themeColor="text1"/>
                <w14:textFill>
                  <w14:solidFill>
                    <w14:schemeClr w14:val="tx1"/>
                  </w14:solidFill>
                </w14:textFill>
              </w:rPr>
              <w:t>5</w:t>
            </w:r>
          </w:p>
        </w:tc>
      </w:tr>
      <w:tr w14:paraId="6DBB3B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05481042">
            <w:pPr>
              <w:pStyle w:val="70"/>
              <w:numPr>
                <w:ilvl w:val="0"/>
                <w:numId w:val="12"/>
              </w:numPr>
              <w:rPr>
                <w:color w:val="000000" w:themeColor="text1"/>
                <w14:textFill>
                  <w14:solidFill>
                    <w14:schemeClr w14:val="tx1"/>
                  </w14:solidFill>
                </w14:textFill>
              </w:rPr>
            </w:pPr>
          </w:p>
        </w:tc>
        <w:tc>
          <w:tcPr>
            <w:tcW w:w="2369" w:type="dxa"/>
            <w:vAlign w:val="center"/>
          </w:tcPr>
          <w:p w14:paraId="6F2CD8E7">
            <w:pPr>
              <w:pStyle w:val="70"/>
              <w:rPr>
                <w:color w:val="000000" w:themeColor="text1"/>
                <w14:textFill>
                  <w14:solidFill>
                    <w14:schemeClr w14:val="tx1"/>
                  </w14:solidFill>
                </w14:textFill>
              </w:rPr>
            </w:pPr>
            <w:r>
              <w:rPr>
                <w:color w:val="000000" w:themeColor="text1"/>
                <w14:textFill>
                  <w14:solidFill>
                    <w14:schemeClr w14:val="tx1"/>
                  </w14:solidFill>
                </w14:textFill>
              </w:rPr>
              <w:t>无机氮（以N计）</w:t>
            </w:r>
          </w:p>
        </w:tc>
        <w:tc>
          <w:tcPr>
            <w:tcW w:w="1698" w:type="dxa"/>
            <w:vAlign w:val="center"/>
          </w:tcPr>
          <w:p w14:paraId="613BB7B6">
            <w:pPr>
              <w:pStyle w:val="70"/>
              <w:rPr>
                <w:color w:val="000000" w:themeColor="text1"/>
                <w14:textFill>
                  <w14:solidFill>
                    <w14:schemeClr w14:val="tx1"/>
                  </w14:solidFill>
                </w14:textFill>
              </w:rPr>
            </w:pPr>
            <w:r>
              <w:rPr>
                <w:color w:val="000000" w:themeColor="text1"/>
                <w14:textFill>
                  <w14:solidFill>
                    <w14:schemeClr w14:val="tx1"/>
                  </w14:solidFill>
                </w14:textFill>
              </w:rPr>
              <w:t>0.2</w:t>
            </w:r>
          </w:p>
        </w:tc>
        <w:tc>
          <w:tcPr>
            <w:tcW w:w="1506" w:type="dxa"/>
            <w:vAlign w:val="center"/>
          </w:tcPr>
          <w:p w14:paraId="1CD5A808">
            <w:pPr>
              <w:pStyle w:val="70"/>
              <w:rPr>
                <w:color w:val="000000" w:themeColor="text1"/>
                <w14:textFill>
                  <w14:solidFill>
                    <w14:schemeClr w14:val="tx1"/>
                  </w14:solidFill>
                </w14:textFill>
              </w:rPr>
            </w:pPr>
            <w:r>
              <w:rPr>
                <w:color w:val="000000" w:themeColor="text1"/>
                <w14:textFill>
                  <w14:solidFill>
                    <w14:schemeClr w14:val="tx1"/>
                  </w14:solidFill>
                </w14:textFill>
              </w:rPr>
              <w:t>0.3</w:t>
            </w:r>
          </w:p>
        </w:tc>
        <w:tc>
          <w:tcPr>
            <w:tcW w:w="1508" w:type="dxa"/>
            <w:vAlign w:val="center"/>
          </w:tcPr>
          <w:p w14:paraId="09D95A6C">
            <w:pPr>
              <w:pStyle w:val="70"/>
              <w:rPr>
                <w:color w:val="000000" w:themeColor="text1"/>
                <w14:textFill>
                  <w14:solidFill>
                    <w14:schemeClr w14:val="tx1"/>
                  </w14:solidFill>
                </w14:textFill>
              </w:rPr>
            </w:pPr>
            <w:r>
              <w:rPr>
                <w:color w:val="000000" w:themeColor="text1"/>
                <w14:textFill>
                  <w14:solidFill>
                    <w14:schemeClr w14:val="tx1"/>
                  </w14:solidFill>
                </w14:textFill>
              </w:rPr>
              <w:t>0.4</w:t>
            </w:r>
          </w:p>
        </w:tc>
        <w:tc>
          <w:tcPr>
            <w:tcW w:w="1506" w:type="dxa"/>
            <w:vAlign w:val="center"/>
          </w:tcPr>
          <w:p w14:paraId="430563E0">
            <w:pPr>
              <w:pStyle w:val="70"/>
              <w:rPr>
                <w:color w:val="000000" w:themeColor="text1"/>
                <w14:textFill>
                  <w14:solidFill>
                    <w14:schemeClr w14:val="tx1"/>
                  </w14:solidFill>
                </w14:textFill>
              </w:rPr>
            </w:pPr>
            <w:r>
              <w:rPr>
                <w:color w:val="000000" w:themeColor="text1"/>
                <w14:textFill>
                  <w14:solidFill>
                    <w14:schemeClr w14:val="tx1"/>
                  </w14:solidFill>
                </w14:textFill>
              </w:rPr>
              <w:t>0.5</w:t>
            </w:r>
          </w:p>
        </w:tc>
      </w:tr>
      <w:tr w14:paraId="2D5616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1E38548A">
            <w:pPr>
              <w:pStyle w:val="70"/>
              <w:numPr>
                <w:ilvl w:val="0"/>
                <w:numId w:val="12"/>
              </w:numPr>
              <w:rPr>
                <w:color w:val="000000" w:themeColor="text1"/>
                <w14:textFill>
                  <w14:solidFill>
                    <w14:schemeClr w14:val="tx1"/>
                  </w14:solidFill>
                </w14:textFill>
              </w:rPr>
            </w:pPr>
          </w:p>
        </w:tc>
        <w:tc>
          <w:tcPr>
            <w:tcW w:w="2369" w:type="dxa"/>
            <w:vAlign w:val="center"/>
          </w:tcPr>
          <w:p w14:paraId="5B084F3E">
            <w:pPr>
              <w:pStyle w:val="70"/>
              <w:rPr>
                <w:color w:val="000000" w:themeColor="text1"/>
                <w14:textFill>
                  <w14:solidFill>
                    <w14:schemeClr w14:val="tx1"/>
                  </w14:solidFill>
                </w14:textFill>
              </w:rPr>
            </w:pPr>
            <w:r>
              <w:rPr>
                <w:color w:val="000000" w:themeColor="text1"/>
                <w14:textFill>
                  <w14:solidFill>
                    <w14:schemeClr w14:val="tx1"/>
                  </w14:solidFill>
                </w14:textFill>
              </w:rPr>
              <w:t>非离子氨（以N计）</w:t>
            </w:r>
          </w:p>
        </w:tc>
        <w:tc>
          <w:tcPr>
            <w:tcW w:w="6218" w:type="dxa"/>
            <w:gridSpan w:val="4"/>
            <w:vAlign w:val="center"/>
          </w:tcPr>
          <w:p w14:paraId="3F7251DB">
            <w:pPr>
              <w:pStyle w:val="70"/>
              <w:rPr>
                <w:color w:val="000000" w:themeColor="text1"/>
                <w14:textFill>
                  <w14:solidFill>
                    <w14:schemeClr w14:val="tx1"/>
                  </w14:solidFill>
                </w14:textFill>
              </w:rPr>
            </w:pPr>
            <w:r>
              <w:rPr>
                <w:color w:val="000000" w:themeColor="text1"/>
                <w14:textFill>
                  <w14:solidFill>
                    <w14:schemeClr w14:val="tx1"/>
                  </w14:solidFill>
                </w14:textFill>
              </w:rPr>
              <w:t>0.02</w:t>
            </w:r>
          </w:p>
        </w:tc>
      </w:tr>
      <w:tr w14:paraId="1432E6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2D6A3977">
            <w:pPr>
              <w:pStyle w:val="70"/>
              <w:numPr>
                <w:ilvl w:val="0"/>
                <w:numId w:val="12"/>
              </w:numPr>
              <w:rPr>
                <w:color w:val="000000" w:themeColor="text1"/>
                <w14:textFill>
                  <w14:solidFill>
                    <w14:schemeClr w14:val="tx1"/>
                  </w14:solidFill>
                </w14:textFill>
              </w:rPr>
            </w:pPr>
          </w:p>
        </w:tc>
        <w:tc>
          <w:tcPr>
            <w:tcW w:w="2369" w:type="dxa"/>
            <w:vAlign w:val="center"/>
          </w:tcPr>
          <w:p w14:paraId="55F5EFC0">
            <w:pPr>
              <w:pStyle w:val="70"/>
              <w:rPr>
                <w:color w:val="000000" w:themeColor="text1"/>
                <w14:textFill>
                  <w14:solidFill>
                    <w14:schemeClr w14:val="tx1"/>
                  </w14:solidFill>
                </w14:textFill>
              </w:rPr>
            </w:pPr>
            <w:r>
              <w:rPr>
                <w:color w:val="000000" w:themeColor="text1"/>
                <w14:textFill>
                  <w14:solidFill>
                    <w14:schemeClr w14:val="tx1"/>
                  </w14:solidFill>
                </w14:textFill>
              </w:rPr>
              <w:t>活性磷酸盐（以P计）</w:t>
            </w:r>
          </w:p>
        </w:tc>
        <w:tc>
          <w:tcPr>
            <w:tcW w:w="1698" w:type="dxa"/>
            <w:vAlign w:val="center"/>
          </w:tcPr>
          <w:p w14:paraId="7CE483E6">
            <w:pPr>
              <w:pStyle w:val="70"/>
              <w:rPr>
                <w:color w:val="000000" w:themeColor="text1"/>
                <w14:textFill>
                  <w14:solidFill>
                    <w14:schemeClr w14:val="tx1"/>
                  </w14:solidFill>
                </w14:textFill>
              </w:rPr>
            </w:pPr>
            <w:r>
              <w:rPr>
                <w:color w:val="000000" w:themeColor="text1"/>
                <w14:textFill>
                  <w14:solidFill>
                    <w14:schemeClr w14:val="tx1"/>
                  </w14:solidFill>
                </w14:textFill>
              </w:rPr>
              <w:t>0.015</w:t>
            </w:r>
          </w:p>
        </w:tc>
        <w:tc>
          <w:tcPr>
            <w:tcW w:w="3014" w:type="dxa"/>
            <w:gridSpan w:val="2"/>
            <w:vAlign w:val="center"/>
          </w:tcPr>
          <w:p w14:paraId="5FCFD2D4">
            <w:pPr>
              <w:pStyle w:val="70"/>
              <w:rPr>
                <w:color w:val="000000" w:themeColor="text1"/>
                <w14:textFill>
                  <w14:solidFill>
                    <w14:schemeClr w14:val="tx1"/>
                  </w14:solidFill>
                </w14:textFill>
              </w:rPr>
            </w:pPr>
            <w:r>
              <w:rPr>
                <w:color w:val="000000" w:themeColor="text1"/>
                <w14:textFill>
                  <w14:solidFill>
                    <w14:schemeClr w14:val="tx1"/>
                  </w14:solidFill>
                </w14:textFill>
              </w:rPr>
              <w:t>0.03</w:t>
            </w:r>
          </w:p>
        </w:tc>
        <w:tc>
          <w:tcPr>
            <w:tcW w:w="1506" w:type="dxa"/>
            <w:vAlign w:val="center"/>
          </w:tcPr>
          <w:p w14:paraId="60326ABD">
            <w:pPr>
              <w:pStyle w:val="70"/>
              <w:rPr>
                <w:color w:val="000000" w:themeColor="text1"/>
                <w14:textFill>
                  <w14:solidFill>
                    <w14:schemeClr w14:val="tx1"/>
                  </w14:solidFill>
                </w14:textFill>
              </w:rPr>
            </w:pPr>
            <w:r>
              <w:rPr>
                <w:color w:val="000000" w:themeColor="text1"/>
                <w14:textFill>
                  <w14:solidFill>
                    <w14:schemeClr w14:val="tx1"/>
                  </w14:solidFill>
                </w14:textFill>
              </w:rPr>
              <w:t>0.045</w:t>
            </w:r>
          </w:p>
        </w:tc>
      </w:tr>
      <w:tr w14:paraId="3F1E02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3180A8A8">
            <w:pPr>
              <w:pStyle w:val="70"/>
              <w:numPr>
                <w:ilvl w:val="0"/>
                <w:numId w:val="12"/>
              </w:numPr>
              <w:rPr>
                <w:color w:val="000000" w:themeColor="text1"/>
                <w14:textFill>
                  <w14:solidFill>
                    <w14:schemeClr w14:val="tx1"/>
                  </w14:solidFill>
                </w14:textFill>
              </w:rPr>
            </w:pPr>
          </w:p>
        </w:tc>
        <w:tc>
          <w:tcPr>
            <w:tcW w:w="2369" w:type="dxa"/>
            <w:vAlign w:val="center"/>
          </w:tcPr>
          <w:p w14:paraId="7B71D584">
            <w:pPr>
              <w:pStyle w:val="70"/>
              <w:rPr>
                <w:color w:val="000000" w:themeColor="text1"/>
                <w14:textFill>
                  <w14:solidFill>
                    <w14:schemeClr w14:val="tx1"/>
                  </w14:solidFill>
                </w14:textFill>
              </w:rPr>
            </w:pPr>
            <w:r>
              <w:rPr>
                <w:color w:val="000000" w:themeColor="text1"/>
                <w14:textFill>
                  <w14:solidFill>
                    <w14:schemeClr w14:val="tx1"/>
                  </w14:solidFill>
                </w14:textFill>
              </w:rPr>
              <w:t>石油类</w:t>
            </w:r>
          </w:p>
        </w:tc>
        <w:tc>
          <w:tcPr>
            <w:tcW w:w="3204" w:type="dxa"/>
            <w:gridSpan w:val="2"/>
            <w:vAlign w:val="center"/>
          </w:tcPr>
          <w:p w14:paraId="3F80908E">
            <w:pPr>
              <w:pStyle w:val="70"/>
              <w:rPr>
                <w:color w:val="000000" w:themeColor="text1"/>
                <w14:textFill>
                  <w14:solidFill>
                    <w14:schemeClr w14:val="tx1"/>
                  </w14:solidFill>
                </w14:textFill>
              </w:rPr>
            </w:pPr>
            <w:r>
              <w:rPr>
                <w:color w:val="000000" w:themeColor="text1"/>
                <w14:textFill>
                  <w14:solidFill>
                    <w14:schemeClr w14:val="tx1"/>
                  </w14:solidFill>
                </w14:textFill>
              </w:rPr>
              <w:t>0.05</w:t>
            </w:r>
          </w:p>
        </w:tc>
        <w:tc>
          <w:tcPr>
            <w:tcW w:w="1508" w:type="dxa"/>
            <w:vAlign w:val="center"/>
          </w:tcPr>
          <w:p w14:paraId="462BA123">
            <w:pPr>
              <w:pStyle w:val="70"/>
              <w:rPr>
                <w:color w:val="000000" w:themeColor="text1"/>
                <w14:textFill>
                  <w14:solidFill>
                    <w14:schemeClr w14:val="tx1"/>
                  </w14:solidFill>
                </w14:textFill>
              </w:rPr>
            </w:pPr>
            <w:r>
              <w:rPr>
                <w:color w:val="000000" w:themeColor="text1"/>
                <w14:textFill>
                  <w14:solidFill>
                    <w14:schemeClr w14:val="tx1"/>
                  </w14:solidFill>
                </w14:textFill>
              </w:rPr>
              <w:t>0.3</w:t>
            </w:r>
          </w:p>
        </w:tc>
        <w:tc>
          <w:tcPr>
            <w:tcW w:w="1506" w:type="dxa"/>
            <w:vAlign w:val="center"/>
          </w:tcPr>
          <w:p w14:paraId="36530E82">
            <w:pPr>
              <w:pStyle w:val="70"/>
              <w:rPr>
                <w:color w:val="000000" w:themeColor="text1"/>
                <w14:textFill>
                  <w14:solidFill>
                    <w14:schemeClr w14:val="tx1"/>
                  </w14:solidFill>
                </w14:textFill>
              </w:rPr>
            </w:pPr>
            <w:r>
              <w:rPr>
                <w:color w:val="000000" w:themeColor="text1"/>
                <w14:textFill>
                  <w14:solidFill>
                    <w14:schemeClr w14:val="tx1"/>
                  </w14:solidFill>
                </w14:textFill>
              </w:rPr>
              <w:t>0.5</w:t>
            </w:r>
          </w:p>
        </w:tc>
      </w:tr>
      <w:tr w14:paraId="2A90E6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486768F0">
            <w:pPr>
              <w:pStyle w:val="70"/>
              <w:numPr>
                <w:ilvl w:val="0"/>
                <w:numId w:val="12"/>
              </w:numPr>
              <w:rPr>
                <w:color w:val="000000" w:themeColor="text1"/>
                <w14:textFill>
                  <w14:solidFill>
                    <w14:schemeClr w14:val="tx1"/>
                  </w14:solidFill>
                </w14:textFill>
              </w:rPr>
            </w:pPr>
          </w:p>
        </w:tc>
        <w:tc>
          <w:tcPr>
            <w:tcW w:w="2369" w:type="dxa"/>
            <w:vAlign w:val="center"/>
          </w:tcPr>
          <w:p w14:paraId="66F69583">
            <w:pPr>
              <w:pStyle w:val="70"/>
              <w:rPr>
                <w:color w:val="000000" w:themeColor="text1"/>
                <w14:textFill>
                  <w14:solidFill>
                    <w14:schemeClr w14:val="tx1"/>
                  </w14:solidFill>
                </w14:textFill>
              </w:rPr>
            </w:pPr>
            <w:r>
              <w:rPr>
                <w:color w:val="000000" w:themeColor="text1"/>
                <w14:textFill>
                  <w14:solidFill>
                    <w14:schemeClr w14:val="tx1"/>
                  </w14:solidFill>
                </w14:textFill>
              </w:rPr>
              <w:t>汞</w:t>
            </w:r>
          </w:p>
        </w:tc>
        <w:tc>
          <w:tcPr>
            <w:tcW w:w="1698" w:type="dxa"/>
            <w:vAlign w:val="center"/>
          </w:tcPr>
          <w:p w14:paraId="5B1AB16A">
            <w:pPr>
              <w:pStyle w:val="70"/>
              <w:rPr>
                <w:color w:val="000000" w:themeColor="text1"/>
                <w14:textFill>
                  <w14:solidFill>
                    <w14:schemeClr w14:val="tx1"/>
                  </w14:solidFill>
                </w14:textFill>
              </w:rPr>
            </w:pPr>
            <w:r>
              <w:rPr>
                <w:color w:val="000000" w:themeColor="text1"/>
                <w14:textFill>
                  <w14:solidFill>
                    <w14:schemeClr w14:val="tx1"/>
                  </w14:solidFill>
                </w14:textFill>
              </w:rPr>
              <w:t>0.00005</w:t>
            </w:r>
          </w:p>
        </w:tc>
        <w:tc>
          <w:tcPr>
            <w:tcW w:w="3014" w:type="dxa"/>
            <w:gridSpan w:val="2"/>
            <w:vAlign w:val="center"/>
          </w:tcPr>
          <w:p w14:paraId="602814CD">
            <w:pPr>
              <w:pStyle w:val="70"/>
              <w:rPr>
                <w:color w:val="000000" w:themeColor="text1"/>
                <w14:textFill>
                  <w14:solidFill>
                    <w14:schemeClr w14:val="tx1"/>
                  </w14:solidFill>
                </w14:textFill>
              </w:rPr>
            </w:pPr>
            <w:r>
              <w:rPr>
                <w:color w:val="000000" w:themeColor="text1"/>
                <w14:textFill>
                  <w14:solidFill>
                    <w14:schemeClr w14:val="tx1"/>
                  </w14:solidFill>
                </w14:textFill>
              </w:rPr>
              <w:t>0.0002</w:t>
            </w:r>
          </w:p>
        </w:tc>
        <w:tc>
          <w:tcPr>
            <w:tcW w:w="1506" w:type="dxa"/>
            <w:vAlign w:val="center"/>
          </w:tcPr>
          <w:p w14:paraId="7A46EAE5">
            <w:pPr>
              <w:pStyle w:val="70"/>
              <w:rPr>
                <w:color w:val="000000" w:themeColor="text1"/>
                <w14:textFill>
                  <w14:solidFill>
                    <w14:schemeClr w14:val="tx1"/>
                  </w14:solidFill>
                </w14:textFill>
              </w:rPr>
            </w:pPr>
            <w:r>
              <w:rPr>
                <w:color w:val="000000" w:themeColor="text1"/>
                <w14:textFill>
                  <w14:solidFill>
                    <w14:schemeClr w14:val="tx1"/>
                  </w14:solidFill>
                </w14:textFill>
              </w:rPr>
              <w:t>0.0005</w:t>
            </w:r>
          </w:p>
        </w:tc>
      </w:tr>
      <w:tr w14:paraId="71D122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7C1005F0">
            <w:pPr>
              <w:pStyle w:val="70"/>
              <w:numPr>
                <w:ilvl w:val="0"/>
                <w:numId w:val="12"/>
              </w:numPr>
              <w:rPr>
                <w:color w:val="000000" w:themeColor="text1"/>
                <w14:textFill>
                  <w14:solidFill>
                    <w14:schemeClr w14:val="tx1"/>
                  </w14:solidFill>
                </w14:textFill>
              </w:rPr>
            </w:pPr>
          </w:p>
        </w:tc>
        <w:tc>
          <w:tcPr>
            <w:tcW w:w="2369" w:type="dxa"/>
            <w:vAlign w:val="center"/>
          </w:tcPr>
          <w:p w14:paraId="2F19C24A">
            <w:pPr>
              <w:pStyle w:val="70"/>
              <w:rPr>
                <w:color w:val="000000" w:themeColor="text1"/>
                <w14:textFill>
                  <w14:solidFill>
                    <w14:schemeClr w14:val="tx1"/>
                  </w14:solidFill>
                </w14:textFill>
              </w:rPr>
            </w:pPr>
            <w:r>
              <w:rPr>
                <w:color w:val="000000" w:themeColor="text1"/>
                <w14:textFill>
                  <w14:solidFill>
                    <w14:schemeClr w14:val="tx1"/>
                  </w14:solidFill>
                </w14:textFill>
              </w:rPr>
              <w:t>铅</w:t>
            </w:r>
          </w:p>
        </w:tc>
        <w:tc>
          <w:tcPr>
            <w:tcW w:w="1698" w:type="dxa"/>
            <w:vAlign w:val="center"/>
          </w:tcPr>
          <w:p w14:paraId="1F2CD4C5">
            <w:pPr>
              <w:pStyle w:val="70"/>
              <w:rPr>
                <w:color w:val="000000" w:themeColor="text1"/>
                <w14:textFill>
                  <w14:solidFill>
                    <w14:schemeClr w14:val="tx1"/>
                  </w14:solidFill>
                </w14:textFill>
              </w:rPr>
            </w:pPr>
            <w:r>
              <w:rPr>
                <w:color w:val="000000" w:themeColor="text1"/>
                <w14:textFill>
                  <w14:solidFill>
                    <w14:schemeClr w14:val="tx1"/>
                  </w14:solidFill>
                </w14:textFill>
              </w:rPr>
              <w:t>0.001</w:t>
            </w:r>
          </w:p>
        </w:tc>
        <w:tc>
          <w:tcPr>
            <w:tcW w:w="1506" w:type="dxa"/>
            <w:vAlign w:val="center"/>
          </w:tcPr>
          <w:p w14:paraId="17708E26">
            <w:pPr>
              <w:pStyle w:val="70"/>
              <w:rPr>
                <w:color w:val="000000" w:themeColor="text1"/>
                <w14:textFill>
                  <w14:solidFill>
                    <w14:schemeClr w14:val="tx1"/>
                  </w14:solidFill>
                </w14:textFill>
              </w:rPr>
            </w:pPr>
            <w:r>
              <w:rPr>
                <w:color w:val="000000" w:themeColor="text1"/>
                <w14:textFill>
                  <w14:solidFill>
                    <w14:schemeClr w14:val="tx1"/>
                  </w14:solidFill>
                </w14:textFill>
              </w:rPr>
              <w:t>0.005</w:t>
            </w:r>
          </w:p>
        </w:tc>
        <w:tc>
          <w:tcPr>
            <w:tcW w:w="1508" w:type="dxa"/>
            <w:vAlign w:val="center"/>
          </w:tcPr>
          <w:p w14:paraId="6D4BE629">
            <w:pPr>
              <w:pStyle w:val="70"/>
              <w:rPr>
                <w:color w:val="000000" w:themeColor="text1"/>
                <w14:textFill>
                  <w14:solidFill>
                    <w14:schemeClr w14:val="tx1"/>
                  </w14:solidFill>
                </w14:textFill>
              </w:rPr>
            </w:pPr>
            <w:r>
              <w:rPr>
                <w:color w:val="000000" w:themeColor="text1"/>
                <w14:textFill>
                  <w14:solidFill>
                    <w14:schemeClr w14:val="tx1"/>
                  </w14:solidFill>
                </w14:textFill>
              </w:rPr>
              <w:t>0.01</w:t>
            </w:r>
          </w:p>
        </w:tc>
        <w:tc>
          <w:tcPr>
            <w:tcW w:w="1506" w:type="dxa"/>
            <w:vAlign w:val="center"/>
          </w:tcPr>
          <w:p w14:paraId="1FDC0035">
            <w:pPr>
              <w:pStyle w:val="70"/>
              <w:rPr>
                <w:color w:val="000000" w:themeColor="text1"/>
                <w14:textFill>
                  <w14:solidFill>
                    <w14:schemeClr w14:val="tx1"/>
                  </w14:solidFill>
                </w14:textFill>
              </w:rPr>
            </w:pPr>
            <w:r>
              <w:rPr>
                <w:color w:val="000000" w:themeColor="text1"/>
                <w14:textFill>
                  <w14:solidFill>
                    <w14:schemeClr w14:val="tx1"/>
                  </w14:solidFill>
                </w14:textFill>
              </w:rPr>
              <w:t>0.05</w:t>
            </w:r>
          </w:p>
        </w:tc>
      </w:tr>
      <w:tr w14:paraId="745DDD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5E835BB3">
            <w:pPr>
              <w:pStyle w:val="70"/>
              <w:numPr>
                <w:ilvl w:val="0"/>
                <w:numId w:val="12"/>
              </w:numPr>
              <w:rPr>
                <w:color w:val="000000" w:themeColor="text1"/>
                <w14:textFill>
                  <w14:solidFill>
                    <w14:schemeClr w14:val="tx1"/>
                  </w14:solidFill>
                </w14:textFill>
              </w:rPr>
            </w:pPr>
          </w:p>
        </w:tc>
        <w:tc>
          <w:tcPr>
            <w:tcW w:w="2369" w:type="dxa"/>
            <w:vAlign w:val="center"/>
          </w:tcPr>
          <w:p w14:paraId="7899D012">
            <w:pPr>
              <w:pStyle w:val="70"/>
              <w:rPr>
                <w:color w:val="000000" w:themeColor="text1"/>
                <w14:textFill>
                  <w14:solidFill>
                    <w14:schemeClr w14:val="tx1"/>
                  </w14:solidFill>
                </w14:textFill>
              </w:rPr>
            </w:pPr>
            <w:r>
              <w:rPr>
                <w:color w:val="000000" w:themeColor="text1"/>
                <w14:textFill>
                  <w14:solidFill>
                    <w14:schemeClr w14:val="tx1"/>
                  </w14:solidFill>
                </w14:textFill>
              </w:rPr>
              <w:t>铜</w:t>
            </w:r>
          </w:p>
        </w:tc>
        <w:tc>
          <w:tcPr>
            <w:tcW w:w="1698" w:type="dxa"/>
            <w:vAlign w:val="center"/>
          </w:tcPr>
          <w:p w14:paraId="1487411A">
            <w:pPr>
              <w:pStyle w:val="70"/>
              <w:rPr>
                <w:color w:val="000000" w:themeColor="text1"/>
                <w14:textFill>
                  <w14:solidFill>
                    <w14:schemeClr w14:val="tx1"/>
                  </w14:solidFill>
                </w14:textFill>
              </w:rPr>
            </w:pPr>
            <w:r>
              <w:rPr>
                <w:color w:val="000000" w:themeColor="text1"/>
                <w14:textFill>
                  <w14:solidFill>
                    <w14:schemeClr w14:val="tx1"/>
                  </w14:solidFill>
                </w14:textFill>
              </w:rPr>
              <w:t>0.005</w:t>
            </w:r>
          </w:p>
        </w:tc>
        <w:tc>
          <w:tcPr>
            <w:tcW w:w="1506" w:type="dxa"/>
            <w:vAlign w:val="center"/>
          </w:tcPr>
          <w:p w14:paraId="70659D9F">
            <w:pPr>
              <w:pStyle w:val="70"/>
              <w:rPr>
                <w:color w:val="000000" w:themeColor="text1"/>
                <w14:textFill>
                  <w14:solidFill>
                    <w14:schemeClr w14:val="tx1"/>
                  </w14:solidFill>
                </w14:textFill>
              </w:rPr>
            </w:pPr>
            <w:r>
              <w:rPr>
                <w:color w:val="000000" w:themeColor="text1"/>
                <w14:textFill>
                  <w14:solidFill>
                    <w14:schemeClr w14:val="tx1"/>
                  </w14:solidFill>
                </w14:textFill>
              </w:rPr>
              <w:t>0.010</w:t>
            </w:r>
          </w:p>
        </w:tc>
        <w:tc>
          <w:tcPr>
            <w:tcW w:w="3014" w:type="dxa"/>
            <w:gridSpan w:val="2"/>
            <w:vAlign w:val="center"/>
          </w:tcPr>
          <w:p w14:paraId="536F0413">
            <w:pPr>
              <w:pStyle w:val="70"/>
              <w:rPr>
                <w:color w:val="000000" w:themeColor="text1"/>
                <w14:textFill>
                  <w14:solidFill>
                    <w14:schemeClr w14:val="tx1"/>
                  </w14:solidFill>
                </w14:textFill>
              </w:rPr>
            </w:pPr>
            <w:r>
              <w:rPr>
                <w:color w:val="000000" w:themeColor="text1"/>
                <w14:textFill>
                  <w14:solidFill>
                    <w14:schemeClr w14:val="tx1"/>
                  </w14:solidFill>
                </w14:textFill>
              </w:rPr>
              <w:t>0.05</w:t>
            </w:r>
          </w:p>
        </w:tc>
      </w:tr>
      <w:tr w14:paraId="100BFA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473B756B">
            <w:pPr>
              <w:pStyle w:val="70"/>
              <w:numPr>
                <w:ilvl w:val="0"/>
                <w:numId w:val="12"/>
              </w:numPr>
              <w:rPr>
                <w:color w:val="000000" w:themeColor="text1"/>
                <w14:textFill>
                  <w14:solidFill>
                    <w14:schemeClr w14:val="tx1"/>
                  </w14:solidFill>
                </w14:textFill>
              </w:rPr>
            </w:pPr>
          </w:p>
        </w:tc>
        <w:tc>
          <w:tcPr>
            <w:tcW w:w="2369" w:type="dxa"/>
            <w:vAlign w:val="center"/>
          </w:tcPr>
          <w:p w14:paraId="016A1740">
            <w:pPr>
              <w:pStyle w:val="70"/>
              <w:rPr>
                <w:color w:val="000000" w:themeColor="text1"/>
                <w14:textFill>
                  <w14:solidFill>
                    <w14:schemeClr w14:val="tx1"/>
                  </w14:solidFill>
                </w14:textFill>
              </w:rPr>
            </w:pPr>
            <w:r>
              <w:rPr>
                <w:color w:val="000000" w:themeColor="text1"/>
                <w14:textFill>
                  <w14:solidFill>
                    <w14:schemeClr w14:val="tx1"/>
                  </w14:solidFill>
                </w14:textFill>
              </w:rPr>
              <w:t>砷</w:t>
            </w:r>
          </w:p>
        </w:tc>
        <w:tc>
          <w:tcPr>
            <w:tcW w:w="1698" w:type="dxa"/>
            <w:vAlign w:val="center"/>
          </w:tcPr>
          <w:p w14:paraId="2D1E6734">
            <w:pPr>
              <w:pStyle w:val="70"/>
              <w:rPr>
                <w:color w:val="000000" w:themeColor="text1"/>
                <w14:textFill>
                  <w14:solidFill>
                    <w14:schemeClr w14:val="tx1"/>
                  </w14:solidFill>
                </w14:textFill>
              </w:rPr>
            </w:pPr>
            <w:r>
              <w:rPr>
                <w:color w:val="000000" w:themeColor="text1"/>
                <w14:textFill>
                  <w14:solidFill>
                    <w14:schemeClr w14:val="tx1"/>
                  </w14:solidFill>
                </w14:textFill>
              </w:rPr>
              <w:t>0.02</w:t>
            </w:r>
          </w:p>
        </w:tc>
        <w:tc>
          <w:tcPr>
            <w:tcW w:w="1506" w:type="dxa"/>
            <w:vAlign w:val="center"/>
          </w:tcPr>
          <w:p w14:paraId="7C73E2CD">
            <w:pPr>
              <w:pStyle w:val="70"/>
              <w:rPr>
                <w:color w:val="000000" w:themeColor="text1"/>
                <w14:textFill>
                  <w14:solidFill>
                    <w14:schemeClr w14:val="tx1"/>
                  </w14:solidFill>
                </w14:textFill>
              </w:rPr>
            </w:pPr>
            <w:r>
              <w:rPr>
                <w:color w:val="000000" w:themeColor="text1"/>
                <w14:textFill>
                  <w14:solidFill>
                    <w14:schemeClr w14:val="tx1"/>
                  </w14:solidFill>
                </w14:textFill>
              </w:rPr>
              <w:t>0.03</w:t>
            </w:r>
          </w:p>
        </w:tc>
        <w:tc>
          <w:tcPr>
            <w:tcW w:w="3014" w:type="dxa"/>
            <w:gridSpan w:val="2"/>
            <w:vAlign w:val="center"/>
          </w:tcPr>
          <w:p w14:paraId="1B04A138">
            <w:pPr>
              <w:pStyle w:val="70"/>
              <w:rPr>
                <w:color w:val="000000" w:themeColor="text1"/>
                <w14:textFill>
                  <w14:solidFill>
                    <w14:schemeClr w14:val="tx1"/>
                  </w14:solidFill>
                </w14:textFill>
              </w:rPr>
            </w:pPr>
            <w:r>
              <w:rPr>
                <w:color w:val="000000" w:themeColor="text1"/>
                <w14:textFill>
                  <w14:solidFill>
                    <w14:schemeClr w14:val="tx1"/>
                  </w14:solidFill>
                </w14:textFill>
              </w:rPr>
              <w:t>0.05</w:t>
            </w:r>
          </w:p>
        </w:tc>
      </w:tr>
      <w:tr w14:paraId="7C8FCD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18278432">
            <w:pPr>
              <w:pStyle w:val="70"/>
              <w:numPr>
                <w:ilvl w:val="0"/>
                <w:numId w:val="12"/>
              </w:numPr>
              <w:rPr>
                <w:color w:val="000000" w:themeColor="text1"/>
                <w14:textFill>
                  <w14:solidFill>
                    <w14:schemeClr w14:val="tx1"/>
                  </w14:solidFill>
                </w14:textFill>
              </w:rPr>
            </w:pPr>
          </w:p>
        </w:tc>
        <w:tc>
          <w:tcPr>
            <w:tcW w:w="2369" w:type="dxa"/>
            <w:vAlign w:val="center"/>
          </w:tcPr>
          <w:p w14:paraId="6CC6CA08">
            <w:pPr>
              <w:pStyle w:val="70"/>
              <w:rPr>
                <w:color w:val="000000" w:themeColor="text1"/>
                <w14:textFill>
                  <w14:solidFill>
                    <w14:schemeClr w14:val="tx1"/>
                  </w14:solidFill>
                </w14:textFill>
              </w:rPr>
            </w:pPr>
            <w:r>
              <w:rPr>
                <w:color w:val="000000" w:themeColor="text1"/>
                <w14:textFill>
                  <w14:solidFill>
                    <w14:schemeClr w14:val="tx1"/>
                  </w14:solidFill>
                </w14:textFill>
              </w:rPr>
              <w:t>锌</w:t>
            </w:r>
          </w:p>
        </w:tc>
        <w:tc>
          <w:tcPr>
            <w:tcW w:w="1698" w:type="dxa"/>
            <w:vAlign w:val="center"/>
          </w:tcPr>
          <w:p w14:paraId="0693B0BA">
            <w:pPr>
              <w:pStyle w:val="70"/>
              <w:rPr>
                <w:color w:val="000000" w:themeColor="text1"/>
                <w14:textFill>
                  <w14:solidFill>
                    <w14:schemeClr w14:val="tx1"/>
                  </w14:solidFill>
                </w14:textFill>
              </w:rPr>
            </w:pPr>
            <w:r>
              <w:rPr>
                <w:color w:val="000000" w:themeColor="text1"/>
                <w14:textFill>
                  <w14:solidFill>
                    <w14:schemeClr w14:val="tx1"/>
                  </w14:solidFill>
                </w14:textFill>
              </w:rPr>
              <w:t>0.02</w:t>
            </w:r>
          </w:p>
        </w:tc>
        <w:tc>
          <w:tcPr>
            <w:tcW w:w="1506" w:type="dxa"/>
            <w:vAlign w:val="center"/>
          </w:tcPr>
          <w:p w14:paraId="2A891E2A">
            <w:pPr>
              <w:pStyle w:val="70"/>
              <w:rPr>
                <w:color w:val="000000" w:themeColor="text1"/>
                <w14:textFill>
                  <w14:solidFill>
                    <w14:schemeClr w14:val="tx1"/>
                  </w14:solidFill>
                </w14:textFill>
              </w:rPr>
            </w:pPr>
            <w:r>
              <w:rPr>
                <w:color w:val="000000" w:themeColor="text1"/>
                <w14:textFill>
                  <w14:solidFill>
                    <w14:schemeClr w14:val="tx1"/>
                  </w14:solidFill>
                </w14:textFill>
              </w:rPr>
              <w:t>0.05</w:t>
            </w:r>
          </w:p>
        </w:tc>
        <w:tc>
          <w:tcPr>
            <w:tcW w:w="1508" w:type="dxa"/>
            <w:vAlign w:val="center"/>
          </w:tcPr>
          <w:p w14:paraId="006AD26D">
            <w:pPr>
              <w:pStyle w:val="70"/>
              <w:rPr>
                <w:color w:val="000000" w:themeColor="text1"/>
                <w14:textFill>
                  <w14:solidFill>
                    <w14:schemeClr w14:val="tx1"/>
                  </w14:solidFill>
                </w14:textFill>
              </w:rPr>
            </w:pPr>
            <w:r>
              <w:rPr>
                <w:color w:val="000000" w:themeColor="text1"/>
                <w14:textFill>
                  <w14:solidFill>
                    <w14:schemeClr w14:val="tx1"/>
                  </w14:solidFill>
                </w14:textFill>
              </w:rPr>
              <w:t>0.1</w:t>
            </w:r>
          </w:p>
        </w:tc>
        <w:tc>
          <w:tcPr>
            <w:tcW w:w="1506" w:type="dxa"/>
            <w:vAlign w:val="center"/>
          </w:tcPr>
          <w:p w14:paraId="419E0EEB">
            <w:pPr>
              <w:pStyle w:val="70"/>
              <w:rPr>
                <w:color w:val="000000" w:themeColor="text1"/>
                <w14:textFill>
                  <w14:solidFill>
                    <w14:schemeClr w14:val="tx1"/>
                  </w14:solidFill>
                </w14:textFill>
              </w:rPr>
            </w:pPr>
            <w:r>
              <w:rPr>
                <w:color w:val="000000" w:themeColor="text1"/>
                <w14:textFill>
                  <w14:solidFill>
                    <w14:schemeClr w14:val="tx1"/>
                  </w14:solidFill>
                </w14:textFill>
              </w:rPr>
              <w:t>0.5</w:t>
            </w:r>
          </w:p>
        </w:tc>
      </w:tr>
      <w:tr w14:paraId="58A5DA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39F771EE">
            <w:pPr>
              <w:pStyle w:val="70"/>
              <w:numPr>
                <w:ilvl w:val="0"/>
                <w:numId w:val="12"/>
              </w:numPr>
              <w:rPr>
                <w:color w:val="000000" w:themeColor="text1"/>
                <w14:textFill>
                  <w14:solidFill>
                    <w14:schemeClr w14:val="tx1"/>
                  </w14:solidFill>
                </w14:textFill>
              </w:rPr>
            </w:pPr>
          </w:p>
        </w:tc>
        <w:tc>
          <w:tcPr>
            <w:tcW w:w="2369" w:type="dxa"/>
            <w:vAlign w:val="center"/>
          </w:tcPr>
          <w:p w14:paraId="542DA1F5">
            <w:pPr>
              <w:pStyle w:val="70"/>
              <w:rPr>
                <w:color w:val="000000" w:themeColor="text1"/>
                <w14:textFill>
                  <w14:solidFill>
                    <w14:schemeClr w14:val="tx1"/>
                  </w14:solidFill>
                </w14:textFill>
              </w:rPr>
            </w:pPr>
            <w:r>
              <w:rPr>
                <w:color w:val="000000" w:themeColor="text1"/>
                <w14:textFill>
                  <w14:solidFill>
                    <w14:schemeClr w14:val="tx1"/>
                  </w14:solidFill>
                </w14:textFill>
              </w:rPr>
              <w:t>镉</w:t>
            </w:r>
          </w:p>
        </w:tc>
        <w:tc>
          <w:tcPr>
            <w:tcW w:w="1698" w:type="dxa"/>
            <w:vAlign w:val="center"/>
          </w:tcPr>
          <w:p w14:paraId="76AF165E">
            <w:pPr>
              <w:pStyle w:val="70"/>
              <w:rPr>
                <w:color w:val="000000" w:themeColor="text1"/>
                <w14:textFill>
                  <w14:solidFill>
                    <w14:schemeClr w14:val="tx1"/>
                  </w14:solidFill>
                </w14:textFill>
              </w:rPr>
            </w:pPr>
            <w:r>
              <w:rPr>
                <w:color w:val="000000" w:themeColor="text1"/>
                <w14:textFill>
                  <w14:solidFill>
                    <w14:schemeClr w14:val="tx1"/>
                  </w14:solidFill>
                </w14:textFill>
              </w:rPr>
              <w:t>0.001</w:t>
            </w:r>
          </w:p>
        </w:tc>
        <w:tc>
          <w:tcPr>
            <w:tcW w:w="1506" w:type="dxa"/>
            <w:vAlign w:val="center"/>
          </w:tcPr>
          <w:p w14:paraId="2DD0D677">
            <w:pPr>
              <w:pStyle w:val="70"/>
              <w:rPr>
                <w:color w:val="000000" w:themeColor="text1"/>
                <w14:textFill>
                  <w14:solidFill>
                    <w14:schemeClr w14:val="tx1"/>
                  </w14:solidFill>
                </w14:textFill>
              </w:rPr>
            </w:pPr>
            <w:r>
              <w:rPr>
                <w:color w:val="000000" w:themeColor="text1"/>
                <w14:textFill>
                  <w14:solidFill>
                    <w14:schemeClr w14:val="tx1"/>
                  </w14:solidFill>
                </w14:textFill>
              </w:rPr>
              <w:t>0.005</w:t>
            </w:r>
          </w:p>
        </w:tc>
        <w:tc>
          <w:tcPr>
            <w:tcW w:w="3014" w:type="dxa"/>
            <w:gridSpan w:val="2"/>
            <w:vAlign w:val="center"/>
          </w:tcPr>
          <w:p w14:paraId="2549C9FD">
            <w:pPr>
              <w:pStyle w:val="70"/>
              <w:rPr>
                <w:color w:val="000000" w:themeColor="text1"/>
                <w14:textFill>
                  <w14:solidFill>
                    <w14:schemeClr w14:val="tx1"/>
                  </w14:solidFill>
                </w14:textFill>
              </w:rPr>
            </w:pPr>
            <w:r>
              <w:rPr>
                <w:color w:val="000000" w:themeColor="text1"/>
                <w14:textFill>
                  <w14:solidFill>
                    <w14:schemeClr w14:val="tx1"/>
                  </w14:solidFill>
                </w14:textFill>
              </w:rPr>
              <w:t>0.01</w:t>
            </w:r>
          </w:p>
        </w:tc>
      </w:tr>
      <w:tr w14:paraId="201C51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44C68574">
            <w:pPr>
              <w:pStyle w:val="70"/>
              <w:numPr>
                <w:ilvl w:val="0"/>
                <w:numId w:val="12"/>
              </w:numPr>
              <w:rPr>
                <w:color w:val="000000" w:themeColor="text1"/>
                <w14:textFill>
                  <w14:solidFill>
                    <w14:schemeClr w14:val="tx1"/>
                  </w14:solidFill>
                </w14:textFill>
              </w:rPr>
            </w:pPr>
          </w:p>
        </w:tc>
        <w:tc>
          <w:tcPr>
            <w:tcW w:w="2369" w:type="dxa"/>
            <w:vAlign w:val="center"/>
          </w:tcPr>
          <w:p w14:paraId="72441359">
            <w:pPr>
              <w:pStyle w:val="70"/>
              <w:rPr>
                <w:color w:val="000000" w:themeColor="text1"/>
                <w14:textFill>
                  <w14:solidFill>
                    <w14:schemeClr w14:val="tx1"/>
                  </w14:solidFill>
                </w14:textFill>
              </w:rPr>
            </w:pPr>
            <w:r>
              <w:rPr>
                <w:color w:val="000000" w:themeColor="text1"/>
                <w14:textFill>
                  <w14:solidFill>
                    <w14:schemeClr w14:val="tx1"/>
                  </w14:solidFill>
                </w14:textFill>
              </w:rPr>
              <w:t>总铬</w:t>
            </w:r>
          </w:p>
        </w:tc>
        <w:tc>
          <w:tcPr>
            <w:tcW w:w="1698" w:type="dxa"/>
            <w:vAlign w:val="center"/>
          </w:tcPr>
          <w:p w14:paraId="4B332FFC">
            <w:pPr>
              <w:pStyle w:val="70"/>
              <w:rPr>
                <w:color w:val="000000" w:themeColor="text1"/>
                <w14:textFill>
                  <w14:solidFill>
                    <w14:schemeClr w14:val="tx1"/>
                  </w14:solidFill>
                </w14:textFill>
              </w:rPr>
            </w:pPr>
            <w:r>
              <w:rPr>
                <w:color w:val="000000" w:themeColor="text1"/>
                <w14:textFill>
                  <w14:solidFill>
                    <w14:schemeClr w14:val="tx1"/>
                  </w14:solidFill>
                </w14:textFill>
              </w:rPr>
              <w:t>0.05</w:t>
            </w:r>
          </w:p>
        </w:tc>
        <w:tc>
          <w:tcPr>
            <w:tcW w:w="1506" w:type="dxa"/>
            <w:vAlign w:val="center"/>
          </w:tcPr>
          <w:p w14:paraId="07D3BA14">
            <w:pPr>
              <w:pStyle w:val="70"/>
              <w:rPr>
                <w:color w:val="000000" w:themeColor="text1"/>
                <w14:textFill>
                  <w14:solidFill>
                    <w14:schemeClr w14:val="tx1"/>
                  </w14:solidFill>
                </w14:textFill>
              </w:rPr>
            </w:pPr>
            <w:r>
              <w:rPr>
                <w:color w:val="000000" w:themeColor="text1"/>
                <w14:textFill>
                  <w14:solidFill>
                    <w14:schemeClr w14:val="tx1"/>
                  </w14:solidFill>
                </w14:textFill>
              </w:rPr>
              <w:t>0.1</w:t>
            </w:r>
          </w:p>
        </w:tc>
        <w:tc>
          <w:tcPr>
            <w:tcW w:w="1508" w:type="dxa"/>
            <w:vAlign w:val="center"/>
          </w:tcPr>
          <w:p w14:paraId="3B958CF5">
            <w:pPr>
              <w:pStyle w:val="70"/>
              <w:rPr>
                <w:color w:val="000000" w:themeColor="text1"/>
                <w14:textFill>
                  <w14:solidFill>
                    <w14:schemeClr w14:val="tx1"/>
                  </w14:solidFill>
                </w14:textFill>
              </w:rPr>
            </w:pPr>
            <w:r>
              <w:rPr>
                <w:color w:val="000000" w:themeColor="text1"/>
                <w14:textFill>
                  <w14:solidFill>
                    <w14:schemeClr w14:val="tx1"/>
                  </w14:solidFill>
                </w14:textFill>
              </w:rPr>
              <w:t>0.2</w:t>
            </w:r>
          </w:p>
        </w:tc>
        <w:tc>
          <w:tcPr>
            <w:tcW w:w="1506" w:type="dxa"/>
            <w:vAlign w:val="center"/>
          </w:tcPr>
          <w:p w14:paraId="4F7FBBB2">
            <w:pPr>
              <w:pStyle w:val="70"/>
              <w:rPr>
                <w:color w:val="000000" w:themeColor="text1"/>
                <w14:textFill>
                  <w14:solidFill>
                    <w14:schemeClr w14:val="tx1"/>
                  </w14:solidFill>
                </w14:textFill>
              </w:rPr>
            </w:pPr>
            <w:r>
              <w:rPr>
                <w:color w:val="000000" w:themeColor="text1"/>
                <w14:textFill>
                  <w14:solidFill>
                    <w14:schemeClr w14:val="tx1"/>
                  </w14:solidFill>
                </w14:textFill>
              </w:rPr>
              <w:t>0.5</w:t>
            </w:r>
          </w:p>
        </w:tc>
      </w:tr>
      <w:tr w14:paraId="5510D7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2B7D0B87">
            <w:pPr>
              <w:pStyle w:val="70"/>
              <w:numPr>
                <w:ilvl w:val="0"/>
                <w:numId w:val="12"/>
              </w:numPr>
              <w:rPr>
                <w:color w:val="000000" w:themeColor="text1"/>
                <w14:textFill>
                  <w14:solidFill>
                    <w14:schemeClr w14:val="tx1"/>
                  </w14:solidFill>
                </w14:textFill>
              </w:rPr>
            </w:pPr>
          </w:p>
        </w:tc>
        <w:tc>
          <w:tcPr>
            <w:tcW w:w="2369" w:type="dxa"/>
            <w:vAlign w:val="center"/>
          </w:tcPr>
          <w:p w14:paraId="42326C77">
            <w:pPr>
              <w:pStyle w:val="70"/>
              <w:rPr>
                <w:color w:val="000000" w:themeColor="text1"/>
                <w14:textFill>
                  <w14:solidFill>
                    <w14:schemeClr w14:val="tx1"/>
                  </w14:solidFill>
                </w14:textFill>
              </w:rPr>
            </w:pPr>
            <w:r>
              <w:rPr>
                <w:color w:val="000000" w:themeColor="text1"/>
                <w14:textFill>
                  <w14:solidFill>
                    <w14:schemeClr w14:val="tx1"/>
                  </w14:solidFill>
                </w14:textFill>
              </w:rPr>
              <w:t>硫化物</w:t>
            </w:r>
          </w:p>
        </w:tc>
        <w:tc>
          <w:tcPr>
            <w:tcW w:w="1698" w:type="dxa"/>
            <w:vAlign w:val="center"/>
          </w:tcPr>
          <w:p w14:paraId="312C2E75">
            <w:pPr>
              <w:pStyle w:val="70"/>
              <w:rPr>
                <w:color w:val="000000" w:themeColor="text1"/>
                <w14:textFill>
                  <w14:solidFill>
                    <w14:schemeClr w14:val="tx1"/>
                  </w14:solidFill>
                </w14:textFill>
              </w:rPr>
            </w:pPr>
            <w:r>
              <w:rPr>
                <w:color w:val="000000" w:themeColor="text1"/>
                <w14:textFill>
                  <w14:solidFill>
                    <w14:schemeClr w14:val="tx1"/>
                  </w14:solidFill>
                </w14:textFill>
              </w:rPr>
              <w:t>0.02</w:t>
            </w:r>
          </w:p>
        </w:tc>
        <w:tc>
          <w:tcPr>
            <w:tcW w:w="1506" w:type="dxa"/>
            <w:vAlign w:val="center"/>
          </w:tcPr>
          <w:p w14:paraId="2C1596A3">
            <w:pPr>
              <w:pStyle w:val="70"/>
              <w:rPr>
                <w:color w:val="000000" w:themeColor="text1"/>
                <w14:textFill>
                  <w14:solidFill>
                    <w14:schemeClr w14:val="tx1"/>
                  </w14:solidFill>
                </w14:textFill>
              </w:rPr>
            </w:pPr>
            <w:r>
              <w:rPr>
                <w:color w:val="000000" w:themeColor="text1"/>
                <w14:textFill>
                  <w14:solidFill>
                    <w14:schemeClr w14:val="tx1"/>
                  </w14:solidFill>
                </w14:textFill>
              </w:rPr>
              <w:t>0.05</w:t>
            </w:r>
          </w:p>
        </w:tc>
        <w:tc>
          <w:tcPr>
            <w:tcW w:w="1508" w:type="dxa"/>
            <w:vAlign w:val="center"/>
          </w:tcPr>
          <w:p w14:paraId="7A3D3299">
            <w:pPr>
              <w:pStyle w:val="70"/>
              <w:rPr>
                <w:color w:val="000000" w:themeColor="text1"/>
                <w14:textFill>
                  <w14:solidFill>
                    <w14:schemeClr w14:val="tx1"/>
                  </w14:solidFill>
                </w14:textFill>
              </w:rPr>
            </w:pPr>
            <w:r>
              <w:rPr>
                <w:color w:val="000000" w:themeColor="text1"/>
                <w14:textFill>
                  <w14:solidFill>
                    <w14:schemeClr w14:val="tx1"/>
                  </w14:solidFill>
                </w14:textFill>
              </w:rPr>
              <w:t>0.1</w:t>
            </w:r>
          </w:p>
        </w:tc>
        <w:tc>
          <w:tcPr>
            <w:tcW w:w="1506" w:type="dxa"/>
            <w:vAlign w:val="center"/>
          </w:tcPr>
          <w:p w14:paraId="7DDCB8A5">
            <w:pPr>
              <w:pStyle w:val="70"/>
              <w:rPr>
                <w:color w:val="000000" w:themeColor="text1"/>
                <w14:textFill>
                  <w14:solidFill>
                    <w14:schemeClr w14:val="tx1"/>
                  </w14:solidFill>
                </w14:textFill>
              </w:rPr>
            </w:pPr>
            <w:r>
              <w:rPr>
                <w:color w:val="000000" w:themeColor="text1"/>
                <w14:textFill>
                  <w14:solidFill>
                    <w14:schemeClr w14:val="tx1"/>
                  </w14:solidFill>
                </w14:textFill>
              </w:rPr>
              <w:t>0.25</w:t>
            </w:r>
          </w:p>
        </w:tc>
      </w:tr>
    </w:tbl>
    <w:p w14:paraId="1410FBFE">
      <w:pPr>
        <w:pStyle w:val="7"/>
        <w:rPr>
          <w:color w:val="000000" w:themeColor="text1"/>
          <w14:textFill>
            <w14:solidFill>
              <w14:schemeClr w14:val="tx1"/>
            </w14:solidFill>
          </w14:textFill>
        </w:rPr>
      </w:pPr>
      <w:r>
        <w:rPr>
          <w:color w:val="000000" w:themeColor="text1"/>
          <w14:textFill>
            <w14:solidFill>
              <w14:schemeClr w14:val="tx1"/>
            </w14:solidFill>
          </w14:textFill>
        </w:rPr>
        <w:t>海洋沉积物质量标准</w:t>
      </w:r>
    </w:p>
    <w:tbl>
      <w:tblPr>
        <w:tblStyle w:val="43"/>
        <w:tblW w:w="904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809"/>
        <w:gridCol w:w="1809"/>
        <w:gridCol w:w="1808"/>
        <w:gridCol w:w="1808"/>
        <w:gridCol w:w="1808"/>
      </w:tblGrid>
      <w:tr w14:paraId="21F490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Merge w:val="restart"/>
            <w:vAlign w:val="center"/>
          </w:tcPr>
          <w:p w14:paraId="21599870">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序号</w:t>
            </w:r>
          </w:p>
        </w:tc>
        <w:tc>
          <w:tcPr>
            <w:tcW w:w="1809" w:type="dxa"/>
            <w:vMerge w:val="restart"/>
            <w:vAlign w:val="center"/>
          </w:tcPr>
          <w:p w14:paraId="0901640C">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项目</w:t>
            </w:r>
          </w:p>
        </w:tc>
        <w:tc>
          <w:tcPr>
            <w:tcW w:w="5424" w:type="dxa"/>
            <w:gridSpan w:val="3"/>
            <w:vAlign w:val="center"/>
          </w:tcPr>
          <w:p w14:paraId="37DD290C">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指标</w:t>
            </w:r>
          </w:p>
        </w:tc>
      </w:tr>
      <w:tr w14:paraId="69E37A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Merge w:val="continue"/>
            <w:vAlign w:val="center"/>
          </w:tcPr>
          <w:p w14:paraId="68575471">
            <w:pPr>
              <w:pStyle w:val="70"/>
              <w:rPr>
                <w:b/>
                <w:bCs/>
                <w:color w:val="000000" w:themeColor="text1"/>
                <w14:textFill>
                  <w14:solidFill>
                    <w14:schemeClr w14:val="tx1"/>
                  </w14:solidFill>
                </w14:textFill>
              </w:rPr>
            </w:pPr>
          </w:p>
        </w:tc>
        <w:tc>
          <w:tcPr>
            <w:tcW w:w="1809" w:type="dxa"/>
            <w:vMerge w:val="continue"/>
            <w:vAlign w:val="center"/>
          </w:tcPr>
          <w:p w14:paraId="05F5A872">
            <w:pPr>
              <w:pStyle w:val="70"/>
              <w:rPr>
                <w:b/>
                <w:bCs/>
                <w:color w:val="000000" w:themeColor="text1"/>
                <w14:textFill>
                  <w14:solidFill>
                    <w14:schemeClr w14:val="tx1"/>
                  </w14:solidFill>
                </w14:textFill>
              </w:rPr>
            </w:pPr>
          </w:p>
        </w:tc>
        <w:tc>
          <w:tcPr>
            <w:tcW w:w="1808" w:type="dxa"/>
            <w:vAlign w:val="center"/>
          </w:tcPr>
          <w:p w14:paraId="7A03A92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第一类</w:t>
            </w:r>
          </w:p>
        </w:tc>
        <w:tc>
          <w:tcPr>
            <w:tcW w:w="1808" w:type="dxa"/>
            <w:vAlign w:val="center"/>
          </w:tcPr>
          <w:p w14:paraId="65F8DFCC">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第二类</w:t>
            </w:r>
          </w:p>
        </w:tc>
        <w:tc>
          <w:tcPr>
            <w:tcW w:w="1808" w:type="dxa"/>
            <w:vAlign w:val="center"/>
          </w:tcPr>
          <w:p w14:paraId="4A87583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第三类</w:t>
            </w:r>
          </w:p>
        </w:tc>
      </w:tr>
      <w:tr w14:paraId="29D5F4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6458D9FA">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c>
          <w:tcPr>
            <w:tcW w:w="1809" w:type="dxa"/>
            <w:vAlign w:val="center"/>
          </w:tcPr>
          <w:p w14:paraId="08A01378">
            <w:pPr>
              <w:pStyle w:val="70"/>
              <w:rPr>
                <w:color w:val="000000" w:themeColor="text1"/>
                <w14:textFill>
                  <w14:solidFill>
                    <w14:schemeClr w14:val="tx1"/>
                  </w14:solidFill>
                </w14:textFill>
              </w:rPr>
            </w:pPr>
            <w:r>
              <w:rPr>
                <w:color w:val="000000" w:themeColor="text1"/>
                <w14:textFill>
                  <w14:solidFill>
                    <w14:schemeClr w14:val="tx1"/>
                  </w14:solidFill>
                </w14:textFill>
              </w:rPr>
              <w:t>汞（×10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808" w:type="dxa"/>
            <w:vAlign w:val="center"/>
          </w:tcPr>
          <w:p w14:paraId="5C012FF3">
            <w:pPr>
              <w:pStyle w:val="70"/>
              <w:rPr>
                <w:color w:val="000000" w:themeColor="text1"/>
                <w14:textFill>
                  <w14:solidFill>
                    <w14:schemeClr w14:val="tx1"/>
                  </w14:solidFill>
                </w14:textFill>
              </w:rPr>
            </w:pPr>
            <w:r>
              <w:rPr>
                <w:color w:val="000000" w:themeColor="text1"/>
                <w14:textFill>
                  <w14:solidFill>
                    <w14:schemeClr w14:val="tx1"/>
                  </w14:solidFill>
                </w14:textFill>
              </w:rPr>
              <w:t>0.2</w:t>
            </w:r>
          </w:p>
        </w:tc>
        <w:tc>
          <w:tcPr>
            <w:tcW w:w="1808" w:type="dxa"/>
            <w:vAlign w:val="center"/>
          </w:tcPr>
          <w:p w14:paraId="78A3A829">
            <w:pPr>
              <w:pStyle w:val="70"/>
              <w:rPr>
                <w:color w:val="000000" w:themeColor="text1"/>
                <w14:textFill>
                  <w14:solidFill>
                    <w14:schemeClr w14:val="tx1"/>
                  </w14:solidFill>
                </w14:textFill>
              </w:rPr>
            </w:pPr>
            <w:r>
              <w:rPr>
                <w:color w:val="000000" w:themeColor="text1"/>
                <w14:textFill>
                  <w14:solidFill>
                    <w14:schemeClr w14:val="tx1"/>
                  </w14:solidFill>
                </w14:textFill>
              </w:rPr>
              <w:t>0.5</w:t>
            </w:r>
          </w:p>
        </w:tc>
        <w:tc>
          <w:tcPr>
            <w:tcW w:w="1808" w:type="dxa"/>
            <w:vAlign w:val="center"/>
          </w:tcPr>
          <w:p w14:paraId="26445661">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r>
      <w:tr w14:paraId="77475B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04B75872">
            <w:pPr>
              <w:pStyle w:val="70"/>
              <w:rPr>
                <w:color w:val="000000" w:themeColor="text1"/>
                <w14:textFill>
                  <w14:solidFill>
                    <w14:schemeClr w14:val="tx1"/>
                  </w14:solidFill>
                </w14:textFill>
              </w:rPr>
            </w:pPr>
            <w:r>
              <w:rPr>
                <w:color w:val="000000" w:themeColor="text1"/>
                <w14:textFill>
                  <w14:solidFill>
                    <w14:schemeClr w14:val="tx1"/>
                  </w14:solidFill>
                </w14:textFill>
              </w:rPr>
              <w:t>2</w:t>
            </w:r>
          </w:p>
        </w:tc>
        <w:tc>
          <w:tcPr>
            <w:tcW w:w="1809" w:type="dxa"/>
            <w:vAlign w:val="center"/>
          </w:tcPr>
          <w:p w14:paraId="2B52313A">
            <w:pPr>
              <w:pStyle w:val="70"/>
              <w:rPr>
                <w:color w:val="000000" w:themeColor="text1"/>
                <w14:textFill>
                  <w14:solidFill>
                    <w14:schemeClr w14:val="tx1"/>
                  </w14:solidFill>
                </w14:textFill>
              </w:rPr>
            </w:pPr>
            <w:r>
              <w:rPr>
                <w:color w:val="000000" w:themeColor="text1"/>
                <w14:textFill>
                  <w14:solidFill>
                    <w14:schemeClr w14:val="tx1"/>
                  </w14:solidFill>
                </w14:textFill>
              </w:rPr>
              <w:t>镉（×10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808" w:type="dxa"/>
            <w:vAlign w:val="center"/>
          </w:tcPr>
          <w:p w14:paraId="4B2ACB28">
            <w:pPr>
              <w:pStyle w:val="70"/>
              <w:rPr>
                <w:color w:val="000000" w:themeColor="text1"/>
                <w14:textFill>
                  <w14:solidFill>
                    <w14:schemeClr w14:val="tx1"/>
                  </w14:solidFill>
                </w14:textFill>
              </w:rPr>
            </w:pPr>
            <w:r>
              <w:rPr>
                <w:color w:val="000000" w:themeColor="text1"/>
                <w14:textFill>
                  <w14:solidFill>
                    <w14:schemeClr w14:val="tx1"/>
                  </w14:solidFill>
                </w14:textFill>
              </w:rPr>
              <w:t>0.5</w:t>
            </w:r>
          </w:p>
        </w:tc>
        <w:tc>
          <w:tcPr>
            <w:tcW w:w="1808" w:type="dxa"/>
            <w:vAlign w:val="center"/>
          </w:tcPr>
          <w:p w14:paraId="40758D4F">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808" w:type="dxa"/>
            <w:vAlign w:val="center"/>
          </w:tcPr>
          <w:p w14:paraId="71F322E5">
            <w:pPr>
              <w:pStyle w:val="70"/>
              <w:rPr>
                <w:color w:val="000000" w:themeColor="text1"/>
                <w14:textFill>
                  <w14:solidFill>
                    <w14:schemeClr w14:val="tx1"/>
                  </w14:solidFill>
                </w14:textFill>
              </w:rPr>
            </w:pPr>
            <w:r>
              <w:rPr>
                <w:color w:val="000000" w:themeColor="text1"/>
                <w14:textFill>
                  <w14:solidFill>
                    <w14:schemeClr w14:val="tx1"/>
                  </w14:solidFill>
                </w14:textFill>
              </w:rPr>
              <w:t>5</w:t>
            </w:r>
          </w:p>
        </w:tc>
      </w:tr>
      <w:tr w14:paraId="69964C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47ACB351">
            <w:pPr>
              <w:pStyle w:val="7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809" w:type="dxa"/>
            <w:vAlign w:val="center"/>
          </w:tcPr>
          <w:p w14:paraId="149886DC">
            <w:pPr>
              <w:pStyle w:val="70"/>
              <w:rPr>
                <w:color w:val="000000" w:themeColor="text1"/>
                <w14:textFill>
                  <w14:solidFill>
                    <w14:schemeClr w14:val="tx1"/>
                  </w14:solidFill>
                </w14:textFill>
              </w:rPr>
            </w:pPr>
            <w:r>
              <w:rPr>
                <w:color w:val="000000" w:themeColor="text1"/>
                <w14:textFill>
                  <w14:solidFill>
                    <w14:schemeClr w14:val="tx1"/>
                  </w14:solidFill>
                </w14:textFill>
              </w:rPr>
              <w:t>铅（×10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808" w:type="dxa"/>
            <w:vAlign w:val="center"/>
          </w:tcPr>
          <w:p w14:paraId="1CD15ED8">
            <w:pPr>
              <w:pStyle w:val="70"/>
              <w:rPr>
                <w:color w:val="000000" w:themeColor="text1"/>
                <w14:textFill>
                  <w14:solidFill>
                    <w14:schemeClr w14:val="tx1"/>
                  </w14:solidFill>
                </w14:textFill>
              </w:rPr>
            </w:pPr>
            <w:r>
              <w:rPr>
                <w:color w:val="000000" w:themeColor="text1"/>
                <w14:textFill>
                  <w14:solidFill>
                    <w14:schemeClr w14:val="tx1"/>
                  </w14:solidFill>
                </w14:textFill>
              </w:rPr>
              <w:t>60</w:t>
            </w:r>
          </w:p>
        </w:tc>
        <w:tc>
          <w:tcPr>
            <w:tcW w:w="1808" w:type="dxa"/>
            <w:vAlign w:val="center"/>
          </w:tcPr>
          <w:p w14:paraId="68D8A7DC">
            <w:pPr>
              <w:pStyle w:val="70"/>
              <w:rPr>
                <w:color w:val="000000" w:themeColor="text1"/>
                <w14:textFill>
                  <w14:solidFill>
                    <w14:schemeClr w14:val="tx1"/>
                  </w14:solidFill>
                </w14:textFill>
              </w:rPr>
            </w:pPr>
            <w:r>
              <w:rPr>
                <w:color w:val="000000" w:themeColor="text1"/>
                <w14:textFill>
                  <w14:solidFill>
                    <w14:schemeClr w14:val="tx1"/>
                  </w14:solidFill>
                </w14:textFill>
              </w:rPr>
              <w:t>130</w:t>
            </w:r>
          </w:p>
        </w:tc>
        <w:tc>
          <w:tcPr>
            <w:tcW w:w="1808" w:type="dxa"/>
            <w:vAlign w:val="center"/>
          </w:tcPr>
          <w:p w14:paraId="76A3E162">
            <w:pPr>
              <w:pStyle w:val="70"/>
              <w:rPr>
                <w:color w:val="000000" w:themeColor="text1"/>
                <w14:textFill>
                  <w14:solidFill>
                    <w14:schemeClr w14:val="tx1"/>
                  </w14:solidFill>
                </w14:textFill>
              </w:rPr>
            </w:pPr>
            <w:r>
              <w:rPr>
                <w:color w:val="000000" w:themeColor="text1"/>
                <w14:textFill>
                  <w14:solidFill>
                    <w14:schemeClr w14:val="tx1"/>
                  </w14:solidFill>
                </w14:textFill>
              </w:rPr>
              <w:t>250</w:t>
            </w:r>
          </w:p>
        </w:tc>
      </w:tr>
      <w:tr w14:paraId="68787F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66DC2A49">
            <w:pPr>
              <w:pStyle w:val="70"/>
              <w:rPr>
                <w:color w:val="000000" w:themeColor="text1"/>
                <w14:textFill>
                  <w14:solidFill>
                    <w14:schemeClr w14:val="tx1"/>
                  </w14:solidFill>
                </w14:textFill>
              </w:rPr>
            </w:pPr>
            <w:r>
              <w:rPr>
                <w:color w:val="000000" w:themeColor="text1"/>
                <w14:textFill>
                  <w14:solidFill>
                    <w14:schemeClr w14:val="tx1"/>
                  </w14:solidFill>
                </w14:textFill>
              </w:rPr>
              <w:t>4</w:t>
            </w:r>
          </w:p>
        </w:tc>
        <w:tc>
          <w:tcPr>
            <w:tcW w:w="1809" w:type="dxa"/>
            <w:vAlign w:val="center"/>
          </w:tcPr>
          <w:p w14:paraId="4B8FB391">
            <w:pPr>
              <w:pStyle w:val="70"/>
              <w:rPr>
                <w:color w:val="000000" w:themeColor="text1"/>
                <w14:textFill>
                  <w14:solidFill>
                    <w14:schemeClr w14:val="tx1"/>
                  </w14:solidFill>
                </w14:textFill>
              </w:rPr>
            </w:pPr>
            <w:r>
              <w:rPr>
                <w:color w:val="000000" w:themeColor="text1"/>
                <w14:textFill>
                  <w14:solidFill>
                    <w14:schemeClr w14:val="tx1"/>
                  </w14:solidFill>
                </w14:textFill>
              </w:rPr>
              <w:t>锌（×10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808" w:type="dxa"/>
            <w:vAlign w:val="center"/>
          </w:tcPr>
          <w:p w14:paraId="1F6859D3">
            <w:pPr>
              <w:pStyle w:val="70"/>
              <w:rPr>
                <w:color w:val="000000" w:themeColor="text1"/>
                <w14:textFill>
                  <w14:solidFill>
                    <w14:schemeClr w14:val="tx1"/>
                  </w14:solidFill>
                </w14:textFill>
              </w:rPr>
            </w:pPr>
            <w:r>
              <w:rPr>
                <w:color w:val="000000" w:themeColor="text1"/>
                <w14:textFill>
                  <w14:solidFill>
                    <w14:schemeClr w14:val="tx1"/>
                  </w14:solidFill>
                </w14:textFill>
              </w:rPr>
              <w:t>150</w:t>
            </w:r>
          </w:p>
        </w:tc>
        <w:tc>
          <w:tcPr>
            <w:tcW w:w="1808" w:type="dxa"/>
            <w:vAlign w:val="center"/>
          </w:tcPr>
          <w:p w14:paraId="4166ABBB">
            <w:pPr>
              <w:pStyle w:val="70"/>
              <w:rPr>
                <w:color w:val="000000" w:themeColor="text1"/>
                <w14:textFill>
                  <w14:solidFill>
                    <w14:schemeClr w14:val="tx1"/>
                  </w14:solidFill>
                </w14:textFill>
              </w:rPr>
            </w:pPr>
            <w:r>
              <w:rPr>
                <w:color w:val="000000" w:themeColor="text1"/>
                <w14:textFill>
                  <w14:solidFill>
                    <w14:schemeClr w14:val="tx1"/>
                  </w14:solidFill>
                </w14:textFill>
              </w:rPr>
              <w:t>350</w:t>
            </w:r>
          </w:p>
        </w:tc>
        <w:tc>
          <w:tcPr>
            <w:tcW w:w="1808" w:type="dxa"/>
            <w:vAlign w:val="center"/>
          </w:tcPr>
          <w:p w14:paraId="3CFE2ECA">
            <w:pPr>
              <w:pStyle w:val="70"/>
              <w:rPr>
                <w:color w:val="000000" w:themeColor="text1"/>
                <w14:textFill>
                  <w14:solidFill>
                    <w14:schemeClr w14:val="tx1"/>
                  </w14:solidFill>
                </w14:textFill>
              </w:rPr>
            </w:pPr>
            <w:r>
              <w:rPr>
                <w:color w:val="000000" w:themeColor="text1"/>
                <w14:textFill>
                  <w14:solidFill>
                    <w14:schemeClr w14:val="tx1"/>
                  </w14:solidFill>
                </w14:textFill>
              </w:rPr>
              <w:t>600</w:t>
            </w:r>
          </w:p>
        </w:tc>
      </w:tr>
      <w:tr w14:paraId="45CE3C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4B2F1F77">
            <w:pPr>
              <w:pStyle w:val="70"/>
              <w:rPr>
                <w:color w:val="000000" w:themeColor="text1"/>
                <w14:textFill>
                  <w14:solidFill>
                    <w14:schemeClr w14:val="tx1"/>
                  </w14:solidFill>
                </w14:textFill>
              </w:rPr>
            </w:pPr>
            <w:r>
              <w:rPr>
                <w:color w:val="000000" w:themeColor="text1"/>
                <w14:textFill>
                  <w14:solidFill>
                    <w14:schemeClr w14:val="tx1"/>
                  </w14:solidFill>
                </w14:textFill>
              </w:rPr>
              <w:t>5</w:t>
            </w:r>
          </w:p>
        </w:tc>
        <w:tc>
          <w:tcPr>
            <w:tcW w:w="1809" w:type="dxa"/>
            <w:vAlign w:val="center"/>
          </w:tcPr>
          <w:p w14:paraId="2A8A3C06">
            <w:pPr>
              <w:pStyle w:val="70"/>
              <w:rPr>
                <w:color w:val="000000" w:themeColor="text1"/>
                <w14:textFill>
                  <w14:solidFill>
                    <w14:schemeClr w14:val="tx1"/>
                  </w14:solidFill>
                </w14:textFill>
              </w:rPr>
            </w:pPr>
            <w:r>
              <w:rPr>
                <w:color w:val="000000" w:themeColor="text1"/>
                <w14:textFill>
                  <w14:solidFill>
                    <w14:schemeClr w14:val="tx1"/>
                  </w14:solidFill>
                </w14:textFill>
              </w:rPr>
              <w:t>铜（×10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808" w:type="dxa"/>
            <w:vAlign w:val="center"/>
          </w:tcPr>
          <w:p w14:paraId="517BEFB2">
            <w:pPr>
              <w:pStyle w:val="70"/>
              <w:rPr>
                <w:color w:val="000000" w:themeColor="text1"/>
                <w14:textFill>
                  <w14:solidFill>
                    <w14:schemeClr w14:val="tx1"/>
                  </w14:solidFill>
                </w14:textFill>
              </w:rPr>
            </w:pPr>
            <w:r>
              <w:rPr>
                <w:color w:val="000000" w:themeColor="text1"/>
                <w14:textFill>
                  <w14:solidFill>
                    <w14:schemeClr w14:val="tx1"/>
                  </w14:solidFill>
                </w14:textFill>
              </w:rPr>
              <w:t>35</w:t>
            </w:r>
          </w:p>
        </w:tc>
        <w:tc>
          <w:tcPr>
            <w:tcW w:w="1808" w:type="dxa"/>
            <w:vAlign w:val="center"/>
          </w:tcPr>
          <w:p w14:paraId="01560169">
            <w:pPr>
              <w:pStyle w:val="70"/>
              <w:rPr>
                <w:color w:val="000000" w:themeColor="text1"/>
                <w14:textFill>
                  <w14:solidFill>
                    <w14:schemeClr w14:val="tx1"/>
                  </w14:solidFill>
                </w14:textFill>
              </w:rPr>
            </w:pPr>
            <w:r>
              <w:rPr>
                <w:color w:val="000000" w:themeColor="text1"/>
                <w14:textFill>
                  <w14:solidFill>
                    <w14:schemeClr w14:val="tx1"/>
                  </w14:solidFill>
                </w14:textFill>
              </w:rPr>
              <w:t>100</w:t>
            </w:r>
          </w:p>
        </w:tc>
        <w:tc>
          <w:tcPr>
            <w:tcW w:w="1808" w:type="dxa"/>
            <w:vAlign w:val="center"/>
          </w:tcPr>
          <w:p w14:paraId="5AFC21CC">
            <w:pPr>
              <w:pStyle w:val="70"/>
              <w:rPr>
                <w:color w:val="000000" w:themeColor="text1"/>
                <w14:textFill>
                  <w14:solidFill>
                    <w14:schemeClr w14:val="tx1"/>
                  </w14:solidFill>
                </w14:textFill>
              </w:rPr>
            </w:pPr>
            <w:r>
              <w:rPr>
                <w:color w:val="000000" w:themeColor="text1"/>
                <w14:textFill>
                  <w14:solidFill>
                    <w14:schemeClr w14:val="tx1"/>
                  </w14:solidFill>
                </w14:textFill>
              </w:rPr>
              <w:t>200</w:t>
            </w:r>
          </w:p>
        </w:tc>
      </w:tr>
      <w:tr w14:paraId="382DD3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05483136">
            <w:pPr>
              <w:pStyle w:val="70"/>
              <w:rPr>
                <w:color w:val="000000" w:themeColor="text1"/>
                <w14:textFill>
                  <w14:solidFill>
                    <w14:schemeClr w14:val="tx1"/>
                  </w14:solidFill>
                </w14:textFill>
              </w:rPr>
            </w:pPr>
            <w:r>
              <w:rPr>
                <w:color w:val="000000" w:themeColor="text1"/>
                <w14:textFill>
                  <w14:solidFill>
                    <w14:schemeClr w14:val="tx1"/>
                  </w14:solidFill>
                </w14:textFill>
              </w:rPr>
              <w:t>6</w:t>
            </w:r>
          </w:p>
        </w:tc>
        <w:tc>
          <w:tcPr>
            <w:tcW w:w="1809" w:type="dxa"/>
            <w:vAlign w:val="center"/>
          </w:tcPr>
          <w:p w14:paraId="798D8AAC">
            <w:pPr>
              <w:pStyle w:val="70"/>
              <w:rPr>
                <w:color w:val="000000" w:themeColor="text1"/>
                <w14:textFill>
                  <w14:solidFill>
                    <w14:schemeClr w14:val="tx1"/>
                  </w14:solidFill>
                </w14:textFill>
              </w:rPr>
            </w:pPr>
            <w:r>
              <w:rPr>
                <w:color w:val="000000" w:themeColor="text1"/>
                <w14:textFill>
                  <w14:solidFill>
                    <w14:schemeClr w14:val="tx1"/>
                  </w14:solidFill>
                </w14:textFill>
              </w:rPr>
              <w:t>铬（×10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808" w:type="dxa"/>
            <w:vAlign w:val="center"/>
          </w:tcPr>
          <w:p w14:paraId="11AD6807">
            <w:pPr>
              <w:pStyle w:val="70"/>
              <w:rPr>
                <w:color w:val="000000" w:themeColor="text1"/>
                <w14:textFill>
                  <w14:solidFill>
                    <w14:schemeClr w14:val="tx1"/>
                  </w14:solidFill>
                </w14:textFill>
              </w:rPr>
            </w:pPr>
            <w:r>
              <w:rPr>
                <w:color w:val="000000" w:themeColor="text1"/>
                <w14:textFill>
                  <w14:solidFill>
                    <w14:schemeClr w14:val="tx1"/>
                  </w14:solidFill>
                </w14:textFill>
              </w:rPr>
              <w:t>80</w:t>
            </w:r>
          </w:p>
        </w:tc>
        <w:tc>
          <w:tcPr>
            <w:tcW w:w="1808" w:type="dxa"/>
            <w:vAlign w:val="center"/>
          </w:tcPr>
          <w:p w14:paraId="617F2239">
            <w:pPr>
              <w:pStyle w:val="70"/>
              <w:rPr>
                <w:color w:val="000000" w:themeColor="text1"/>
                <w14:textFill>
                  <w14:solidFill>
                    <w14:schemeClr w14:val="tx1"/>
                  </w14:solidFill>
                </w14:textFill>
              </w:rPr>
            </w:pPr>
            <w:r>
              <w:rPr>
                <w:color w:val="000000" w:themeColor="text1"/>
                <w14:textFill>
                  <w14:solidFill>
                    <w14:schemeClr w14:val="tx1"/>
                  </w14:solidFill>
                </w14:textFill>
              </w:rPr>
              <w:t>150</w:t>
            </w:r>
          </w:p>
        </w:tc>
        <w:tc>
          <w:tcPr>
            <w:tcW w:w="1808" w:type="dxa"/>
            <w:vAlign w:val="center"/>
          </w:tcPr>
          <w:p w14:paraId="0DF2B520">
            <w:pPr>
              <w:pStyle w:val="70"/>
              <w:rPr>
                <w:color w:val="000000" w:themeColor="text1"/>
                <w14:textFill>
                  <w14:solidFill>
                    <w14:schemeClr w14:val="tx1"/>
                  </w14:solidFill>
                </w14:textFill>
              </w:rPr>
            </w:pPr>
            <w:r>
              <w:rPr>
                <w:color w:val="000000" w:themeColor="text1"/>
                <w14:textFill>
                  <w14:solidFill>
                    <w14:schemeClr w14:val="tx1"/>
                  </w14:solidFill>
                </w14:textFill>
              </w:rPr>
              <w:t>270</w:t>
            </w:r>
          </w:p>
        </w:tc>
      </w:tr>
      <w:tr w14:paraId="0612C0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3B32D5F5">
            <w:pPr>
              <w:pStyle w:val="70"/>
              <w:rPr>
                <w:color w:val="000000" w:themeColor="text1"/>
                <w14:textFill>
                  <w14:solidFill>
                    <w14:schemeClr w14:val="tx1"/>
                  </w14:solidFill>
                </w14:textFill>
              </w:rPr>
            </w:pPr>
            <w:r>
              <w:rPr>
                <w:color w:val="000000" w:themeColor="text1"/>
                <w14:textFill>
                  <w14:solidFill>
                    <w14:schemeClr w14:val="tx1"/>
                  </w14:solidFill>
                </w14:textFill>
              </w:rPr>
              <w:t>7</w:t>
            </w:r>
          </w:p>
        </w:tc>
        <w:tc>
          <w:tcPr>
            <w:tcW w:w="1809" w:type="dxa"/>
            <w:vAlign w:val="center"/>
          </w:tcPr>
          <w:p w14:paraId="12CEFB2D">
            <w:pPr>
              <w:pStyle w:val="70"/>
              <w:rPr>
                <w:color w:val="000000" w:themeColor="text1"/>
                <w14:textFill>
                  <w14:solidFill>
                    <w14:schemeClr w14:val="tx1"/>
                  </w14:solidFill>
                </w14:textFill>
              </w:rPr>
            </w:pPr>
            <w:r>
              <w:rPr>
                <w:color w:val="000000" w:themeColor="text1"/>
                <w14:textFill>
                  <w14:solidFill>
                    <w14:schemeClr w14:val="tx1"/>
                  </w14:solidFill>
                </w14:textFill>
              </w:rPr>
              <w:t>砷（×10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808" w:type="dxa"/>
            <w:vAlign w:val="center"/>
          </w:tcPr>
          <w:p w14:paraId="1CBDC4AB">
            <w:pPr>
              <w:pStyle w:val="70"/>
              <w:rPr>
                <w:color w:val="000000" w:themeColor="text1"/>
                <w14:textFill>
                  <w14:solidFill>
                    <w14:schemeClr w14:val="tx1"/>
                  </w14:solidFill>
                </w14:textFill>
              </w:rPr>
            </w:pPr>
            <w:r>
              <w:rPr>
                <w:color w:val="000000" w:themeColor="text1"/>
                <w14:textFill>
                  <w14:solidFill>
                    <w14:schemeClr w14:val="tx1"/>
                  </w14:solidFill>
                </w14:textFill>
              </w:rPr>
              <w:t>20</w:t>
            </w:r>
          </w:p>
        </w:tc>
        <w:tc>
          <w:tcPr>
            <w:tcW w:w="1808" w:type="dxa"/>
            <w:vAlign w:val="center"/>
          </w:tcPr>
          <w:p w14:paraId="097F8BF6">
            <w:pPr>
              <w:pStyle w:val="70"/>
              <w:rPr>
                <w:color w:val="000000" w:themeColor="text1"/>
                <w14:textFill>
                  <w14:solidFill>
                    <w14:schemeClr w14:val="tx1"/>
                  </w14:solidFill>
                </w14:textFill>
              </w:rPr>
            </w:pPr>
            <w:r>
              <w:rPr>
                <w:color w:val="000000" w:themeColor="text1"/>
                <w14:textFill>
                  <w14:solidFill>
                    <w14:schemeClr w14:val="tx1"/>
                  </w14:solidFill>
                </w14:textFill>
              </w:rPr>
              <w:t>65</w:t>
            </w:r>
          </w:p>
        </w:tc>
        <w:tc>
          <w:tcPr>
            <w:tcW w:w="1808" w:type="dxa"/>
            <w:vAlign w:val="center"/>
          </w:tcPr>
          <w:p w14:paraId="72EC0F2E">
            <w:pPr>
              <w:pStyle w:val="70"/>
              <w:rPr>
                <w:color w:val="000000" w:themeColor="text1"/>
                <w14:textFill>
                  <w14:solidFill>
                    <w14:schemeClr w14:val="tx1"/>
                  </w14:solidFill>
                </w14:textFill>
              </w:rPr>
            </w:pPr>
            <w:r>
              <w:rPr>
                <w:color w:val="000000" w:themeColor="text1"/>
                <w14:textFill>
                  <w14:solidFill>
                    <w14:schemeClr w14:val="tx1"/>
                  </w14:solidFill>
                </w14:textFill>
              </w:rPr>
              <w:t>93</w:t>
            </w:r>
          </w:p>
        </w:tc>
      </w:tr>
      <w:tr w14:paraId="0E624A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314FF488">
            <w:pPr>
              <w:pStyle w:val="70"/>
              <w:rPr>
                <w:color w:val="000000" w:themeColor="text1"/>
                <w14:textFill>
                  <w14:solidFill>
                    <w14:schemeClr w14:val="tx1"/>
                  </w14:solidFill>
                </w14:textFill>
              </w:rPr>
            </w:pPr>
            <w:r>
              <w:rPr>
                <w:color w:val="000000" w:themeColor="text1"/>
                <w14:textFill>
                  <w14:solidFill>
                    <w14:schemeClr w14:val="tx1"/>
                  </w14:solidFill>
                </w14:textFill>
              </w:rPr>
              <w:t>8</w:t>
            </w:r>
          </w:p>
        </w:tc>
        <w:tc>
          <w:tcPr>
            <w:tcW w:w="1809" w:type="dxa"/>
            <w:vAlign w:val="center"/>
          </w:tcPr>
          <w:p w14:paraId="605B9933">
            <w:pPr>
              <w:pStyle w:val="70"/>
              <w:rPr>
                <w:color w:val="000000" w:themeColor="text1"/>
                <w14:textFill>
                  <w14:solidFill>
                    <w14:schemeClr w14:val="tx1"/>
                  </w14:solidFill>
                </w14:textFill>
              </w:rPr>
            </w:pPr>
            <w:r>
              <w:rPr>
                <w:color w:val="000000" w:themeColor="text1"/>
                <w14:textFill>
                  <w14:solidFill>
                    <w14:schemeClr w14:val="tx1"/>
                  </w14:solidFill>
                </w14:textFill>
              </w:rPr>
              <w:t>有机碳（×10</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p>
        </w:tc>
        <w:tc>
          <w:tcPr>
            <w:tcW w:w="1808" w:type="dxa"/>
            <w:vAlign w:val="center"/>
          </w:tcPr>
          <w:p w14:paraId="4312075B">
            <w:pPr>
              <w:pStyle w:val="70"/>
              <w:rPr>
                <w:color w:val="000000" w:themeColor="text1"/>
                <w14:textFill>
                  <w14:solidFill>
                    <w14:schemeClr w14:val="tx1"/>
                  </w14:solidFill>
                </w14:textFill>
              </w:rPr>
            </w:pPr>
            <w:r>
              <w:rPr>
                <w:color w:val="000000" w:themeColor="text1"/>
                <w14:textFill>
                  <w14:solidFill>
                    <w14:schemeClr w14:val="tx1"/>
                  </w14:solidFill>
                </w14:textFill>
              </w:rPr>
              <w:t>2</w:t>
            </w:r>
          </w:p>
        </w:tc>
        <w:tc>
          <w:tcPr>
            <w:tcW w:w="1808" w:type="dxa"/>
            <w:vAlign w:val="center"/>
          </w:tcPr>
          <w:p w14:paraId="55D4B674">
            <w:pPr>
              <w:pStyle w:val="7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808" w:type="dxa"/>
            <w:vAlign w:val="center"/>
          </w:tcPr>
          <w:p w14:paraId="24E5C38C">
            <w:pPr>
              <w:pStyle w:val="70"/>
              <w:rPr>
                <w:color w:val="000000" w:themeColor="text1"/>
                <w14:textFill>
                  <w14:solidFill>
                    <w14:schemeClr w14:val="tx1"/>
                  </w14:solidFill>
                </w14:textFill>
              </w:rPr>
            </w:pPr>
            <w:r>
              <w:rPr>
                <w:color w:val="000000" w:themeColor="text1"/>
                <w14:textFill>
                  <w14:solidFill>
                    <w14:schemeClr w14:val="tx1"/>
                  </w14:solidFill>
                </w14:textFill>
              </w:rPr>
              <w:t>4</w:t>
            </w:r>
          </w:p>
        </w:tc>
      </w:tr>
      <w:tr w14:paraId="276ED2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257CB885">
            <w:pPr>
              <w:pStyle w:val="70"/>
              <w:rPr>
                <w:color w:val="000000" w:themeColor="text1"/>
                <w14:textFill>
                  <w14:solidFill>
                    <w14:schemeClr w14:val="tx1"/>
                  </w14:solidFill>
                </w14:textFill>
              </w:rPr>
            </w:pPr>
            <w:r>
              <w:rPr>
                <w:color w:val="000000" w:themeColor="text1"/>
                <w14:textFill>
                  <w14:solidFill>
                    <w14:schemeClr w14:val="tx1"/>
                  </w14:solidFill>
                </w14:textFill>
              </w:rPr>
              <w:t>9</w:t>
            </w:r>
          </w:p>
        </w:tc>
        <w:tc>
          <w:tcPr>
            <w:tcW w:w="1809" w:type="dxa"/>
            <w:vAlign w:val="center"/>
          </w:tcPr>
          <w:p w14:paraId="376CC090">
            <w:pPr>
              <w:pStyle w:val="70"/>
              <w:rPr>
                <w:color w:val="000000" w:themeColor="text1"/>
                <w14:textFill>
                  <w14:solidFill>
                    <w14:schemeClr w14:val="tx1"/>
                  </w14:solidFill>
                </w14:textFill>
              </w:rPr>
            </w:pPr>
            <w:r>
              <w:rPr>
                <w:color w:val="000000" w:themeColor="text1"/>
                <w14:textFill>
                  <w14:solidFill>
                    <w14:schemeClr w14:val="tx1"/>
                  </w14:solidFill>
                </w14:textFill>
              </w:rPr>
              <w:t>硫化物（×10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808" w:type="dxa"/>
            <w:vAlign w:val="center"/>
          </w:tcPr>
          <w:p w14:paraId="60A49466">
            <w:pPr>
              <w:pStyle w:val="70"/>
              <w:rPr>
                <w:color w:val="000000" w:themeColor="text1"/>
                <w14:textFill>
                  <w14:solidFill>
                    <w14:schemeClr w14:val="tx1"/>
                  </w14:solidFill>
                </w14:textFill>
              </w:rPr>
            </w:pPr>
            <w:r>
              <w:rPr>
                <w:color w:val="000000" w:themeColor="text1"/>
                <w14:textFill>
                  <w14:solidFill>
                    <w14:schemeClr w14:val="tx1"/>
                  </w14:solidFill>
                </w14:textFill>
              </w:rPr>
              <w:t>300</w:t>
            </w:r>
          </w:p>
        </w:tc>
        <w:tc>
          <w:tcPr>
            <w:tcW w:w="1808" w:type="dxa"/>
            <w:vAlign w:val="center"/>
          </w:tcPr>
          <w:p w14:paraId="4FA3579D">
            <w:pPr>
              <w:pStyle w:val="70"/>
              <w:rPr>
                <w:color w:val="000000" w:themeColor="text1"/>
                <w14:textFill>
                  <w14:solidFill>
                    <w14:schemeClr w14:val="tx1"/>
                  </w14:solidFill>
                </w14:textFill>
              </w:rPr>
            </w:pPr>
            <w:r>
              <w:rPr>
                <w:color w:val="000000" w:themeColor="text1"/>
                <w14:textFill>
                  <w14:solidFill>
                    <w14:schemeClr w14:val="tx1"/>
                  </w14:solidFill>
                </w14:textFill>
              </w:rPr>
              <w:t>500</w:t>
            </w:r>
          </w:p>
        </w:tc>
        <w:tc>
          <w:tcPr>
            <w:tcW w:w="1808" w:type="dxa"/>
            <w:vAlign w:val="center"/>
          </w:tcPr>
          <w:p w14:paraId="4A01125E">
            <w:pPr>
              <w:pStyle w:val="70"/>
              <w:rPr>
                <w:color w:val="000000" w:themeColor="text1"/>
                <w14:textFill>
                  <w14:solidFill>
                    <w14:schemeClr w14:val="tx1"/>
                  </w14:solidFill>
                </w14:textFill>
              </w:rPr>
            </w:pPr>
            <w:r>
              <w:rPr>
                <w:color w:val="000000" w:themeColor="text1"/>
                <w14:textFill>
                  <w14:solidFill>
                    <w14:schemeClr w14:val="tx1"/>
                  </w14:solidFill>
                </w14:textFill>
              </w:rPr>
              <w:t>600</w:t>
            </w:r>
          </w:p>
        </w:tc>
      </w:tr>
      <w:tr w14:paraId="72382C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54C20052">
            <w:pPr>
              <w:pStyle w:val="70"/>
              <w:rPr>
                <w:color w:val="000000" w:themeColor="text1"/>
                <w14:textFill>
                  <w14:solidFill>
                    <w14:schemeClr w14:val="tx1"/>
                  </w14:solidFill>
                </w14:textFill>
              </w:rPr>
            </w:pPr>
            <w:r>
              <w:rPr>
                <w:color w:val="000000" w:themeColor="text1"/>
                <w14:textFill>
                  <w14:solidFill>
                    <w14:schemeClr w14:val="tx1"/>
                  </w14:solidFill>
                </w14:textFill>
              </w:rPr>
              <w:t>10</w:t>
            </w:r>
          </w:p>
        </w:tc>
        <w:tc>
          <w:tcPr>
            <w:tcW w:w="1809" w:type="dxa"/>
            <w:vAlign w:val="center"/>
          </w:tcPr>
          <w:p w14:paraId="3375CE8C">
            <w:pPr>
              <w:pStyle w:val="70"/>
              <w:rPr>
                <w:color w:val="000000" w:themeColor="text1"/>
                <w14:textFill>
                  <w14:solidFill>
                    <w14:schemeClr w14:val="tx1"/>
                  </w14:solidFill>
                </w14:textFill>
              </w:rPr>
            </w:pPr>
            <w:r>
              <w:rPr>
                <w:color w:val="000000" w:themeColor="text1"/>
                <w14:textFill>
                  <w14:solidFill>
                    <w14:schemeClr w14:val="tx1"/>
                  </w14:solidFill>
                </w14:textFill>
              </w:rPr>
              <w:t>石油类（×10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808" w:type="dxa"/>
            <w:vAlign w:val="center"/>
          </w:tcPr>
          <w:p w14:paraId="755F0882">
            <w:pPr>
              <w:pStyle w:val="70"/>
              <w:rPr>
                <w:color w:val="000000" w:themeColor="text1"/>
                <w14:textFill>
                  <w14:solidFill>
                    <w14:schemeClr w14:val="tx1"/>
                  </w14:solidFill>
                </w14:textFill>
              </w:rPr>
            </w:pPr>
            <w:r>
              <w:rPr>
                <w:color w:val="000000" w:themeColor="text1"/>
                <w14:textFill>
                  <w14:solidFill>
                    <w14:schemeClr w14:val="tx1"/>
                  </w14:solidFill>
                </w14:textFill>
              </w:rPr>
              <w:t>500</w:t>
            </w:r>
          </w:p>
        </w:tc>
        <w:tc>
          <w:tcPr>
            <w:tcW w:w="1808" w:type="dxa"/>
            <w:vAlign w:val="center"/>
          </w:tcPr>
          <w:p w14:paraId="431DAB3E">
            <w:pPr>
              <w:pStyle w:val="70"/>
              <w:rPr>
                <w:color w:val="000000" w:themeColor="text1"/>
                <w14:textFill>
                  <w14:solidFill>
                    <w14:schemeClr w14:val="tx1"/>
                  </w14:solidFill>
                </w14:textFill>
              </w:rPr>
            </w:pPr>
            <w:r>
              <w:rPr>
                <w:color w:val="000000" w:themeColor="text1"/>
                <w14:textFill>
                  <w14:solidFill>
                    <w14:schemeClr w14:val="tx1"/>
                  </w14:solidFill>
                </w14:textFill>
              </w:rPr>
              <w:t>1000</w:t>
            </w:r>
          </w:p>
        </w:tc>
        <w:tc>
          <w:tcPr>
            <w:tcW w:w="1808" w:type="dxa"/>
            <w:vAlign w:val="center"/>
          </w:tcPr>
          <w:p w14:paraId="78762328">
            <w:pPr>
              <w:pStyle w:val="70"/>
              <w:rPr>
                <w:color w:val="000000" w:themeColor="text1"/>
                <w14:textFill>
                  <w14:solidFill>
                    <w14:schemeClr w14:val="tx1"/>
                  </w14:solidFill>
                </w14:textFill>
              </w:rPr>
            </w:pPr>
            <w:r>
              <w:rPr>
                <w:color w:val="000000" w:themeColor="text1"/>
                <w14:textFill>
                  <w14:solidFill>
                    <w14:schemeClr w14:val="tx1"/>
                  </w14:solidFill>
                </w14:textFill>
              </w:rPr>
              <w:t>1500</w:t>
            </w:r>
          </w:p>
        </w:tc>
      </w:tr>
    </w:tbl>
    <w:p w14:paraId="6B8E4751">
      <w:pPr>
        <w:pStyle w:val="6"/>
        <w:rPr>
          <w:color w:val="000000" w:themeColor="text1"/>
          <w14:textFill>
            <w14:solidFill>
              <w14:schemeClr w14:val="tx1"/>
            </w14:solidFill>
          </w14:textFill>
        </w:rPr>
      </w:pPr>
      <w:r>
        <w:rPr>
          <w:color w:val="000000" w:themeColor="text1"/>
          <w14:textFill>
            <w14:solidFill>
              <w14:schemeClr w14:val="tx1"/>
            </w14:solidFill>
          </w14:textFill>
        </w:rPr>
        <w:t>土壤环境</w:t>
      </w:r>
    </w:p>
    <w:p w14:paraId="37544C0C">
      <w:pPr>
        <w:ind w:firstLine="480"/>
        <w:rPr>
          <w:color w:val="000000" w:themeColor="text1"/>
          <w14:textFill>
            <w14:solidFill>
              <w14:schemeClr w14:val="tx1"/>
            </w14:solidFill>
          </w14:textFill>
        </w:rPr>
      </w:pPr>
      <w:r>
        <w:rPr>
          <w:color w:val="000000" w:themeColor="text1"/>
          <w14:textFill>
            <w14:solidFill>
              <w14:schemeClr w14:val="tx1"/>
            </w14:solidFill>
          </w14:textFill>
        </w:rPr>
        <w:t>项目周边为港口码头用地，土壤执行《土壤环境质量 建设用地土壤污染风险管控标准（试行）》（GB36600-2018）。</w:t>
      </w:r>
    </w:p>
    <w:p w14:paraId="15F94223">
      <w:pPr>
        <w:pStyle w:val="4"/>
        <w:rPr>
          <w:color w:val="000000" w:themeColor="text1"/>
          <w14:textFill>
            <w14:solidFill>
              <w14:schemeClr w14:val="tx1"/>
            </w14:solidFill>
          </w14:textFill>
        </w:rPr>
      </w:pPr>
      <w:bookmarkStart w:id="89" w:name="_Toc216620335"/>
      <w:bookmarkStart w:id="90" w:name="_Toc135090174"/>
      <w:bookmarkStart w:id="91" w:name="_Toc26909968"/>
      <w:bookmarkStart w:id="92" w:name="_Toc29131782"/>
      <w:bookmarkStart w:id="93" w:name="_Toc216103176"/>
      <w:bookmarkStart w:id="94" w:name="_Toc25436922"/>
      <w:bookmarkStart w:id="95" w:name="_Toc136878423"/>
      <w:r>
        <w:rPr>
          <w:color w:val="000000" w:themeColor="text1"/>
          <w14:textFill>
            <w14:solidFill>
              <w14:schemeClr w14:val="tx1"/>
            </w14:solidFill>
          </w14:textFill>
        </w:rPr>
        <w:t>污染物排放标准</w:t>
      </w:r>
      <w:bookmarkEnd w:id="89"/>
      <w:bookmarkEnd w:id="90"/>
      <w:bookmarkEnd w:id="91"/>
      <w:bookmarkEnd w:id="92"/>
      <w:bookmarkEnd w:id="93"/>
      <w:bookmarkEnd w:id="94"/>
      <w:bookmarkEnd w:id="95"/>
    </w:p>
    <w:p w14:paraId="4C4602ED">
      <w:pPr>
        <w:pStyle w:val="6"/>
        <w:rPr>
          <w:color w:val="000000" w:themeColor="text1"/>
          <w14:textFill>
            <w14:solidFill>
              <w14:schemeClr w14:val="tx1"/>
            </w14:solidFill>
          </w14:textFill>
        </w:rPr>
      </w:pPr>
      <w:r>
        <w:rPr>
          <w:color w:val="000000" w:themeColor="text1"/>
          <w14:textFill>
            <w14:solidFill>
              <w14:schemeClr w14:val="tx1"/>
            </w14:solidFill>
          </w14:textFill>
        </w:rPr>
        <w:t>大气污染物排放标准</w:t>
      </w:r>
    </w:p>
    <w:p w14:paraId="4DE0B57B">
      <w:pPr>
        <w:ind w:firstLine="482"/>
        <w:rPr>
          <w:rFonts w:cs="宋体"/>
          <w:b/>
          <w:bCs/>
          <w:color w:val="000000" w:themeColor="text1"/>
          <w:kern w:val="0"/>
          <w:lang w:bidi="ar"/>
          <w14:textFill>
            <w14:solidFill>
              <w14:schemeClr w14:val="tx1"/>
            </w14:solidFill>
          </w14:textFill>
        </w:rPr>
      </w:pPr>
      <w:r>
        <w:rPr>
          <w:rFonts w:hint="eastAsia" w:cs="宋体"/>
          <w:b/>
          <w:bCs/>
          <w:color w:val="000000" w:themeColor="text1"/>
          <w:kern w:val="0"/>
          <w:lang w:bidi="ar"/>
          <w14:textFill>
            <w14:solidFill>
              <w14:schemeClr w14:val="tx1"/>
            </w14:solidFill>
          </w14:textFill>
        </w:rPr>
        <w:t>1、施工期</w:t>
      </w:r>
    </w:p>
    <w:p w14:paraId="2EA1797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施工期无组织废气颗粒物、二氧化硫、氮氧化物执行《大气污染物综合排放标准》（GB16297-1996）表2中的无组织排放监控浓度限值。</w:t>
      </w:r>
    </w:p>
    <w:p w14:paraId="1F8BC3D0">
      <w:pPr>
        <w:ind w:firstLine="482"/>
        <w:rPr>
          <w:rFonts w:cs="宋体"/>
          <w:b/>
          <w:bCs/>
          <w:color w:val="000000" w:themeColor="text1"/>
          <w:kern w:val="0"/>
          <w:u w:val="single"/>
          <w:lang w:bidi="ar"/>
          <w14:textFill>
            <w14:solidFill>
              <w14:schemeClr w14:val="tx1"/>
            </w14:solidFill>
          </w14:textFill>
        </w:rPr>
      </w:pPr>
      <w:r>
        <w:rPr>
          <w:rFonts w:hint="eastAsia" w:cs="宋体"/>
          <w:b/>
          <w:bCs/>
          <w:color w:val="000000" w:themeColor="text1"/>
          <w:kern w:val="0"/>
          <w:u w:val="single"/>
          <w:lang w:bidi="ar"/>
          <w14:textFill>
            <w14:solidFill>
              <w14:schemeClr w14:val="tx1"/>
            </w14:solidFill>
          </w14:textFill>
        </w:rPr>
        <w:t>2、营运期</w:t>
      </w:r>
    </w:p>
    <w:p w14:paraId="30CEB2B8">
      <w:pPr>
        <w:ind w:firstLine="482"/>
        <w:rPr>
          <w:b/>
          <w:bCs/>
          <w:color w:val="000000" w:themeColor="text1"/>
          <w:u w:val="single"/>
          <w14:textFill>
            <w14:solidFill>
              <w14:schemeClr w14:val="tx1"/>
            </w14:solidFill>
          </w14:textFill>
        </w:rPr>
      </w:pPr>
      <w:r>
        <w:rPr>
          <w:rFonts w:hint="eastAsia" w:cs="宋体"/>
          <w:b/>
          <w:bCs/>
          <w:color w:val="000000" w:themeColor="text1"/>
          <w:kern w:val="0"/>
          <w:u w:val="single"/>
          <w:lang w:bidi="ar"/>
          <w14:textFill>
            <w14:solidFill>
              <w14:schemeClr w14:val="tx1"/>
            </w14:solidFill>
          </w14:textFill>
        </w:rPr>
        <w:t>①</w:t>
      </w:r>
      <w:r>
        <w:rPr>
          <w:rFonts w:hint="eastAsia"/>
          <w:b/>
          <w:bCs/>
          <w:color w:val="000000" w:themeColor="text1"/>
          <w:u w:val="single"/>
          <w14:textFill>
            <w14:solidFill>
              <w14:schemeClr w14:val="tx1"/>
            </w14:solidFill>
          </w14:textFill>
        </w:rPr>
        <w:t>新增苯乙烯尾气：</w:t>
      </w:r>
    </w:p>
    <w:p w14:paraId="29A8D6BB">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苯乙烯为卸船送至后方台湾见龙钦州高端聚苯乙烯新材料项目，其产生的废气依托台湾见龙钦州高端聚苯乙烯新材料项目进行处置。</w:t>
      </w:r>
    </w:p>
    <w:p w14:paraId="31D1F183">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根据《台湾见龙钦州高端聚苯乙烯新材料项目环境影响报告书》（报批稿）及环评批复（中马园审批环[2025]15号）（附件23）“苯乙烯储罐呼吸废气以及危险废物暂存间废气经 2 套 RTO 装置处 理后分别由 2 根 28.4m 高排气筒（DA001~DA002）排放；苯乙烯执行《合成树脂工业污染物排放标准》（GB31572-2015，含 2024 年修改单）表 4 中大气污染物排放限值”。</w:t>
      </w:r>
    </w:p>
    <w:p w14:paraId="01989DC6">
      <w:pPr>
        <w:ind w:firstLine="482"/>
        <w:rPr>
          <w:rFonts w:cs="宋体"/>
          <w:b/>
          <w:bCs/>
          <w:color w:val="000000" w:themeColor="text1"/>
          <w:kern w:val="0"/>
          <w:u w:val="single"/>
          <w:lang w:bidi="ar"/>
          <w14:textFill>
            <w14:solidFill>
              <w14:schemeClr w14:val="tx1"/>
            </w14:solidFill>
          </w14:textFill>
        </w:rPr>
      </w:pPr>
      <w:r>
        <w:rPr>
          <w:rFonts w:hint="eastAsia"/>
          <w:b/>
          <w:bCs/>
          <w:color w:val="000000" w:themeColor="text1"/>
          <w:u w:val="single"/>
          <w14:textFill>
            <w14:solidFill>
              <w14:schemeClr w14:val="tx1"/>
            </w14:solidFill>
          </w14:textFill>
        </w:rPr>
        <w:t>②</w:t>
      </w:r>
      <w:r>
        <w:rPr>
          <w:rFonts w:hint="eastAsia" w:cs="宋体"/>
          <w:b/>
          <w:bCs/>
          <w:color w:val="000000" w:themeColor="text1"/>
          <w:kern w:val="0"/>
          <w:u w:val="single"/>
          <w:lang w:bidi="ar"/>
          <w14:textFill>
            <w14:solidFill>
              <w14:schemeClr w14:val="tx1"/>
            </w14:solidFill>
          </w14:textFill>
        </w:rPr>
        <w:t>新增棕榈酸化油、脂肪酸混合物尾气</w:t>
      </w:r>
    </w:p>
    <w:p w14:paraId="32664BD9">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棕榈酸化油、脂肪酸混合物为卸船至后方欧德年产 30 万吨生物柴油生产线项目，其产生废气依托欧德年产 30 万吨生物柴油生产线项目进行处置。</w:t>
      </w:r>
    </w:p>
    <w:p w14:paraId="171216F7">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根据《欧德年产 30 万吨生物柴油生产线项目环境影响报告书》（报批稿）及环评批复（中马园审批环[2025]33号）（附件22）“项目运营期生产线工艺废气和储罐大小呼吸废气经 RCO 催化燃烧装置处理后，通过 30m 高排气筒（DA001）排放，DA001 排气筒排放的非甲烷总烃执行《石油炼制工业污染物排放标准》（GB31570-2015，含 2024 年修改单）表 3 大气污染物排放限值要求，氨、硫化氢、臭气浓度执行《恶臭污染物排放标准》（GB14554-1993）表 2 恶臭污染物排放标准值，甲醇执行《大气污染物综合排放标准》（GB16297-1996）表 2 二级标准限值”。</w:t>
      </w:r>
    </w:p>
    <w:p w14:paraId="6D9547E0">
      <w:pPr>
        <w:ind w:firstLine="482"/>
        <w:rPr>
          <w:color w:val="000000" w:themeColor="text1"/>
          <w:u w:val="single"/>
          <w14:textFill>
            <w14:solidFill>
              <w14:schemeClr w14:val="tx1"/>
            </w14:solidFill>
          </w14:textFill>
        </w:rPr>
      </w:pPr>
      <w:r>
        <w:rPr>
          <w:rFonts w:hint="eastAsia"/>
          <w:b/>
          <w:bCs/>
          <w:color w:val="000000" w:themeColor="text1"/>
          <w:u w:val="single"/>
          <w14:textFill>
            <w14:solidFill>
              <w14:schemeClr w14:val="tx1"/>
            </w14:solidFill>
          </w14:textFill>
        </w:rPr>
        <w:t>③</w:t>
      </w:r>
      <w:r>
        <w:rPr>
          <w:rFonts w:hint="eastAsia" w:cs="宋体"/>
          <w:b/>
          <w:bCs/>
          <w:color w:val="000000" w:themeColor="text1"/>
          <w:kern w:val="0"/>
          <w:u w:val="single"/>
          <w:lang w:bidi="ar"/>
          <w14:textFill>
            <w14:solidFill>
              <w14:schemeClr w14:val="tx1"/>
            </w14:solidFill>
          </w14:textFill>
        </w:rPr>
        <w:t>新增裂解C9、脂肪酸甲酯、工业级混合油、纯生物柴油、航空煤油尾气</w:t>
      </w:r>
    </w:p>
    <w:p w14:paraId="26167D8C">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裂解C9、工业级混合油、脂肪酸甲酯、纯生物柴油、航空煤油由后方厂区通过管道输送至码头前沿装船，其产生装船废气，通过现有气相管回到广西恒逸新材料有限公司（广西恒逸新材料有限公司年产120万吨己内酰胺—聚酰胺产业一体化及配套工程项目）进行处理（采用“RTO蓄热式焚烧炉”工艺）。经调查，广西恒逸新材料有限公司RTO蓄热式焚烧炉排气筒高35m，尾气排放执行《石油化学工业污染物排放标准》（GB 31571-2015）及修改单要求。</w:t>
      </w:r>
    </w:p>
    <w:p w14:paraId="31994906">
      <w:pPr>
        <w:ind w:firstLine="482"/>
        <w:rPr>
          <w:rFonts w:cs="宋体"/>
          <w:b/>
          <w:bCs/>
          <w:color w:val="000000" w:themeColor="text1"/>
          <w:kern w:val="0"/>
          <w:lang w:bidi="ar"/>
          <w14:textFill>
            <w14:solidFill>
              <w14:schemeClr w14:val="tx1"/>
            </w14:solidFill>
          </w14:textFill>
        </w:rPr>
      </w:pPr>
      <w:r>
        <w:rPr>
          <w:b/>
          <w:bCs/>
          <w:color w:val="000000" w:themeColor="text1"/>
          <w14:textFill>
            <w14:solidFill>
              <w14:schemeClr w14:val="tx1"/>
            </w14:solidFill>
          </w14:textFill>
        </w:rPr>
        <w:fldChar w:fldCharType="begin"/>
      </w:r>
      <w:r>
        <w:rPr>
          <w:b/>
          <w:bCs/>
          <w:color w:val="000000" w:themeColor="text1"/>
          <w14:textFill>
            <w14:solidFill>
              <w14:schemeClr w14:val="tx1"/>
            </w14:solidFill>
          </w14:textFill>
        </w:rPr>
        <w:instrText xml:space="preserve"> </w:instrText>
      </w:r>
      <w:r>
        <w:rPr>
          <w:rFonts w:hint="eastAsia"/>
          <w:b/>
          <w:bCs/>
          <w:color w:val="000000" w:themeColor="text1"/>
          <w14:textFill>
            <w14:solidFill>
              <w14:schemeClr w14:val="tx1"/>
            </w14:solidFill>
          </w14:textFill>
        </w:rPr>
        <w:instrText xml:space="preserve">= 4 \* GB3</w:instrText>
      </w:r>
      <w:r>
        <w:rPr>
          <w:b/>
          <w:bCs/>
          <w:color w:val="000000" w:themeColor="text1"/>
          <w14:textFill>
            <w14:solidFill>
              <w14:schemeClr w14:val="tx1"/>
            </w14:solidFill>
          </w14:textFill>
        </w:rPr>
        <w:instrText xml:space="preserve"> </w:instrText>
      </w:r>
      <w:r>
        <w:rPr>
          <w:b/>
          <w:bCs/>
          <w:color w:val="000000" w:themeColor="text1"/>
          <w14:textFill>
            <w14:solidFill>
              <w14:schemeClr w14:val="tx1"/>
            </w14:solidFill>
          </w14:textFill>
        </w:rPr>
        <w:fldChar w:fldCharType="separate"/>
      </w:r>
      <w:r>
        <w:rPr>
          <w:rFonts w:hint="eastAsia"/>
          <w:b/>
          <w:bCs/>
          <w:color w:val="000000" w:themeColor="text1"/>
          <w14:textFill>
            <w14:solidFill>
              <w14:schemeClr w14:val="tx1"/>
            </w14:solidFill>
          </w14:textFill>
        </w:rPr>
        <w:t>④</w:t>
      </w:r>
      <w:r>
        <w:rPr>
          <w:b/>
          <w:bCs/>
          <w:color w:val="000000" w:themeColor="text1"/>
          <w14:textFill>
            <w14:solidFill>
              <w14:schemeClr w14:val="tx1"/>
            </w14:solidFill>
          </w14:textFill>
        </w:rPr>
        <w:fldChar w:fldCharType="end"/>
      </w:r>
      <w:r>
        <w:rPr>
          <w:rFonts w:hint="eastAsia"/>
          <w:b/>
          <w:bCs/>
          <w:color w:val="000000" w:themeColor="text1"/>
          <w14:textFill>
            <w14:solidFill>
              <w14:schemeClr w14:val="tx1"/>
            </w14:solidFill>
          </w14:textFill>
        </w:rPr>
        <w:t>液硫、碱液、发烟硫酸、硫酸废气</w:t>
      </w:r>
    </w:p>
    <w:p w14:paraId="146BF785">
      <w:pPr>
        <w:ind w:firstLine="480"/>
        <w:rPr>
          <w:rFonts w:cs="宋体"/>
          <w:bCs/>
          <w:color w:val="000000" w:themeColor="text1"/>
          <w:kern w:val="0"/>
          <w:lang w:bidi="ar"/>
          <w14:textFill>
            <w14:solidFill>
              <w14:schemeClr w14:val="tx1"/>
            </w14:solidFill>
          </w14:textFill>
        </w:rPr>
      </w:pPr>
      <w:r>
        <w:rPr>
          <w:rFonts w:hint="eastAsia" w:cs="宋体"/>
          <w:bCs/>
          <w:color w:val="000000" w:themeColor="text1"/>
          <w:kern w:val="0"/>
          <w:lang w:bidi="ar"/>
          <w14:textFill>
            <w14:solidFill>
              <w14:schemeClr w14:val="tx1"/>
            </w14:solidFill>
          </w14:textFill>
        </w:rPr>
        <w:t>装卸产生废气依托后方罐区（同步进行环境影响评价中）顶部的废气处理。</w:t>
      </w:r>
    </w:p>
    <w:p w14:paraId="1457FF4C">
      <w:pPr>
        <w:ind w:firstLine="482"/>
        <w:rPr>
          <w:bCs/>
          <w:color w:val="000000" w:themeColor="text1"/>
          <w14:textFill>
            <w14:solidFill>
              <w14:schemeClr w14:val="tx1"/>
            </w14:solidFill>
          </w14:textFill>
        </w:rPr>
      </w:pPr>
      <w:r>
        <w:rPr>
          <w:b/>
          <w:bCs/>
          <w:color w:val="000000" w:themeColor="text1"/>
          <w14:textFill>
            <w14:solidFill>
              <w14:schemeClr w14:val="tx1"/>
            </w14:solidFill>
          </w14:textFill>
        </w:rPr>
        <w:fldChar w:fldCharType="begin"/>
      </w:r>
      <w:r>
        <w:rPr>
          <w:b/>
          <w:bCs/>
          <w:color w:val="000000" w:themeColor="text1"/>
          <w14:textFill>
            <w14:solidFill>
              <w14:schemeClr w14:val="tx1"/>
            </w14:solidFill>
          </w14:textFill>
        </w:rPr>
        <w:instrText xml:space="preserve"> </w:instrText>
      </w:r>
      <w:r>
        <w:rPr>
          <w:rFonts w:hint="eastAsia"/>
          <w:b/>
          <w:bCs/>
          <w:color w:val="000000" w:themeColor="text1"/>
          <w14:textFill>
            <w14:solidFill>
              <w14:schemeClr w14:val="tx1"/>
            </w14:solidFill>
          </w14:textFill>
        </w:rPr>
        <w:instrText xml:space="preserve">= 5 \* GB3</w:instrText>
      </w:r>
      <w:r>
        <w:rPr>
          <w:b/>
          <w:bCs/>
          <w:color w:val="000000" w:themeColor="text1"/>
          <w14:textFill>
            <w14:solidFill>
              <w14:schemeClr w14:val="tx1"/>
            </w14:solidFill>
          </w14:textFill>
        </w:rPr>
        <w:instrText xml:space="preserve"> </w:instrText>
      </w:r>
      <w:r>
        <w:rPr>
          <w:b/>
          <w:bCs/>
          <w:color w:val="000000" w:themeColor="text1"/>
          <w14:textFill>
            <w14:solidFill>
              <w14:schemeClr w14:val="tx1"/>
            </w14:solidFill>
          </w14:textFill>
        </w:rPr>
        <w:fldChar w:fldCharType="separate"/>
      </w:r>
      <w:r>
        <w:rPr>
          <w:rFonts w:hint="eastAsia"/>
          <w:b/>
          <w:bCs/>
          <w:color w:val="000000" w:themeColor="text1"/>
          <w14:textFill>
            <w14:solidFill>
              <w14:schemeClr w14:val="tx1"/>
            </w14:solidFill>
          </w14:textFill>
        </w:rPr>
        <w:t>⑤</w:t>
      </w:r>
      <w:r>
        <w:rPr>
          <w:b/>
          <w:bCs/>
          <w:color w:val="000000" w:themeColor="text1"/>
          <w14:textFill>
            <w14:solidFill>
              <w14:schemeClr w14:val="tx1"/>
            </w14:solidFill>
          </w14:textFill>
        </w:rPr>
        <w:fldChar w:fldCharType="end"/>
      </w:r>
      <w:r>
        <w:rPr>
          <w:rFonts w:hint="eastAsia"/>
          <w:b/>
          <w:bCs/>
          <w:color w:val="000000" w:themeColor="text1"/>
          <w14:textFill>
            <w14:solidFill>
              <w14:schemeClr w14:val="tx1"/>
            </w14:solidFill>
          </w14:textFill>
        </w:rPr>
        <w:t>无组织废气：</w:t>
      </w:r>
      <w:r>
        <w:rPr>
          <w:rFonts w:hint="eastAsia"/>
          <w:color w:val="000000" w:themeColor="text1"/>
          <w14:textFill>
            <w14:solidFill>
              <w14:schemeClr w14:val="tx1"/>
            </w14:solidFill>
          </w14:textFill>
        </w:rPr>
        <w:t>运营期大气污染物硫酸雾、非甲烷总烃无组织排放执行《大气污染物综合排放标准》（GB 16297-1996）相应标准限值，</w:t>
      </w:r>
      <w:r>
        <w:rPr>
          <w:rFonts w:hint="eastAsia"/>
          <w:color w:val="000000" w:themeColor="text1"/>
          <w:lang w:val="en-US" w:eastAsia="zh-CN"/>
          <w14:textFill>
            <w14:solidFill>
              <w14:schemeClr w14:val="tx1"/>
            </w14:solidFill>
          </w14:textFill>
        </w:rPr>
        <w:t>苯乙烯无组织排放执行</w:t>
      </w:r>
      <w:r>
        <w:rPr>
          <w:rFonts w:hint="eastAsia"/>
          <w:color w:val="000000" w:themeColor="text1"/>
          <w14:textFill>
            <w14:solidFill>
              <w14:schemeClr w14:val="tx1"/>
            </w14:solidFill>
          </w14:textFill>
        </w:rPr>
        <w:t>《恶臭污染物排放标准》（GB14554-93）</w:t>
      </w:r>
      <w:r>
        <w:rPr>
          <w:rFonts w:hint="eastAsia"/>
          <w:color w:val="000000" w:themeColor="text1"/>
          <w:lang w:val="en-US" w:eastAsia="zh-CN"/>
          <w14:textFill>
            <w14:solidFill>
              <w14:schemeClr w14:val="tx1"/>
            </w14:solidFill>
          </w14:textFill>
        </w:rPr>
        <w:t>相应标准限值，</w:t>
      </w:r>
      <w:r>
        <w:rPr>
          <w:rFonts w:hint="eastAsia"/>
          <w:color w:val="000000" w:themeColor="text1"/>
          <w14:textFill>
            <w14:solidFill>
              <w14:schemeClr w14:val="tx1"/>
            </w14:solidFill>
          </w14:textFill>
        </w:rPr>
        <w:t>详见表1.4-</w:t>
      </w:r>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w:t>
      </w:r>
    </w:p>
    <w:p w14:paraId="6735D393">
      <w:pPr>
        <w:pStyle w:val="7"/>
        <w:rPr>
          <w:color w:val="000000" w:themeColor="text1"/>
          <w14:textFill>
            <w14:solidFill>
              <w14:schemeClr w14:val="tx1"/>
            </w14:solidFill>
          </w14:textFill>
        </w:rPr>
      </w:pPr>
      <w:r>
        <w:rPr>
          <w:color w:val="000000" w:themeColor="text1"/>
          <w14:textFill>
            <w14:solidFill>
              <w14:schemeClr w14:val="tx1"/>
            </w14:solidFill>
          </w14:textFill>
        </w:rPr>
        <w:t>大气污染物排放标准</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471"/>
        <w:gridCol w:w="1043"/>
        <w:gridCol w:w="1024"/>
        <w:gridCol w:w="1143"/>
        <w:gridCol w:w="917"/>
        <w:gridCol w:w="911"/>
        <w:gridCol w:w="1564"/>
        <w:gridCol w:w="1969"/>
      </w:tblGrid>
      <w:tr w14:paraId="4444DC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51" w:hRule="atLeast"/>
          <w:jc w:val="center"/>
        </w:trPr>
        <w:tc>
          <w:tcPr>
            <w:tcW w:w="471" w:type="dxa"/>
            <w:vMerge w:val="restart"/>
            <w:vAlign w:val="center"/>
          </w:tcPr>
          <w:p w14:paraId="201C9688">
            <w:pPr>
              <w:spacing w:line="24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序号</w:t>
            </w:r>
          </w:p>
        </w:tc>
        <w:tc>
          <w:tcPr>
            <w:tcW w:w="1043" w:type="dxa"/>
            <w:vMerge w:val="restart"/>
            <w:vAlign w:val="center"/>
          </w:tcPr>
          <w:p w14:paraId="5F43D87B">
            <w:pPr>
              <w:spacing w:line="24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污染物名称</w:t>
            </w:r>
          </w:p>
        </w:tc>
        <w:tc>
          <w:tcPr>
            <w:tcW w:w="1024" w:type="dxa"/>
            <w:vMerge w:val="restart"/>
            <w:vAlign w:val="center"/>
          </w:tcPr>
          <w:p w14:paraId="49FA5910">
            <w:pPr>
              <w:spacing w:line="24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最高允许排放浓度(mg/m</w:t>
            </w:r>
            <w:r>
              <w:rPr>
                <w:b/>
                <w:bCs/>
                <w:snapToGrid w:val="0"/>
                <w:color w:val="000000" w:themeColor="text1"/>
                <w:sz w:val="21"/>
                <w:szCs w:val="21"/>
                <w:vertAlign w:val="superscript"/>
                <w14:textFill>
                  <w14:solidFill>
                    <w14:schemeClr w14:val="tx1"/>
                  </w14:solidFill>
                </w14:textFill>
              </w:rPr>
              <w:t>3</w:t>
            </w:r>
            <w:r>
              <w:rPr>
                <w:b/>
                <w:bCs/>
                <w:snapToGrid w:val="0"/>
                <w:color w:val="000000" w:themeColor="text1"/>
                <w:sz w:val="21"/>
                <w:szCs w:val="21"/>
                <w14:textFill>
                  <w14:solidFill>
                    <w14:schemeClr w14:val="tx1"/>
                  </w14:solidFill>
                </w14:textFill>
              </w:rPr>
              <w:t>)</w:t>
            </w:r>
          </w:p>
        </w:tc>
        <w:tc>
          <w:tcPr>
            <w:tcW w:w="2060" w:type="dxa"/>
            <w:gridSpan w:val="2"/>
            <w:vAlign w:val="center"/>
          </w:tcPr>
          <w:p w14:paraId="2BC0FC34">
            <w:pPr>
              <w:spacing w:line="24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最高允许排放速率（kg/h）</w:t>
            </w:r>
          </w:p>
        </w:tc>
        <w:tc>
          <w:tcPr>
            <w:tcW w:w="2475" w:type="dxa"/>
            <w:gridSpan w:val="2"/>
            <w:vAlign w:val="center"/>
          </w:tcPr>
          <w:p w14:paraId="55F493C2">
            <w:pPr>
              <w:spacing w:line="24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无组织排放监控浓度限值</w:t>
            </w:r>
          </w:p>
        </w:tc>
        <w:tc>
          <w:tcPr>
            <w:tcW w:w="1969" w:type="dxa"/>
            <w:vMerge w:val="restart"/>
            <w:vAlign w:val="center"/>
          </w:tcPr>
          <w:p w14:paraId="52CDA005">
            <w:pPr>
              <w:spacing w:line="24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标准来源</w:t>
            </w:r>
          </w:p>
        </w:tc>
      </w:tr>
      <w:tr w14:paraId="274ADD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51" w:hRule="atLeast"/>
          <w:jc w:val="center"/>
        </w:trPr>
        <w:tc>
          <w:tcPr>
            <w:tcW w:w="471" w:type="dxa"/>
            <w:vMerge w:val="continue"/>
            <w:vAlign w:val="center"/>
          </w:tcPr>
          <w:p w14:paraId="2679DDBE">
            <w:pPr>
              <w:spacing w:line="240" w:lineRule="exact"/>
              <w:ind w:firstLine="0" w:firstLineChars="0"/>
              <w:jc w:val="center"/>
              <w:rPr>
                <w:b/>
                <w:bCs/>
                <w:snapToGrid w:val="0"/>
                <w:color w:val="000000" w:themeColor="text1"/>
                <w:sz w:val="21"/>
                <w:szCs w:val="21"/>
                <w14:textFill>
                  <w14:solidFill>
                    <w14:schemeClr w14:val="tx1"/>
                  </w14:solidFill>
                </w14:textFill>
              </w:rPr>
            </w:pPr>
          </w:p>
        </w:tc>
        <w:tc>
          <w:tcPr>
            <w:tcW w:w="1043" w:type="dxa"/>
            <w:vMerge w:val="continue"/>
            <w:vAlign w:val="center"/>
          </w:tcPr>
          <w:p w14:paraId="0B6E8B60">
            <w:pPr>
              <w:spacing w:line="240" w:lineRule="exact"/>
              <w:ind w:firstLine="0" w:firstLineChars="0"/>
              <w:jc w:val="center"/>
              <w:rPr>
                <w:b/>
                <w:bCs/>
                <w:snapToGrid w:val="0"/>
                <w:color w:val="000000" w:themeColor="text1"/>
                <w:sz w:val="21"/>
                <w:szCs w:val="21"/>
                <w14:textFill>
                  <w14:solidFill>
                    <w14:schemeClr w14:val="tx1"/>
                  </w14:solidFill>
                </w14:textFill>
              </w:rPr>
            </w:pPr>
          </w:p>
        </w:tc>
        <w:tc>
          <w:tcPr>
            <w:tcW w:w="1024" w:type="dxa"/>
            <w:vMerge w:val="continue"/>
            <w:vAlign w:val="center"/>
          </w:tcPr>
          <w:p w14:paraId="64016637">
            <w:pPr>
              <w:spacing w:line="240" w:lineRule="exact"/>
              <w:ind w:firstLine="0" w:firstLineChars="0"/>
              <w:jc w:val="center"/>
              <w:rPr>
                <w:b/>
                <w:bCs/>
                <w:snapToGrid w:val="0"/>
                <w:color w:val="000000" w:themeColor="text1"/>
                <w:sz w:val="21"/>
                <w:szCs w:val="21"/>
                <w14:textFill>
                  <w14:solidFill>
                    <w14:schemeClr w14:val="tx1"/>
                  </w14:solidFill>
                </w14:textFill>
              </w:rPr>
            </w:pPr>
          </w:p>
        </w:tc>
        <w:tc>
          <w:tcPr>
            <w:tcW w:w="1143" w:type="dxa"/>
            <w:vAlign w:val="center"/>
          </w:tcPr>
          <w:p w14:paraId="0255E2CB">
            <w:pPr>
              <w:spacing w:line="24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排气筒（m）</w:t>
            </w:r>
          </w:p>
        </w:tc>
        <w:tc>
          <w:tcPr>
            <w:tcW w:w="917" w:type="dxa"/>
            <w:vAlign w:val="center"/>
          </w:tcPr>
          <w:p w14:paraId="368BFFF7">
            <w:pPr>
              <w:spacing w:line="24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二级</w:t>
            </w:r>
          </w:p>
        </w:tc>
        <w:tc>
          <w:tcPr>
            <w:tcW w:w="911" w:type="dxa"/>
            <w:vAlign w:val="center"/>
          </w:tcPr>
          <w:p w14:paraId="6EDDBBB4">
            <w:pPr>
              <w:spacing w:line="24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监控点</w:t>
            </w:r>
          </w:p>
        </w:tc>
        <w:tc>
          <w:tcPr>
            <w:tcW w:w="1564" w:type="dxa"/>
            <w:vAlign w:val="center"/>
          </w:tcPr>
          <w:p w14:paraId="26A1B298">
            <w:pPr>
              <w:spacing w:line="24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浓度（mg</w:t>
            </w:r>
            <w:r>
              <w:rPr>
                <w:b/>
                <w:bCs/>
                <w:snapToGrid w:val="0"/>
                <w:color w:val="000000" w:themeColor="text1"/>
                <w:sz w:val="21"/>
                <w:szCs w:val="21"/>
                <w14:textFill>
                  <w14:solidFill>
                    <w14:schemeClr w14:val="tx1"/>
                  </w14:solidFill>
                </w14:textFill>
              </w:rPr>
              <w:sym w:font="Courier New" w:char="002F"/>
            </w:r>
            <w:r>
              <w:rPr>
                <w:b/>
                <w:bCs/>
                <w:snapToGrid w:val="0"/>
                <w:color w:val="000000" w:themeColor="text1"/>
                <w:sz w:val="21"/>
                <w:szCs w:val="21"/>
                <w14:textFill>
                  <w14:solidFill>
                    <w14:schemeClr w14:val="tx1"/>
                  </w14:solidFill>
                </w14:textFill>
              </w:rPr>
              <w:t>m³）</w:t>
            </w:r>
          </w:p>
        </w:tc>
        <w:tc>
          <w:tcPr>
            <w:tcW w:w="1969" w:type="dxa"/>
            <w:vMerge w:val="continue"/>
            <w:vAlign w:val="center"/>
          </w:tcPr>
          <w:p w14:paraId="7CE26F56">
            <w:pPr>
              <w:spacing w:line="240" w:lineRule="exact"/>
              <w:ind w:firstLine="420"/>
              <w:jc w:val="center"/>
              <w:rPr>
                <w:snapToGrid w:val="0"/>
                <w:color w:val="000000" w:themeColor="text1"/>
                <w:sz w:val="21"/>
                <w:szCs w:val="21"/>
                <w14:textFill>
                  <w14:solidFill>
                    <w14:schemeClr w14:val="tx1"/>
                  </w14:solidFill>
                </w14:textFill>
              </w:rPr>
            </w:pPr>
          </w:p>
        </w:tc>
      </w:tr>
      <w:tr w14:paraId="1ED5CF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51" w:hRule="atLeast"/>
          <w:jc w:val="center"/>
        </w:trPr>
        <w:tc>
          <w:tcPr>
            <w:tcW w:w="471" w:type="dxa"/>
            <w:vAlign w:val="center"/>
          </w:tcPr>
          <w:p w14:paraId="2FE584DB">
            <w:pPr>
              <w:numPr>
                <w:ilvl w:val="0"/>
                <w:numId w:val="13"/>
              </w:numPr>
              <w:spacing w:line="240" w:lineRule="exact"/>
              <w:ind w:firstLineChars="0"/>
              <w:jc w:val="center"/>
              <w:rPr>
                <w:snapToGrid w:val="0"/>
                <w:color w:val="000000" w:themeColor="text1"/>
                <w:sz w:val="21"/>
                <w:szCs w:val="21"/>
                <w14:textFill>
                  <w14:solidFill>
                    <w14:schemeClr w14:val="tx1"/>
                  </w14:solidFill>
                </w14:textFill>
              </w:rPr>
            </w:pPr>
          </w:p>
        </w:tc>
        <w:tc>
          <w:tcPr>
            <w:tcW w:w="1043" w:type="dxa"/>
            <w:vAlign w:val="center"/>
          </w:tcPr>
          <w:p w14:paraId="2619C3B5">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二氧化硫</w:t>
            </w:r>
          </w:p>
        </w:tc>
        <w:tc>
          <w:tcPr>
            <w:tcW w:w="1024" w:type="dxa"/>
            <w:vAlign w:val="center"/>
          </w:tcPr>
          <w:p w14:paraId="04BCD2B6">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550</w:t>
            </w:r>
          </w:p>
        </w:tc>
        <w:tc>
          <w:tcPr>
            <w:tcW w:w="1143" w:type="dxa"/>
            <w:vAlign w:val="center"/>
          </w:tcPr>
          <w:p w14:paraId="32FB6327">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c>
          <w:tcPr>
            <w:tcW w:w="917" w:type="dxa"/>
            <w:vAlign w:val="center"/>
          </w:tcPr>
          <w:p w14:paraId="26F249E5">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2.6</w:t>
            </w:r>
          </w:p>
        </w:tc>
        <w:tc>
          <w:tcPr>
            <w:tcW w:w="911" w:type="dxa"/>
            <w:vMerge w:val="restart"/>
            <w:vAlign w:val="center"/>
          </w:tcPr>
          <w:p w14:paraId="60BA389B">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周界外浓度最高点</w:t>
            </w:r>
          </w:p>
        </w:tc>
        <w:tc>
          <w:tcPr>
            <w:tcW w:w="1564" w:type="dxa"/>
            <w:vAlign w:val="center"/>
          </w:tcPr>
          <w:p w14:paraId="1D64CC7E">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0.40</w:t>
            </w:r>
          </w:p>
        </w:tc>
        <w:tc>
          <w:tcPr>
            <w:tcW w:w="1969" w:type="dxa"/>
            <w:vMerge w:val="restart"/>
            <w:vAlign w:val="center"/>
          </w:tcPr>
          <w:p w14:paraId="2F203651">
            <w:pPr>
              <w:spacing w:line="240" w:lineRule="exact"/>
              <w:ind w:firstLine="0" w:firstLineChars="0"/>
              <w:jc w:val="center"/>
              <w:rPr>
                <w:snapToGrid w:val="0"/>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《大气污染物综合排放标准》（GB16297—1996）</w:t>
            </w:r>
          </w:p>
        </w:tc>
      </w:tr>
      <w:tr w14:paraId="51B285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51" w:hRule="atLeast"/>
          <w:jc w:val="center"/>
        </w:trPr>
        <w:tc>
          <w:tcPr>
            <w:tcW w:w="471" w:type="dxa"/>
            <w:vAlign w:val="center"/>
          </w:tcPr>
          <w:p w14:paraId="1275CB98">
            <w:pPr>
              <w:numPr>
                <w:ilvl w:val="0"/>
                <w:numId w:val="13"/>
              </w:numPr>
              <w:spacing w:line="240" w:lineRule="exact"/>
              <w:ind w:firstLineChars="0"/>
              <w:jc w:val="center"/>
              <w:rPr>
                <w:snapToGrid w:val="0"/>
                <w:color w:val="000000" w:themeColor="text1"/>
                <w:sz w:val="21"/>
                <w:szCs w:val="21"/>
                <w14:textFill>
                  <w14:solidFill>
                    <w14:schemeClr w14:val="tx1"/>
                  </w14:solidFill>
                </w14:textFill>
              </w:rPr>
            </w:pPr>
          </w:p>
        </w:tc>
        <w:tc>
          <w:tcPr>
            <w:tcW w:w="1043" w:type="dxa"/>
            <w:vAlign w:val="center"/>
          </w:tcPr>
          <w:p w14:paraId="08513F7A">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氮氧化物</w:t>
            </w:r>
          </w:p>
        </w:tc>
        <w:tc>
          <w:tcPr>
            <w:tcW w:w="1024" w:type="dxa"/>
            <w:vAlign w:val="center"/>
          </w:tcPr>
          <w:p w14:paraId="48B7BDE9">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240</w:t>
            </w:r>
          </w:p>
        </w:tc>
        <w:tc>
          <w:tcPr>
            <w:tcW w:w="1143" w:type="dxa"/>
            <w:vAlign w:val="center"/>
          </w:tcPr>
          <w:p w14:paraId="0695ABC1">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c>
          <w:tcPr>
            <w:tcW w:w="917" w:type="dxa"/>
            <w:vAlign w:val="center"/>
          </w:tcPr>
          <w:p w14:paraId="405D8F5C">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0.77</w:t>
            </w:r>
          </w:p>
        </w:tc>
        <w:tc>
          <w:tcPr>
            <w:tcW w:w="911" w:type="dxa"/>
            <w:vMerge w:val="continue"/>
            <w:vAlign w:val="center"/>
          </w:tcPr>
          <w:p w14:paraId="11BC637A">
            <w:pPr>
              <w:spacing w:line="240" w:lineRule="exact"/>
              <w:ind w:firstLine="0" w:firstLineChars="0"/>
              <w:jc w:val="center"/>
              <w:rPr>
                <w:color w:val="000000" w:themeColor="text1"/>
                <w:sz w:val="21"/>
                <w:szCs w:val="21"/>
                <w14:textFill>
                  <w14:solidFill>
                    <w14:schemeClr w14:val="tx1"/>
                  </w14:solidFill>
                </w14:textFill>
              </w:rPr>
            </w:pPr>
          </w:p>
        </w:tc>
        <w:tc>
          <w:tcPr>
            <w:tcW w:w="1564" w:type="dxa"/>
            <w:vAlign w:val="center"/>
          </w:tcPr>
          <w:p w14:paraId="405CE33C">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0.12</w:t>
            </w:r>
          </w:p>
        </w:tc>
        <w:tc>
          <w:tcPr>
            <w:tcW w:w="1969" w:type="dxa"/>
            <w:vMerge w:val="continue"/>
            <w:vAlign w:val="center"/>
          </w:tcPr>
          <w:p w14:paraId="0B8553B7">
            <w:pPr>
              <w:spacing w:line="240" w:lineRule="exact"/>
              <w:ind w:firstLine="0" w:firstLineChars="0"/>
              <w:jc w:val="center"/>
              <w:rPr>
                <w:snapToGrid w:val="0"/>
                <w:color w:val="000000" w:themeColor="text1"/>
                <w:sz w:val="21"/>
                <w:szCs w:val="21"/>
                <w14:textFill>
                  <w14:solidFill>
                    <w14:schemeClr w14:val="tx1"/>
                  </w14:solidFill>
                </w14:textFill>
              </w:rPr>
            </w:pPr>
          </w:p>
        </w:tc>
      </w:tr>
      <w:tr w14:paraId="15E815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51" w:hRule="atLeast"/>
          <w:jc w:val="center"/>
        </w:trPr>
        <w:tc>
          <w:tcPr>
            <w:tcW w:w="471" w:type="dxa"/>
            <w:vAlign w:val="center"/>
          </w:tcPr>
          <w:p w14:paraId="26778934">
            <w:pPr>
              <w:numPr>
                <w:ilvl w:val="0"/>
                <w:numId w:val="13"/>
              </w:numPr>
              <w:spacing w:line="240" w:lineRule="exact"/>
              <w:ind w:firstLineChars="0"/>
              <w:jc w:val="center"/>
              <w:rPr>
                <w:snapToGrid w:val="0"/>
                <w:color w:val="000000" w:themeColor="text1"/>
                <w:sz w:val="21"/>
                <w:szCs w:val="21"/>
                <w14:textFill>
                  <w14:solidFill>
                    <w14:schemeClr w14:val="tx1"/>
                  </w14:solidFill>
                </w14:textFill>
              </w:rPr>
            </w:pPr>
          </w:p>
        </w:tc>
        <w:tc>
          <w:tcPr>
            <w:tcW w:w="1043" w:type="dxa"/>
            <w:vAlign w:val="center"/>
          </w:tcPr>
          <w:p w14:paraId="7D382F0C">
            <w:pPr>
              <w:pStyle w:val="70"/>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1024" w:type="dxa"/>
            <w:vAlign w:val="center"/>
          </w:tcPr>
          <w:p w14:paraId="688FEC24">
            <w:pPr>
              <w:pStyle w:val="70"/>
              <w:rPr>
                <w:color w:val="000000" w:themeColor="text1"/>
                <w14:textFill>
                  <w14:solidFill>
                    <w14:schemeClr w14:val="tx1"/>
                  </w14:solidFill>
                </w14:textFill>
              </w:rPr>
            </w:pPr>
            <w:r>
              <w:rPr>
                <w:color w:val="000000" w:themeColor="text1"/>
                <w14:textFill>
                  <w14:solidFill>
                    <w14:schemeClr w14:val="tx1"/>
                  </w14:solidFill>
                </w14:textFill>
              </w:rPr>
              <w:t>120</w:t>
            </w:r>
          </w:p>
        </w:tc>
        <w:tc>
          <w:tcPr>
            <w:tcW w:w="1143" w:type="dxa"/>
            <w:vAlign w:val="center"/>
          </w:tcPr>
          <w:p w14:paraId="7DEDF856">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917" w:type="dxa"/>
            <w:vAlign w:val="center"/>
          </w:tcPr>
          <w:p w14:paraId="035E34C4">
            <w:pPr>
              <w:pStyle w:val="70"/>
              <w:rPr>
                <w:color w:val="000000" w:themeColor="text1"/>
                <w14:textFill>
                  <w14:solidFill>
                    <w14:schemeClr w14:val="tx1"/>
                  </w14:solidFill>
                </w14:textFill>
              </w:rPr>
            </w:pPr>
            <w:r>
              <w:rPr>
                <w:color w:val="000000" w:themeColor="text1"/>
                <w14:textFill>
                  <w14:solidFill>
                    <w14:schemeClr w14:val="tx1"/>
                  </w14:solidFill>
                </w14:textFill>
              </w:rPr>
              <w:t>3.5</w:t>
            </w:r>
          </w:p>
        </w:tc>
        <w:tc>
          <w:tcPr>
            <w:tcW w:w="911" w:type="dxa"/>
            <w:vMerge w:val="continue"/>
            <w:vAlign w:val="center"/>
          </w:tcPr>
          <w:p w14:paraId="0A656036">
            <w:pPr>
              <w:spacing w:line="240" w:lineRule="exact"/>
              <w:ind w:firstLine="0" w:firstLineChars="0"/>
              <w:jc w:val="center"/>
              <w:rPr>
                <w:color w:val="000000" w:themeColor="text1"/>
                <w:sz w:val="21"/>
                <w:szCs w:val="21"/>
                <w14:textFill>
                  <w14:solidFill>
                    <w14:schemeClr w14:val="tx1"/>
                  </w14:solidFill>
                </w14:textFill>
              </w:rPr>
            </w:pPr>
          </w:p>
        </w:tc>
        <w:tc>
          <w:tcPr>
            <w:tcW w:w="1564" w:type="dxa"/>
            <w:vAlign w:val="center"/>
          </w:tcPr>
          <w:p w14:paraId="57786267">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1969" w:type="dxa"/>
            <w:vMerge w:val="continue"/>
            <w:vAlign w:val="center"/>
          </w:tcPr>
          <w:p w14:paraId="2A2C2B86">
            <w:pPr>
              <w:spacing w:line="240" w:lineRule="exact"/>
              <w:ind w:firstLine="0" w:firstLineChars="0"/>
              <w:jc w:val="center"/>
              <w:rPr>
                <w:snapToGrid w:val="0"/>
                <w:color w:val="000000" w:themeColor="text1"/>
                <w:sz w:val="21"/>
                <w:szCs w:val="21"/>
                <w14:textFill>
                  <w14:solidFill>
                    <w14:schemeClr w14:val="tx1"/>
                  </w14:solidFill>
                </w14:textFill>
              </w:rPr>
            </w:pPr>
          </w:p>
        </w:tc>
      </w:tr>
      <w:tr w14:paraId="46B25B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51" w:hRule="atLeast"/>
          <w:jc w:val="center"/>
        </w:trPr>
        <w:tc>
          <w:tcPr>
            <w:tcW w:w="471" w:type="dxa"/>
            <w:vAlign w:val="center"/>
          </w:tcPr>
          <w:p w14:paraId="105AB280">
            <w:pPr>
              <w:numPr>
                <w:ilvl w:val="0"/>
                <w:numId w:val="13"/>
              </w:numPr>
              <w:spacing w:line="240" w:lineRule="exact"/>
              <w:ind w:firstLineChars="0"/>
              <w:jc w:val="center"/>
              <w:rPr>
                <w:color w:val="000000" w:themeColor="text1"/>
                <w:sz w:val="21"/>
                <w:szCs w:val="21"/>
                <w14:textFill>
                  <w14:solidFill>
                    <w14:schemeClr w14:val="tx1"/>
                  </w14:solidFill>
                </w14:textFill>
              </w:rPr>
            </w:pPr>
          </w:p>
        </w:tc>
        <w:tc>
          <w:tcPr>
            <w:tcW w:w="1043" w:type="dxa"/>
            <w:vAlign w:val="center"/>
          </w:tcPr>
          <w:p w14:paraId="094B52D2">
            <w:pPr>
              <w:spacing w:line="240" w:lineRule="exact"/>
              <w:ind w:firstLine="0" w:firstLineChars="0"/>
              <w:jc w:val="center"/>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硫酸雾</w:t>
            </w:r>
          </w:p>
        </w:tc>
        <w:tc>
          <w:tcPr>
            <w:tcW w:w="1024" w:type="dxa"/>
            <w:vAlign w:val="center"/>
          </w:tcPr>
          <w:p w14:paraId="6547B849">
            <w:pPr>
              <w:spacing w:line="240" w:lineRule="exact"/>
              <w:ind w:firstLine="0" w:firstLineChars="0"/>
              <w:jc w:val="center"/>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45</w:t>
            </w:r>
          </w:p>
        </w:tc>
        <w:tc>
          <w:tcPr>
            <w:tcW w:w="1143" w:type="dxa"/>
            <w:vAlign w:val="center"/>
          </w:tcPr>
          <w:p w14:paraId="4DC6D26E">
            <w:pPr>
              <w:spacing w:line="240" w:lineRule="exact"/>
              <w:ind w:firstLine="0" w:firstLineChars="0"/>
              <w:jc w:val="center"/>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15</w:t>
            </w:r>
          </w:p>
        </w:tc>
        <w:tc>
          <w:tcPr>
            <w:tcW w:w="917" w:type="dxa"/>
            <w:vAlign w:val="center"/>
          </w:tcPr>
          <w:p w14:paraId="1E70BB31">
            <w:pPr>
              <w:spacing w:line="240" w:lineRule="exact"/>
              <w:ind w:firstLine="0" w:firstLineChars="0"/>
              <w:jc w:val="center"/>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1.5</w:t>
            </w:r>
          </w:p>
        </w:tc>
        <w:tc>
          <w:tcPr>
            <w:tcW w:w="911" w:type="dxa"/>
            <w:vMerge w:val="continue"/>
            <w:vAlign w:val="center"/>
          </w:tcPr>
          <w:p w14:paraId="5FBE31E6">
            <w:pPr>
              <w:spacing w:line="240" w:lineRule="exact"/>
              <w:ind w:firstLine="0" w:firstLineChars="0"/>
              <w:jc w:val="center"/>
              <w:rPr>
                <w:snapToGrid w:val="0"/>
                <w:color w:val="000000" w:themeColor="text1"/>
                <w:sz w:val="21"/>
                <w:szCs w:val="21"/>
                <w14:textFill>
                  <w14:solidFill>
                    <w14:schemeClr w14:val="tx1"/>
                  </w14:solidFill>
                </w14:textFill>
              </w:rPr>
            </w:pPr>
          </w:p>
        </w:tc>
        <w:tc>
          <w:tcPr>
            <w:tcW w:w="1564" w:type="dxa"/>
            <w:vAlign w:val="center"/>
          </w:tcPr>
          <w:p w14:paraId="0C18F6B4">
            <w:pPr>
              <w:spacing w:line="240" w:lineRule="exact"/>
              <w:ind w:firstLine="0" w:firstLineChars="0"/>
              <w:jc w:val="center"/>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1.2</w:t>
            </w:r>
          </w:p>
        </w:tc>
        <w:tc>
          <w:tcPr>
            <w:tcW w:w="1969" w:type="dxa"/>
            <w:vMerge w:val="continue"/>
            <w:vAlign w:val="center"/>
          </w:tcPr>
          <w:p w14:paraId="1234E4FA">
            <w:pPr>
              <w:spacing w:line="240" w:lineRule="exact"/>
              <w:ind w:firstLine="0" w:firstLineChars="0"/>
              <w:jc w:val="center"/>
              <w:rPr>
                <w:snapToGrid w:val="0"/>
                <w:color w:val="000000" w:themeColor="text1"/>
                <w:sz w:val="21"/>
                <w:szCs w:val="21"/>
                <w14:textFill>
                  <w14:solidFill>
                    <w14:schemeClr w14:val="tx1"/>
                  </w14:solidFill>
                </w14:textFill>
              </w:rPr>
            </w:pPr>
          </w:p>
        </w:tc>
      </w:tr>
      <w:tr w14:paraId="253DB0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51" w:hRule="atLeast"/>
          <w:jc w:val="center"/>
        </w:trPr>
        <w:tc>
          <w:tcPr>
            <w:tcW w:w="471" w:type="dxa"/>
            <w:vAlign w:val="center"/>
          </w:tcPr>
          <w:p w14:paraId="695205DE">
            <w:pPr>
              <w:numPr>
                <w:ilvl w:val="0"/>
                <w:numId w:val="13"/>
              </w:numPr>
              <w:spacing w:line="240" w:lineRule="exact"/>
              <w:ind w:firstLineChars="0"/>
              <w:jc w:val="center"/>
              <w:rPr>
                <w:color w:val="000000" w:themeColor="text1"/>
                <w:sz w:val="21"/>
                <w:szCs w:val="21"/>
                <w14:textFill>
                  <w14:solidFill>
                    <w14:schemeClr w14:val="tx1"/>
                  </w14:solidFill>
                </w14:textFill>
              </w:rPr>
            </w:pPr>
          </w:p>
        </w:tc>
        <w:tc>
          <w:tcPr>
            <w:tcW w:w="1043" w:type="dxa"/>
            <w:vAlign w:val="center"/>
          </w:tcPr>
          <w:p w14:paraId="0209468B">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非甲烷总烃</w:t>
            </w:r>
          </w:p>
        </w:tc>
        <w:tc>
          <w:tcPr>
            <w:tcW w:w="1024" w:type="dxa"/>
            <w:vAlign w:val="center"/>
          </w:tcPr>
          <w:p w14:paraId="1B258360">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120</w:t>
            </w:r>
          </w:p>
        </w:tc>
        <w:tc>
          <w:tcPr>
            <w:tcW w:w="1143" w:type="dxa"/>
            <w:vAlign w:val="center"/>
          </w:tcPr>
          <w:p w14:paraId="6F53265C">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c>
          <w:tcPr>
            <w:tcW w:w="917" w:type="dxa"/>
            <w:vAlign w:val="center"/>
          </w:tcPr>
          <w:p w14:paraId="2CE7EB94">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911" w:type="dxa"/>
            <w:vMerge w:val="continue"/>
            <w:vAlign w:val="center"/>
          </w:tcPr>
          <w:p w14:paraId="76F330CD">
            <w:pPr>
              <w:spacing w:line="240" w:lineRule="exact"/>
              <w:ind w:firstLine="0" w:firstLineChars="0"/>
              <w:jc w:val="center"/>
              <w:rPr>
                <w:color w:val="000000" w:themeColor="text1"/>
                <w:sz w:val="21"/>
                <w:szCs w:val="21"/>
                <w14:textFill>
                  <w14:solidFill>
                    <w14:schemeClr w14:val="tx1"/>
                  </w14:solidFill>
                </w14:textFill>
              </w:rPr>
            </w:pPr>
          </w:p>
        </w:tc>
        <w:tc>
          <w:tcPr>
            <w:tcW w:w="1564" w:type="dxa"/>
            <w:vAlign w:val="center"/>
          </w:tcPr>
          <w:p w14:paraId="3A246EF9">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4.0</w:t>
            </w:r>
          </w:p>
        </w:tc>
        <w:tc>
          <w:tcPr>
            <w:tcW w:w="1969" w:type="dxa"/>
            <w:vMerge w:val="continue"/>
            <w:vAlign w:val="center"/>
          </w:tcPr>
          <w:p w14:paraId="64B32660">
            <w:pPr>
              <w:spacing w:line="240" w:lineRule="exact"/>
              <w:ind w:firstLine="0" w:firstLineChars="0"/>
              <w:jc w:val="center"/>
              <w:rPr>
                <w:snapToGrid w:val="0"/>
                <w:color w:val="000000" w:themeColor="text1"/>
                <w:sz w:val="21"/>
                <w:szCs w:val="21"/>
                <w14:textFill>
                  <w14:solidFill>
                    <w14:schemeClr w14:val="tx1"/>
                  </w14:solidFill>
                </w14:textFill>
              </w:rPr>
            </w:pPr>
          </w:p>
        </w:tc>
      </w:tr>
      <w:tr w14:paraId="4D5E4A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51" w:hRule="atLeast"/>
          <w:jc w:val="center"/>
        </w:trPr>
        <w:tc>
          <w:tcPr>
            <w:tcW w:w="471" w:type="dxa"/>
            <w:vAlign w:val="center"/>
          </w:tcPr>
          <w:p w14:paraId="460DC365">
            <w:pPr>
              <w:numPr>
                <w:ilvl w:val="0"/>
                <w:numId w:val="13"/>
              </w:numPr>
              <w:spacing w:line="240" w:lineRule="exact"/>
              <w:ind w:firstLineChars="0"/>
              <w:jc w:val="center"/>
              <w:rPr>
                <w:color w:val="000000" w:themeColor="text1"/>
                <w:sz w:val="21"/>
                <w:szCs w:val="21"/>
                <w14:textFill>
                  <w14:solidFill>
                    <w14:schemeClr w14:val="tx1"/>
                  </w14:solidFill>
                </w14:textFill>
              </w:rPr>
            </w:pPr>
          </w:p>
        </w:tc>
        <w:tc>
          <w:tcPr>
            <w:tcW w:w="1043" w:type="dxa"/>
            <w:vAlign w:val="center"/>
          </w:tcPr>
          <w:p w14:paraId="453305CA">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苯乙烯</w:t>
            </w:r>
          </w:p>
        </w:tc>
        <w:tc>
          <w:tcPr>
            <w:tcW w:w="1024" w:type="dxa"/>
            <w:vAlign w:val="center"/>
          </w:tcPr>
          <w:p w14:paraId="2036533F">
            <w:pPr>
              <w:spacing w:line="240" w:lineRule="exact"/>
              <w:ind w:firstLine="0" w:firstLineChars="0"/>
              <w:jc w:val="center"/>
              <w:rPr>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w:t>
            </w:r>
          </w:p>
        </w:tc>
        <w:tc>
          <w:tcPr>
            <w:tcW w:w="1143" w:type="dxa"/>
            <w:vAlign w:val="center"/>
          </w:tcPr>
          <w:p w14:paraId="5B839E37">
            <w:pPr>
              <w:spacing w:line="240" w:lineRule="exact"/>
              <w:ind w:firstLine="0" w:firstLineChars="0"/>
              <w:jc w:val="center"/>
              <w:rPr>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15</w:t>
            </w:r>
          </w:p>
        </w:tc>
        <w:tc>
          <w:tcPr>
            <w:tcW w:w="917" w:type="dxa"/>
            <w:vAlign w:val="center"/>
          </w:tcPr>
          <w:p w14:paraId="2FCFFC66">
            <w:pPr>
              <w:spacing w:line="240" w:lineRule="exact"/>
              <w:ind w:firstLine="0" w:firstLineChars="0"/>
              <w:jc w:val="center"/>
              <w:rPr>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6.5</w:t>
            </w:r>
          </w:p>
        </w:tc>
        <w:tc>
          <w:tcPr>
            <w:tcW w:w="911" w:type="dxa"/>
            <w:vMerge w:val="continue"/>
            <w:vAlign w:val="center"/>
          </w:tcPr>
          <w:p w14:paraId="795F0794">
            <w:pPr>
              <w:spacing w:line="240" w:lineRule="exact"/>
              <w:ind w:firstLine="0" w:firstLineChars="0"/>
              <w:jc w:val="center"/>
              <w:rPr>
                <w:color w:val="000000" w:themeColor="text1"/>
                <w:sz w:val="21"/>
                <w:szCs w:val="21"/>
                <w14:textFill>
                  <w14:solidFill>
                    <w14:schemeClr w14:val="tx1"/>
                  </w14:solidFill>
                </w14:textFill>
              </w:rPr>
            </w:pPr>
          </w:p>
        </w:tc>
        <w:tc>
          <w:tcPr>
            <w:tcW w:w="1564" w:type="dxa"/>
            <w:vAlign w:val="center"/>
          </w:tcPr>
          <w:p w14:paraId="41A297F0">
            <w:pPr>
              <w:spacing w:line="240" w:lineRule="exact"/>
              <w:ind w:firstLine="0" w:firstLineChars="0"/>
              <w:jc w:val="center"/>
              <w:rPr>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5.0</w:t>
            </w:r>
          </w:p>
        </w:tc>
        <w:tc>
          <w:tcPr>
            <w:tcW w:w="1969" w:type="dxa"/>
            <w:vAlign w:val="center"/>
          </w:tcPr>
          <w:p w14:paraId="369C7CA4">
            <w:pPr>
              <w:spacing w:line="240" w:lineRule="exact"/>
              <w:ind w:firstLine="0" w:firstLineChars="0"/>
              <w:jc w:val="center"/>
              <w:rPr>
                <w:snapToGrid w:val="0"/>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《恶臭污染物排放标准》（GB14554-93）</w:t>
            </w:r>
          </w:p>
        </w:tc>
      </w:tr>
    </w:tbl>
    <w:p w14:paraId="73FBF5C4">
      <w:pPr>
        <w:ind w:firstLine="480"/>
        <w:rPr>
          <w:color w:val="000000" w:themeColor="text1"/>
          <w14:textFill>
            <w14:solidFill>
              <w14:schemeClr w14:val="tx1"/>
            </w14:solidFill>
          </w14:textFill>
        </w:rPr>
      </w:pPr>
      <w:r>
        <w:rPr>
          <w:bCs/>
          <w:color w:val="000000" w:themeColor="text1"/>
          <w14:textFill>
            <w14:solidFill>
              <w14:schemeClr w14:val="tx1"/>
            </w14:solidFill>
          </w14:textFill>
        </w:rPr>
        <w:t>码头无组织排放的挥发性有机物执行《挥发性有机物无组织排放控制标准》（GB37822-2019）中的</w:t>
      </w:r>
      <w:r>
        <w:rPr>
          <w:rFonts w:hint="eastAsia"/>
          <w:bCs/>
          <w:color w:val="000000" w:themeColor="text1"/>
          <w:lang w:eastAsia="zh-CN"/>
          <w14:textFill>
            <w14:solidFill>
              <w14:schemeClr w14:val="tx1"/>
            </w14:solidFill>
          </w14:textFill>
        </w:rPr>
        <w:t>排放限值</w:t>
      </w:r>
      <w:r>
        <w:rPr>
          <w:bCs/>
          <w:color w:val="000000" w:themeColor="text1"/>
          <w14:textFill>
            <w14:solidFill>
              <w14:schemeClr w14:val="tx1"/>
            </w14:solidFill>
          </w14:textFill>
        </w:rPr>
        <w:t>，详见下表：</w:t>
      </w:r>
    </w:p>
    <w:p w14:paraId="7CEDC18F">
      <w:pPr>
        <w:pStyle w:val="7"/>
        <w:rPr>
          <w:color w:val="000000" w:themeColor="text1"/>
          <w14:textFill>
            <w14:solidFill>
              <w14:schemeClr w14:val="tx1"/>
            </w14:solidFill>
          </w14:textFill>
        </w:rPr>
      </w:pPr>
      <w:r>
        <w:rPr>
          <w:color w:val="000000" w:themeColor="text1"/>
          <w14:textFill>
            <w14:solidFill>
              <w14:schemeClr w14:val="tx1"/>
            </w14:solidFill>
          </w14:textFill>
        </w:rPr>
        <w:t xml:space="preserve">厂区内VOCs无组织排放限值         </w:t>
      </w:r>
      <w:r>
        <w:rPr>
          <w:color w:val="000000" w:themeColor="text1"/>
          <w:sz w:val="18"/>
          <w:szCs w:val="18"/>
          <w14:textFill>
            <w14:solidFill>
              <w14:schemeClr w14:val="tx1"/>
            </w14:solidFill>
          </w14:textFill>
        </w:rPr>
        <w:t xml:space="preserve">  单位：mg/m</w:t>
      </w:r>
      <w:r>
        <w:rPr>
          <w:color w:val="000000" w:themeColor="text1"/>
          <w:sz w:val="18"/>
          <w:szCs w:val="18"/>
          <w:vertAlign w:val="superscript"/>
          <w14:textFill>
            <w14:solidFill>
              <w14:schemeClr w14:val="tx1"/>
            </w14:solidFill>
          </w14:textFill>
        </w:rPr>
        <w:t>3</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687"/>
        <w:gridCol w:w="1881"/>
        <w:gridCol w:w="2935"/>
        <w:gridCol w:w="2539"/>
      </w:tblGrid>
      <w:tr w14:paraId="094DCB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51" w:hRule="atLeast"/>
          <w:jc w:val="center"/>
        </w:trPr>
        <w:tc>
          <w:tcPr>
            <w:tcW w:w="1687" w:type="dxa"/>
            <w:vAlign w:val="center"/>
          </w:tcPr>
          <w:p w14:paraId="5E6892F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污染物项目</w:t>
            </w:r>
          </w:p>
        </w:tc>
        <w:tc>
          <w:tcPr>
            <w:tcW w:w="1881" w:type="dxa"/>
            <w:vAlign w:val="center"/>
          </w:tcPr>
          <w:p w14:paraId="4E3EF1AB">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排放限值</w:t>
            </w:r>
          </w:p>
        </w:tc>
        <w:tc>
          <w:tcPr>
            <w:tcW w:w="2935" w:type="dxa"/>
            <w:vAlign w:val="center"/>
          </w:tcPr>
          <w:p w14:paraId="06EEF25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限值含义</w:t>
            </w:r>
          </w:p>
        </w:tc>
        <w:tc>
          <w:tcPr>
            <w:tcW w:w="2539" w:type="dxa"/>
            <w:vAlign w:val="center"/>
          </w:tcPr>
          <w:p w14:paraId="6B096120">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无组织排放监控位置</w:t>
            </w:r>
          </w:p>
        </w:tc>
      </w:tr>
      <w:tr w14:paraId="1E8FE1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51" w:hRule="atLeast"/>
          <w:jc w:val="center"/>
        </w:trPr>
        <w:tc>
          <w:tcPr>
            <w:tcW w:w="1687" w:type="dxa"/>
            <w:vMerge w:val="restart"/>
            <w:vAlign w:val="center"/>
          </w:tcPr>
          <w:p w14:paraId="1DE79295">
            <w:pPr>
              <w:pStyle w:val="70"/>
              <w:rPr>
                <w:color w:val="000000" w:themeColor="text1"/>
                <w14:textFill>
                  <w14:solidFill>
                    <w14:schemeClr w14:val="tx1"/>
                  </w14:solidFill>
                </w14:textFill>
              </w:rPr>
            </w:pPr>
            <w:r>
              <w:rPr>
                <w:color w:val="000000" w:themeColor="text1"/>
                <w14:textFill>
                  <w14:solidFill>
                    <w14:schemeClr w14:val="tx1"/>
                  </w14:solidFill>
                </w14:textFill>
              </w:rPr>
              <w:t>NMHC</w:t>
            </w:r>
          </w:p>
        </w:tc>
        <w:tc>
          <w:tcPr>
            <w:tcW w:w="1881" w:type="dxa"/>
            <w:vAlign w:val="center"/>
          </w:tcPr>
          <w:p w14:paraId="6319A139">
            <w:pPr>
              <w:pStyle w:val="70"/>
              <w:rPr>
                <w:color w:val="000000" w:themeColor="text1"/>
                <w14:textFill>
                  <w14:solidFill>
                    <w14:schemeClr w14:val="tx1"/>
                  </w14:solidFill>
                </w14:textFill>
              </w:rPr>
            </w:pPr>
            <w:r>
              <w:rPr>
                <w:color w:val="000000" w:themeColor="text1"/>
                <w14:textFill>
                  <w14:solidFill>
                    <w14:schemeClr w14:val="tx1"/>
                  </w14:solidFill>
                </w14:textFill>
              </w:rPr>
              <w:t>10</w:t>
            </w:r>
          </w:p>
        </w:tc>
        <w:tc>
          <w:tcPr>
            <w:tcW w:w="2935" w:type="dxa"/>
            <w:vAlign w:val="center"/>
          </w:tcPr>
          <w:p w14:paraId="5C3CBE10">
            <w:pPr>
              <w:pStyle w:val="70"/>
              <w:rPr>
                <w:color w:val="000000" w:themeColor="text1"/>
                <w14:textFill>
                  <w14:solidFill>
                    <w14:schemeClr w14:val="tx1"/>
                  </w14:solidFill>
                </w14:textFill>
              </w:rPr>
            </w:pPr>
            <w:r>
              <w:rPr>
                <w:color w:val="000000" w:themeColor="text1"/>
                <w14:textFill>
                  <w14:solidFill>
                    <w14:schemeClr w14:val="tx1"/>
                  </w14:solidFill>
                </w14:textFill>
              </w:rPr>
              <w:t>监控点处1h平均浓度值</w:t>
            </w:r>
          </w:p>
        </w:tc>
        <w:tc>
          <w:tcPr>
            <w:tcW w:w="2539" w:type="dxa"/>
            <w:vMerge w:val="restart"/>
            <w:vAlign w:val="center"/>
          </w:tcPr>
          <w:p w14:paraId="7640067F">
            <w:pPr>
              <w:pStyle w:val="70"/>
              <w:rPr>
                <w:color w:val="000000" w:themeColor="text1"/>
                <w14:textFill>
                  <w14:solidFill>
                    <w14:schemeClr w14:val="tx1"/>
                  </w14:solidFill>
                </w14:textFill>
              </w:rPr>
            </w:pPr>
            <w:r>
              <w:rPr>
                <w:color w:val="000000" w:themeColor="text1"/>
                <w14:textFill>
                  <w14:solidFill>
                    <w14:schemeClr w14:val="tx1"/>
                  </w14:solidFill>
                </w14:textFill>
              </w:rPr>
              <w:t>在厂界设置监控点</w:t>
            </w:r>
          </w:p>
        </w:tc>
      </w:tr>
      <w:tr w14:paraId="205274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51" w:hRule="atLeast"/>
          <w:jc w:val="center"/>
        </w:trPr>
        <w:tc>
          <w:tcPr>
            <w:tcW w:w="1687" w:type="dxa"/>
            <w:vMerge w:val="continue"/>
            <w:vAlign w:val="center"/>
          </w:tcPr>
          <w:p w14:paraId="4EF3286A">
            <w:pPr>
              <w:pStyle w:val="70"/>
              <w:rPr>
                <w:color w:val="000000" w:themeColor="text1"/>
                <w14:textFill>
                  <w14:solidFill>
                    <w14:schemeClr w14:val="tx1"/>
                  </w14:solidFill>
                </w14:textFill>
              </w:rPr>
            </w:pPr>
          </w:p>
        </w:tc>
        <w:tc>
          <w:tcPr>
            <w:tcW w:w="1881" w:type="dxa"/>
            <w:vAlign w:val="center"/>
          </w:tcPr>
          <w:p w14:paraId="228207B1">
            <w:pPr>
              <w:pStyle w:val="70"/>
              <w:rPr>
                <w:color w:val="000000" w:themeColor="text1"/>
                <w14:textFill>
                  <w14:solidFill>
                    <w14:schemeClr w14:val="tx1"/>
                  </w14:solidFill>
                </w14:textFill>
              </w:rPr>
            </w:pPr>
            <w:r>
              <w:rPr>
                <w:color w:val="000000" w:themeColor="text1"/>
                <w14:textFill>
                  <w14:solidFill>
                    <w14:schemeClr w14:val="tx1"/>
                  </w14:solidFill>
                </w14:textFill>
              </w:rPr>
              <w:t>30</w:t>
            </w:r>
          </w:p>
        </w:tc>
        <w:tc>
          <w:tcPr>
            <w:tcW w:w="2935" w:type="dxa"/>
            <w:vAlign w:val="center"/>
          </w:tcPr>
          <w:p w14:paraId="16B8B91A">
            <w:pPr>
              <w:pStyle w:val="70"/>
              <w:rPr>
                <w:color w:val="000000" w:themeColor="text1"/>
                <w14:textFill>
                  <w14:solidFill>
                    <w14:schemeClr w14:val="tx1"/>
                  </w14:solidFill>
                </w14:textFill>
              </w:rPr>
            </w:pPr>
            <w:r>
              <w:rPr>
                <w:color w:val="000000" w:themeColor="text1"/>
                <w14:textFill>
                  <w14:solidFill>
                    <w14:schemeClr w14:val="tx1"/>
                  </w14:solidFill>
                </w14:textFill>
              </w:rPr>
              <w:t>监控点处任意一次浓度值</w:t>
            </w:r>
          </w:p>
        </w:tc>
        <w:tc>
          <w:tcPr>
            <w:tcW w:w="2539" w:type="dxa"/>
            <w:vMerge w:val="continue"/>
            <w:vAlign w:val="center"/>
          </w:tcPr>
          <w:p w14:paraId="508B663E">
            <w:pPr>
              <w:pStyle w:val="70"/>
              <w:rPr>
                <w:color w:val="000000" w:themeColor="text1"/>
                <w14:textFill>
                  <w14:solidFill>
                    <w14:schemeClr w14:val="tx1"/>
                  </w14:solidFill>
                </w14:textFill>
              </w:rPr>
            </w:pPr>
          </w:p>
        </w:tc>
      </w:tr>
    </w:tbl>
    <w:p w14:paraId="44B90775">
      <w:pPr>
        <w:ind w:firstLine="480"/>
        <w:rPr>
          <w:color w:val="000000" w:themeColor="text1"/>
          <w14:textFill>
            <w14:solidFill>
              <w14:schemeClr w14:val="tx1"/>
            </w14:solidFill>
          </w14:textFill>
        </w:rPr>
      </w:pPr>
      <w:bookmarkStart w:id="96" w:name="_Hlk58774852"/>
      <w:r>
        <w:rPr>
          <w:color w:val="000000" w:themeColor="text1"/>
          <w14:textFill>
            <w14:solidFill>
              <w14:schemeClr w14:val="tx1"/>
            </w14:solidFill>
          </w14:textFill>
        </w:rPr>
        <w:t>自2018年7月1日起进行型式检验的新型船机其排气污染物排放应符合《船舶发动机排气污染物排放限值及测量方法（中国第一、第二阶段）》（GB15097－2016）第一阶段标准，自2021年7月1日进行型式检验的新型船机其排气污染物排放应符合第二阶段标准。</w:t>
      </w:r>
      <w:bookmarkEnd w:id="96"/>
    </w:p>
    <w:p w14:paraId="18A4A687">
      <w:pPr>
        <w:pStyle w:val="7"/>
        <w:rPr>
          <w:color w:val="000000" w:themeColor="text1"/>
          <w14:textFill>
            <w14:solidFill>
              <w14:schemeClr w14:val="tx1"/>
            </w14:solidFill>
          </w14:textFill>
        </w:rPr>
      </w:pPr>
      <w:r>
        <w:rPr>
          <w:color w:val="000000" w:themeColor="text1"/>
          <w14:textFill>
            <w14:solidFill>
              <w14:schemeClr w14:val="tx1"/>
            </w14:solidFill>
          </w14:textFill>
        </w:rPr>
        <w:t>船机排气污染物第一阶段排放限值（GB15097－2016）</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09"/>
        <w:gridCol w:w="1245"/>
        <w:gridCol w:w="1242"/>
        <w:gridCol w:w="1336"/>
        <w:gridCol w:w="1338"/>
        <w:gridCol w:w="1336"/>
        <w:gridCol w:w="1336"/>
      </w:tblGrid>
      <w:tr w14:paraId="49E30D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Align w:val="center"/>
          </w:tcPr>
          <w:p w14:paraId="7642D9D5">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船机类型</w:t>
            </w:r>
          </w:p>
        </w:tc>
        <w:tc>
          <w:tcPr>
            <w:tcW w:w="1245" w:type="dxa"/>
            <w:vAlign w:val="center"/>
          </w:tcPr>
          <w:p w14:paraId="0B0F223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单缸排量（SV）（L/缸）</w:t>
            </w:r>
          </w:p>
        </w:tc>
        <w:tc>
          <w:tcPr>
            <w:tcW w:w="1242" w:type="dxa"/>
            <w:vAlign w:val="center"/>
          </w:tcPr>
          <w:p w14:paraId="3DC84BE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额定净功率（P）（kW）</w:t>
            </w:r>
          </w:p>
        </w:tc>
        <w:tc>
          <w:tcPr>
            <w:tcW w:w="1336" w:type="dxa"/>
            <w:vAlign w:val="center"/>
          </w:tcPr>
          <w:p w14:paraId="1CC723CE">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CO（g/kWh）</w:t>
            </w:r>
          </w:p>
        </w:tc>
        <w:tc>
          <w:tcPr>
            <w:tcW w:w="1338" w:type="dxa"/>
            <w:vAlign w:val="center"/>
          </w:tcPr>
          <w:p w14:paraId="7C87EA9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HC+NO</w:t>
            </w:r>
            <w:r>
              <w:rPr>
                <w:b/>
                <w:bCs/>
                <w:color w:val="000000" w:themeColor="text1"/>
                <w:vertAlign w:val="subscript"/>
                <w14:textFill>
                  <w14:solidFill>
                    <w14:schemeClr w14:val="tx1"/>
                  </w14:solidFill>
                </w14:textFill>
              </w:rPr>
              <w:t>X</w:t>
            </w:r>
            <w:r>
              <w:rPr>
                <w:b/>
                <w:bCs/>
                <w:color w:val="000000" w:themeColor="text1"/>
                <w14:textFill>
                  <w14:solidFill>
                    <w14:schemeClr w14:val="tx1"/>
                  </w14:solidFill>
                </w14:textFill>
              </w:rPr>
              <w:t>（g/kWh）</w:t>
            </w:r>
          </w:p>
        </w:tc>
        <w:tc>
          <w:tcPr>
            <w:tcW w:w="1336" w:type="dxa"/>
            <w:vAlign w:val="center"/>
          </w:tcPr>
          <w:p w14:paraId="27DC86AE">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CH</w:t>
            </w:r>
            <w:r>
              <w:rPr>
                <w:b/>
                <w:bCs/>
                <w:color w:val="000000" w:themeColor="text1"/>
                <w:vertAlign w:val="subscript"/>
                <w14:textFill>
                  <w14:solidFill>
                    <w14:schemeClr w14:val="tx1"/>
                  </w14:solidFill>
                </w14:textFill>
              </w:rPr>
              <w:t>4</w:t>
            </w:r>
            <w:r>
              <w:rPr>
                <w:b/>
                <w:bCs/>
                <w:color w:val="000000" w:themeColor="text1"/>
                <w:vertAlign w:val="superscript"/>
                <w14:textFill>
                  <w14:solidFill>
                    <w14:schemeClr w14:val="tx1"/>
                  </w14:solidFill>
                </w14:textFill>
              </w:rPr>
              <w:t>(1)</w:t>
            </w:r>
            <w:r>
              <w:rPr>
                <w:b/>
                <w:bCs/>
                <w:color w:val="000000" w:themeColor="text1"/>
                <w14:textFill>
                  <w14:solidFill>
                    <w14:schemeClr w14:val="tx1"/>
                  </w14:solidFill>
                </w14:textFill>
              </w:rPr>
              <w:t>（g/kWh）</w:t>
            </w:r>
          </w:p>
        </w:tc>
        <w:tc>
          <w:tcPr>
            <w:tcW w:w="1336" w:type="dxa"/>
            <w:vAlign w:val="center"/>
          </w:tcPr>
          <w:p w14:paraId="05DCA308">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PM（g/kWh）</w:t>
            </w:r>
          </w:p>
        </w:tc>
      </w:tr>
      <w:tr w14:paraId="3E6841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Merge w:val="restart"/>
            <w:vAlign w:val="center"/>
          </w:tcPr>
          <w:p w14:paraId="4735D2F0">
            <w:pPr>
              <w:pStyle w:val="70"/>
              <w:rPr>
                <w:color w:val="000000" w:themeColor="text1"/>
                <w14:textFill>
                  <w14:solidFill>
                    <w14:schemeClr w14:val="tx1"/>
                  </w14:solidFill>
                </w14:textFill>
              </w:rPr>
            </w:pPr>
            <w:r>
              <w:rPr>
                <w:color w:val="000000" w:themeColor="text1"/>
                <w14:textFill>
                  <w14:solidFill>
                    <w14:schemeClr w14:val="tx1"/>
                  </w14:solidFill>
                </w14:textFill>
              </w:rPr>
              <w:t>额定净功率大于或等于37kW并且单缸排量小于5L的船机</w:t>
            </w:r>
          </w:p>
        </w:tc>
        <w:tc>
          <w:tcPr>
            <w:tcW w:w="1245" w:type="dxa"/>
            <w:vAlign w:val="center"/>
          </w:tcPr>
          <w:p w14:paraId="3B540C5E">
            <w:pPr>
              <w:pStyle w:val="70"/>
              <w:rPr>
                <w:color w:val="000000" w:themeColor="text1"/>
                <w14:textFill>
                  <w14:solidFill>
                    <w14:schemeClr w14:val="tx1"/>
                  </w14:solidFill>
                </w14:textFill>
              </w:rPr>
            </w:pPr>
            <w:r>
              <w:rPr>
                <w:color w:val="000000" w:themeColor="text1"/>
                <w14:textFill>
                  <w14:solidFill>
                    <w14:schemeClr w14:val="tx1"/>
                  </w14:solidFill>
                </w14:textFill>
              </w:rPr>
              <w:t>SV&lt;0.9</w:t>
            </w:r>
          </w:p>
        </w:tc>
        <w:tc>
          <w:tcPr>
            <w:tcW w:w="1242" w:type="dxa"/>
            <w:vAlign w:val="center"/>
          </w:tcPr>
          <w:p w14:paraId="7DB81730">
            <w:pPr>
              <w:pStyle w:val="70"/>
              <w:rPr>
                <w:color w:val="000000" w:themeColor="text1"/>
                <w14:textFill>
                  <w14:solidFill>
                    <w14:schemeClr w14:val="tx1"/>
                  </w14:solidFill>
                </w14:textFill>
              </w:rPr>
            </w:pPr>
            <w:r>
              <w:rPr>
                <w:color w:val="000000" w:themeColor="text1"/>
                <w14:textFill>
                  <w14:solidFill>
                    <w14:schemeClr w14:val="tx1"/>
                  </w14:solidFill>
                </w14:textFill>
              </w:rPr>
              <w:t>P</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37</w:t>
            </w:r>
          </w:p>
        </w:tc>
        <w:tc>
          <w:tcPr>
            <w:tcW w:w="1336" w:type="dxa"/>
            <w:vAlign w:val="center"/>
          </w:tcPr>
          <w:p w14:paraId="648BB0E5">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338" w:type="dxa"/>
            <w:vAlign w:val="center"/>
          </w:tcPr>
          <w:p w14:paraId="60E6D236">
            <w:pPr>
              <w:pStyle w:val="70"/>
              <w:rPr>
                <w:color w:val="000000" w:themeColor="text1"/>
                <w14:textFill>
                  <w14:solidFill>
                    <w14:schemeClr w14:val="tx1"/>
                  </w14:solidFill>
                </w14:textFill>
              </w:rPr>
            </w:pPr>
            <w:r>
              <w:rPr>
                <w:color w:val="000000" w:themeColor="text1"/>
                <w14:textFill>
                  <w14:solidFill>
                    <w14:schemeClr w14:val="tx1"/>
                  </w14:solidFill>
                </w14:textFill>
              </w:rPr>
              <w:t>7.5</w:t>
            </w:r>
          </w:p>
        </w:tc>
        <w:tc>
          <w:tcPr>
            <w:tcW w:w="1336" w:type="dxa"/>
            <w:vAlign w:val="center"/>
          </w:tcPr>
          <w:p w14:paraId="353126D6">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336" w:type="dxa"/>
            <w:vAlign w:val="center"/>
          </w:tcPr>
          <w:p w14:paraId="2057C2D3">
            <w:pPr>
              <w:pStyle w:val="70"/>
              <w:rPr>
                <w:color w:val="000000" w:themeColor="text1"/>
                <w14:textFill>
                  <w14:solidFill>
                    <w14:schemeClr w14:val="tx1"/>
                  </w14:solidFill>
                </w14:textFill>
              </w:rPr>
            </w:pPr>
            <w:r>
              <w:rPr>
                <w:color w:val="000000" w:themeColor="text1"/>
                <w14:textFill>
                  <w14:solidFill>
                    <w14:schemeClr w14:val="tx1"/>
                  </w14:solidFill>
                </w14:textFill>
              </w:rPr>
              <w:t>0.40</w:t>
            </w:r>
          </w:p>
        </w:tc>
      </w:tr>
      <w:tr w14:paraId="0B6937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Merge w:val="continue"/>
            <w:vAlign w:val="center"/>
          </w:tcPr>
          <w:p w14:paraId="40B21FAB">
            <w:pPr>
              <w:pStyle w:val="70"/>
              <w:rPr>
                <w:color w:val="000000" w:themeColor="text1"/>
                <w14:textFill>
                  <w14:solidFill>
                    <w14:schemeClr w14:val="tx1"/>
                  </w14:solidFill>
                </w14:textFill>
              </w:rPr>
            </w:pPr>
          </w:p>
        </w:tc>
        <w:tc>
          <w:tcPr>
            <w:tcW w:w="2487" w:type="dxa"/>
            <w:gridSpan w:val="2"/>
            <w:vAlign w:val="center"/>
          </w:tcPr>
          <w:p w14:paraId="781AE97E">
            <w:pPr>
              <w:pStyle w:val="70"/>
              <w:rPr>
                <w:color w:val="000000" w:themeColor="text1"/>
                <w14:textFill>
                  <w14:solidFill>
                    <w14:schemeClr w14:val="tx1"/>
                  </w14:solidFill>
                </w14:textFill>
              </w:rPr>
            </w:pPr>
            <w:r>
              <w:rPr>
                <w:color w:val="000000" w:themeColor="text1"/>
                <w14:textFill>
                  <w14:solidFill>
                    <w14:schemeClr w14:val="tx1"/>
                  </w14:solidFill>
                </w14:textFill>
              </w:rPr>
              <w:t>0.9</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SV&lt;1.2</w:t>
            </w:r>
          </w:p>
        </w:tc>
        <w:tc>
          <w:tcPr>
            <w:tcW w:w="1336" w:type="dxa"/>
            <w:vAlign w:val="center"/>
          </w:tcPr>
          <w:p w14:paraId="418C8941">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338" w:type="dxa"/>
            <w:vAlign w:val="center"/>
          </w:tcPr>
          <w:p w14:paraId="5066DC70">
            <w:pPr>
              <w:pStyle w:val="70"/>
              <w:rPr>
                <w:color w:val="000000" w:themeColor="text1"/>
                <w14:textFill>
                  <w14:solidFill>
                    <w14:schemeClr w14:val="tx1"/>
                  </w14:solidFill>
                </w14:textFill>
              </w:rPr>
            </w:pPr>
            <w:r>
              <w:rPr>
                <w:color w:val="000000" w:themeColor="text1"/>
                <w14:textFill>
                  <w14:solidFill>
                    <w14:schemeClr w14:val="tx1"/>
                  </w14:solidFill>
                </w14:textFill>
              </w:rPr>
              <w:t>7.2</w:t>
            </w:r>
          </w:p>
        </w:tc>
        <w:tc>
          <w:tcPr>
            <w:tcW w:w="1336" w:type="dxa"/>
            <w:vAlign w:val="center"/>
          </w:tcPr>
          <w:p w14:paraId="66725531">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336" w:type="dxa"/>
            <w:vAlign w:val="center"/>
          </w:tcPr>
          <w:p w14:paraId="2F19F26D">
            <w:pPr>
              <w:pStyle w:val="70"/>
              <w:rPr>
                <w:color w:val="000000" w:themeColor="text1"/>
                <w14:textFill>
                  <w14:solidFill>
                    <w14:schemeClr w14:val="tx1"/>
                  </w14:solidFill>
                </w14:textFill>
              </w:rPr>
            </w:pPr>
            <w:r>
              <w:rPr>
                <w:color w:val="000000" w:themeColor="text1"/>
                <w14:textFill>
                  <w14:solidFill>
                    <w14:schemeClr w14:val="tx1"/>
                  </w14:solidFill>
                </w14:textFill>
              </w:rPr>
              <w:t>0.30</w:t>
            </w:r>
          </w:p>
        </w:tc>
      </w:tr>
      <w:tr w14:paraId="7A6EF8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Merge w:val="continue"/>
            <w:vAlign w:val="center"/>
          </w:tcPr>
          <w:p w14:paraId="7ECD8494">
            <w:pPr>
              <w:pStyle w:val="70"/>
              <w:rPr>
                <w:color w:val="000000" w:themeColor="text1"/>
                <w14:textFill>
                  <w14:solidFill>
                    <w14:schemeClr w14:val="tx1"/>
                  </w14:solidFill>
                </w14:textFill>
              </w:rPr>
            </w:pPr>
          </w:p>
        </w:tc>
        <w:tc>
          <w:tcPr>
            <w:tcW w:w="2487" w:type="dxa"/>
            <w:gridSpan w:val="2"/>
            <w:vAlign w:val="center"/>
          </w:tcPr>
          <w:p w14:paraId="6917828F">
            <w:pPr>
              <w:pStyle w:val="70"/>
              <w:rPr>
                <w:color w:val="000000" w:themeColor="text1"/>
                <w14:textFill>
                  <w14:solidFill>
                    <w14:schemeClr w14:val="tx1"/>
                  </w14:solidFill>
                </w14:textFill>
              </w:rPr>
            </w:pPr>
            <w:r>
              <w:rPr>
                <w:color w:val="000000" w:themeColor="text1"/>
                <w14:textFill>
                  <w14:solidFill>
                    <w14:schemeClr w14:val="tx1"/>
                  </w14:solidFill>
                </w14:textFill>
              </w:rPr>
              <w:t>1.2</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SV&lt;5</w:t>
            </w:r>
          </w:p>
        </w:tc>
        <w:tc>
          <w:tcPr>
            <w:tcW w:w="1336" w:type="dxa"/>
            <w:vAlign w:val="center"/>
          </w:tcPr>
          <w:p w14:paraId="6067E31D">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338" w:type="dxa"/>
            <w:vAlign w:val="center"/>
          </w:tcPr>
          <w:p w14:paraId="2E3BFA3F">
            <w:pPr>
              <w:pStyle w:val="70"/>
              <w:rPr>
                <w:color w:val="000000" w:themeColor="text1"/>
                <w14:textFill>
                  <w14:solidFill>
                    <w14:schemeClr w14:val="tx1"/>
                  </w14:solidFill>
                </w14:textFill>
              </w:rPr>
            </w:pPr>
            <w:r>
              <w:rPr>
                <w:color w:val="000000" w:themeColor="text1"/>
                <w14:textFill>
                  <w14:solidFill>
                    <w14:schemeClr w14:val="tx1"/>
                  </w14:solidFill>
                </w14:textFill>
              </w:rPr>
              <w:t>7.2</w:t>
            </w:r>
          </w:p>
        </w:tc>
        <w:tc>
          <w:tcPr>
            <w:tcW w:w="1336" w:type="dxa"/>
            <w:vAlign w:val="center"/>
          </w:tcPr>
          <w:p w14:paraId="093131F5">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336" w:type="dxa"/>
            <w:vAlign w:val="center"/>
          </w:tcPr>
          <w:p w14:paraId="0A8AA734">
            <w:pPr>
              <w:pStyle w:val="70"/>
              <w:rPr>
                <w:color w:val="000000" w:themeColor="text1"/>
                <w14:textFill>
                  <w14:solidFill>
                    <w14:schemeClr w14:val="tx1"/>
                  </w14:solidFill>
                </w14:textFill>
              </w:rPr>
            </w:pPr>
            <w:r>
              <w:rPr>
                <w:color w:val="000000" w:themeColor="text1"/>
                <w14:textFill>
                  <w14:solidFill>
                    <w14:schemeClr w14:val="tx1"/>
                  </w14:solidFill>
                </w14:textFill>
              </w:rPr>
              <w:t>0.20</w:t>
            </w:r>
          </w:p>
        </w:tc>
      </w:tr>
      <w:tr w14:paraId="32371B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Merge w:val="restart"/>
            <w:vAlign w:val="center"/>
          </w:tcPr>
          <w:p w14:paraId="5CD847D8">
            <w:pPr>
              <w:pStyle w:val="70"/>
              <w:rPr>
                <w:color w:val="000000" w:themeColor="text1"/>
                <w14:textFill>
                  <w14:solidFill>
                    <w14:schemeClr w14:val="tx1"/>
                  </w14:solidFill>
                </w14:textFill>
              </w:rPr>
            </w:pPr>
            <w:r>
              <w:rPr>
                <w:color w:val="000000" w:themeColor="text1"/>
                <w14:textFill>
                  <w14:solidFill>
                    <w14:schemeClr w14:val="tx1"/>
                  </w14:solidFill>
                </w14:textFill>
              </w:rPr>
              <w:t>单缸排量大于或等于5L且小于30L的船机</w:t>
            </w:r>
          </w:p>
        </w:tc>
        <w:tc>
          <w:tcPr>
            <w:tcW w:w="2487" w:type="dxa"/>
            <w:gridSpan w:val="2"/>
            <w:vAlign w:val="center"/>
          </w:tcPr>
          <w:p w14:paraId="2BC56222">
            <w:pPr>
              <w:pStyle w:val="70"/>
              <w:rPr>
                <w:color w:val="000000" w:themeColor="text1"/>
                <w14:textFill>
                  <w14:solidFill>
                    <w14:schemeClr w14:val="tx1"/>
                  </w14:solidFill>
                </w14:textFill>
              </w:rPr>
            </w:pPr>
            <w:r>
              <w:rPr>
                <w:color w:val="000000" w:themeColor="text1"/>
                <w14:textFill>
                  <w14:solidFill>
                    <w14:schemeClr w14:val="tx1"/>
                  </w14:solidFill>
                </w14:textFill>
              </w:rPr>
              <w:t>5</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SV&lt;15</w:t>
            </w:r>
          </w:p>
        </w:tc>
        <w:tc>
          <w:tcPr>
            <w:tcW w:w="1336" w:type="dxa"/>
            <w:vAlign w:val="center"/>
          </w:tcPr>
          <w:p w14:paraId="3AB39894">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338" w:type="dxa"/>
            <w:vAlign w:val="center"/>
          </w:tcPr>
          <w:p w14:paraId="68C4050A">
            <w:pPr>
              <w:pStyle w:val="70"/>
              <w:rPr>
                <w:color w:val="000000" w:themeColor="text1"/>
                <w14:textFill>
                  <w14:solidFill>
                    <w14:schemeClr w14:val="tx1"/>
                  </w14:solidFill>
                </w14:textFill>
              </w:rPr>
            </w:pPr>
            <w:r>
              <w:rPr>
                <w:color w:val="000000" w:themeColor="text1"/>
                <w14:textFill>
                  <w14:solidFill>
                    <w14:schemeClr w14:val="tx1"/>
                  </w14:solidFill>
                </w14:textFill>
              </w:rPr>
              <w:t>7.8</w:t>
            </w:r>
          </w:p>
        </w:tc>
        <w:tc>
          <w:tcPr>
            <w:tcW w:w="1336" w:type="dxa"/>
            <w:vAlign w:val="center"/>
          </w:tcPr>
          <w:p w14:paraId="5FD3146A">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336" w:type="dxa"/>
            <w:vAlign w:val="center"/>
          </w:tcPr>
          <w:p w14:paraId="5BAF1F6D">
            <w:pPr>
              <w:pStyle w:val="70"/>
              <w:rPr>
                <w:color w:val="000000" w:themeColor="text1"/>
                <w14:textFill>
                  <w14:solidFill>
                    <w14:schemeClr w14:val="tx1"/>
                  </w14:solidFill>
                </w14:textFill>
              </w:rPr>
            </w:pPr>
            <w:r>
              <w:rPr>
                <w:color w:val="000000" w:themeColor="text1"/>
                <w14:textFill>
                  <w14:solidFill>
                    <w14:schemeClr w14:val="tx1"/>
                  </w14:solidFill>
                </w14:textFill>
              </w:rPr>
              <w:t>0.27</w:t>
            </w:r>
          </w:p>
        </w:tc>
      </w:tr>
      <w:tr w14:paraId="3B365F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Merge w:val="continue"/>
            <w:vAlign w:val="center"/>
          </w:tcPr>
          <w:p w14:paraId="17A76A98">
            <w:pPr>
              <w:pStyle w:val="70"/>
              <w:rPr>
                <w:color w:val="000000" w:themeColor="text1"/>
                <w14:textFill>
                  <w14:solidFill>
                    <w14:schemeClr w14:val="tx1"/>
                  </w14:solidFill>
                </w14:textFill>
              </w:rPr>
            </w:pPr>
          </w:p>
        </w:tc>
        <w:tc>
          <w:tcPr>
            <w:tcW w:w="1245" w:type="dxa"/>
            <w:vMerge w:val="restart"/>
            <w:vAlign w:val="center"/>
          </w:tcPr>
          <w:p w14:paraId="0CB2B9C4">
            <w:pPr>
              <w:pStyle w:val="70"/>
              <w:rPr>
                <w:color w:val="000000" w:themeColor="text1"/>
                <w14:textFill>
                  <w14:solidFill>
                    <w14:schemeClr w14:val="tx1"/>
                  </w14:solidFill>
                </w14:textFill>
              </w:rPr>
            </w:pPr>
            <w:r>
              <w:rPr>
                <w:color w:val="000000" w:themeColor="text1"/>
                <w14:textFill>
                  <w14:solidFill>
                    <w14:schemeClr w14:val="tx1"/>
                  </w14:solidFill>
                </w14:textFill>
              </w:rPr>
              <w:t>15</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SV&lt;20</w:t>
            </w:r>
          </w:p>
        </w:tc>
        <w:tc>
          <w:tcPr>
            <w:tcW w:w="1242" w:type="dxa"/>
            <w:vAlign w:val="center"/>
          </w:tcPr>
          <w:p w14:paraId="354C8040">
            <w:pPr>
              <w:pStyle w:val="70"/>
              <w:rPr>
                <w:color w:val="000000" w:themeColor="text1"/>
                <w14:textFill>
                  <w14:solidFill>
                    <w14:schemeClr w14:val="tx1"/>
                  </w14:solidFill>
                </w14:textFill>
              </w:rPr>
            </w:pPr>
            <w:r>
              <w:rPr>
                <w:color w:val="000000" w:themeColor="text1"/>
                <w14:textFill>
                  <w14:solidFill>
                    <w14:schemeClr w14:val="tx1"/>
                  </w14:solidFill>
                </w14:textFill>
              </w:rPr>
              <w:t>P&lt;3300</w:t>
            </w:r>
          </w:p>
        </w:tc>
        <w:tc>
          <w:tcPr>
            <w:tcW w:w="1336" w:type="dxa"/>
            <w:vAlign w:val="center"/>
          </w:tcPr>
          <w:p w14:paraId="22D85148">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338" w:type="dxa"/>
            <w:vAlign w:val="center"/>
          </w:tcPr>
          <w:p w14:paraId="745B2B45">
            <w:pPr>
              <w:pStyle w:val="70"/>
              <w:rPr>
                <w:color w:val="000000" w:themeColor="text1"/>
                <w14:textFill>
                  <w14:solidFill>
                    <w14:schemeClr w14:val="tx1"/>
                  </w14:solidFill>
                </w14:textFill>
              </w:rPr>
            </w:pPr>
            <w:r>
              <w:rPr>
                <w:color w:val="000000" w:themeColor="text1"/>
                <w14:textFill>
                  <w14:solidFill>
                    <w14:schemeClr w14:val="tx1"/>
                  </w14:solidFill>
                </w14:textFill>
              </w:rPr>
              <w:t>8.7</w:t>
            </w:r>
          </w:p>
        </w:tc>
        <w:tc>
          <w:tcPr>
            <w:tcW w:w="1336" w:type="dxa"/>
            <w:vAlign w:val="center"/>
          </w:tcPr>
          <w:p w14:paraId="7A83605B">
            <w:pPr>
              <w:pStyle w:val="70"/>
              <w:rPr>
                <w:color w:val="000000" w:themeColor="text1"/>
                <w14:textFill>
                  <w14:solidFill>
                    <w14:schemeClr w14:val="tx1"/>
                  </w14:solidFill>
                </w14:textFill>
              </w:rPr>
            </w:pPr>
            <w:r>
              <w:rPr>
                <w:color w:val="000000" w:themeColor="text1"/>
                <w14:textFill>
                  <w14:solidFill>
                    <w14:schemeClr w14:val="tx1"/>
                  </w14:solidFill>
                </w14:textFill>
              </w:rPr>
              <w:t>1.6</w:t>
            </w:r>
          </w:p>
        </w:tc>
        <w:tc>
          <w:tcPr>
            <w:tcW w:w="1336" w:type="dxa"/>
            <w:vAlign w:val="center"/>
          </w:tcPr>
          <w:p w14:paraId="41F8E4C1">
            <w:pPr>
              <w:pStyle w:val="70"/>
              <w:rPr>
                <w:color w:val="000000" w:themeColor="text1"/>
                <w14:textFill>
                  <w14:solidFill>
                    <w14:schemeClr w14:val="tx1"/>
                  </w14:solidFill>
                </w14:textFill>
              </w:rPr>
            </w:pPr>
            <w:r>
              <w:rPr>
                <w:color w:val="000000" w:themeColor="text1"/>
                <w14:textFill>
                  <w14:solidFill>
                    <w14:schemeClr w14:val="tx1"/>
                  </w14:solidFill>
                </w14:textFill>
              </w:rPr>
              <w:t>0.50</w:t>
            </w:r>
          </w:p>
        </w:tc>
      </w:tr>
      <w:tr w14:paraId="16DE01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Merge w:val="continue"/>
            <w:vAlign w:val="center"/>
          </w:tcPr>
          <w:p w14:paraId="18760A81">
            <w:pPr>
              <w:pStyle w:val="70"/>
              <w:rPr>
                <w:color w:val="000000" w:themeColor="text1"/>
                <w14:textFill>
                  <w14:solidFill>
                    <w14:schemeClr w14:val="tx1"/>
                  </w14:solidFill>
                </w14:textFill>
              </w:rPr>
            </w:pPr>
          </w:p>
        </w:tc>
        <w:tc>
          <w:tcPr>
            <w:tcW w:w="1245" w:type="dxa"/>
            <w:vMerge w:val="continue"/>
            <w:vAlign w:val="center"/>
          </w:tcPr>
          <w:p w14:paraId="12833C89">
            <w:pPr>
              <w:pStyle w:val="70"/>
              <w:rPr>
                <w:color w:val="000000" w:themeColor="text1"/>
                <w14:textFill>
                  <w14:solidFill>
                    <w14:schemeClr w14:val="tx1"/>
                  </w14:solidFill>
                </w14:textFill>
              </w:rPr>
            </w:pPr>
          </w:p>
        </w:tc>
        <w:tc>
          <w:tcPr>
            <w:tcW w:w="1242" w:type="dxa"/>
            <w:vAlign w:val="center"/>
          </w:tcPr>
          <w:p w14:paraId="33DD7667">
            <w:pPr>
              <w:pStyle w:val="70"/>
              <w:rPr>
                <w:color w:val="000000" w:themeColor="text1"/>
                <w14:textFill>
                  <w14:solidFill>
                    <w14:schemeClr w14:val="tx1"/>
                  </w14:solidFill>
                </w14:textFill>
              </w:rPr>
            </w:pPr>
            <w:r>
              <w:rPr>
                <w:color w:val="000000" w:themeColor="text1"/>
                <w14:textFill>
                  <w14:solidFill>
                    <w14:schemeClr w14:val="tx1"/>
                  </w14:solidFill>
                </w14:textFill>
              </w:rPr>
              <w:t>P</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3300</w:t>
            </w:r>
          </w:p>
        </w:tc>
        <w:tc>
          <w:tcPr>
            <w:tcW w:w="1336" w:type="dxa"/>
            <w:vAlign w:val="center"/>
          </w:tcPr>
          <w:p w14:paraId="15F27062">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338" w:type="dxa"/>
            <w:vAlign w:val="center"/>
          </w:tcPr>
          <w:p w14:paraId="7E3E1F3C">
            <w:pPr>
              <w:pStyle w:val="70"/>
              <w:rPr>
                <w:color w:val="000000" w:themeColor="text1"/>
                <w14:textFill>
                  <w14:solidFill>
                    <w14:schemeClr w14:val="tx1"/>
                  </w14:solidFill>
                </w14:textFill>
              </w:rPr>
            </w:pPr>
            <w:r>
              <w:rPr>
                <w:color w:val="000000" w:themeColor="text1"/>
                <w14:textFill>
                  <w14:solidFill>
                    <w14:schemeClr w14:val="tx1"/>
                  </w14:solidFill>
                </w14:textFill>
              </w:rPr>
              <w:t>9.8</w:t>
            </w:r>
          </w:p>
        </w:tc>
        <w:tc>
          <w:tcPr>
            <w:tcW w:w="1336" w:type="dxa"/>
            <w:vAlign w:val="center"/>
          </w:tcPr>
          <w:p w14:paraId="65A7E187">
            <w:pPr>
              <w:pStyle w:val="70"/>
              <w:rPr>
                <w:color w:val="000000" w:themeColor="text1"/>
                <w14:textFill>
                  <w14:solidFill>
                    <w14:schemeClr w14:val="tx1"/>
                  </w14:solidFill>
                </w14:textFill>
              </w:rPr>
            </w:pPr>
            <w:r>
              <w:rPr>
                <w:color w:val="000000" w:themeColor="text1"/>
                <w14:textFill>
                  <w14:solidFill>
                    <w14:schemeClr w14:val="tx1"/>
                  </w14:solidFill>
                </w14:textFill>
              </w:rPr>
              <w:t>1.8</w:t>
            </w:r>
          </w:p>
        </w:tc>
        <w:tc>
          <w:tcPr>
            <w:tcW w:w="1336" w:type="dxa"/>
            <w:vAlign w:val="center"/>
          </w:tcPr>
          <w:p w14:paraId="01B3842D">
            <w:pPr>
              <w:pStyle w:val="70"/>
              <w:rPr>
                <w:color w:val="000000" w:themeColor="text1"/>
                <w14:textFill>
                  <w14:solidFill>
                    <w14:schemeClr w14:val="tx1"/>
                  </w14:solidFill>
                </w14:textFill>
              </w:rPr>
            </w:pPr>
            <w:r>
              <w:rPr>
                <w:color w:val="000000" w:themeColor="text1"/>
                <w14:textFill>
                  <w14:solidFill>
                    <w14:schemeClr w14:val="tx1"/>
                  </w14:solidFill>
                </w14:textFill>
              </w:rPr>
              <w:t>0.50</w:t>
            </w:r>
          </w:p>
        </w:tc>
      </w:tr>
      <w:tr w14:paraId="06EBAF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Merge w:val="continue"/>
            <w:vAlign w:val="center"/>
          </w:tcPr>
          <w:p w14:paraId="5A72B3C6">
            <w:pPr>
              <w:pStyle w:val="70"/>
              <w:rPr>
                <w:color w:val="000000" w:themeColor="text1"/>
                <w14:textFill>
                  <w14:solidFill>
                    <w14:schemeClr w14:val="tx1"/>
                  </w14:solidFill>
                </w14:textFill>
              </w:rPr>
            </w:pPr>
          </w:p>
        </w:tc>
        <w:tc>
          <w:tcPr>
            <w:tcW w:w="2487" w:type="dxa"/>
            <w:gridSpan w:val="2"/>
            <w:vAlign w:val="center"/>
          </w:tcPr>
          <w:p w14:paraId="13F4D1DB">
            <w:pPr>
              <w:pStyle w:val="70"/>
              <w:rPr>
                <w:color w:val="000000" w:themeColor="text1"/>
                <w14:textFill>
                  <w14:solidFill>
                    <w14:schemeClr w14:val="tx1"/>
                  </w14:solidFill>
                </w14:textFill>
              </w:rPr>
            </w:pPr>
            <w:r>
              <w:rPr>
                <w:color w:val="000000" w:themeColor="text1"/>
                <w14:textFill>
                  <w14:solidFill>
                    <w14:schemeClr w14:val="tx1"/>
                  </w14:solidFill>
                </w14:textFill>
              </w:rPr>
              <w:t>20</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SV&lt;25</w:t>
            </w:r>
          </w:p>
        </w:tc>
        <w:tc>
          <w:tcPr>
            <w:tcW w:w="1336" w:type="dxa"/>
            <w:vAlign w:val="center"/>
          </w:tcPr>
          <w:p w14:paraId="103F69E5">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338" w:type="dxa"/>
            <w:vAlign w:val="center"/>
          </w:tcPr>
          <w:p w14:paraId="6337287F">
            <w:pPr>
              <w:pStyle w:val="70"/>
              <w:rPr>
                <w:color w:val="000000" w:themeColor="text1"/>
                <w14:textFill>
                  <w14:solidFill>
                    <w14:schemeClr w14:val="tx1"/>
                  </w14:solidFill>
                </w14:textFill>
              </w:rPr>
            </w:pPr>
            <w:r>
              <w:rPr>
                <w:color w:val="000000" w:themeColor="text1"/>
                <w14:textFill>
                  <w14:solidFill>
                    <w14:schemeClr w14:val="tx1"/>
                  </w14:solidFill>
                </w14:textFill>
              </w:rPr>
              <w:t>9.8</w:t>
            </w:r>
          </w:p>
        </w:tc>
        <w:tc>
          <w:tcPr>
            <w:tcW w:w="1336" w:type="dxa"/>
            <w:vAlign w:val="center"/>
          </w:tcPr>
          <w:p w14:paraId="7CC54F99">
            <w:pPr>
              <w:pStyle w:val="70"/>
              <w:rPr>
                <w:color w:val="000000" w:themeColor="text1"/>
                <w14:textFill>
                  <w14:solidFill>
                    <w14:schemeClr w14:val="tx1"/>
                  </w14:solidFill>
                </w14:textFill>
              </w:rPr>
            </w:pPr>
            <w:r>
              <w:rPr>
                <w:color w:val="000000" w:themeColor="text1"/>
                <w14:textFill>
                  <w14:solidFill>
                    <w14:schemeClr w14:val="tx1"/>
                  </w14:solidFill>
                </w14:textFill>
              </w:rPr>
              <w:t>1.8</w:t>
            </w:r>
          </w:p>
        </w:tc>
        <w:tc>
          <w:tcPr>
            <w:tcW w:w="1336" w:type="dxa"/>
            <w:vAlign w:val="center"/>
          </w:tcPr>
          <w:p w14:paraId="6BB9E4D3">
            <w:pPr>
              <w:pStyle w:val="70"/>
              <w:rPr>
                <w:color w:val="000000" w:themeColor="text1"/>
                <w14:textFill>
                  <w14:solidFill>
                    <w14:schemeClr w14:val="tx1"/>
                  </w14:solidFill>
                </w14:textFill>
              </w:rPr>
            </w:pPr>
            <w:r>
              <w:rPr>
                <w:color w:val="000000" w:themeColor="text1"/>
                <w14:textFill>
                  <w14:solidFill>
                    <w14:schemeClr w14:val="tx1"/>
                  </w14:solidFill>
                </w14:textFill>
              </w:rPr>
              <w:t>0.50</w:t>
            </w:r>
          </w:p>
        </w:tc>
      </w:tr>
      <w:tr w14:paraId="350B59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Merge w:val="continue"/>
            <w:vAlign w:val="center"/>
          </w:tcPr>
          <w:p w14:paraId="4C235630">
            <w:pPr>
              <w:pStyle w:val="70"/>
              <w:rPr>
                <w:color w:val="000000" w:themeColor="text1"/>
                <w14:textFill>
                  <w14:solidFill>
                    <w14:schemeClr w14:val="tx1"/>
                  </w14:solidFill>
                </w14:textFill>
              </w:rPr>
            </w:pPr>
          </w:p>
        </w:tc>
        <w:tc>
          <w:tcPr>
            <w:tcW w:w="2487" w:type="dxa"/>
            <w:gridSpan w:val="2"/>
            <w:vAlign w:val="center"/>
          </w:tcPr>
          <w:p w14:paraId="6E28C555">
            <w:pPr>
              <w:pStyle w:val="70"/>
              <w:rPr>
                <w:color w:val="000000" w:themeColor="text1"/>
                <w14:textFill>
                  <w14:solidFill>
                    <w14:schemeClr w14:val="tx1"/>
                  </w14:solidFill>
                </w14:textFill>
              </w:rPr>
            </w:pPr>
            <w:r>
              <w:rPr>
                <w:color w:val="000000" w:themeColor="text1"/>
                <w14:textFill>
                  <w14:solidFill>
                    <w14:schemeClr w14:val="tx1"/>
                  </w14:solidFill>
                </w14:textFill>
              </w:rPr>
              <w:t>25</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SV&lt;30</w:t>
            </w:r>
          </w:p>
        </w:tc>
        <w:tc>
          <w:tcPr>
            <w:tcW w:w="1336" w:type="dxa"/>
            <w:vAlign w:val="center"/>
          </w:tcPr>
          <w:p w14:paraId="2BFFE557">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338" w:type="dxa"/>
            <w:vAlign w:val="center"/>
          </w:tcPr>
          <w:p w14:paraId="439E86B9">
            <w:pPr>
              <w:pStyle w:val="70"/>
              <w:rPr>
                <w:color w:val="000000" w:themeColor="text1"/>
                <w14:textFill>
                  <w14:solidFill>
                    <w14:schemeClr w14:val="tx1"/>
                  </w14:solidFill>
                </w14:textFill>
              </w:rPr>
            </w:pPr>
            <w:r>
              <w:rPr>
                <w:color w:val="000000" w:themeColor="text1"/>
                <w14:textFill>
                  <w14:solidFill>
                    <w14:schemeClr w14:val="tx1"/>
                  </w14:solidFill>
                </w14:textFill>
              </w:rPr>
              <w:t>11.0</w:t>
            </w:r>
          </w:p>
        </w:tc>
        <w:tc>
          <w:tcPr>
            <w:tcW w:w="1336" w:type="dxa"/>
            <w:vAlign w:val="center"/>
          </w:tcPr>
          <w:p w14:paraId="383CA4F2">
            <w:pPr>
              <w:pStyle w:val="70"/>
              <w:rPr>
                <w:color w:val="000000" w:themeColor="text1"/>
                <w14:textFill>
                  <w14:solidFill>
                    <w14:schemeClr w14:val="tx1"/>
                  </w14:solidFill>
                </w14:textFill>
              </w:rPr>
            </w:pPr>
            <w:r>
              <w:rPr>
                <w:color w:val="000000" w:themeColor="text1"/>
                <w14:textFill>
                  <w14:solidFill>
                    <w14:schemeClr w14:val="tx1"/>
                  </w14:solidFill>
                </w14:textFill>
              </w:rPr>
              <w:t>2.0</w:t>
            </w:r>
          </w:p>
        </w:tc>
        <w:tc>
          <w:tcPr>
            <w:tcW w:w="1336" w:type="dxa"/>
            <w:vAlign w:val="center"/>
          </w:tcPr>
          <w:p w14:paraId="2F31F10E">
            <w:pPr>
              <w:pStyle w:val="70"/>
              <w:rPr>
                <w:color w:val="000000" w:themeColor="text1"/>
                <w14:textFill>
                  <w14:solidFill>
                    <w14:schemeClr w14:val="tx1"/>
                  </w14:solidFill>
                </w14:textFill>
              </w:rPr>
            </w:pPr>
            <w:r>
              <w:rPr>
                <w:color w:val="000000" w:themeColor="text1"/>
                <w14:textFill>
                  <w14:solidFill>
                    <w14:schemeClr w14:val="tx1"/>
                  </w14:solidFill>
                </w14:textFill>
              </w:rPr>
              <w:t>0.50</w:t>
            </w:r>
          </w:p>
        </w:tc>
      </w:tr>
    </w:tbl>
    <w:p w14:paraId="15C5765A">
      <w:pPr>
        <w:spacing w:line="240" w:lineRule="exact"/>
        <w:ind w:firstLine="360"/>
        <w:jc w:val="left"/>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注：(1)仅适用于NG（含双燃料）船机。</w:t>
      </w:r>
    </w:p>
    <w:p w14:paraId="2D074EEF">
      <w:pPr>
        <w:spacing w:line="240" w:lineRule="exact"/>
        <w:ind w:firstLine="360"/>
        <w:jc w:val="left"/>
        <w:rPr>
          <w:color w:val="000000" w:themeColor="text1"/>
          <w:sz w:val="18"/>
          <w:szCs w:val="18"/>
          <w:u w:val="single"/>
          <w14:textFill>
            <w14:solidFill>
              <w14:schemeClr w14:val="tx1"/>
            </w14:solidFill>
          </w14:textFill>
        </w:rPr>
      </w:pPr>
    </w:p>
    <w:p w14:paraId="1075783D">
      <w:pPr>
        <w:pStyle w:val="7"/>
        <w:rPr>
          <w:color w:val="000000" w:themeColor="text1"/>
          <w14:textFill>
            <w14:solidFill>
              <w14:schemeClr w14:val="tx1"/>
            </w14:solidFill>
          </w14:textFill>
        </w:rPr>
      </w:pPr>
      <w:r>
        <w:rPr>
          <w:color w:val="000000" w:themeColor="text1"/>
          <w14:textFill>
            <w14:solidFill>
              <w14:schemeClr w14:val="tx1"/>
            </w14:solidFill>
          </w14:textFill>
        </w:rPr>
        <w:t>船机排气污染物第二阶段排放限值（GB15097－2016）</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1120"/>
        <w:gridCol w:w="1677"/>
        <w:gridCol w:w="1677"/>
        <w:gridCol w:w="1141"/>
        <w:gridCol w:w="1143"/>
        <w:gridCol w:w="1141"/>
        <w:gridCol w:w="1143"/>
      </w:tblGrid>
      <w:tr w14:paraId="06E145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Align w:val="center"/>
          </w:tcPr>
          <w:p w14:paraId="39D878B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船机类型</w:t>
            </w:r>
          </w:p>
        </w:tc>
        <w:tc>
          <w:tcPr>
            <w:tcW w:w="1677" w:type="dxa"/>
            <w:vAlign w:val="center"/>
          </w:tcPr>
          <w:p w14:paraId="0B92851D">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单缸排量（SV）（L/缸）</w:t>
            </w:r>
          </w:p>
        </w:tc>
        <w:tc>
          <w:tcPr>
            <w:tcW w:w="1677" w:type="dxa"/>
            <w:vAlign w:val="center"/>
          </w:tcPr>
          <w:p w14:paraId="287A4539">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额定净功率（P）（kW）</w:t>
            </w:r>
          </w:p>
        </w:tc>
        <w:tc>
          <w:tcPr>
            <w:tcW w:w="1141" w:type="dxa"/>
            <w:vAlign w:val="center"/>
          </w:tcPr>
          <w:p w14:paraId="311C4C88">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CO（g/kWh）</w:t>
            </w:r>
          </w:p>
        </w:tc>
        <w:tc>
          <w:tcPr>
            <w:tcW w:w="1143" w:type="dxa"/>
            <w:vAlign w:val="center"/>
          </w:tcPr>
          <w:p w14:paraId="0F99D4B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HC+NO</w:t>
            </w:r>
            <w:r>
              <w:rPr>
                <w:b/>
                <w:bCs/>
                <w:color w:val="000000" w:themeColor="text1"/>
                <w:vertAlign w:val="subscript"/>
                <w14:textFill>
                  <w14:solidFill>
                    <w14:schemeClr w14:val="tx1"/>
                  </w14:solidFill>
                </w14:textFill>
              </w:rPr>
              <w:t>X</w:t>
            </w:r>
            <w:r>
              <w:rPr>
                <w:b/>
                <w:bCs/>
                <w:color w:val="000000" w:themeColor="text1"/>
                <w14:textFill>
                  <w14:solidFill>
                    <w14:schemeClr w14:val="tx1"/>
                  </w14:solidFill>
                </w14:textFill>
              </w:rPr>
              <w:t>（g/kWh）</w:t>
            </w:r>
          </w:p>
        </w:tc>
        <w:tc>
          <w:tcPr>
            <w:tcW w:w="1141" w:type="dxa"/>
            <w:vAlign w:val="center"/>
          </w:tcPr>
          <w:p w14:paraId="78EAACC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CH</w:t>
            </w:r>
            <w:r>
              <w:rPr>
                <w:b/>
                <w:bCs/>
                <w:color w:val="000000" w:themeColor="text1"/>
                <w:vertAlign w:val="subscript"/>
                <w14:textFill>
                  <w14:solidFill>
                    <w14:schemeClr w14:val="tx1"/>
                  </w14:solidFill>
                </w14:textFill>
              </w:rPr>
              <w:t>4</w:t>
            </w:r>
            <w:r>
              <w:rPr>
                <w:b/>
                <w:bCs/>
                <w:color w:val="000000" w:themeColor="text1"/>
                <w:vertAlign w:val="superscript"/>
                <w14:textFill>
                  <w14:solidFill>
                    <w14:schemeClr w14:val="tx1"/>
                  </w14:solidFill>
                </w14:textFill>
              </w:rPr>
              <w:t>(1)</w:t>
            </w:r>
            <w:r>
              <w:rPr>
                <w:b/>
                <w:bCs/>
                <w:color w:val="000000" w:themeColor="text1"/>
                <w14:textFill>
                  <w14:solidFill>
                    <w14:schemeClr w14:val="tx1"/>
                  </w14:solidFill>
                </w14:textFill>
              </w:rPr>
              <w:t>（g/kWh）</w:t>
            </w:r>
          </w:p>
        </w:tc>
        <w:tc>
          <w:tcPr>
            <w:tcW w:w="1143" w:type="dxa"/>
            <w:vAlign w:val="center"/>
          </w:tcPr>
          <w:p w14:paraId="05E340E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PM（g/kWh）</w:t>
            </w:r>
          </w:p>
        </w:tc>
      </w:tr>
      <w:tr w14:paraId="03A5EC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restart"/>
            <w:vAlign w:val="center"/>
          </w:tcPr>
          <w:p w14:paraId="28234026">
            <w:pPr>
              <w:pStyle w:val="70"/>
              <w:rPr>
                <w:color w:val="000000" w:themeColor="text1"/>
                <w14:textFill>
                  <w14:solidFill>
                    <w14:schemeClr w14:val="tx1"/>
                  </w14:solidFill>
                </w14:textFill>
              </w:rPr>
            </w:pPr>
            <w:r>
              <w:rPr>
                <w:color w:val="000000" w:themeColor="text1"/>
                <w14:textFill>
                  <w14:solidFill>
                    <w14:schemeClr w14:val="tx1"/>
                  </w14:solidFill>
                </w14:textFill>
              </w:rPr>
              <w:t>额定净功率大于或等于37kW并且单缸排量小于5L的船机</w:t>
            </w:r>
          </w:p>
        </w:tc>
        <w:tc>
          <w:tcPr>
            <w:tcW w:w="1677" w:type="dxa"/>
            <w:vAlign w:val="center"/>
          </w:tcPr>
          <w:p w14:paraId="611AEB34">
            <w:pPr>
              <w:pStyle w:val="70"/>
              <w:rPr>
                <w:color w:val="000000" w:themeColor="text1"/>
                <w14:textFill>
                  <w14:solidFill>
                    <w14:schemeClr w14:val="tx1"/>
                  </w14:solidFill>
                </w14:textFill>
              </w:rPr>
            </w:pPr>
            <w:r>
              <w:rPr>
                <w:color w:val="000000" w:themeColor="text1"/>
                <w14:textFill>
                  <w14:solidFill>
                    <w14:schemeClr w14:val="tx1"/>
                  </w14:solidFill>
                </w14:textFill>
              </w:rPr>
              <w:t>SV&lt;0.9</w:t>
            </w:r>
          </w:p>
        </w:tc>
        <w:tc>
          <w:tcPr>
            <w:tcW w:w="1677" w:type="dxa"/>
            <w:vAlign w:val="center"/>
          </w:tcPr>
          <w:p w14:paraId="3B6D7B99">
            <w:pPr>
              <w:pStyle w:val="70"/>
              <w:rPr>
                <w:color w:val="000000" w:themeColor="text1"/>
                <w14:textFill>
                  <w14:solidFill>
                    <w14:schemeClr w14:val="tx1"/>
                  </w14:solidFill>
                </w14:textFill>
              </w:rPr>
            </w:pPr>
            <w:r>
              <w:rPr>
                <w:color w:val="000000" w:themeColor="text1"/>
                <w14:textFill>
                  <w14:solidFill>
                    <w14:schemeClr w14:val="tx1"/>
                  </w14:solidFill>
                </w14:textFill>
              </w:rPr>
              <w:t>P</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37</w:t>
            </w:r>
          </w:p>
        </w:tc>
        <w:tc>
          <w:tcPr>
            <w:tcW w:w="1141" w:type="dxa"/>
            <w:vAlign w:val="center"/>
          </w:tcPr>
          <w:p w14:paraId="7C93555B">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02F11A6F">
            <w:pPr>
              <w:pStyle w:val="70"/>
              <w:rPr>
                <w:color w:val="000000" w:themeColor="text1"/>
                <w14:textFill>
                  <w14:solidFill>
                    <w14:schemeClr w14:val="tx1"/>
                  </w14:solidFill>
                </w14:textFill>
              </w:rPr>
            </w:pPr>
            <w:r>
              <w:rPr>
                <w:color w:val="000000" w:themeColor="text1"/>
                <w14:textFill>
                  <w14:solidFill>
                    <w14:schemeClr w14:val="tx1"/>
                  </w14:solidFill>
                </w14:textFill>
              </w:rPr>
              <w:t>5.8</w:t>
            </w:r>
          </w:p>
        </w:tc>
        <w:tc>
          <w:tcPr>
            <w:tcW w:w="1141" w:type="dxa"/>
            <w:vAlign w:val="center"/>
          </w:tcPr>
          <w:p w14:paraId="2044FE64">
            <w:pPr>
              <w:pStyle w:val="70"/>
              <w:rPr>
                <w:color w:val="000000" w:themeColor="text1"/>
                <w14:textFill>
                  <w14:solidFill>
                    <w14:schemeClr w14:val="tx1"/>
                  </w14:solidFill>
                </w14:textFill>
              </w:rPr>
            </w:pPr>
            <w:r>
              <w:rPr>
                <w:color w:val="000000" w:themeColor="text1"/>
                <w14:textFill>
                  <w14:solidFill>
                    <w14:schemeClr w14:val="tx1"/>
                  </w14:solidFill>
                </w14:textFill>
              </w:rPr>
              <w:t>1.0</w:t>
            </w:r>
          </w:p>
        </w:tc>
        <w:tc>
          <w:tcPr>
            <w:tcW w:w="1143" w:type="dxa"/>
            <w:vAlign w:val="center"/>
          </w:tcPr>
          <w:p w14:paraId="3AEE9C95">
            <w:pPr>
              <w:pStyle w:val="70"/>
              <w:rPr>
                <w:color w:val="000000" w:themeColor="text1"/>
                <w14:textFill>
                  <w14:solidFill>
                    <w14:schemeClr w14:val="tx1"/>
                  </w14:solidFill>
                </w14:textFill>
              </w:rPr>
            </w:pPr>
            <w:r>
              <w:rPr>
                <w:color w:val="000000" w:themeColor="text1"/>
                <w14:textFill>
                  <w14:solidFill>
                    <w14:schemeClr w14:val="tx1"/>
                  </w14:solidFill>
                </w14:textFill>
              </w:rPr>
              <w:t>0.3</w:t>
            </w:r>
          </w:p>
        </w:tc>
      </w:tr>
      <w:tr w14:paraId="5E34EB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28514763">
            <w:pPr>
              <w:pStyle w:val="70"/>
              <w:rPr>
                <w:color w:val="000000" w:themeColor="text1"/>
                <w14:textFill>
                  <w14:solidFill>
                    <w14:schemeClr w14:val="tx1"/>
                  </w14:solidFill>
                </w14:textFill>
              </w:rPr>
            </w:pPr>
          </w:p>
        </w:tc>
        <w:tc>
          <w:tcPr>
            <w:tcW w:w="3354" w:type="dxa"/>
            <w:gridSpan w:val="2"/>
            <w:vAlign w:val="center"/>
          </w:tcPr>
          <w:p w14:paraId="45EBFF88">
            <w:pPr>
              <w:pStyle w:val="70"/>
              <w:rPr>
                <w:color w:val="000000" w:themeColor="text1"/>
                <w14:textFill>
                  <w14:solidFill>
                    <w14:schemeClr w14:val="tx1"/>
                  </w14:solidFill>
                </w14:textFill>
              </w:rPr>
            </w:pPr>
            <w:r>
              <w:rPr>
                <w:color w:val="000000" w:themeColor="text1"/>
                <w14:textFill>
                  <w14:solidFill>
                    <w14:schemeClr w14:val="tx1"/>
                  </w14:solidFill>
                </w14:textFill>
              </w:rPr>
              <w:t>0.9</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SV&lt;1.2</w:t>
            </w:r>
          </w:p>
        </w:tc>
        <w:tc>
          <w:tcPr>
            <w:tcW w:w="1141" w:type="dxa"/>
            <w:vAlign w:val="center"/>
          </w:tcPr>
          <w:p w14:paraId="651ABA50">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65D5B11B">
            <w:pPr>
              <w:pStyle w:val="70"/>
              <w:rPr>
                <w:color w:val="000000" w:themeColor="text1"/>
                <w14:textFill>
                  <w14:solidFill>
                    <w14:schemeClr w14:val="tx1"/>
                  </w14:solidFill>
                </w14:textFill>
              </w:rPr>
            </w:pPr>
            <w:r>
              <w:rPr>
                <w:color w:val="000000" w:themeColor="text1"/>
                <w14:textFill>
                  <w14:solidFill>
                    <w14:schemeClr w14:val="tx1"/>
                  </w14:solidFill>
                </w14:textFill>
              </w:rPr>
              <w:t>5.8</w:t>
            </w:r>
          </w:p>
        </w:tc>
        <w:tc>
          <w:tcPr>
            <w:tcW w:w="1141" w:type="dxa"/>
            <w:vAlign w:val="center"/>
          </w:tcPr>
          <w:p w14:paraId="0C748D36">
            <w:pPr>
              <w:pStyle w:val="70"/>
              <w:rPr>
                <w:color w:val="000000" w:themeColor="text1"/>
                <w14:textFill>
                  <w14:solidFill>
                    <w14:schemeClr w14:val="tx1"/>
                  </w14:solidFill>
                </w14:textFill>
              </w:rPr>
            </w:pPr>
            <w:r>
              <w:rPr>
                <w:color w:val="000000" w:themeColor="text1"/>
                <w14:textFill>
                  <w14:solidFill>
                    <w14:schemeClr w14:val="tx1"/>
                  </w14:solidFill>
                </w14:textFill>
              </w:rPr>
              <w:t>1.0</w:t>
            </w:r>
          </w:p>
        </w:tc>
        <w:tc>
          <w:tcPr>
            <w:tcW w:w="1143" w:type="dxa"/>
            <w:vAlign w:val="center"/>
          </w:tcPr>
          <w:p w14:paraId="6D5536AD">
            <w:pPr>
              <w:pStyle w:val="70"/>
              <w:rPr>
                <w:color w:val="000000" w:themeColor="text1"/>
                <w14:textFill>
                  <w14:solidFill>
                    <w14:schemeClr w14:val="tx1"/>
                  </w14:solidFill>
                </w14:textFill>
              </w:rPr>
            </w:pPr>
            <w:r>
              <w:rPr>
                <w:color w:val="000000" w:themeColor="text1"/>
                <w14:textFill>
                  <w14:solidFill>
                    <w14:schemeClr w14:val="tx1"/>
                  </w14:solidFill>
                </w14:textFill>
              </w:rPr>
              <w:t>0.14</w:t>
            </w:r>
          </w:p>
        </w:tc>
      </w:tr>
      <w:tr w14:paraId="38FD93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6CF68F42">
            <w:pPr>
              <w:pStyle w:val="70"/>
              <w:rPr>
                <w:color w:val="000000" w:themeColor="text1"/>
                <w14:textFill>
                  <w14:solidFill>
                    <w14:schemeClr w14:val="tx1"/>
                  </w14:solidFill>
                </w14:textFill>
              </w:rPr>
            </w:pPr>
          </w:p>
        </w:tc>
        <w:tc>
          <w:tcPr>
            <w:tcW w:w="3354" w:type="dxa"/>
            <w:gridSpan w:val="2"/>
            <w:vAlign w:val="center"/>
          </w:tcPr>
          <w:p w14:paraId="7674835A">
            <w:pPr>
              <w:pStyle w:val="70"/>
              <w:rPr>
                <w:color w:val="000000" w:themeColor="text1"/>
                <w14:textFill>
                  <w14:solidFill>
                    <w14:schemeClr w14:val="tx1"/>
                  </w14:solidFill>
                </w14:textFill>
              </w:rPr>
            </w:pPr>
            <w:r>
              <w:rPr>
                <w:color w:val="000000" w:themeColor="text1"/>
                <w14:textFill>
                  <w14:solidFill>
                    <w14:schemeClr w14:val="tx1"/>
                  </w14:solidFill>
                </w14:textFill>
              </w:rPr>
              <w:t>1.2</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SV&lt;5</w:t>
            </w:r>
          </w:p>
        </w:tc>
        <w:tc>
          <w:tcPr>
            <w:tcW w:w="1141" w:type="dxa"/>
            <w:vAlign w:val="center"/>
          </w:tcPr>
          <w:p w14:paraId="5526A44E">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1907A938">
            <w:pPr>
              <w:pStyle w:val="70"/>
              <w:rPr>
                <w:color w:val="000000" w:themeColor="text1"/>
                <w14:textFill>
                  <w14:solidFill>
                    <w14:schemeClr w14:val="tx1"/>
                  </w14:solidFill>
                </w14:textFill>
              </w:rPr>
            </w:pPr>
            <w:r>
              <w:rPr>
                <w:color w:val="000000" w:themeColor="text1"/>
                <w14:textFill>
                  <w14:solidFill>
                    <w14:schemeClr w14:val="tx1"/>
                  </w14:solidFill>
                </w14:textFill>
              </w:rPr>
              <w:t>5.8</w:t>
            </w:r>
          </w:p>
        </w:tc>
        <w:tc>
          <w:tcPr>
            <w:tcW w:w="1141" w:type="dxa"/>
            <w:vAlign w:val="center"/>
          </w:tcPr>
          <w:p w14:paraId="63FFC558">
            <w:pPr>
              <w:pStyle w:val="70"/>
              <w:rPr>
                <w:color w:val="000000" w:themeColor="text1"/>
                <w14:textFill>
                  <w14:solidFill>
                    <w14:schemeClr w14:val="tx1"/>
                  </w14:solidFill>
                </w14:textFill>
              </w:rPr>
            </w:pPr>
            <w:r>
              <w:rPr>
                <w:color w:val="000000" w:themeColor="text1"/>
                <w14:textFill>
                  <w14:solidFill>
                    <w14:schemeClr w14:val="tx1"/>
                  </w14:solidFill>
                </w14:textFill>
              </w:rPr>
              <w:t>1.0</w:t>
            </w:r>
          </w:p>
        </w:tc>
        <w:tc>
          <w:tcPr>
            <w:tcW w:w="1143" w:type="dxa"/>
            <w:vAlign w:val="center"/>
          </w:tcPr>
          <w:p w14:paraId="2C256100">
            <w:pPr>
              <w:pStyle w:val="70"/>
              <w:rPr>
                <w:color w:val="000000" w:themeColor="text1"/>
                <w14:textFill>
                  <w14:solidFill>
                    <w14:schemeClr w14:val="tx1"/>
                  </w14:solidFill>
                </w14:textFill>
              </w:rPr>
            </w:pPr>
            <w:r>
              <w:rPr>
                <w:color w:val="000000" w:themeColor="text1"/>
                <w14:textFill>
                  <w14:solidFill>
                    <w14:schemeClr w14:val="tx1"/>
                  </w14:solidFill>
                </w14:textFill>
              </w:rPr>
              <w:t>0.12</w:t>
            </w:r>
          </w:p>
        </w:tc>
      </w:tr>
      <w:tr w14:paraId="625369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restart"/>
            <w:vAlign w:val="center"/>
          </w:tcPr>
          <w:p w14:paraId="5C9C83E4">
            <w:pPr>
              <w:pStyle w:val="70"/>
              <w:rPr>
                <w:color w:val="000000" w:themeColor="text1"/>
                <w14:textFill>
                  <w14:solidFill>
                    <w14:schemeClr w14:val="tx1"/>
                  </w14:solidFill>
                </w14:textFill>
              </w:rPr>
            </w:pPr>
            <w:r>
              <w:rPr>
                <w:color w:val="000000" w:themeColor="text1"/>
                <w14:textFill>
                  <w14:solidFill>
                    <w14:schemeClr w14:val="tx1"/>
                  </w14:solidFill>
                </w14:textFill>
              </w:rPr>
              <w:t>单缸排量大于或等于5L且小于30L的船机</w:t>
            </w:r>
          </w:p>
        </w:tc>
        <w:tc>
          <w:tcPr>
            <w:tcW w:w="1677" w:type="dxa"/>
            <w:vMerge w:val="restart"/>
            <w:vAlign w:val="center"/>
          </w:tcPr>
          <w:p w14:paraId="44929B94">
            <w:pPr>
              <w:pStyle w:val="70"/>
              <w:rPr>
                <w:color w:val="000000" w:themeColor="text1"/>
                <w14:textFill>
                  <w14:solidFill>
                    <w14:schemeClr w14:val="tx1"/>
                  </w14:solidFill>
                </w14:textFill>
              </w:rPr>
            </w:pPr>
            <w:r>
              <w:rPr>
                <w:color w:val="000000" w:themeColor="text1"/>
                <w14:textFill>
                  <w14:solidFill>
                    <w14:schemeClr w14:val="tx1"/>
                  </w14:solidFill>
                </w14:textFill>
              </w:rPr>
              <w:t>5</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SV&lt;15</w:t>
            </w:r>
          </w:p>
        </w:tc>
        <w:tc>
          <w:tcPr>
            <w:tcW w:w="1677" w:type="dxa"/>
            <w:vAlign w:val="center"/>
          </w:tcPr>
          <w:p w14:paraId="15F8257D">
            <w:pPr>
              <w:pStyle w:val="70"/>
              <w:rPr>
                <w:color w:val="000000" w:themeColor="text1"/>
                <w14:textFill>
                  <w14:solidFill>
                    <w14:schemeClr w14:val="tx1"/>
                  </w14:solidFill>
                </w14:textFill>
              </w:rPr>
            </w:pPr>
            <w:r>
              <w:rPr>
                <w:color w:val="000000" w:themeColor="text1"/>
                <w14:textFill>
                  <w14:solidFill>
                    <w14:schemeClr w14:val="tx1"/>
                  </w14:solidFill>
                </w14:textFill>
              </w:rPr>
              <w:t>P&lt;2000</w:t>
            </w:r>
          </w:p>
        </w:tc>
        <w:tc>
          <w:tcPr>
            <w:tcW w:w="1141" w:type="dxa"/>
            <w:vAlign w:val="center"/>
          </w:tcPr>
          <w:p w14:paraId="2B3D6873">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0DB81608">
            <w:pPr>
              <w:pStyle w:val="70"/>
              <w:rPr>
                <w:color w:val="000000" w:themeColor="text1"/>
                <w14:textFill>
                  <w14:solidFill>
                    <w14:schemeClr w14:val="tx1"/>
                  </w14:solidFill>
                </w14:textFill>
              </w:rPr>
            </w:pPr>
            <w:r>
              <w:rPr>
                <w:color w:val="000000" w:themeColor="text1"/>
                <w14:textFill>
                  <w14:solidFill>
                    <w14:schemeClr w14:val="tx1"/>
                  </w14:solidFill>
                </w14:textFill>
              </w:rPr>
              <w:t>6.2</w:t>
            </w:r>
          </w:p>
        </w:tc>
        <w:tc>
          <w:tcPr>
            <w:tcW w:w="1141" w:type="dxa"/>
            <w:vAlign w:val="center"/>
          </w:tcPr>
          <w:p w14:paraId="3CFD8593">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143" w:type="dxa"/>
            <w:vAlign w:val="center"/>
          </w:tcPr>
          <w:p w14:paraId="4A0AA797">
            <w:pPr>
              <w:pStyle w:val="70"/>
              <w:rPr>
                <w:color w:val="000000" w:themeColor="text1"/>
                <w14:textFill>
                  <w14:solidFill>
                    <w14:schemeClr w14:val="tx1"/>
                  </w14:solidFill>
                </w14:textFill>
              </w:rPr>
            </w:pPr>
            <w:r>
              <w:rPr>
                <w:color w:val="000000" w:themeColor="text1"/>
                <w14:textFill>
                  <w14:solidFill>
                    <w14:schemeClr w14:val="tx1"/>
                  </w14:solidFill>
                </w14:textFill>
              </w:rPr>
              <w:t>0.14</w:t>
            </w:r>
          </w:p>
        </w:tc>
      </w:tr>
      <w:tr w14:paraId="26252F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019D8B48">
            <w:pPr>
              <w:pStyle w:val="70"/>
              <w:rPr>
                <w:color w:val="000000" w:themeColor="text1"/>
                <w14:textFill>
                  <w14:solidFill>
                    <w14:schemeClr w14:val="tx1"/>
                  </w14:solidFill>
                </w14:textFill>
              </w:rPr>
            </w:pPr>
          </w:p>
        </w:tc>
        <w:tc>
          <w:tcPr>
            <w:tcW w:w="1677" w:type="dxa"/>
            <w:vMerge w:val="continue"/>
            <w:vAlign w:val="center"/>
          </w:tcPr>
          <w:p w14:paraId="6B4F3120">
            <w:pPr>
              <w:pStyle w:val="70"/>
              <w:rPr>
                <w:color w:val="000000" w:themeColor="text1"/>
                <w14:textFill>
                  <w14:solidFill>
                    <w14:schemeClr w14:val="tx1"/>
                  </w14:solidFill>
                </w14:textFill>
              </w:rPr>
            </w:pPr>
          </w:p>
        </w:tc>
        <w:tc>
          <w:tcPr>
            <w:tcW w:w="1677" w:type="dxa"/>
            <w:vAlign w:val="center"/>
          </w:tcPr>
          <w:p w14:paraId="566D1B37">
            <w:pPr>
              <w:pStyle w:val="70"/>
              <w:rPr>
                <w:color w:val="000000" w:themeColor="text1"/>
                <w14:textFill>
                  <w14:solidFill>
                    <w14:schemeClr w14:val="tx1"/>
                  </w14:solidFill>
                </w14:textFill>
              </w:rPr>
            </w:pPr>
            <w:r>
              <w:rPr>
                <w:color w:val="000000" w:themeColor="text1"/>
                <w14:textFill>
                  <w14:solidFill>
                    <w14:schemeClr w14:val="tx1"/>
                  </w14:solidFill>
                </w14:textFill>
              </w:rPr>
              <w:t>2000</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SV&lt;3700</w:t>
            </w:r>
          </w:p>
        </w:tc>
        <w:tc>
          <w:tcPr>
            <w:tcW w:w="1141" w:type="dxa"/>
            <w:vAlign w:val="center"/>
          </w:tcPr>
          <w:p w14:paraId="69FC09BF">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3A55523D">
            <w:pPr>
              <w:pStyle w:val="70"/>
              <w:rPr>
                <w:color w:val="000000" w:themeColor="text1"/>
                <w14:textFill>
                  <w14:solidFill>
                    <w14:schemeClr w14:val="tx1"/>
                  </w14:solidFill>
                </w14:textFill>
              </w:rPr>
            </w:pPr>
            <w:r>
              <w:rPr>
                <w:color w:val="000000" w:themeColor="text1"/>
                <w14:textFill>
                  <w14:solidFill>
                    <w14:schemeClr w14:val="tx1"/>
                  </w14:solidFill>
                </w14:textFill>
              </w:rPr>
              <w:t>7.8</w:t>
            </w:r>
          </w:p>
        </w:tc>
        <w:tc>
          <w:tcPr>
            <w:tcW w:w="1141" w:type="dxa"/>
            <w:vAlign w:val="center"/>
          </w:tcPr>
          <w:p w14:paraId="2E1F559A">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143" w:type="dxa"/>
            <w:vAlign w:val="center"/>
          </w:tcPr>
          <w:p w14:paraId="442621D6">
            <w:pPr>
              <w:pStyle w:val="70"/>
              <w:rPr>
                <w:color w:val="000000" w:themeColor="text1"/>
                <w14:textFill>
                  <w14:solidFill>
                    <w14:schemeClr w14:val="tx1"/>
                  </w14:solidFill>
                </w14:textFill>
              </w:rPr>
            </w:pPr>
            <w:r>
              <w:rPr>
                <w:color w:val="000000" w:themeColor="text1"/>
                <w14:textFill>
                  <w14:solidFill>
                    <w14:schemeClr w14:val="tx1"/>
                  </w14:solidFill>
                </w14:textFill>
              </w:rPr>
              <w:t>0.14</w:t>
            </w:r>
          </w:p>
        </w:tc>
      </w:tr>
      <w:tr w14:paraId="73BA87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204B80ED">
            <w:pPr>
              <w:pStyle w:val="70"/>
              <w:rPr>
                <w:color w:val="000000" w:themeColor="text1"/>
                <w14:textFill>
                  <w14:solidFill>
                    <w14:schemeClr w14:val="tx1"/>
                  </w14:solidFill>
                </w14:textFill>
              </w:rPr>
            </w:pPr>
          </w:p>
        </w:tc>
        <w:tc>
          <w:tcPr>
            <w:tcW w:w="1677" w:type="dxa"/>
            <w:vMerge w:val="continue"/>
            <w:vAlign w:val="center"/>
          </w:tcPr>
          <w:p w14:paraId="3F3C3F8C">
            <w:pPr>
              <w:pStyle w:val="70"/>
              <w:rPr>
                <w:color w:val="000000" w:themeColor="text1"/>
                <w14:textFill>
                  <w14:solidFill>
                    <w14:schemeClr w14:val="tx1"/>
                  </w14:solidFill>
                </w14:textFill>
              </w:rPr>
            </w:pPr>
          </w:p>
        </w:tc>
        <w:tc>
          <w:tcPr>
            <w:tcW w:w="1677" w:type="dxa"/>
            <w:vAlign w:val="center"/>
          </w:tcPr>
          <w:p w14:paraId="4AC461C1">
            <w:pPr>
              <w:pStyle w:val="70"/>
              <w:rPr>
                <w:color w:val="000000" w:themeColor="text1"/>
                <w14:textFill>
                  <w14:solidFill>
                    <w14:schemeClr w14:val="tx1"/>
                  </w14:solidFill>
                </w14:textFill>
              </w:rPr>
            </w:pPr>
            <w:r>
              <w:rPr>
                <w:color w:val="000000" w:themeColor="text1"/>
                <w14:textFill>
                  <w14:solidFill>
                    <w14:schemeClr w14:val="tx1"/>
                  </w14:solidFill>
                </w14:textFill>
              </w:rPr>
              <w:t>P</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3700</w:t>
            </w:r>
          </w:p>
        </w:tc>
        <w:tc>
          <w:tcPr>
            <w:tcW w:w="1141" w:type="dxa"/>
            <w:vAlign w:val="center"/>
          </w:tcPr>
          <w:p w14:paraId="588B6B41">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7A52D03B">
            <w:pPr>
              <w:pStyle w:val="70"/>
              <w:rPr>
                <w:color w:val="000000" w:themeColor="text1"/>
                <w14:textFill>
                  <w14:solidFill>
                    <w14:schemeClr w14:val="tx1"/>
                  </w14:solidFill>
                </w14:textFill>
              </w:rPr>
            </w:pPr>
            <w:r>
              <w:rPr>
                <w:color w:val="000000" w:themeColor="text1"/>
                <w14:textFill>
                  <w14:solidFill>
                    <w14:schemeClr w14:val="tx1"/>
                  </w14:solidFill>
                </w14:textFill>
              </w:rPr>
              <w:t>7.8</w:t>
            </w:r>
          </w:p>
        </w:tc>
        <w:tc>
          <w:tcPr>
            <w:tcW w:w="1141" w:type="dxa"/>
            <w:vAlign w:val="center"/>
          </w:tcPr>
          <w:p w14:paraId="08BA9352">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143" w:type="dxa"/>
            <w:vAlign w:val="center"/>
          </w:tcPr>
          <w:p w14:paraId="3E65E822">
            <w:pPr>
              <w:pStyle w:val="70"/>
              <w:rPr>
                <w:color w:val="000000" w:themeColor="text1"/>
                <w14:textFill>
                  <w14:solidFill>
                    <w14:schemeClr w14:val="tx1"/>
                  </w14:solidFill>
                </w14:textFill>
              </w:rPr>
            </w:pPr>
            <w:r>
              <w:rPr>
                <w:color w:val="000000" w:themeColor="text1"/>
                <w14:textFill>
                  <w14:solidFill>
                    <w14:schemeClr w14:val="tx1"/>
                  </w14:solidFill>
                </w14:textFill>
              </w:rPr>
              <w:t>0.27</w:t>
            </w:r>
          </w:p>
        </w:tc>
      </w:tr>
      <w:tr w14:paraId="09242A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6DB57F1F">
            <w:pPr>
              <w:pStyle w:val="70"/>
              <w:rPr>
                <w:color w:val="000000" w:themeColor="text1"/>
                <w14:textFill>
                  <w14:solidFill>
                    <w14:schemeClr w14:val="tx1"/>
                  </w14:solidFill>
                </w14:textFill>
              </w:rPr>
            </w:pPr>
          </w:p>
        </w:tc>
        <w:tc>
          <w:tcPr>
            <w:tcW w:w="1677" w:type="dxa"/>
            <w:vMerge w:val="restart"/>
            <w:vAlign w:val="center"/>
          </w:tcPr>
          <w:p w14:paraId="3131FED9">
            <w:pPr>
              <w:pStyle w:val="70"/>
              <w:rPr>
                <w:color w:val="000000" w:themeColor="text1"/>
                <w14:textFill>
                  <w14:solidFill>
                    <w14:schemeClr w14:val="tx1"/>
                  </w14:solidFill>
                </w14:textFill>
              </w:rPr>
            </w:pPr>
            <w:r>
              <w:rPr>
                <w:color w:val="000000" w:themeColor="text1"/>
                <w14:textFill>
                  <w14:solidFill>
                    <w14:schemeClr w14:val="tx1"/>
                  </w14:solidFill>
                </w14:textFill>
              </w:rPr>
              <w:t>15</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SV&lt;20</w:t>
            </w:r>
          </w:p>
        </w:tc>
        <w:tc>
          <w:tcPr>
            <w:tcW w:w="1677" w:type="dxa"/>
            <w:vAlign w:val="center"/>
          </w:tcPr>
          <w:p w14:paraId="08AAE715">
            <w:pPr>
              <w:pStyle w:val="70"/>
              <w:rPr>
                <w:color w:val="000000" w:themeColor="text1"/>
                <w14:textFill>
                  <w14:solidFill>
                    <w14:schemeClr w14:val="tx1"/>
                  </w14:solidFill>
                </w14:textFill>
              </w:rPr>
            </w:pPr>
            <w:r>
              <w:rPr>
                <w:color w:val="000000" w:themeColor="text1"/>
                <w14:textFill>
                  <w14:solidFill>
                    <w14:schemeClr w14:val="tx1"/>
                  </w14:solidFill>
                </w14:textFill>
              </w:rPr>
              <w:t>P&lt;2000</w:t>
            </w:r>
          </w:p>
        </w:tc>
        <w:tc>
          <w:tcPr>
            <w:tcW w:w="1141" w:type="dxa"/>
            <w:vAlign w:val="center"/>
          </w:tcPr>
          <w:p w14:paraId="4DECAF70">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42539B82">
            <w:pPr>
              <w:pStyle w:val="70"/>
              <w:rPr>
                <w:color w:val="000000" w:themeColor="text1"/>
                <w14:textFill>
                  <w14:solidFill>
                    <w14:schemeClr w14:val="tx1"/>
                  </w14:solidFill>
                </w14:textFill>
              </w:rPr>
            </w:pPr>
            <w:r>
              <w:rPr>
                <w:color w:val="000000" w:themeColor="text1"/>
                <w14:textFill>
                  <w14:solidFill>
                    <w14:schemeClr w14:val="tx1"/>
                  </w14:solidFill>
                </w14:textFill>
              </w:rPr>
              <w:t>7.0</w:t>
            </w:r>
          </w:p>
        </w:tc>
        <w:tc>
          <w:tcPr>
            <w:tcW w:w="1141" w:type="dxa"/>
            <w:vAlign w:val="center"/>
          </w:tcPr>
          <w:p w14:paraId="2FDF657B">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143" w:type="dxa"/>
            <w:vAlign w:val="center"/>
          </w:tcPr>
          <w:p w14:paraId="4E156624">
            <w:pPr>
              <w:pStyle w:val="70"/>
              <w:rPr>
                <w:color w:val="000000" w:themeColor="text1"/>
                <w14:textFill>
                  <w14:solidFill>
                    <w14:schemeClr w14:val="tx1"/>
                  </w14:solidFill>
                </w14:textFill>
              </w:rPr>
            </w:pPr>
            <w:r>
              <w:rPr>
                <w:color w:val="000000" w:themeColor="text1"/>
                <w14:textFill>
                  <w14:solidFill>
                    <w14:schemeClr w14:val="tx1"/>
                  </w14:solidFill>
                </w14:textFill>
              </w:rPr>
              <w:t>0.34</w:t>
            </w:r>
          </w:p>
        </w:tc>
      </w:tr>
      <w:tr w14:paraId="6CA448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026865A8">
            <w:pPr>
              <w:pStyle w:val="70"/>
              <w:rPr>
                <w:color w:val="000000" w:themeColor="text1"/>
                <w14:textFill>
                  <w14:solidFill>
                    <w14:schemeClr w14:val="tx1"/>
                  </w14:solidFill>
                </w14:textFill>
              </w:rPr>
            </w:pPr>
          </w:p>
        </w:tc>
        <w:tc>
          <w:tcPr>
            <w:tcW w:w="1677" w:type="dxa"/>
            <w:vMerge w:val="continue"/>
            <w:vAlign w:val="center"/>
          </w:tcPr>
          <w:p w14:paraId="105F184D">
            <w:pPr>
              <w:pStyle w:val="70"/>
              <w:rPr>
                <w:color w:val="000000" w:themeColor="text1"/>
                <w14:textFill>
                  <w14:solidFill>
                    <w14:schemeClr w14:val="tx1"/>
                  </w14:solidFill>
                </w14:textFill>
              </w:rPr>
            </w:pPr>
          </w:p>
        </w:tc>
        <w:tc>
          <w:tcPr>
            <w:tcW w:w="1677" w:type="dxa"/>
            <w:vAlign w:val="center"/>
          </w:tcPr>
          <w:p w14:paraId="55E6C9B3">
            <w:pPr>
              <w:pStyle w:val="70"/>
              <w:rPr>
                <w:color w:val="000000" w:themeColor="text1"/>
                <w14:textFill>
                  <w14:solidFill>
                    <w14:schemeClr w14:val="tx1"/>
                  </w14:solidFill>
                </w14:textFill>
              </w:rPr>
            </w:pPr>
            <w:r>
              <w:rPr>
                <w:color w:val="000000" w:themeColor="text1"/>
                <w14:textFill>
                  <w14:solidFill>
                    <w14:schemeClr w14:val="tx1"/>
                  </w14:solidFill>
                </w14:textFill>
              </w:rPr>
              <w:t>2000</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SV&lt;3300</w:t>
            </w:r>
          </w:p>
        </w:tc>
        <w:tc>
          <w:tcPr>
            <w:tcW w:w="1141" w:type="dxa"/>
            <w:vAlign w:val="center"/>
          </w:tcPr>
          <w:p w14:paraId="796A135A">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12CA8485">
            <w:pPr>
              <w:pStyle w:val="70"/>
              <w:rPr>
                <w:color w:val="000000" w:themeColor="text1"/>
                <w14:textFill>
                  <w14:solidFill>
                    <w14:schemeClr w14:val="tx1"/>
                  </w14:solidFill>
                </w14:textFill>
              </w:rPr>
            </w:pPr>
            <w:r>
              <w:rPr>
                <w:color w:val="000000" w:themeColor="text1"/>
                <w14:textFill>
                  <w14:solidFill>
                    <w14:schemeClr w14:val="tx1"/>
                  </w14:solidFill>
                </w14:textFill>
              </w:rPr>
              <w:t>8.7</w:t>
            </w:r>
          </w:p>
        </w:tc>
        <w:tc>
          <w:tcPr>
            <w:tcW w:w="1141" w:type="dxa"/>
            <w:vAlign w:val="center"/>
          </w:tcPr>
          <w:p w14:paraId="3E129774">
            <w:pPr>
              <w:pStyle w:val="70"/>
              <w:rPr>
                <w:color w:val="000000" w:themeColor="text1"/>
                <w14:textFill>
                  <w14:solidFill>
                    <w14:schemeClr w14:val="tx1"/>
                  </w14:solidFill>
                </w14:textFill>
              </w:rPr>
            </w:pPr>
            <w:r>
              <w:rPr>
                <w:color w:val="000000" w:themeColor="text1"/>
                <w14:textFill>
                  <w14:solidFill>
                    <w14:schemeClr w14:val="tx1"/>
                  </w14:solidFill>
                </w14:textFill>
              </w:rPr>
              <w:t>1.6</w:t>
            </w:r>
          </w:p>
        </w:tc>
        <w:tc>
          <w:tcPr>
            <w:tcW w:w="1143" w:type="dxa"/>
            <w:vAlign w:val="center"/>
          </w:tcPr>
          <w:p w14:paraId="6AB0D4BD">
            <w:pPr>
              <w:pStyle w:val="70"/>
              <w:rPr>
                <w:color w:val="000000" w:themeColor="text1"/>
                <w14:textFill>
                  <w14:solidFill>
                    <w14:schemeClr w14:val="tx1"/>
                  </w14:solidFill>
                </w14:textFill>
              </w:rPr>
            </w:pPr>
            <w:r>
              <w:rPr>
                <w:color w:val="000000" w:themeColor="text1"/>
                <w14:textFill>
                  <w14:solidFill>
                    <w14:schemeClr w14:val="tx1"/>
                  </w14:solidFill>
                </w14:textFill>
              </w:rPr>
              <w:t>0.50</w:t>
            </w:r>
          </w:p>
        </w:tc>
      </w:tr>
      <w:tr w14:paraId="738E30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5957FF8E">
            <w:pPr>
              <w:pStyle w:val="70"/>
              <w:rPr>
                <w:color w:val="000000" w:themeColor="text1"/>
                <w14:textFill>
                  <w14:solidFill>
                    <w14:schemeClr w14:val="tx1"/>
                  </w14:solidFill>
                </w14:textFill>
              </w:rPr>
            </w:pPr>
          </w:p>
        </w:tc>
        <w:tc>
          <w:tcPr>
            <w:tcW w:w="1677" w:type="dxa"/>
            <w:vMerge w:val="continue"/>
            <w:vAlign w:val="center"/>
          </w:tcPr>
          <w:p w14:paraId="5A6B3C36">
            <w:pPr>
              <w:pStyle w:val="70"/>
              <w:rPr>
                <w:color w:val="000000" w:themeColor="text1"/>
                <w14:textFill>
                  <w14:solidFill>
                    <w14:schemeClr w14:val="tx1"/>
                  </w14:solidFill>
                </w14:textFill>
              </w:rPr>
            </w:pPr>
          </w:p>
        </w:tc>
        <w:tc>
          <w:tcPr>
            <w:tcW w:w="1677" w:type="dxa"/>
            <w:vAlign w:val="center"/>
          </w:tcPr>
          <w:p w14:paraId="2D4288FB">
            <w:pPr>
              <w:pStyle w:val="70"/>
              <w:rPr>
                <w:color w:val="000000" w:themeColor="text1"/>
                <w14:textFill>
                  <w14:solidFill>
                    <w14:schemeClr w14:val="tx1"/>
                  </w14:solidFill>
                </w14:textFill>
              </w:rPr>
            </w:pPr>
            <w:r>
              <w:rPr>
                <w:color w:val="000000" w:themeColor="text1"/>
                <w14:textFill>
                  <w14:solidFill>
                    <w14:schemeClr w14:val="tx1"/>
                  </w14:solidFill>
                </w14:textFill>
              </w:rPr>
              <w:t>P</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3300</w:t>
            </w:r>
          </w:p>
        </w:tc>
        <w:tc>
          <w:tcPr>
            <w:tcW w:w="1141" w:type="dxa"/>
            <w:vAlign w:val="center"/>
          </w:tcPr>
          <w:p w14:paraId="68DB7907">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507C002D">
            <w:pPr>
              <w:pStyle w:val="70"/>
              <w:rPr>
                <w:color w:val="000000" w:themeColor="text1"/>
                <w14:textFill>
                  <w14:solidFill>
                    <w14:schemeClr w14:val="tx1"/>
                  </w14:solidFill>
                </w14:textFill>
              </w:rPr>
            </w:pPr>
            <w:r>
              <w:rPr>
                <w:color w:val="000000" w:themeColor="text1"/>
                <w14:textFill>
                  <w14:solidFill>
                    <w14:schemeClr w14:val="tx1"/>
                  </w14:solidFill>
                </w14:textFill>
              </w:rPr>
              <w:t>9.8</w:t>
            </w:r>
          </w:p>
        </w:tc>
        <w:tc>
          <w:tcPr>
            <w:tcW w:w="1141" w:type="dxa"/>
            <w:vAlign w:val="center"/>
          </w:tcPr>
          <w:p w14:paraId="1239736B">
            <w:pPr>
              <w:pStyle w:val="70"/>
              <w:rPr>
                <w:color w:val="000000" w:themeColor="text1"/>
                <w14:textFill>
                  <w14:solidFill>
                    <w14:schemeClr w14:val="tx1"/>
                  </w14:solidFill>
                </w14:textFill>
              </w:rPr>
            </w:pPr>
            <w:r>
              <w:rPr>
                <w:color w:val="000000" w:themeColor="text1"/>
                <w14:textFill>
                  <w14:solidFill>
                    <w14:schemeClr w14:val="tx1"/>
                  </w14:solidFill>
                </w14:textFill>
              </w:rPr>
              <w:t>1.8</w:t>
            </w:r>
          </w:p>
        </w:tc>
        <w:tc>
          <w:tcPr>
            <w:tcW w:w="1143" w:type="dxa"/>
            <w:vAlign w:val="center"/>
          </w:tcPr>
          <w:p w14:paraId="54376354">
            <w:pPr>
              <w:pStyle w:val="70"/>
              <w:rPr>
                <w:color w:val="000000" w:themeColor="text1"/>
                <w14:textFill>
                  <w14:solidFill>
                    <w14:schemeClr w14:val="tx1"/>
                  </w14:solidFill>
                </w14:textFill>
              </w:rPr>
            </w:pPr>
            <w:r>
              <w:rPr>
                <w:color w:val="000000" w:themeColor="text1"/>
                <w14:textFill>
                  <w14:solidFill>
                    <w14:schemeClr w14:val="tx1"/>
                  </w14:solidFill>
                </w14:textFill>
              </w:rPr>
              <w:t>0.50</w:t>
            </w:r>
          </w:p>
        </w:tc>
      </w:tr>
      <w:tr w14:paraId="5123B6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0A5191F6">
            <w:pPr>
              <w:pStyle w:val="70"/>
              <w:rPr>
                <w:color w:val="000000" w:themeColor="text1"/>
                <w14:textFill>
                  <w14:solidFill>
                    <w14:schemeClr w14:val="tx1"/>
                  </w14:solidFill>
                </w14:textFill>
              </w:rPr>
            </w:pPr>
          </w:p>
        </w:tc>
        <w:tc>
          <w:tcPr>
            <w:tcW w:w="1677" w:type="dxa"/>
            <w:vMerge w:val="restart"/>
            <w:vAlign w:val="center"/>
          </w:tcPr>
          <w:p w14:paraId="2C1D88C8">
            <w:pPr>
              <w:pStyle w:val="70"/>
              <w:rPr>
                <w:color w:val="000000" w:themeColor="text1"/>
                <w14:textFill>
                  <w14:solidFill>
                    <w14:schemeClr w14:val="tx1"/>
                  </w14:solidFill>
                </w14:textFill>
              </w:rPr>
            </w:pPr>
            <w:r>
              <w:rPr>
                <w:color w:val="000000" w:themeColor="text1"/>
                <w14:textFill>
                  <w14:solidFill>
                    <w14:schemeClr w14:val="tx1"/>
                  </w14:solidFill>
                </w14:textFill>
              </w:rPr>
              <w:t>20</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SV&lt;25</w:t>
            </w:r>
          </w:p>
        </w:tc>
        <w:tc>
          <w:tcPr>
            <w:tcW w:w="1677" w:type="dxa"/>
            <w:vAlign w:val="center"/>
          </w:tcPr>
          <w:p w14:paraId="508322DD">
            <w:pPr>
              <w:pStyle w:val="70"/>
              <w:rPr>
                <w:color w:val="000000" w:themeColor="text1"/>
                <w14:textFill>
                  <w14:solidFill>
                    <w14:schemeClr w14:val="tx1"/>
                  </w14:solidFill>
                </w14:textFill>
              </w:rPr>
            </w:pPr>
            <w:r>
              <w:rPr>
                <w:color w:val="000000" w:themeColor="text1"/>
                <w14:textFill>
                  <w14:solidFill>
                    <w14:schemeClr w14:val="tx1"/>
                  </w14:solidFill>
                </w14:textFill>
              </w:rPr>
              <w:t>P&lt;2000</w:t>
            </w:r>
          </w:p>
        </w:tc>
        <w:tc>
          <w:tcPr>
            <w:tcW w:w="1141" w:type="dxa"/>
            <w:vAlign w:val="center"/>
          </w:tcPr>
          <w:p w14:paraId="05A33969">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40820508">
            <w:pPr>
              <w:pStyle w:val="70"/>
              <w:rPr>
                <w:color w:val="000000" w:themeColor="text1"/>
                <w14:textFill>
                  <w14:solidFill>
                    <w14:schemeClr w14:val="tx1"/>
                  </w14:solidFill>
                </w14:textFill>
              </w:rPr>
            </w:pPr>
            <w:r>
              <w:rPr>
                <w:color w:val="000000" w:themeColor="text1"/>
                <w14:textFill>
                  <w14:solidFill>
                    <w14:schemeClr w14:val="tx1"/>
                  </w14:solidFill>
                </w14:textFill>
              </w:rPr>
              <w:t>9.8</w:t>
            </w:r>
          </w:p>
        </w:tc>
        <w:tc>
          <w:tcPr>
            <w:tcW w:w="1141" w:type="dxa"/>
            <w:vAlign w:val="center"/>
          </w:tcPr>
          <w:p w14:paraId="2BB50F28">
            <w:pPr>
              <w:pStyle w:val="70"/>
              <w:rPr>
                <w:color w:val="000000" w:themeColor="text1"/>
                <w14:textFill>
                  <w14:solidFill>
                    <w14:schemeClr w14:val="tx1"/>
                  </w14:solidFill>
                </w14:textFill>
              </w:rPr>
            </w:pPr>
            <w:r>
              <w:rPr>
                <w:color w:val="000000" w:themeColor="text1"/>
                <w14:textFill>
                  <w14:solidFill>
                    <w14:schemeClr w14:val="tx1"/>
                  </w14:solidFill>
                </w14:textFill>
              </w:rPr>
              <w:t>1.8</w:t>
            </w:r>
          </w:p>
        </w:tc>
        <w:tc>
          <w:tcPr>
            <w:tcW w:w="1143" w:type="dxa"/>
            <w:vAlign w:val="center"/>
          </w:tcPr>
          <w:p w14:paraId="387439A7">
            <w:pPr>
              <w:pStyle w:val="70"/>
              <w:rPr>
                <w:color w:val="000000" w:themeColor="text1"/>
                <w14:textFill>
                  <w14:solidFill>
                    <w14:schemeClr w14:val="tx1"/>
                  </w14:solidFill>
                </w14:textFill>
              </w:rPr>
            </w:pPr>
            <w:r>
              <w:rPr>
                <w:color w:val="000000" w:themeColor="text1"/>
                <w14:textFill>
                  <w14:solidFill>
                    <w14:schemeClr w14:val="tx1"/>
                  </w14:solidFill>
                </w14:textFill>
              </w:rPr>
              <w:t>0.27</w:t>
            </w:r>
          </w:p>
        </w:tc>
      </w:tr>
      <w:tr w14:paraId="3CBB94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0AC72D34">
            <w:pPr>
              <w:pStyle w:val="70"/>
              <w:rPr>
                <w:color w:val="000000" w:themeColor="text1"/>
                <w14:textFill>
                  <w14:solidFill>
                    <w14:schemeClr w14:val="tx1"/>
                  </w14:solidFill>
                </w14:textFill>
              </w:rPr>
            </w:pPr>
          </w:p>
        </w:tc>
        <w:tc>
          <w:tcPr>
            <w:tcW w:w="1677" w:type="dxa"/>
            <w:vMerge w:val="continue"/>
            <w:vAlign w:val="center"/>
          </w:tcPr>
          <w:p w14:paraId="5358B7C0">
            <w:pPr>
              <w:pStyle w:val="70"/>
              <w:rPr>
                <w:color w:val="000000" w:themeColor="text1"/>
                <w14:textFill>
                  <w14:solidFill>
                    <w14:schemeClr w14:val="tx1"/>
                  </w14:solidFill>
                </w14:textFill>
              </w:rPr>
            </w:pPr>
          </w:p>
        </w:tc>
        <w:tc>
          <w:tcPr>
            <w:tcW w:w="1677" w:type="dxa"/>
            <w:vAlign w:val="center"/>
          </w:tcPr>
          <w:p w14:paraId="369D2A8C">
            <w:pPr>
              <w:pStyle w:val="70"/>
              <w:rPr>
                <w:color w:val="000000" w:themeColor="text1"/>
                <w14:textFill>
                  <w14:solidFill>
                    <w14:schemeClr w14:val="tx1"/>
                  </w14:solidFill>
                </w14:textFill>
              </w:rPr>
            </w:pPr>
            <w:r>
              <w:rPr>
                <w:color w:val="000000" w:themeColor="text1"/>
                <w14:textFill>
                  <w14:solidFill>
                    <w14:schemeClr w14:val="tx1"/>
                  </w14:solidFill>
                </w14:textFill>
              </w:rPr>
              <w:t>P</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2000</w:t>
            </w:r>
          </w:p>
        </w:tc>
        <w:tc>
          <w:tcPr>
            <w:tcW w:w="1141" w:type="dxa"/>
            <w:vAlign w:val="center"/>
          </w:tcPr>
          <w:p w14:paraId="5D1DB968">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62CF2AE1">
            <w:pPr>
              <w:pStyle w:val="70"/>
              <w:rPr>
                <w:color w:val="000000" w:themeColor="text1"/>
                <w14:textFill>
                  <w14:solidFill>
                    <w14:schemeClr w14:val="tx1"/>
                  </w14:solidFill>
                </w14:textFill>
              </w:rPr>
            </w:pPr>
            <w:r>
              <w:rPr>
                <w:color w:val="000000" w:themeColor="text1"/>
                <w14:textFill>
                  <w14:solidFill>
                    <w14:schemeClr w14:val="tx1"/>
                  </w14:solidFill>
                </w14:textFill>
              </w:rPr>
              <w:t>9.8</w:t>
            </w:r>
          </w:p>
        </w:tc>
        <w:tc>
          <w:tcPr>
            <w:tcW w:w="1141" w:type="dxa"/>
            <w:vAlign w:val="center"/>
          </w:tcPr>
          <w:p w14:paraId="2B605A0B">
            <w:pPr>
              <w:pStyle w:val="70"/>
              <w:rPr>
                <w:color w:val="000000" w:themeColor="text1"/>
                <w14:textFill>
                  <w14:solidFill>
                    <w14:schemeClr w14:val="tx1"/>
                  </w14:solidFill>
                </w14:textFill>
              </w:rPr>
            </w:pPr>
            <w:r>
              <w:rPr>
                <w:color w:val="000000" w:themeColor="text1"/>
                <w14:textFill>
                  <w14:solidFill>
                    <w14:schemeClr w14:val="tx1"/>
                  </w14:solidFill>
                </w14:textFill>
              </w:rPr>
              <w:t>1.8</w:t>
            </w:r>
          </w:p>
        </w:tc>
        <w:tc>
          <w:tcPr>
            <w:tcW w:w="1143" w:type="dxa"/>
            <w:vAlign w:val="center"/>
          </w:tcPr>
          <w:p w14:paraId="3F2E72BE">
            <w:pPr>
              <w:pStyle w:val="70"/>
              <w:rPr>
                <w:color w:val="000000" w:themeColor="text1"/>
                <w14:textFill>
                  <w14:solidFill>
                    <w14:schemeClr w14:val="tx1"/>
                  </w14:solidFill>
                </w14:textFill>
              </w:rPr>
            </w:pPr>
            <w:r>
              <w:rPr>
                <w:color w:val="000000" w:themeColor="text1"/>
                <w14:textFill>
                  <w14:solidFill>
                    <w14:schemeClr w14:val="tx1"/>
                  </w14:solidFill>
                </w14:textFill>
              </w:rPr>
              <w:t>0.50</w:t>
            </w:r>
          </w:p>
        </w:tc>
      </w:tr>
      <w:tr w14:paraId="3299C1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0DA2E364">
            <w:pPr>
              <w:pStyle w:val="70"/>
              <w:rPr>
                <w:color w:val="000000" w:themeColor="text1"/>
                <w14:textFill>
                  <w14:solidFill>
                    <w14:schemeClr w14:val="tx1"/>
                  </w14:solidFill>
                </w14:textFill>
              </w:rPr>
            </w:pPr>
          </w:p>
        </w:tc>
        <w:tc>
          <w:tcPr>
            <w:tcW w:w="1677" w:type="dxa"/>
            <w:vMerge w:val="restart"/>
            <w:vAlign w:val="center"/>
          </w:tcPr>
          <w:p w14:paraId="6861FEA5">
            <w:pPr>
              <w:pStyle w:val="70"/>
              <w:rPr>
                <w:color w:val="000000" w:themeColor="text1"/>
                <w14:textFill>
                  <w14:solidFill>
                    <w14:schemeClr w14:val="tx1"/>
                  </w14:solidFill>
                </w14:textFill>
              </w:rPr>
            </w:pPr>
            <w:r>
              <w:rPr>
                <w:color w:val="000000" w:themeColor="text1"/>
                <w14:textFill>
                  <w14:solidFill>
                    <w14:schemeClr w14:val="tx1"/>
                  </w14:solidFill>
                </w14:textFill>
              </w:rPr>
              <w:t>25</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SV&lt;30</w:t>
            </w:r>
          </w:p>
        </w:tc>
        <w:tc>
          <w:tcPr>
            <w:tcW w:w="1677" w:type="dxa"/>
            <w:vAlign w:val="center"/>
          </w:tcPr>
          <w:p w14:paraId="2EBA50F2">
            <w:pPr>
              <w:pStyle w:val="70"/>
              <w:rPr>
                <w:color w:val="000000" w:themeColor="text1"/>
                <w14:textFill>
                  <w14:solidFill>
                    <w14:schemeClr w14:val="tx1"/>
                  </w14:solidFill>
                </w14:textFill>
              </w:rPr>
            </w:pPr>
            <w:r>
              <w:rPr>
                <w:color w:val="000000" w:themeColor="text1"/>
                <w14:textFill>
                  <w14:solidFill>
                    <w14:schemeClr w14:val="tx1"/>
                  </w14:solidFill>
                </w14:textFill>
              </w:rPr>
              <w:t>P&lt;2000</w:t>
            </w:r>
          </w:p>
        </w:tc>
        <w:tc>
          <w:tcPr>
            <w:tcW w:w="1141" w:type="dxa"/>
            <w:vAlign w:val="center"/>
          </w:tcPr>
          <w:p w14:paraId="024761CD">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23E1BE52">
            <w:pPr>
              <w:pStyle w:val="70"/>
              <w:rPr>
                <w:color w:val="000000" w:themeColor="text1"/>
                <w14:textFill>
                  <w14:solidFill>
                    <w14:schemeClr w14:val="tx1"/>
                  </w14:solidFill>
                </w14:textFill>
              </w:rPr>
            </w:pPr>
            <w:r>
              <w:rPr>
                <w:color w:val="000000" w:themeColor="text1"/>
                <w14:textFill>
                  <w14:solidFill>
                    <w14:schemeClr w14:val="tx1"/>
                  </w14:solidFill>
                </w14:textFill>
              </w:rPr>
              <w:t>11.0</w:t>
            </w:r>
          </w:p>
        </w:tc>
        <w:tc>
          <w:tcPr>
            <w:tcW w:w="1141" w:type="dxa"/>
            <w:vAlign w:val="center"/>
          </w:tcPr>
          <w:p w14:paraId="57E54842">
            <w:pPr>
              <w:pStyle w:val="70"/>
              <w:rPr>
                <w:color w:val="000000" w:themeColor="text1"/>
                <w14:textFill>
                  <w14:solidFill>
                    <w14:schemeClr w14:val="tx1"/>
                  </w14:solidFill>
                </w14:textFill>
              </w:rPr>
            </w:pPr>
            <w:r>
              <w:rPr>
                <w:color w:val="000000" w:themeColor="text1"/>
                <w14:textFill>
                  <w14:solidFill>
                    <w14:schemeClr w14:val="tx1"/>
                  </w14:solidFill>
                </w14:textFill>
              </w:rPr>
              <w:t>2.0</w:t>
            </w:r>
          </w:p>
        </w:tc>
        <w:tc>
          <w:tcPr>
            <w:tcW w:w="1143" w:type="dxa"/>
            <w:vAlign w:val="center"/>
          </w:tcPr>
          <w:p w14:paraId="4326C963">
            <w:pPr>
              <w:pStyle w:val="70"/>
              <w:rPr>
                <w:color w:val="000000" w:themeColor="text1"/>
                <w14:textFill>
                  <w14:solidFill>
                    <w14:schemeClr w14:val="tx1"/>
                  </w14:solidFill>
                </w14:textFill>
              </w:rPr>
            </w:pPr>
            <w:r>
              <w:rPr>
                <w:color w:val="000000" w:themeColor="text1"/>
                <w14:textFill>
                  <w14:solidFill>
                    <w14:schemeClr w14:val="tx1"/>
                  </w14:solidFill>
                </w14:textFill>
              </w:rPr>
              <w:t>0.27</w:t>
            </w:r>
          </w:p>
        </w:tc>
      </w:tr>
      <w:tr w14:paraId="3CE26C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0C1DAC15">
            <w:pPr>
              <w:pStyle w:val="70"/>
              <w:rPr>
                <w:color w:val="000000" w:themeColor="text1"/>
                <w14:textFill>
                  <w14:solidFill>
                    <w14:schemeClr w14:val="tx1"/>
                  </w14:solidFill>
                </w14:textFill>
              </w:rPr>
            </w:pPr>
          </w:p>
        </w:tc>
        <w:tc>
          <w:tcPr>
            <w:tcW w:w="1677" w:type="dxa"/>
            <w:vMerge w:val="continue"/>
            <w:vAlign w:val="center"/>
          </w:tcPr>
          <w:p w14:paraId="22A1F5BD">
            <w:pPr>
              <w:pStyle w:val="70"/>
              <w:rPr>
                <w:color w:val="000000" w:themeColor="text1"/>
                <w14:textFill>
                  <w14:solidFill>
                    <w14:schemeClr w14:val="tx1"/>
                  </w14:solidFill>
                </w14:textFill>
              </w:rPr>
            </w:pPr>
          </w:p>
        </w:tc>
        <w:tc>
          <w:tcPr>
            <w:tcW w:w="1677" w:type="dxa"/>
            <w:vAlign w:val="center"/>
          </w:tcPr>
          <w:p w14:paraId="1B2CA0FB">
            <w:pPr>
              <w:pStyle w:val="70"/>
              <w:rPr>
                <w:color w:val="000000" w:themeColor="text1"/>
                <w14:textFill>
                  <w14:solidFill>
                    <w14:schemeClr w14:val="tx1"/>
                  </w14:solidFill>
                </w14:textFill>
              </w:rPr>
            </w:pPr>
            <w:r>
              <w:rPr>
                <w:color w:val="000000" w:themeColor="text1"/>
                <w14:textFill>
                  <w14:solidFill>
                    <w14:schemeClr w14:val="tx1"/>
                  </w14:solidFill>
                </w14:textFill>
              </w:rPr>
              <w:t>P</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2000</w:t>
            </w:r>
          </w:p>
        </w:tc>
        <w:tc>
          <w:tcPr>
            <w:tcW w:w="1141" w:type="dxa"/>
            <w:vAlign w:val="center"/>
          </w:tcPr>
          <w:p w14:paraId="729711FE">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4D2E0001">
            <w:pPr>
              <w:pStyle w:val="70"/>
              <w:rPr>
                <w:color w:val="000000" w:themeColor="text1"/>
                <w14:textFill>
                  <w14:solidFill>
                    <w14:schemeClr w14:val="tx1"/>
                  </w14:solidFill>
                </w14:textFill>
              </w:rPr>
            </w:pPr>
            <w:r>
              <w:rPr>
                <w:color w:val="000000" w:themeColor="text1"/>
                <w14:textFill>
                  <w14:solidFill>
                    <w14:schemeClr w14:val="tx1"/>
                  </w14:solidFill>
                </w14:textFill>
              </w:rPr>
              <w:t>11.0</w:t>
            </w:r>
          </w:p>
        </w:tc>
        <w:tc>
          <w:tcPr>
            <w:tcW w:w="1141" w:type="dxa"/>
            <w:vAlign w:val="center"/>
          </w:tcPr>
          <w:p w14:paraId="450FE1EF">
            <w:pPr>
              <w:pStyle w:val="70"/>
              <w:rPr>
                <w:color w:val="000000" w:themeColor="text1"/>
                <w14:textFill>
                  <w14:solidFill>
                    <w14:schemeClr w14:val="tx1"/>
                  </w14:solidFill>
                </w14:textFill>
              </w:rPr>
            </w:pPr>
            <w:r>
              <w:rPr>
                <w:color w:val="000000" w:themeColor="text1"/>
                <w14:textFill>
                  <w14:solidFill>
                    <w14:schemeClr w14:val="tx1"/>
                  </w14:solidFill>
                </w14:textFill>
              </w:rPr>
              <w:t>2.0</w:t>
            </w:r>
          </w:p>
        </w:tc>
        <w:tc>
          <w:tcPr>
            <w:tcW w:w="1143" w:type="dxa"/>
            <w:vAlign w:val="center"/>
          </w:tcPr>
          <w:p w14:paraId="1F9E9C6C">
            <w:pPr>
              <w:pStyle w:val="70"/>
              <w:rPr>
                <w:color w:val="000000" w:themeColor="text1"/>
                <w14:textFill>
                  <w14:solidFill>
                    <w14:schemeClr w14:val="tx1"/>
                  </w14:solidFill>
                </w14:textFill>
              </w:rPr>
            </w:pPr>
            <w:r>
              <w:rPr>
                <w:color w:val="000000" w:themeColor="text1"/>
                <w14:textFill>
                  <w14:solidFill>
                    <w14:schemeClr w14:val="tx1"/>
                  </w14:solidFill>
                </w14:textFill>
              </w:rPr>
              <w:t>0.50</w:t>
            </w:r>
          </w:p>
        </w:tc>
      </w:tr>
    </w:tbl>
    <w:p w14:paraId="3BBA0B52">
      <w:pPr>
        <w:ind w:firstLine="360"/>
        <w:rPr>
          <w:color w:val="000000" w:themeColor="text1"/>
          <w14:textFill>
            <w14:solidFill>
              <w14:schemeClr w14:val="tx1"/>
            </w14:solidFill>
          </w14:textFill>
        </w:rPr>
      </w:pPr>
      <w:r>
        <w:rPr>
          <w:color w:val="000000" w:themeColor="text1"/>
          <w:sz w:val="18"/>
          <w:szCs w:val="18"/>
          <w14:textFill>
            <w14:solidFill>
              <w14:schemeClr w14:val="tx1"/>
            </w14:solidFill>
          </w14:textFill>
        </w:rPr>
        <w:t>注：(1)仅适用于NG（含双燃料）船机。</w:t>
      </w:r>
    </w:p>
    <w:p w14:paraId="51D8C845">
      <w:pPr>
        <w:pStyle w:val="6"/>
        <w:rPr>
          <w:color w:val="000000" w:themeColor="text1"/>
          <w14:textFill>
            <w14:solidFill>
              <w14:schemeClr w14:val="tx1"/>
            </w14:solidFill>
          </w14:textFill>
        </w:rPr>
      </w:pPr>
      <w:r>
        <w:rPr>
          <w:color w:val="000000" w:themeColor="text1"/>
          <w14:textFill>
            <w14:solidFill>
              <w14:schemeClr w14:val="tx1"/>
            </w14:solidFill>
          </w14:textFill>
        </w:rPr>
        <w:t>水污染物排放标准</w:t>
      </w:r>
    </w:p>
    <w:p w14:paraId="3130C902">
      <w:pPr>
        <w:ind w:firstLine="480"/>
        <w:rPr>
          <w:color w:val="000000" w:themeColor="text1"/>
          <w14:textFill>
            <w14:solidFill>
              <w14:schemeClr w14:val="tx1"/>
            </w14:solidFill>
          </w14:textFill>
        </w:rPr>
      </w:pPr>
      <w:r>
        <w:rPr>
          <w:color w:val="000000" w:themeColor="text1"/>
          <w14:textFill>
            <w14:solidFill>
              <w14:schemeClr w14:val="tx1"/>
            </w14:solidFill>
          </w14:textFill>
        </w:rPr>
        <w:t>营运期废水主要来自船舶污水（包括船舶舱底油污水、船舶生活污水），船舶污水均由有资质单位接收处置，不在码头接收；码头生活污水、冲洗废水及初期雨水依托广西恒逸污水处理厂进行处理，最终达到《石油化学工业污染物排放标准》（GB31571-2015）标准及《污水综合排放标准》（GB8978-1996）一级标准后排放。</w:t>
      </w:r>
    </w:p>
    <w:p w14:paraId="17B94E2E">
      <w:pPr>
        <w:pStyle w:val="7"/>
        <w:jc w:val="right"/>
        <w:rPr>
          <w:color w:val="000000" w:themeColor="text1"/>
          <w14:textFill>
            <w14:solidFill>
              <w14:schemeClr w14:val="tx1"/>
            </w14:solidFill>
          </w14:textFill>
        </w:rPr>
      </w:pPr>
      <w:r>
        <w:rPr>
          <w:color w:val="000000" w:themeColor="text1"/>
          <w14:textFill>
            <w14:solidFill>
              <w14:schemeClr w14:val="tx1"/>
            </w14:solidFill>
          </w14:textFill>
        </w:rPr>
        <w:t xml:space="preserve">恒逸污水处理厂各系统进水水质标准（摘录）    </w:t>
      </w:r>
      <w:r>
        <w:rPr>
          <w:b w:val="0"/>
          <w:bCs w:val="0"/>
          <w:color w:val="000000" w:themeColor="text1"/>
          <w:sz w:val="18"/>
          <w:szCs w:val="18"/>
          <w14:textFill>
            <w14:solidFill>
              <w14:schemeClr w14:val="tx1"/>
            </w14:solidFill>
          </w14:textFill>
        </w:rPr>
        <w:t xml:space="preserve"> 单位：mg/L  pH无量纲</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313"/>
        <w:gridCol w:w="1201"/>
        <w:gridCol w:w="964"/>
        <w:gridCol w:w="834"/>
        <w:gridCol w:w="852"/>
        <w:gridCol w:w="609"/>
        <w:gridCol w:w="609"/>
        <w:gridCol w:w="709"/>
        <w:gridCol w:w="951"/>
      </w:tblGrid>
      <w:tr w14:paraId="5FF131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2313" w:type="dxa"/>
            <w:tcMar>
              <w:left w:w="0" w:type="dxa"/>
              <w:right w:w="0" w:type="dxa"/>
            </w:tcMar>
            <w:vAlign w:val="center"/>
          </w:tcPr>
          <w:p w14:paraId="056A09E5">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系统名称</w:t>
            </w:r>
          </w:p>
        </w:tc>
        <w:tc>
          <w:tcPr>
            <w:tcW w:w="1201" w:type="dxa"/>
            <w:tcMar>
              <w:left w:w="0" w:type="dxa"/>
              <w:right w:w="0" w:type="dxa"/>
            </w:tcMar>
            <w:vAlign w:val="center"/>
          </w:tcPr>
          <w:p w14:paraId="24EED7F2">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废水类别</w:t>
            </w:r>
          </w:p>
        </w:tc>
        <w:tc>
          <w:tcPr>
            <w:tcW w:w="964" w:type="dxa"/>
            <w:tcMar>
              <w:left w:w="0" w:type="dxa"/>
              <w:right w:w="0" w:type="dxa"/>
            </w:tcMar>
            <w:vAlign w:val="center"/>
          </w:tcPr>
          <w:p w14:paraId="20B12BA0">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pH</w:t>
            </w:r>
          </w:p>
        </w:tc>
        <w:tc>
          <w:tcPr>
            <w:tcW w:w="834" w:type="dxa"/>
            <w:tcMar>
              <w:left w:w="0" w:type="dxa"/>
              <w:right w:w="0" w:type="dxa"/>
            </w:tcMar>
            <w:vAlign w:val="center"/>
          </w:tcPr>
          <w:p w14:paraId="1F7925DB">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COD</w:t>
            </w:r>
          </w:p>
        </w:tc>
        <w:tc>
          <w:tcPr>
            <w:tcW w:w="852" w:type="dxa"/>
            <w:tcMar>
              <w:left w:w="0" w:type="dxa"/>
              <w:right w:w="0" w:type="dxa"/>
            </w:tcMar>
            <w:vAlign w:val="center"/>
          </w:tcPr>
          <w:p w14:paraId="1887E29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BOD</w:t>
            </w:r>
            <w:r>
              <w:rPr>
                <w:b/>
                <w:bCs/>
                <w:color w:val="000000" w:themeColor="text1"/>
                <w:vertAlign w:val="subscript"/>
                <w14:textFill>
                  <w14:solidFill>
                    <w14:schemeClr w14:val="tx1"/>
                  </w14:solidFill>
                </w14:textFill>
              </w:rPr>
              <w:t>5</w:t>
            </w:r>
          </w:p>
        </w:tc>
        <w:tc>
          <w:tcPr>
            <w:tcW w:w="609" w:type="dxa"/>
            <w:tcMar>
              <w:left w:w="0" w:type="dxa"/>
              <w:right w:w="0" w:type="dxa"/>
            </w:tcMar>
            <w:vAlign w:val="center"/>
          </w:tcPr>
          <w:p w14:paraId="6A87BF2C">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SS</w:t>
            </w:r>
          </w:p>
        </w:tc>
        <w:tc>
          <w:tcPr>
            <w:tcW w:w="609" w:type="dxa"/>
            <w:tcMar>
              <w:left w:w="0" w:type="dxa"/>
              <w:right w:w="0" w:type="dxa"/>
            </w:tcMar>
            <w:vAlign w:val="center"/>
          </w:tcPr>
          <w:p w14:paraId="533786D2">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氨氮</w:t>
            </w:r>
          </w:p>
        </w:tc>
        <w:tc>
          <w:tcPr>
            <w:tcW w:w="709" w:type="dxa"/>
            <w:tcMar>
              <w:left w:w="0" w:type="dxa"/>
              <w:right w:w="0" w:type="dxa"/>
            </w:tcMar>
            <w:vAlign w:val="center"/>
          </w:tcPr>
          <w:p w14:paraId="4118D1F5">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石油类</w:t>
            </w:r>
          </w:p>
        </w:tc>
        <w:tc>
          <w:tcPr>
            <w:tcW w:w="951" w:type="dxa"/>
            <w:tcMar>
              <w:left w:w="0" w:type="dxa"/>
              <w:right w:w="0" w:type="dxa"/>
            </w:tcMar>
            <w:vAlign w:val="center"/>
          </w:tcPr>
          <w:p w14:paraId="12E9BE74">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TDS</w:t>
            </w:r>
          </w:p>
        </w:tc>
      </w:tr>
      <w:tr w14:paraId="491A7C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313" w:type="dxa"/>
            <w:tcMar>
              <w:left w:w="0" w:type="dxa"/>
              <w:right w:w="0" w:type="dxa"/>
            </w:tcMar>
            <w:vAlign w:val="center"/>
          </w:tcPr>
          <w:p w14:paraId="0EC20E47">
            <w:pPr>
              <w:pStyle w:val="70"/>
              <w:rPr>
                <w:color w:val="000000" w:themeColor="text1"/>
                <w14:textFill>
                  <w14:solidFill>
                    <w14:schemeClr w14:val="tx1"/>
                  </w14:solidFill>
                </w14:textFill>
              </w:rPr>
            </w:pPr>
            <w:r>
              <w:rPr>
                <w:color w:val="000000" w:themeColor="text1"/>
                <w14:textFill>
                  <w14:solidFill>
                    <w14:schemeClr w14:val="tx1"/>
                  </w14:solidFill>
                </w14:textFill>
              </w:rPr>
              <w:t>合成氨废水预处理系统</w:t>
            </w:r>
          </w:p>
        </w:tc>
        <w:tc>
          <w:tcPr>
            <w:tcW w:w="1201" w:type="dxa"/>
            <w:tcMar>
              <w:left w:w="0" w:type="dxa"/>
              <w:right w:w="0" w:type="dxa"/>
            </w:tcMar>
            <w:vAlign w:val="center"/>
          </w:tcPr>
          <w:p w14:paraId="309E48FF">
            <w:pPr>
              <w:pStyle w:val="70"/>
              <w:rPr>
                <w:color w:val="000000" w:themeColor="text1"/>
                <w14:textFill>
                  <w14:solidFill>
                    <w14:schemeClr w14:val="tx1"/>
                  </w14:solidFill>
                </w14:textFill>
              </w:rPr>
            </w:pPr>
            <w:r>
              <w:rPr>
                <w:color w:val="000000" w:themeColor="text1"/>
                <w14:textFill>
                  <w14:solidFill>
                    <w14:schemeClr w14:val="tx1"/>
                  </w14:solidFill>
                </w14:textFill>
              </w:rPr>
              <w:t>高氨氮</w:t>
            </w:r>
          </w:p>
        </w:tc>
        <w:tc>
          <w:tcPr>
            <w:tcW w:w="964" w:type="dxa"/>
            <w:tcMar>
              <w:left w:w="0" w:type="dxa"/>
              <w:right w:w="0" w:type="dxa"/>
            </w:tcMar>
            <w:vAlign w:val="center"/>
          </w:tcPr>
          <w:p w14:paraId="12566793">
            <w:pPr>
              <w:pStyle w:val="70"/>
              <w:rPr>
                <w:color w:val="000000" w:themeColor="text1"/>
                <w14:textFill>
                  <w14:solidFill>
                    <w14:schemeClr w14:val="tx1"/>
                  </w14:solidFill>
                </w14:textFill>
              </w:rPr>
            </w:pPr>
            <w:r>
              <w:rPr>
                <w:color w:val="000000" w:themeColor="text1"/>
                <w14:textFill>
                  <w14:solidFill>
                    <w14:schemeClr w14:val="tx1"/>
                  </w14:solidFill>
                </w14:textFill>
              </w:rPr>
              <w:t>6~9</w:t>
            </w:r>
          </w:p>
        </w:tc>
        <w:tc>
          <w:tcPr>
            <w:tcW w:w="834" w:type="dxa"/>
            <w:tcMar>
              <w:left w:w="0" w:type="dxa"/>
              <w:right w:w="0" w:type="dxa"/>
            </w:tcMar>
            <w:vAlign w:val="center"/>
          </w:tcPr>
          <w:p w14:paraId="12DDB5FB">
            <w:pPr>
              <w:pStyle w:val="70"/>
              <w:rPr>
                <w:color w:val="000000" w:themeColor="text1"/>
                <w14:textFill>
                  <w14:solidFill>
                    <w14:schemeClr w14:val="tx1"/>
                  </w14:solidFill>
                </w14:textFill>
              </w:rPr>
            </w:pPr>
            <w:r>
              <w:rPr>
                <w:color w:val="000000" w:themeColor="text1"/>
                <w14:textFill>
                  <w14:solidFill>
                    <w14:schemeClr w14:val="tx1"/>
                  </w14:solidFill>
                </w14:textFill>
              </w:rPr>
              <w:t>800</w:t>
            </w:r>
          </w:p>
        </w:tc>
        <w:tc>
          <w:tcPr>
            <w:tcW w:w="852" w:type="dxa"/>
            <w:tcMar>
              <w:left w:w="0" w:type="dxa"/>
              <w:right w:w="0" w:type="dxa"/>
            </w:tcMar>
            <w:vAlign w:val="center"/>
          </w:tcPr>
          <w:p w14:paraId="158AE7DE">
            <w:pPr>
              <w:pStyle w:val="70"/>
              <w:rPr>
                <w:color w:val="000000" w:themeColor="text1"/>
                <w14:textFill>
                  <w14:solidFill>
                    <w14:schemeClr w14:val="tx1"/>
                  </w14:solidFill>
                </w14:textFill>
              </w:rPr>
            </w:pPr>
            <w:r>
              <w:rPr>
                <w:color w:val="000000" w:themeColor="text1"/>
                <w14:textFill>
                  <w14:solidFill>
                    <w14:schemeClr w14:val="tx1"/>
                  </w14:solidFill>
                </w14:textFill>
              </w:rPr>
              <w:t>100</w:t>
            </w:r>
          </w:p>
        </w:tc>
        <w:tc>
          <w:tcPr>
            <w:tcW w:w="609" w:type="dxa"/>
            <w:tcMar>
              <w:left w:w="0" w:type="dxa"/>
              <w:right w:w="0" w:type="dxa"/>
            </w:tcMar>
            <w:vAlign w:val="center"/>
          </w:tcPr>
          <w:p w14:paraId="752C6F3F">
            <w:pPr>
              <w:pStyle w:val="70"/>
              <w:rPr>
                <w:color w:val="000000" w:themeColor="text1"/>
                <w14:textFill>
                  <w14:solidFill>
                    <w14:schemeClr w14:val="tx1"/>
                  </w14:solidFill>
                </w14:textFill>
              </w:rPr>
            </w:pPr>
            <w:r>
              <w:rPr>
                <w:color w:val="000000" w:themeColor="text1"/>
                <w14:textFill>
                  <w14:solidFill>
                    <w14:schemeClr w14:val="tx1"/>
                  </w14:solidFill>
                </w14:textFill>
              </w:rPr>
              <w:t>100</w:t>
            </w:r>
          </w:p>
        </w:tc>
        <w:tc>
          <w:tcPr>
            <w:tcW w:w="609" w:type="dxa"/>
            <w:tcMar>
              <w:left w:w="0" w:type="dxa"/>
              <w:right w:w="0" w:type="dxa"/>
            </w:tcMar>
            <w:vAlign w:val="center"/>
          </w:tcPr>
          <w:p w14:paraId="1A87052E">
            <w:pPr>
              <w:pStyle w:val="70"/>
              <w:rPr>
                <w:color w:val="000000" w:themeColor="text1"/>
                <w14:textFill>
                  <w14:solidFill>
                    <w14:schemeClr w14:val="tx1"/>
                  </w14:solidFill>
                </w14:textFill>
              </w:rPr>
            </w:pPr>
            <w:r>
              <w:rPr>
                <w:color w:val="000000" w:themeColor="text1"/>
                <w14:textFill>
                  <w14:solidFill>
                    <w14:schemeClr w14:val="tx1"/>
                  </w14:solidFill>
                </w14:textFill>
              </w:rPr>
              <w:t>300</w:t>
            </w:r>
          </w:p>
        </w:tc>
        <w:tc>
          <w:tcPr>
            <w:tcW w:w="709" w:type="dxa"/>
            <w:tcMar>
              <w:left w:w="0" w:type="dxa"/>
              <w:right w:w="0" w:type="dxa"/>
            </w:tcMar>
            <w:vAlign w:val="center"/>
          </w:tcPr>
          <w:p w14:paraId="17DFD20B">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51" w:type="dxa"/>
            <w:tcMar>
              <w:left w:w="0" w:type="dxa"/>
              <w:right w:w="0" w:type="dxa"/>
            </w:tcMar>
            <w:vAlign w:val="center"/>
          </w:tcPr>
          <w:p w14:paraId="51225D0F">
            <w:pPr>
              <w:pStyle w:val="70"/>
              <w:rPr>
                <w:color w:val="000000" w:themeColor="text1"/>
                <w14:textFill>
                  <w14:solidFill>
                    <w14:schemeClr w14:val="tx1"/>
                  </w14:solidFill>
                </w14:textFill>
              </w:rPr>
            </w:pPr>
            <w:r>
              <w:rPr>
                <w:color w:val="000000" w:themeColor="text1"/>
                <w14:textFill>
                  <w14:solidFill>
                    <w14:schemeClr w14:val="tx1"/>
                  </w14:solidFill>
                </w14:textFill>
              </w:rPr>
              <w:t>10000</w:t>
            </w:r>
          </w:p>
        </w:tc>
      </w:tr>
      <w:tr w14:paraId="61C1D7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313" w:type="dxa"/>
            <w:tcMar>
              <w:left w:w="0" w:type="dxa"/>
              <w:right w:w="0" w:type="dxa"/>
            </w:tcMar>
            <w:vAlign w:val="center"/>
          </w:tcPr>
          <w:p w14:paraId="7795AF63">
            <w:pPr>
              <w:pStyle w:val="70"/>
              <w:rPr>
                <w:color w:val="000000" w:themeColor="text1"/>
                <w14:textFill>
                  <w14:solidFill>
                    <w14:schemeClr w14:val="tx1"/>
                  </w14:solidFill>
                </w14:textFill>
              </w:rPr>
            </w:pPr>
            <w:r>
              <w:rPr>
                <w:color w:val="000000" w:themeColor="text1"/>
                <w14:textFill>
                  <w14:solidFill>
                    <w14:schemeClr w14:val="tx1"/>
                  </w14:solidFill>
                </w14:textFill>
              </w:rPr>
              <w:t>聚酰胺废水预处理系统</w:t>
            </w:r>
          </w:p>
        </w:tc>
        <w:tc>
          <w:tcPr>
            <w:tcW w:w="1201" w:type="dxa"/>
            <w:tcMar>
              <w:left w:w="0" w:type="dxa"/>
              <w:right w:w="0" w:type="dxa"/>
            </w:tcMar>
            <w:vAlign w:val="center"/>
          </w:tcPr>
          <w:p w14:paraId="2FC95222">
            <w:pPr>
              <w:pStyle w:val="70"/>
              <w:rPr>
                <w:color w:val="000000" w:themeColor="text1"/>
                <w14:textFill>
                  <w14:solidFill>
                    <w14:schemeClr w14:val="tx1"/>
                  </w14:solidFill>
                </w14:textFill>
              </w:rPr>
            </w:pPr>
            <w:r>
              <w:rPr>
                <w:color w:val="000000" w:themeColor="text1"/>
                <w14:textFill>
                  <w14:solidFill>
                    <w14:schemeClr w14:val="tx1"/>
                  </w14:solidFill>
                </w14:textFill>
              </w:rPr>
              <w:t>高浓度</w:t>
            </w:r>
          </w:p>
        </w:tc>
        <w:tc>
          <w:tcPr>
            <w:tcW w:w="964" w:type="dxa"/>
            <w:tcMar>
              <w:left w:w="0" w:type="dxa"/>
              <w:right w:w="0" w:type="dxa"/>
            </w:tcMar>
            <w:vAlign w:val="center"/>
          </w:tcPr>
          <w:p w14:paraId="04DC991B">
            <w:pPr>
              <w:pStyle w:val="70"/>
              <w:rPr>
                <w:color w:val="000000" w:themeColor="text1"/>
                <w14:textFill>
                  <w14:solidFill>
                    <w14:schemeClr w14:val="tx1"/>
                  </w14:solidFill>
                </w14:textFill>
              </w:rPr>
            </w:pPr>
            <w:r>
              <w:rPr>
                <w:color w:val="000000" w:themeColor="text1"/>
                <w14:textFill>
                  <w14:solidFill>
                    <w14:schemeClr w14:val="tx1"/>
                  </w14:solidFill>
                </w14:textFill>
              </w:rPr>
              <w:t>6~9</w:t>
            </w:r>
          </w:p>
        </w:tc>
        <w:tc>
          <w:tcPr>
            <w:tcW w:w="834" w:type="dxa"/>
            <w:tcMar>
              <w:left w:w="0" w:type="dxa"/>
              <w:right w:w="0" w:type="dxa"/>
            </w:tcMar>
            <w:vAlign w:val="center"/>
          </w:tcPr>
          <w:p w14:paraId="37A2F652">
            <w:pPr>
              <w:pStyle w:val="70"/>
              <w:rPr>
                <w:color w:val="000000" w:themeColor="text1"/>
                <w14:textFill>
                  <w14:solidFill>
                    <w14:schemeClr w14:val="tx1"/>
                  </w14:solidFill>
                </w14:textFill>
              </w:rPr>
            </w:pPr>
            <w:r>
              <w:rPr>
                <w:color w:val="000000" w:themeColor="text1"/>
                <w14:textFill>
                  <w14:solidFill>
                    <w14:schemeClr w14:val="tx1"/>
                  </w14:solidFill>
                </w14:textFill>
              </w:rPr>
              <w:t>12000</w:t>
            </w:r>
          </w:p>
        </w:tc>
        <w:tc>
          <w:tcPr>
            <w:tcW w:w="852" w:type="dxa"/>
            <w:tcMar>
              <w:left w:w="0" w:type="dxa"/>
              <w:right w:w="0" w:type="dxa"/>
            </w:tcMar>
            <w:vAlign w:val="center"/>
          </w:tcPr>
          <w:p w14:paraId="6BCE8E09">
            <w:pPr>
              <w:pStyle w:val="70"/>
              <w:rPr>
                <w:color w:val="000000" w:themeColor="text1"/>
                <w14:textFill>
                  <w14:solidFill>
                    <w14:schemeClr w14:val="tx1"/>
                  </w14:solidFill>
                </w14:textFill>
              </w:rPr>
            </w:pPr>
            <w:r>
              <w:rPr>
                <w:color w:val="000000" w:themeColor="text1"/>
                <w14:textFill>
                  <w14:solidFill>
                    <w14:schemeClr w14:val="tx1"/>
                  </w14:solidFill>
                </w14:textFill>
              </w:rPr>
              <w:t>3000</w:t>
            </w:r>
          </w:p>
        </w:tc>
        <w:tc>
          <w:tcPr>
            <w:tcW w:w="609" w:type="dxa"/>
            <w:tcMar>
              <w:left w:w="0" w:type="dxa"/>
              <w:right w:w="0" w:type="dxa"/>
            </w:tcMar>
            <w:vAlign w:val="center"/>
          </w:tcPr>
          <w:p w14:paraId="36DAE7EE">
            <w:pPr>
              <w:pStyle w:val="70"/>
              <w:rPr>
                <w:color w:val="000000" w:themeColor="text1"/>
                <w14:textFill>
                  <w14:solidFill>
                    <w14:schemeClr w14:val="tx1"/>
                  </w14:solidFill>
                </w14:textFill>
              </w:rPr>
            </w:pPr>
            <w:r>
              <w:rPr>
                <w:color w:val="000000" w:themeColor="text1"/>
                <w14:textFill>
                  <w14:solidFill>
                    <w14:schemeClr w14:val="tx1"/>
                  </w14:solidFill>
                </w14:textFill>
              </w:rPr>
              <w:t>200</w:t>
            </w:r>
          </w:p>
        </w:tc>
        <w:tc>
          <w:tcPr>
            <w:tcW w:w="609" w:type="dxa"/>
            <w:tcMar>
              <w:left w:w="0" w:type="dxa"/>
              <w:right w:w="0" w:type="dxa"/>
            </w:tcMar>
            <w:vAlign w:val="center"/>
          </w:tcPr>
          <w:p w14:paraId="746CF381">
            <w:pPr>
              <w:pStyle w:val="70"/>
              <w:rPr>
                <w:color w:val="000000" w:themeColor="text1"/>
                <w14:textFill>
                  <w14:solidFill>
                    <w14:schemeClr w14:val="tx1"/>
                  </w14:solidFill>
                </w14:textFill>
              </w:rPr>
            </w:pPr>
            <w:r>
              <w:rPr>
                <w:color w:val="000000" w:themeColor="text1"/>
                <w14:textFill>
                  <w14:solidFill>
                    <w14:schemeClr w14:val="tx1"/>
                  </w14:solidFill>
                </w14:textFill>
              </w:rPr>
              <w:t>100</w:t>
            </w:r>
          </w:p>
        </w:tc>
        <w:tc>
          <w:tcPr>
            <w:tcW w:w="709" w:type="dxa"/>
            <w:tcMar>
              <w:left w:w="0" w:type="dxa"/>
              <w:right w:w="0" w:type="dxa"/>
            </w:tcMar>
            <w:vAlign w:val="center"/>
          </w:tcPr>
          <w:p w14:paraId="6C5A7172">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51" w:type="dxa"/>
            <w:tcMar>
              <w:left w:w="0" w:type="dxa"/>
              <w:right w:w="0" w:type="dxa"/>
            </w:tcMar>
            <w:vAlign w:val="center"/>
          </w:tcPr>
          <w:p w14:paraId="24D38A2C">
            <w:pPr>
              <w:pStyle w:val="70"/>
              <w:rPr>
                <w:color w:val="000000" w:themeColor="text1"/>
                <w14:textFill>
                  <w14:solidFill>
                    <w14:schemeClr w14:val="tx1"/>
                  </w14:solidFill>
                </w14:textFill>
              </w:rPr>
            </w:pPr>
            <w:r>
              <w:rPr>
                <w:color w:val="000000" w:themeColor="text1"/>
                <w14:textFill>
                  <w14:solidFill>
                    <w14:schemeClr w14:val="tx1"/>
                  </w14:solidFill>
                </w14:textFill>
              </w:rPr>
              <w:t>10000</w:t>
            </w:r>
          </w:p>
        </w:tc>
      </w:tr>
      <w:tr w14:paraId="1A9A44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313" w:type="dxa"/>
            <w:tcMar>
              <w:left w:w="0" w:type="dxa"/>
              <w:right w:w="0" w:type="dxa"/>
            </w:tcMar>
            <w:vAlign w:val="center"/>
          </w:tcPr>
          <w:p w14:paraId="204A36E1">
            <w:pPr>
              <w:pStyle w:val="70"/>
              <w:rPr>
                <w:color w:val="000000" w:themeColor="text1"/>
                <w14:textFill>
                  <w14:solidFill>
                    <w14:schemeClr w14:val="tx1"/>
                  </w14:solidFill>
                </w14:textFill>
              </w:rPr>
            </w:pPr>
            <w:r>
              <w:rPr>
                <w:color w:val="000000" w:themeColor="text1"/>
                <w14:textFill>
                  <w14:solidFill>
                    <w14:schemeClr w14:val="tx1"/>
                  </w14:solidFill>
                </w14:textFill>
              </w:rPr>
              <w:t>氨肟化废水及双氧水废水预处理系统</w:t>
            </w:r>
          </w:p>
        </w:tc>
        <w:tc>
          <w:tcPr>
            <w:tcW w:w="1201" w:type="dxa"/>
            <w:tcMar>
              <w:left w:w="0" w:type="dxa"/>
              <w:right w:w="0" w:type="dxa"/>
            </w:tcMar>
            <w:vAlign w:val="center"/>
          </w:tcPr>
          <w:p w14:paraId="740C25F1">
            <w:pPr>
              <w:pStyle w:val="70"/>
              <w:rPr>
                <w:color w:val="000000" w:themeColor="text1"/>
                <w14:textFill>
                  <w14:solidFill>
                    <w14:schemeClr w14:val="tx1"/>
                  </w14:solidFill>
                </w14:textFill>
              </w:rPr>
            </w:pPr>
            <w:r>
              <w:rPr>
                <w:color w:val="000000" w:themeColor="text1"/>
                <w14:textFill>
                  <w14:solidFill>
                    <w14:schemeClr w14:val="tx1"/>
                  </w14:solidFill>
                </w14:textFill>
              </w:rPr>
              <w:t>高浓度</w:t>
            </w:r>
          </w:p>
        </w:tc>
        <w:tc>
          <w:tcPr>
            <w:tcW w:w="964" w:type="dxa"/>
            <w:tcMar>
              <w:left w:w="0" w:type="dxa"/>
              <w:right w:w="0" w:type="dxa"/>
            </w:tcMar>
            <w:vAlign w:val="center"/>
          </w:tcPr>
          <w:p w14:paraId="67714FDD">
            <w:pPr>
              <w:pStyle w:val="70"/>
              <w:rPr>
                <w:color w:val="000000" w:themeColor="text1"/>
                <w14:textFill>
                  <w14:solidFill>
                    <w14:schemeClr w14:val="tx1"/>
                  </w14:solidFill>
                </w14:textFill>
              </w:rPr>
            </w:pPr>
            <w:r>
              <w:rPr>
                <w:color w:val="000000" w:themeColor="text1"/>
                <w14:textFill>
                  <w14:solidFill>
                    <w14:schemeClr w14:val="tx1"/>
                  </w14:solidFill>
                </w14:textFill>
              </w:rPr>
              <w:t>4~10</w:t>
            </w:r>
          </w:p>
        </w:tc>
        <w:tc>
          <w:tcPr>
            <w:tcW w:w="834" w:type="dxa"/>
            <w:tcMar>
              <w:left w:w="0" w:type="dxa"/>
              <w:right w:w="0" w:type="dxa"/>
            </w:tcMar>
            <w:vAlign w:val="center"/>
          </w:tcPr>
          <w:p w14:paraId="71030E49">
            <w:pPr>
              <w:pStyle w:val="70"/>
              <w:rPr>
                <w:color w:val="000000" w:themeColor="text1"/>
                <w14:textFill>
                  <w14:solidFill>
                    <w14:schemeClr w14:val="tx1"/>
                  </w14:solidFill>
                </w14:textFill>
              </w:rPr>
            </w:pPr>
            <w:r>
              <w:rPr>
                <w:color w:val="000000" w:themeColor="text1"/>
                <w14:textFill>
                  <w14:solidFill>
                    <w14:schemeClr w14:val="tx1"/>
                  </w14:solidFill>
                </w14:textFill>
              </w:rPr>
              <w:t>4000</w:t>
            </w:r>
          </w:p>
        </w:tc>
        <w:tc>
          <w:tcPr>
            <w:tcW w:w="852" w:type="dxa"/>
            <w:tcMar>
              <w:left w:w="0" w:type="dxa"/>
              <w:right w:w="0" w:type="dxa"/>
            </w:tcMar>
            <w:vAlign w:val="center"/>
          </w:tcPr>
          <w:p w14:paraId="678F304B">
            <w:pPr>
              <w:pStyle w:val="70"/>
              <w:rPr>
                <w:color w:val="000000" w:themeColor="text1"/>
                <w14:textFill>
                  <w14:solidFill>
                    <w14:schemeClr w14:val="tx1"/>
                  </w14:solidFill>
                </w14:textFill>
              </w:rPr>
            </w:pPr>
            <w:r>
              <w:rPr>
                <w:color w:val="000000" w:themeColor="text1"/>
                <w14:textFill>
                  <w14:solidFill>
                    <w14:schemeClr w14:val="tx1"/>
                  </w14:solidFill>
                </w14:textFill>
              </w:rPr>
              <w:t>600</w:t>
            </w:r>
          </w:p>
        </w:tc>
        <w:tc>
          <w:tcPr>
            <w:tcW w:w="609" w:type="dxa"/>
            <w:tcMar>
              <w:left w:w="0" w:type="dxa"/>
              <w:right w:w="0" w:type="dxa"/>
            </w:tcMar>
            <w:vAlign w:val="center"/>
          </w:tcPr>
          <w:p w14:paraId="1F0F4632">
            <w:pPr>
              <w:pStyle w:val="70"/>
              <w:rPr>
                <w:color w:val="000000" w:themeColor="text1"/>
                <w14:textFill>
                  <w14:solidFill>
                    <w14:schemeClr w14:val="tx1"/>
                  </w14:solidFill>
                </w14:textFill>
              </w:rPr>
            </w:pPr>
            <w:r>
              <w:rPr>
                <w:color w:val="000000" w:themeColor="text1"/>
                <w14:textFill>
                  <w14:solidFill>
                    <w14:schemeClr w14:val="tx1"/>
                  </w14:solidFill>
                </w14:textFill>
              </w:rPr>
              <w:t>200</w:t>
            </w:r>
          </w:p>
        </w:tc>
        <w:tc>
          <w:tcPr>
            <w:tcW w:w="609" w:type="dxa"/>
            <w:tcMar>
              <w:left w:w="0" w:type="dxa"/>
              <w:right w:w="0" w:type="dxa"/>
            </w:tcMar>
            <w:vAlign w:val="center"/>
          </w:tcPr>
          <w:p w14:paraId="259C8A87">
            <w:pPr>
              <w:pStyle w:val="70"/>
              <w:rPr>
                <w:color w:val="000000" w:themeColor="text1"/>
                <w14:textFill>
                  <w14:solidFill>
                    <w14:schemeClr w14:val="tx1"/>
                  </w14:solidFill>
                </w14:textFill>
              </w:rPr>
            </w:pPr>
            <w:r>
              <w:rPr>
                <w:color w:val="000000" w:themeColor="text1"/>
                <w14:textFill>
                  <w14:solidFill>
                    <w14:schemeClr w14:val="tx1"/>
                  </w14:solidFill>
                </w14:textFill>
              </w:rPr>
              <w:t>100</w:t>
            </w:r>
          </w:p>
        </w:tc>
        <w:tc>
          <w:tcPr>
            <w:tcW w:w="709" w:type="dxa"/>
            <w:tcMar>
              <w:left w:w="0" w:type="dxa"/>
              <w:right w:w="0" w:type="dxa"/>
            </w:tcMar>
            <w:vAlign w:val="center"/>
          </w:tcPr>
          <w:p w14:paraId="147D252B">
            <w:pPr>
              <w:pStyle w:val="70"/>
              <w:rPr>
                <w:color w:val="000000" w:themeColor="text1"/>
                <w14:textFill>
                  <w14:solidFill>
                    <w14:schemeClr w14:val="tx1"/>
                  </w14:solidFill>
                </w14:textFill>
              </w:rPr>
            </w:pPr>
            <w:r>
              <w:rPr>
                <w:color w:val="000000" w:themeColor="text1"/>
                <w14:textFill>
                  <w14:solidFill>
                    <w14:schemeClr w14:val="tx1"/>
                  </w14:solidFill>
                </w14:textFill>
              </w:rPr>
              <w:t>350</w:t>
            </w:r>
          </w:p>
        </w:tc>
        <w:tc>
          <w:tcPr>
            <w:tcW w:w="951" w:type="dxa"/>
            <w:tcMar>
              <w:left w:w="0" w:type="dxa"/>
              <w:right w:w="0" w:type="dxa"/>
            </w:tcMar>
            <w:vAlign w:val="center"/>
          </w:tcPr>
          <w:p w14:paraId="40F1732F">
            <w:pPr>
              <w:pStyle w:val="70"/>
              <w:rPr>
                <w:color w:val="000000" w:themeColor="text1"/>
                <w14:textFill>
                  <w14:solidFill>
                    <w14:schemeClr w14:val="tx1"/>
                  </w14:solidFill>
                </w14:textFill>
              </w:rPr>
            </w:pPr>
            <w:r>
              <w:rPr>
                <w:color w:val="000000" w:themeColor="text1"/>
                <w14:textFill>
                  <w14:solidFill>
                    <w14:schemeClr w14:val="tx1"/>
                  </w14:solidFill>
                </w14:textFill>
              </w:rPr>
              <w:t>10000</w:t>
            </w:r>
          </w:p>
        </w:tc>
      </w:tr>
      <w:tr w14:paraId="0B5EB8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313" w:type="dxa"/>
            <w:tcMar>
              <w:left w:w="0" w:type="dxa"/>
              <w:right w:w="0" w:type="dxa"/>
            </w:tcMar>
            <w:vAlign w:val="center"/>
          </w:tcPr>
          <w:p w14:paraId="4270DCB4">
            <w:pPr>
              <w:pStyle w:val="70"/>
              <w:rPr>
                <w:color w:val="000000" w:themeColor="text1"/>
                <w14:textFill>
                  <w14:solidFill>
                    <w14:schemeClr w14:val="tx1"/>
                  </w14:solidFill>
                </w14:textFill>
              </w:rPr>
            </w:pPr>
            <w:r>
              <w:rPr>
                <w:color w:val="000000" w:themeColor="text1"/>
                <w14:textFill>
                  <w14:solidFill>
                    <w14:schemeClr w14:val="tx1"/>
                  </w14:solidFill>
                </w14:textFill>
              </w:rPr>
              <w:t>清净废水预处理系统</w:t>
            </w:r>
          </w:p>
        </w:tc>
        <w:tc>
          <w:tcPr>
            <w:tcW w:w="1201" w:type="dxa"/>
            <w:tcMar>
              <w:left w:w="0" w:type="dxa"/>
              <w:right w:w="0" w:type="dxa"/>
            </w:tcMar>
            <w:vAlign w:val="center"/>
          </w:tcPr>
          <w:p w14:paraId="11890342">
            <w:pPr>
              <w:pStyle w:val="70"/>
              <w:rPr>
                <w:color w:val="000000" w:themeColor="text1"/>
                <w14:textFill>
                  <w14:solidFill>
                    <w14:schemeClr w14:val="tx1"/>
                  </w14:solidFill>
                </w14:textFill>
              </w:rPr>
            </w:pPr>
            <w:r>
              <w:rPr>
                <w:color w:val="000000" w:themeColor="text1"/>
                <w14:textFill>
                  <w14:solidFill>
                    <w14:schemeClr w14:val="tx1"/>
                  </w14:solidFill>
                </w14:textFill>
              </w:rPr>
              <w:t>低浓度</w:t>
            </w:r>
          </w:p>
        </w:tc>
        <w:tc>
          <w:tcPr>
            <w:tcW w:w="964" w:type="dxa"/>
            <w:tcMar>
              <w:left w:w="0" w:type="dxa"/>
              <w:right w:w="0" w:type="dxa"/>
            </w:tcMar>
            <w:vAlign w:val="center"/>
          </w:tcPr>
          <w:p w14:paraId="26462A47">
            <w:pPr>
              <w:pStyle w:val="70"/>
              <w:rPr>
                <w:color w:val="000000" w:themeColor="text1"/>
                <w14:textFill>
                  <w14:solidFill>
                    <w14:schemeClr w14:val="tx1"/>
                  </w14:solidFill>
                </w14:textFill>
              </w:rPr>
            </w:pPr>
            <w:r>
              <w:rPr>
                <w:color w:val="000000" w:themeColor="text1"/>
                <w14:textFill>
                  <w14:solidFill>
                    <w14:schemeClr w14:val="tx1"/>
                  </w14:solidFill>
                </w14:textFill>
              </w:rPr>
              <w:t>3~9</w:t>
            </w:r>
          </w:p>
        </w:tc>
        <w:tc>
          <w:tcPr>
            <w:tcW w:w="834" w:type="dxa"/>
            <w:tcMar>
              <w:left w:w="0" w:type="dxa"/>
              <w:right w:w="0" w:type="dxa"/>
            </w:tcMar>
            <w:vAlign w:val="center"/>
          </w:tcPr>
          <w:p w14:paraId="59B26E04">
            <w:pPr>
              <w:pStyle w:val="70"/>
              <w:rPr>
                <w:color w:val="000000" w:themeColor="text1"/>
                <w14:textFill>
                  <w14:solidFill>
                    <w14:schemeClr w14:val="tx1"/>
                  </w14:solidFill>
                </w14:textFill>
              </w:rPr>
            </w:pPr>
            <w:r>
              <w:rPr>
                <w:color w:val="000000" w:themeColor="text1"/>
                <w14:textFill>
                  <w14:solidFill>
                    <w14:schemeClr w14:val="tx1"/>
                  </w14:solidFill>
                </w14:textFill>
              </w:rPr>
              <w:t>100</w:t>
            </w:r>
          </w:p>
        </w:tc>
        <w:tc>
          <w:tcPr>
            <w:tcW w:w="852" w:type="dxa"/>
            <w:tcMar>
              <w:left w:w="0" w:type="dxa"/>
              <w:right w:w="0" w:type="dxa"/>
            </w:tcMar>
            <w:vAlign w:val="center"/>
          </w:tcPr>
          <w:p w14:paraId="27F6EF8A">
            <w:pPr>
              <w:pStyle w:val="70"/>
              <w:rPr>
                <w:color w:val="000000" w:themeColor="text1"/>
                <w14:textFill>
                  <w14:solidFill>
                    <w14:schemeClr w14:val="tx1"/>
                  </w14:solidFill>
                </w14:textFill>
              </w:rPr>
            </w:pPr>
            <w:r>
              <w:rPr>
                <w:color w:val="000000" w:themeColor="text1"/>
                <w14:textFill>
                  <w14:solidFill>
                    <w14:schemeClr w14:val="tx1"/>
                  </w14:solidFill>
                </w14:textFill>
              </w:rPr>
              <w:t>20</w:t>
            </w:r>
          </w:p>
        </w:tc>
        <w:tc>
          <w:tcPr>
            <w:tcW w:w="609" w:type="dxa"/>
            <w:tcMar>
              <w:left w:w="0" w:type="dxa"/>
              <w:right w:w="0" w:type="dxa"/>
            </w:tcMar>
            <w:vAlign w:val="center"/>
          </w:tcPr>
          <w:p w14:paraId="52A6489B">
            <w:pPr>
              <w:pStyle w:val="70"/>
              <w:rPr>
                <w:color w:val="000000" w:themeColor="text1"/>
                <w14:textFill>
                  <w14:solidFill>
                    <w14:schemeClr w14:val="tx1"/>
                  </w14:solidFill>
                </w14:textFill>
              </w:rPr>
            </w:pPr>
            <w:r>
              <w:rPr>
                <w:color w:val="000000" w:themeColor="text1"/>
                <w14:textFill>
                  <w14:solidFill>
                    <w14:schemeClr w14:val="tx1"/>
                  </w14:solidFill>
                </w14:textFill>
              </w:rPr>
              <w:t>70</w:t>
            </w:r>
          </w:p>
        </w:tc>
        <w:tc>
          <w:tcPr>
            <w:tcW w:w="609" w:type="dxa"/>
            <w:tcMar>
              <w:left w:w="0" w:type="dxa"/>
              <w:right w:w="0" w:type="dxa"/>
            </w:tcMar>
            <w:vAlign w:val="center"/>
          </w:tcPr>
          <w:p w14:paraId="17FF6A2F">
            <w:pPr>
              <w:pStyle w:val="70"/>
              <w:rPr>
                <w:color w:val="000000" w:themeColor="text1"/>
                <w14:textFill>
                  <w14:solidFill>
                    <w14:schemeClr w14:val="tx1"/>
                  </w14:solidFill>
                </w14:textFill>
              </w:rPr>
            </w:pPr>
            <w:r>
              <w:rPr>
                <w:color w:val="000000" w:themeColor="text1"/>
                <w14:textFill>
                  <w14:solidFill>
                    <w14:schemeClr w14:val="tx1"/>
                  </w14:solidFill>
                </w14:textFill>
              </w:rPr>
              <w:t>8</w:t>
            </w:r>
          </w:p>
        </w:tc>
        <w:tc>
          <w:tcPr>
            <w:tcW w:w="709" w:type="dxa"/>
            <w:tcMar>
              <w:left w:w="0" w:type="dxa"/>
              <w:right w:w="0" w:type="dxa"/>
            </w:tcMar>
            <w:vAlign w:val="center"/>
          </w:tcPr>
          <w:p w14:paraId="0DEAB54B">
            <w:pPr>
              <w:pStyle w:val="70"/>
              <w:rPr>
                <w:color w:val="000000" w:themeColor="text1"/>
                <w14:textFill>
                  <w14:solidFill>
                    <w14:schemeClr w14:val="tx1"/>
                  </w14:solidFill>
                </w14:textFill>
              </w:rPr>
            </w:pPr>
            <w:r>
              <w:rPr>
                <w:color w:val="000000" w:themeColor="text1"/>
                <w14:textFill>
                  <w14:solidFill>
                    <w14:schemeClr w14:val="tx1"/>
                  </w14:solidFill>
                </w14:textFill>
              </w:rPr>
              <w:t>5</w:t>
            </w:r>
          </w:p>
        </w:tc>
        <w:tc>
          <w:tcPr>
            <w:tcW w:w="951" w:type="dxa"/>
            <w:tcMar>
              <w:left w:w="0" w:type="dxa"/>
              <w:right w:w="0" w:type="dxa"/>
            </w:tcMar>
            <w:vAlign w:val="center"/>
          </w:tcPr>
          <w:p w14:paraId="3C24DECB">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0689C5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313" w:type="dxa"/>
            <w:tcMar>
              <w:left w:w="0" w:type="dxa"/>
              <w:right w:w="0" w:type="dxa"/>
            </w:tcMar>
            <w:vAlign w:val="center"/>
          </w:tcPr>
          <w:p w14:paraId="04F459F2">
            <w:pPr>
              <w:pStyle w:val="70"/>
              <w:rPr>
                <w:color w:val="000000" w:themeColor="text1"/>
                <w14:textFill>
                  <w14:solidFill>
                    <w14:schemeClr w14:val="tx1"/>
                  </w14:solidFill>
                </w14:textFill>
              </w:rPr>
            </w:pPr>
            <w:r>
              <w:rPr>
                <w:color w:val="000000" w:themeColor="text1"/>
                <w14:textFill>
                  <w14:solidFill>
                    <w14:schemeClr w14:val="tx1"/>
                  </w14:solidFill>
                </w14:textFill>
              </w:rPr>
              <w:t>综合废水处理系统</w:t>
            </w:r>
          </w:p>
        </w:tc>
        <w:tc>
          <w:tcPr>
            <w:tcW w:w="1201" w:type="dxa"/>
            <w:tcMar>
              <w:left w:w="0" w:type="dxa"/>
              <w:right w:w="0" w:type="dxa"/>
            </w:tcMar>
            <w:vAlign w:val="center"/>
          </w:tcPr>
          <w:p w14:paraId="3DDD486E">
            <w:pPr>
              <w:pStyle w:val="70"/>
              <w:rPr>
                <w:color w:val="000000" w:themeColor="text1"/>
                <w14:textFill>
                  <w14:solidFill>
                    <w14:schemeClr w14:val="tx1"/>
                  </w14:solidFill>
                </w14:textFill>
              </w:rPr>
            </w:pPr>
            <w:r>
              <w:rPr>
                <w:color w:val="000000" w:themeColor="text1"/>
                <w14:textFill>
                  <w14:solidFill>
                    <w14:schemeClr w14:val="tx1"/>
                  </w14:solidFill>
                </w14:textFill>
              </w:rPr>
              <w:t>低浓度</w:t>
            </w:r>
          </w:p>
        </w:tc>
        <w:tc>
          <w:tcPr>
            <w:tcW w:w="964" w:type="dxa"/>
            <w:tcMar>
              <w:left w:w="0" w:type="dxa"/>
              <w:right w:w="0" w:type="dxa"/>
            </w:tcMar>
            <w:vAlign w:val="center"/>
          </w:tcPr>
          <w:p w14:paraId="07BF8D70">
            <w:pPr>
              <w:pStyle w:val="70"/>
              <w:rPr>
                <w:color w:val="000000" w:themeColor="text1"/>
                <w14:textFill>
                  <w14:solidFill>
                    <w14:schemeClr w14:val="tx1"/>
                  </w14:solidFill>
                </w14:textFill>
              </w:rPr>
            </w:pPr>
            <w:r>
              <w:rPr>
                <w:color w:val="000000" w:themeColor="text1"/>
                <w14:textFill>
                  <w14:solidFill>
                    <w14:schemeClr w14:val="tx1"/>
                  </w14:solidFill>
                </w14:textFill>
              </w:rPr>
              <w:t>6~9</w:t>
            </w:r>
          </w:p>
        </w:tc>
        <w:tc>
          <w:tcPr>
            <w:tcW w:w="834" w:type="dxa"/>
            <w:tcMar>
              <w:left w:w="0" w:type="dxa"/>
              <w:right w:w="0" w:type="dxa"/>
            </w:tcMar>
            <w:vAlign w:val="center"/>
          </w:tcPr>
          <w:p w14:paraId="5C1247A4">
            <w:pPr>
              <w:pStyle w:val="70"/>
              <w:rPr>
                <w:color w:val="000000" w:themeColor="text1"/>
                <w14:textFill>
                  <w14:solidFill>
                    <w14:schemeClr w14:val="tx1"/>
                  </w14:solidFill>
                </w14:textFill>
              </w:rPr>
            </w:pPr>
            <w:r>
              <w:rPr>
                <w:color w:val="000000" w:themeColor="text1"/>
                <w14:textFill>
                  <w14:solidFill>
                    <w14:schemeClr w14:val="tx1"/>
                  </w14:solidFill>
                </w14:textFill>
              </w:rPr>
              <w:t>2000</w:t>
            </w:r>
          </w:p>
        </w:tc>
        <w:tc>
          <w:tcPr>
            <w:tcW w:w="852" w:type="dxa"/>
            <w:tcMar>
              <w:left w:w="0" w:type="dxa"/>
              <w:right w:w="0" w:type="dxa"/>
            </w:tcMar>
            <w:vAlign w:val="center"/>
          </w:tcPr>
          <w:p w14:paraId="60FEEBD5">
            <w:pPr>
              <w:pStyle w:val="70"/>
              <w:rPr>
                <w:color w:val="000000" w:themeColor="text1"/>
                <w14:textFill>
                  <w14:solidFill>
                    <w14:schemeClr w14:val="tx1"/>
                  </w14:solidFill>
                </w14:textFill>
              </w:rPr>
            </w:pPr>
            <w:r>
              <w:rPr>
                <w:color w:val="000000" w:themeColor="text1"/>
                <w14:textFill>
                  <w14:solidFill>
                    <w14:schemeClr w14:val="tx1"/>
                  </w14:solidFill>
                </w14:textFill>
              </w:rPr>
              <w:t>600</w:t>
            </w:r>
          </w:p>
        </w:tc>
        <w:tc>
          <w:tcPr>
            <w:tcW w:w="609" w:type="dxa"/>
            <w:tcMar>
              <w:left w:w="0" w:type="dxa"/>
              <w:right w:w="0" w:type="dxa"/>
            </w:tcMar>
            <w:vAlign w:val="center"/>
          </w:tcPr>
          <w:p w14:paraId="18FB1E88">
            <w:pPr>
              <w:pStyle w:val="70"/>
              <w:rPr>
                <w:color w:val="000000" w:themeColor="text1"/>
                <w14:textFill>
                  <w14:solidFill>
                    <w14:schemeClr w14:val="tx1"/>
                  </w14:solidFill>
                </w14:textFill>
              </w:rPr>
            </w:pPr>
            <w:r>
              <w:rPr>
                <w:color w:val="000000" w:themeColor="text1"/>
                <w14:textFill>
                  <w14:solidFill>
                    <w14:schemeClr w14:val="tx1"/>
                  </w14:solidFill>
                </w14:textFill>
              </w:rPr>
              <w:t>400</w:t>
            </w:r>
          </w:p>
        </w:tc>
        <w:tc>
          <w:tcPr>
            <w:tcW w:w="609" w:type="dxa"/>
            <w:tcMar>
              <w:left w:w="0" w:type="dxa"/>
              <w:right w:w="0" w:type="dxa"/>
            </w:tcMar>
            <w:vAlign w:val="center"/>
          </w:tcPr>
          <w:p w14:paraId="4DEBB647">
            <w:pPr>
              <w:pStyle w:val="70"/>
              <w:rPr>
                <w:color w:val="000000" w:themeColor="text1"/>
                <w14:textFill>
                  <w14:solidFill>
                    <w14:schemeClr w14:val="tx1"/>
                  </w14:solidFill>
                </w14:textFill>
              </w:rPr>
            </w:pPr>
            <w:r>
              <w:rPr>
                <w:color w:val="000000" w:themeColor="text1"/>
                <w14:textFill>
                  <w14:solidFill>
                    <w14:schemeClr w14:val="tx1"/>
                  </w14:solidFill>
                </w14:textFill>
              </w:rPr>
              <w:t>160</w:t>
            </w:r>
          </w:p>
        </w:tc>
        <w:tc>
          <w:tcPr>
            <w:tcW w:w="709" w:type="dxa"/>
            <w:tcMar>
              <w:left w:w="0" w:type="dxa"/>
              <w:right w:w="0" w:type="dxa"/>
            </w:tcMar>
            <w:vAlign w:val="center"/>
          </w:tcPr>
          <w:p w14:paraId="42AF7D47">
            <w:pPr>
              <w:pStyle w:val="70"/>
              <w:rPr>
                <w:color w:val="000000" w:themeColor="text1"/>
                <w14:textFill>
                  <w14:solidFill>
                    <w14:schemeClr w14:val="tx1"/>
                  </w14:solidFill>
                </w14:textFill>
              </w:rPr>
            </w:pPr>
            <w:r>
              <w:rPr>
                <w:color w:val="000000" w:themeColor="text1"/>
                <w14:textFill>
                  <w14:solidFill>
                    <w14:schemeClr w14:val="tx1"/>
                  </w14:solidFill>
                </w14:textFill>
              </w:rPr>
              <w:t>70</w:t>
            </w:r>
          </w:p>
        </w:tc>
        <w:tc>
          <w:tcPr>
            <w:tcW w:w="951" w:type="dxa"/>
            <w:tcMar>
              <w:left w:w="0" w:type="dxa"/>
              <w:right w:w="0" w:type="dxa"/>
            </w:tcMar>
            <w:vAlign w:val="center"/>
          </w:tcPr>
          <w:p w14:paraId="63E9897D">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5F1590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313" w:type="dxa"/>
            <w:tcMar>
              <w:left w:w="0" w:type="dxa"/>
              <w:right w:w="0" w:type="dxa"/>
            </w:tcMar>
            <w:vAlign w:val="center"/>
          </w:tcPr>
          <w:p w14:paraId="2C0B81B3">
            <w:pPr>
              <w:pStyle w:val="70"/>
              <w:rPr>
                <w:color w:val="000000" w:themeColor="text1"/>
                <w14:textFill>
                  <w14:solidFill>
                    <w14:schemeClr w14:val="tx1"/>
                  </w14:solidFill>
                </w14:textFill>
              </w:rPr>
            </w:pPr>
            <w:r>
              <w:rPr>
                <w:color w:val="000000" w:themeColor="text1"/>
                <w14:textFill>
                  <w14:solidFill>
                    <w14:schemeClr w14:val="tx1"/>
                  </w14:solidFill>
                </w14:textFill>
              </w:rPr>
              <w:t>回用处理系统</w:t>
            </w:r>
          </w:p>
        </w:tc>
        <w:tc>
          <w:tcPr>
            <w:tcW w:w="1201" w:type="dxa"/>
            <w:tcMar>
              <w:left w:w="0" w:type="dxa"/>
              <w:right w:w="0" w:type="dxa"/>
            </w:tcMar>
            <w:vAlign w:val="center"/>
          </w:tcPr>
          <w:p w14:paraId="32F469CE">
            <w:pPr>
              <w:pStyle w:val="70"/>
              <w:rPr>
                <w:color w:val="000000" w:themeColor="text1"/>
                <w14:textFill>
                  <w14:solidFill>
                    <w14:schemeClr w14:val="tx1"/>
                  </w14:solidFill>
                </w14:textFill>
              </w:rPr>
            </w:pPr>
            <w:r>
              <w:rPr>
                <w:color w:val="000000" w:themeColor="text1"/>
                <w14:textFill>
                  <w14:solidFill>
                    <w14:schemeClr w14:val="tx1"/>
                  </w14:solidFill>
                </w14:textFill>
              </w:rPr>
              <w:t>含盐</w:t>
            </w:r>
          </w:p>
        </w:tc>
        <w:tc>
          <w:tcPr>
            <w:tcW w:w="964" w:type="dxa"/>
            <w:tcMar>
              <w:left w:w="0" w:type="dxa"/>
              <w:right w:w="0" w:type="dxa"/>
            </w:tcMar>
            <w:vAlign w:val="center"/>
          </w:tcPr>
          <w:p w14:paraId="534B3925">
            <w:pPr>
              <w:pStyle w:val="70"/>
              <w:rPr>
                <w:color w:val="000000" w:themeColor="text1"/>
                <w14:textFill>
                  <w14:solidFill>
                    <w14:schemeClr w14:val="tx1"/>
                  </w14:solidFill>
                </w14:textFill>
              </w:rPr>
            </w:pPr>
            <w:r>
              <w:rPr>
                <w:color w:val="000000" w:themeColor="text1"/>
                <w14:textFill>
                  <w14:solidFill>
                    <w14:schemeClr w14:val="tx1"/>
                  </w14:solidFill>
                </w14:textFill>
              </w:rPr>
              <w:t>6~9</w:t>
            </w:r>
          </w:p>
        </w:tc>
        <w:tc>
          <w:tcPr>
            <w:tcW w:w="834" w:type="dxa"/>
            <w:tcMar>
              <w:left w:w="0" w:type="dxa"/>
              <w:right w:w="0" w:type="dxa"/>
            </w:tcMar>
            <w:vAlign w:val="center"/>
          </w:tcPr>
          <w:p w14:paraId="76269C8F">
            <w:pPr>
              <w:pStyle w:val="70"/>
              <w:rPr>
                <w:color w:val="000000" w:themeColor="text1"/>
                <w14:textFill>
                  <w14:solidFill>
                    <w14:schemeClr w14:val="tx1"/>
                  </w14:solidFill>
                </w14:textFill>
              </w:rPr>
            </w:pPr>
            <w:r>
              <w:rPr>
                <w:color w:val="000000" w:themeColor="text1"/>
                <w14:textFill>
                  <w14:solidFill>
                    <w14:schemeClr w14:val="tx1"/>
                  </w14:solidFill>
                </w14:textFill>
              </w:rPr>
              <w:t>75</w:t>
            </w:r>
          </w:p>
        </w:tc>
        <w:tc>
          <w:tcPr>
            <w:tcW w:w="852" w:type="dxa"/>
            <w:tcMar>
              <w:left w:w="0" w:type="dxa"/>
              <w:right w:w="0" w:type="dxa"/>
            </w:tcMar>
            <w:vAlign w:val="center"/>
          </w:tcPr>
          <w:p w14:paraId="666B6EE6">
            <w:pPr>
              <w:pStyle w:val="70"/>
              <w:rPr>
                <w:color w:val="000000" w:themeColor="text1"/>
                <w14:textFill>
                  <w14:solidFill>
                    <w14:schemeClr w14:val="tx1"/>
                  </w14:solidFill>
                </w14:textFill>
              </w:rPr>
            </w:pPr>
            <w:r>
              <w:rPr>
                <w:color w:val="000000" w:themeColor="text1"/>
                <w14:textFill>
                  <w14:solidFill>
                    <w14:schemeClr w14:val="tx1"/>
                  </w14:solidFill>
                </w14:textFill>
              </w:rPr>
              <w:t>6</w:t>
            </w:r>
          </w:p>
        </w:tc>
        <w:tc>
          <w:tcPr>
            <w:tcW w:w="609" w:type="dxa"/>
            <w:tcMar>
              <w:left w:w="0" w:type="dxa"/>
              <w:right w:w="0" w:type="dxa"/>
            </w:tcMar>
            <w:vAlign w:val="center"/>
          </w:tcPr>
          <w:p w14:paraId="57ECCC37">
            <w:pPr>
              <w:pStyle w:val="70"/>
              <w:rPr>
                <w:color w:val="000000" w:themeColor="text1"/>
                <w14:textFill>
                  <w14:solidFill>
                    <w14:schemeClr w14:val="tx1"/>
                  </w14:solidFill>
                </w14:textFill>
              </w:rPr>
            </w:pPr>
            <w:r>
              <w:rPr>
                <w:color w:val="000000" w:themeColor="text1"/>
                <w14:textFill>
                  <w14:solidFill>
                    <w14:schemeClr w14:val="tx1"/>
                  </w14:solidFill>
                </w14:textFill>
              </w:rPr>
              <w:t>6</w:t>
            </w:r>
          </w:p>
        </w:tc>
        <w:tc>
          <w:tcPr>
            <w:tcW w:w="609" w:type="dxa"/>
            <w:tcMar>
              <w:left w:w="0" w:type="dxa"/>
              <w:right w:w="0" w:type="dxa"/>
            </w:tcMar>
            <w:vAlign w:val="center"/>
          </w:tcPr>
          <w:p w14:paraId="5D1D1031">
            <w:pPr>
              <w:pStyle w:val="70"/>
              <w:rPr>
                <w:color w:val="000000" w:themeColor="text1"/>
                <w14:textFill>
                  <w14:solidFill>
                    <w14:schemeClr w14:val="tx1"/>
                  </w14:solidFill>
                </w14:textFill>
              </w:rPr>
            </w:pPr>
            <w:r>
              <w:rPr>
                <w:color w:val="000000" w:themeColor="text1"/>
                <w14:textFill>
                  <w14:solidFill>
                    <w14:schemeClr w14:val="tx1"/>
                  </w14:solidFill>
                </w14:textFill>
              </w:rPr>
              <w:t>4.8</w:t>
            </w:r>
          </w:p>
        </w:tc>
        <w:tc>
          <w:tcPr>
            <w:tcW w:w="709" w:type="dxa"/>
            <w:tcMar>
              <w:left w:w="0" w:type="dxa"/>
              <w:right w:w="0" w:type="dxa"/>
            </w:tcMar>
            <w:vAlign w:val="center"/>
          </w:tcPr>
          <w:p w14:paraId="79FFF2C0">
            <w:pPr>
              <w:pStyle w:val="70"/>
              <w:rPr>
                <w:color w:val="000000" w:themeColor="text1"/>
                <w14:textFill>
                  <w14:solidFill>
                    <w14:schemeClr w14:val="tx1"/>
                  </w14:solidFill>
                </w14:textFill>
              </w:rPr>
            </w:pPr>
            <w:r>
              <w:rPr>
                <w:color w:val="000000" w:themeColor="text1"/>
                <w14:textFill>
                  <w14:solidFill>
                    <w14:schemeClr w14:val="tx1"/>
                  </w14:solidFill>
                </w14:textFill>
              </w:rPr>
              <w:t>5</w:t>
            </w:r>
          </w:p>
        </w:tc>
        <w:tc>
          <w:tcPr>
            <w:tcW w:w="951" w:type="dxa"/>
            <w:tcMar>
              <w:left w:w="0" w:type="dxa"/>
              <w:right w:w="0" w:type="dxa"/>
            </w:tcMar>
            <w:vAlign w:val="center"/>
          </w:tcPr>
          <w:p w14:paraId="380C9D79">
            <w:pPr>
              <w:pStyle w:val="70"/>
              <w:rPr>
                <w:color w:val="000000" w:themeColor="text1"/>
                <w14:textFill>
                  <w14:solidFill>
                    <w14:schemeClr w14:val="tx1"/>
                  </w14:solidFill>
                </w14:textFill>
              </w:rPr>
            </w:pPr>
            <w:r>
              <w:rPr>
                <w:color w:val="000000" w:themeColor="text1"/>
                <w14:textFill>
                  <w14:solidFill>
                    <w14:schemeClr w14:val="tx1"/>
                  </w14:solidFill>
                </w14:textFill>
              </w:rPr>
              <w:t>8000</w:t>
            </w:r>
          </w:p>
        </w:tc>
      </w:tr>
    </w:tbl>
    <w:p w14:paraId="4B7598C6">
      <w:pPr>
        <w:ind w:firstLine="480"/>
        <w:rPr>
          <w:color w:val="000000" w:themeColor="text1"/>
          <w14:textFill>
            <w14:solidFill>
              <w14:schemeClr w14:val="tx1"/>
            </w14:solidFill>
          </w14:textFill>
        </w:rPr>
      </w:pPr>
      <w:r>
        <w:rPr>
          <w:color w:val="000000" w:themeColor="text1"/>
          <w14:textFill>
            <w14:solidFill>
              <w14:schemeClr w14:val="tx1"/>
            </w14:solidFill>
          </w14:textFill>
        </w:rPr>
        <w:t>船舶在港期间船舶污水执行《沿海海域船舶排污设备铅封管理规定》，不得排放到港口水体。船舶靠港时，船舶污水如需处理，可委托有资质的单位接收处置。船舶航行途中船舶污水自行处理时，污染物排放执行《船舶水污染物排放控制标准》（GB3552-2018），见下表。</w:t>
      </w:r>
    </w:p>
    <w:p w14:paraId="2A57A23C">
      <w:pPr>
        <w:pStyle w:val="7"/>
        <w:rPr>
          <w:color w:val="000000" w:themeColor="text1"/>
          <w14:textFill>
            <w14:solidFill>
              <w14:schemeClr w14:val="tx1"/>
            </w14:solidFill>
          </w14:textFill>
        </w:rPr>
      </w:pPr>
      <w:r>
        <w:rPr>
          <w:color w:val="000000" w:themeColor="text1"/>
          <w14:textFill>
            <w14:solidFill>
              <w14:schemeClr w14:val="tx1"/>
            </w14:solidFill>
          </w14:textFill>
        </w:rPr>
        <w:t>《船舶水污染物排放控制标准》（GB3552-2018）摘录  单位mg/L</w:t>
      </w:r>
    </w:p>
    <w:tbl>
      <w:tblPr>
        <w:tblStyle w:val="43"/>
        <w:tblW w:w="904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64"/>
        <w:gridCol w:w="696"/>
        <w:gridCol w:w="696"/>
        <w:gridCol w:w="2064"/>
        <w:gridCol w:w="3853"/>
        <w:gridCol w:w="1069"/>
      </w:tblGrid>
      <w:tr w14:paraId="52A952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60" w:type="dxa"/>
            <w:gridSpan w:val="2"/>
            <w:vAlign w:val="center"/>
          </w:tcPr>
          <w:p w14:paraId="01F69520">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污水类型</w:t>
            </w:r>
          </w:p>
        </w:tc>
        <w:tc>
          <w:tcPr>
            <w:tcW w:w="696" w:type="dxa"/>
            <w:vAlign w:val="center"/>
          </w:tcPr>
          <w:p w14:paraId="2795D06B">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水域类别</w:t>
            </w:r>
          </w:p>
        </w:tc>
        <w:tc>
          <w:tcPr>
            <w:tcW w:w="2064" w:type="dxa"/>
            <w:vAlign w:val="center"/>
          </w:tcPr>
          <w:p w14:paraId="5FA3BA08">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船舶类别</w:t>
            </w:r>
          </w:p>
        </w:tc>
        <w:tc>
          <w:tcPr>
            <w:tcW w:w="3853" w:type="dxa"/>
            <w:vAlign w:val="center"/>
          </w:tcPr>
          <w:p w14:paraId="5B92D65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排放控制标准</w:t>
            </w:r>
          </w:p>
        </w:tc>
        <w:tc>
          <w:tcPr>
            <w:tcW w:w="1069" w:type="dxa"/>
            <w:vAlign w:val="center"/>
          </w:tcPr>
          <w:p w14:paraId="3BAD82D0">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污染物排放监控位置</w:t>
            </w:r>
          </w:p>
        </w:tc>
      </w:tr>
      <w:tr w14:paraId="6396AD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4" w:type="dxa"/>
            <w:vMerge w:val="restart"/>
            <w:vAlign w:val="center"/>
          </w:tcPr>
          <w:p w14:paraId="374BA8CC">
            <w:pPr>
              <w:pStyle w:val="70"/>
              <w:rPr>
                <w:color w:val="000000" w:themeColor="text1"/>
                <w14:textFill>
                  <w14:solidFill>
                    <w14:schemeClr w14:val="tx1"/>
                  </w14:solidFill>
                </w14:textFill>
              </w:rPr>
            </w:pPr>
            <w:r>
              <w:rPr>
                <w:color w:val="000000" w:themeColor="text1"/>
                <w14:textFill>
                  <w14:solidFill>
                    <w14:schemeClr w14:val="tx1"/>
                  </w14:solidFill>
                </w14:textFill>
              </w:rPr>
              <w:t>含油污水</w:t>
            </w:r>
          </w:p>
        </w:tc>
        <w:tc>
          <w:tcPr>
            <w:tcW w:w="696" w:type="dxa"/>
            <w:vMerge w:val="restart"/>
            <w:vAlign w:val="center"/>
          </w:tcPr>
          <w:p w14:paraId="7EC7D831">
            <w:pPr>
              <w:pStyle w:val="70"/>
              <w:rPr>
                <w:color w:val="000000" w:themeColor="text1"/>
                <w14:textFill>
                  <w14:solidFill>
                    <w14:schemeClr w14:val="tx1"/>
                  </w14:solidFill>
                </w14:textFill>
              </w:rPr>
            </w:pPr>
            <w:r>
              <w:rPr>
                <w:color w:val="000000" w:themeColor="text1"/>
                <w14:textFill>
                  <w14:solidFill>
                    <w14:schemeClr w14:val="tx1"/>
                  </w14:solidFill>
                </w14:textFill>
              </w:rPr>
              <w:t>机器处所污水</w:t>
            </w:r>
          </w:p>
        </w:tc>
        <w:tc>
          <w:tcPr>
            <w:tcW w:w="696" w:type="dxa"/>
            <w:vMerge w:val="restart"/>
            <w:vAlign w:val="center"/>
          </w:tcPr>
          <w:p w14:paraId="2C53E34A">
            <w:pPr>
              <w:pStyle w:val="70"/>
              <w:rPr>
                <w:color w:val="000000" w:themeColor="text1"/>
                <w14:textFill>
                  <w14:solidFill>
                    <w14:schemeClr w14:val="tx1"/>
                  </w14:solidFill>
                </w14:textFill>
              </w:rPr>
            </w:pPr>
            <w:r>
              <w:rPr>
                <w:color w:val="000000" w:themeColor="text1"/>
                <w14:textFill>
                  <w14:solidFill>
                    <w14:schemeClr w14:val="tx1"/>
                  </w14:solidFill>
                </w14:textFill>
              </w:rPr>
              <w:t>内河</w:t>
            </w:r>
          </w:p>
        </w:tc>
        <w:tc>
          <w:tcPr>
            <w:tcW w:w="2064" w:type="dxa"/>
            <w:vAlign w:val="center"/>
          </w:tcPr>
          <w:p w14:paraId="5C2691B7">
            <w:pPr>
              <w:pStyle w:val="70"/>
              <w:rPr>
                <w:color w:val="000000" w:themeColor="text1"/>
                <w14:textFill>
                  <w14:solidFill>
                    <w14:schemeClr w14:val="tx1"/>
                  </w14:solidFill>
                </w14:textFill>
              </w:rPr>
            </w:pPr>
            <w:r>
              <w:rPr>
                <w:color w:val="000000" w:themeColor="text1"/>
                <w14:textFill>
                  <w14:solidFill>
                    <w14:schemeClr w14:val="tx1"/>
                  </w14:solidFill>
                </w14:textFill>
              </w:rPr>
              <w:t>2021年1月1日之前建造的船舶</w:t>
            </w:r>
          </w:p>
        </w:tc>
        <w:tc>
          <w:tcPr>
            <w:tcW w:w="3853" w:type="dxa"/>
            <w:vAlign w:val="center"/>
          </w:tcPr>
          <w:p w14:paraId="64D84662">
            <w:pPr>
              <w:pStyle w:val="70"/>
              <w:rPr>
                <w:color w:val="000000" w:themeColor="text1"/>
                <w14:textFill>
                  <w14:solidFill>
                    <w14:schemeClr w14:val="tx1"/>
                  </w14:solidFill>
                </w14:textFill>
              </w:rPr>
            </w:pPr>
            <w:r>
              <w:rPr>
                <w:color w:val="000000" w:themeColor="text1"/>
                <w14:textFill>
                  <w14:solidFill>
                    <w14:schemeClr w14:val="tx1"/>
                  </w14:solidFill>
                </w14:textFill>
              </w:rPr>
              <w:t>石油类≤15或收集并排入接收设施</w:t>
            </w:r>
          </w:p>
        </w:tc>
        <w:tc>
          <w:tcPr>
            <w:tcW w:w="1069" w:type="dxa"/>
            <w:vMerge w:val="restart"/>
            <w:vAlign w:val="center"/>
          </w:tcPr>
          <w:p w14:paraId="604A822B">
            <w:pPr>
              <w:pStyle w:val="70"/>
              <w:rPr>
                <w:color w:val="000000" w:themeColor="text1"/>
                <w14:textFill>
                  <w14:solidFill>
                    <w14:schemeClr w14:val="tx1"/>
                  </w14:solidFill>
                </w14:textFill>
              </w:rPr>
            </w:pPr>
            <w:r>
              <w:rPr>
                <w:color w:val="000000" w:themeColor="text1"/>
                <w14:textFill>
                  <w14:solidFill>
                    <w14:schemeClr w14:val="tx1"/>
                  </w14:solidFill>
                </w14:textFill>
              </w:rPr>
              <w:t>油污水处理装置出水口</w:t>
            </w:r>
          </w:p>
        </w:tc>
      </w:tr>
      <w:tr w14:paraId="7627F5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4" w:type="dxa"/>
            <w:vMerge w:val="continue"/>
            <w:vAlign w:val="center"/>
          </w:tcPr>
          <w:p w14:paraId="4DF511FD">
            <w:pPr>
              <w:pStyle w:val="70"/>
              <w:rPr>
                <w:color w:val="000000" w:themeColor="text1"/>
                <w14:textFill>
                  <w14:solidFill>
                    <w14:schemeClr w14:val="tx1"/>
                  </w14:solidFill>
                </w14:textFill>
              </w:rPr>
            </w:pPr>
          </w:p>
        </w:tc>
        <w:tc>
          <w:tcPr>
            <w:tcW w:w="696" w:type="dxa"/>
            <w:vMerge w:val="continue"/>
            <w:vAlign w:val="center"/>
          </w:tcPr>
          <w:p w14:paraId="72558843">
            <w:pPr>
              <w:pStyle w:val="70"/>
              <w:rPr>
                <w:color w:val="000000" w:themeColor="text1"/>
                <w14:textFill>
                  <w14:solidFill>
                    <w14:schemeClr w14:val="tx1"/>
                  </w14:solidFill>
                </w14:textFill>
              </w:rPr>
            </w:pPr>
          </w:p>
        </w:tc>
        <w:tc>
          <w:tcPr>
            <w:tcW w:w="696" w:type="dxa"/>
            <w:vMerge w:val="continue"/>
            <w:vAlign w:val="center"/>
          </w:tcPr>
          <w:p w14:paraId="3414E10F">
            <w:pPr>
              <w:pStyle w:val="70"/>
              <w:rPr>
                <w:color w:val="000000" w:themeColor="text1"/>
                <w14:textFill>
                  <w14:solidFill>
                    <w14:schemeClr w14:val="tx1"/>
                  </w14:solidFill>
                </w14:textFill>
              </w:rPr>
            </w:pPr>
          </w:p>
        </w:tc>
        <w:tc>
          <w:tcPr>
            <w:tcW w:w="2064" w:type="dxa"/>
            <w:vAlign w:val="center"/>
          </w:tcPr>
          <w:p w14:paraId="619E9B53">
            <w:pPr>
              <w:pStyle w:val="70"/>
              <w:rPr>
                <w:color w:val="000000" w:themeColor="text1"/>
                <w14:textFill>
                  <w14:solidFill>
                    <w14:schemeClr w14:val="tx1"/>
                  </w14:solidFill>
                </w14:textFill>
              </w:rPr>
            </w:pPr>
            <w:r>
              <w:rPr>
                <w:color w:val="000000" w:themeColor="text1"/>
                <w14:textFill>
                  <w14:solidFill>
                    <w14:schemeClr w14:val="tx1"/>
                  </w14:solidFill>
                </w14:textFill>
              </w:rPr>
              <w:t>2021年1月1日及以后建造的船舶</w:t>
            </w:r>
          </w:p>
        </w:tc>
        <w:tc>
          <w:tcPr>
            <w:tcW w:w="3853" w:type="dxa"/>
            <w:vAlign w:val="center"/>
          </w:tcPr>
          <w:p w14:paraId="0E2E652D">
            <w:pPr>
              <w:pStyle w:val="70"/>
              <w:rPr>
                <w:color w:val="000000" w:themeColor="text1"/>
                <w14:textFill>
                  <w14:solidFill>
                    <w14:schemeClr w14:val="tx1"/>
                  </w14:solidFill>
                </w14:textFill>
              </w:rPr>
            </w:pPr>
            <w:r>
              <w:rPr>
                <w:color w:val="000000" w:themeColor="text1"/>
                <w14:textFill>
                  <w14:solidFill>
                    <w14:schemeClr w14:val="tx1"/>
                  </w14:solidFill>
                </w14:textFill>
              </w:rPr>
              <w:t>收集并排入接收设施</w:t>
            </w:r>
          </w:p>
        </w:tc>
        <w:tc>
          <w:tcPr>
            <w:tcW w:w="1069" w:type="dxa"/>
            <w:vMerge w:val="continue"/>
            <w:vAlign w:val="center"/>
          </w:tcPr>
          <w:p w14:paraId="484F078C">
            <w:pPr>
              <w:pStyle w:val="70"/>
              <w:rPr>
                <w:color w:val="000000" w:themeColor="text1"/>
                <w14:textFill>
                  <w14:solidFill>
                    <w14:schemeClr w14:val="tx1"/>
                  </w14:solidFill>
                </w14:textFill>
              </w:rPr>
            </w:pPr>
          </w:p>
        </w:tc>
      </w:tr>
      <w:tr w14:paraId="21B1B7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4" w:type="dxa"/>
            <w:vMerge w:val="continue"/>
            <w:vAlign w:val="center"/>
          </w:tcPr>
          <w:p w14:paraId="484EB52D">
            <w:pPr>
              <w:pStyle w:val="70"/>
              <w:rPr>
                <w:color w:val="000000" w:themeColor="text1"/>
                <w14:textFill>
                  <w14:solidFill>
                    <w14:schemeClr w14:val="tx1"/>
                  </w14:solidFill>
                </w14:textFill>
              </w:rPr>
            </w:pPr>
          </w:p>
        </w:tc>
        <w:tc>
          <w:tcPr>
            <w:tcW w:w="696" w:type="dxa"/>
            <w:vMerge w:val="continue"/>
            <w:vAlign w:val="center"/>
          </w:tcPr>
          <w:p w14:paraId="5B087EE7">
            <w:pPr>
              <w:pStyle w:val="70"/>
              <w:rPr>
                <w:color w:val="000000" w:themeColor="text1"/>
                <w14:textFill>
                  <w14:solidFill>
                    <w14:schemeClr w14:val="tx1"/>
                  </w14:solidFill>
                </w14:textFill>
              </w:rPr>
            </w:pPr>
          </w:p>
        </w:tc>
        <w:tc>
          <w:tcPr>
            <w:tcW w:w="696" w:type="dxa"/>
            <w:vAlign w:val="center"/>
          </w:tcPr>
          <w:p w14:paraId="50C795BD">
            <w:pPr>
              <w:pStyle w:val="70"/>
              <w:rPr>
                <w:color w:val="000000" w:themeColor="text1"/>
                <w14:textFill>
                  <w14:solidFill>
                    <w14:schemeClr w14:val="tx1"/>
                  </w14:solidFill>
                </w14:textFill>
              </w:rPr>
            </w:pPr>
            <w:r>
              <w:rPr>
                <w:color w:val="000000" w:themeColor="text1"/>
                <w14:textFill>
                  <w14:solidFill>
                    <w14:schemeClr w14:val="tx1"/>
                  </w14:solidFill>
                </w14:textFill>
              </w:rPr>
              <w:t>沿海</w:t>
            </w:r>
          </w:p>
        </w:tc>
        <w:tc>
          <w:tcPr>
            <w:tcW w:w="2064" w:type="dxa"/>
            <w:vAlign w:val="center"/>
          </w:tcPr>
          <w:p w14:paraId="000AC429">
            <w:pPr>
              <w:pStyle w:val="70"/>
              <w:rPr>
                <w:color w:val="000000" w:themeColor="text1"/>
                <w14:textFill>
                  <w14:solidFill>
                    <w14:schemeClr w14:val="tx1"/>
                  </w14:solidFill>
                </w14:textFill>
              </w:rPr>
            </w:pPr>
            <w:r>
              <w:rPr>
                <w:color w:val="000000" w:themeColor="text1"/>
                <w14:textFill>
                  <w14:solidFill>
                    <w14:schemeClr w14:val="tx1"/>
                  </w14:solidFill>
                </w14:textFill>
              </w:rPr>
              <w:t>400总吨级以上船舶</w:t>
            </w:r>
          </w:p>
        </w:tc>
        <w:tc>
          <w:tcPr>
            <w:tcW w:w="3853" w:type="dxa"/>
            <w:vAlign w:val="center"/>
          </w:tcPr>
          <w:p w14:paraId="663B4B70">
            <w:pPr>
              <w:pStyle w:val="70"/>
              <w:rPr>
                <w:color w:val="000000" w:themeColor="text1"/>
                <w14:textFill>
                  <w14:solidFill>
                    <w14:schemeClr w14:val="tx1"/>
                  </w14:solidFill>
                </w14:textFill>
              </w:rPr>
            </w:pPr>
            <w:r>
              <w:rPr>
                <w:color w:val="000000" w:themeColor="text1"/>
                <w14:textFill>
                  <w14:solidFill>
                    <w14:schemeClr w14:val="tx1"/>
                  </w14:solidFill>
                </w14:textFill>
              </w:rPr>
              <w:t>石油类≤15或收集并排入接收设施</w:t>
            </w:r>
          </w:p>
        </w:tc>
        <w:tc>
          <w:tcPr>
            <w:tcW w:w="1069" w:type="dxa"/>
            <w:vMerge w:val="continue"/>
            <w:vAlign w:val="center"/>
          </w:tcPr>
          <w:p w14:paraId="1D62215D">
            <w:pPr>
              <w:pStyle w:val="70"/>
              <w:rPr>
                <w:color w:val="000000" w:themeColor="text1"/>
                <w14:textFill>
                  <w14:solidFill>
                    <w14:schemeClr w14:val="tx1"/>
                  </w14:solidFill>
                </w14:textFill>
              </w:rPr>
            </w:pPr>
          </w:p>
        </w:tc>
      </w:tr>
      <w:tr w14:paraId="6794B4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4" w:type="dxa"/>
            <w:vMerge w:val="continue"/>
            <w:vAlign w:val="center"/>
          </w:tcPr>
          <w:p w14:paraId="4268DF38">
            <w:pPr>
              <w:pStyle w:val="70"/>
              <w:rPr>
                <w:color w:val="000000" w:themeColor="text1"/>
                <w14:textFill>
                  <w14:solidFill>
                    <w14:schemeClr w14:val="tx1"/>
                  </w14:solidFill>
                </w14:textFill>
              </w:rPr>
            </w:pPr>
          </w:p>
        </w:tc>
        <w:tc>
          <w:tcPr>
            <w:tcW w:w="696" w:type="dxa"/>
            <w:vMerge w:val="restart"/>
            <w:vAlign w:val="center"/>
          </w:tcPr>
          <w:p w14:paraId="600B4CD6">
            <w:pPr>
              <w:pStyle w:val="70"/>
              <w:rPr>
                <w:color w:val="000000" w:themeColor="text1"/>
                <w14:textFill>
                  <w14:solidFill>
                    <w14:schemeClr w14:val="tx1"/>
                  </w14:solidFill>
                </w14:textFill>
              </w:rPr>
            </w:pPr>
            <w:r>
              <w:rPr>
                <w:color w:val="000000" w:themeColor="text1"/>
                <w14:textFill>
                  <w14:solidFill>
                    <w14:schemeClr w14:val="tx1"/>
                  </w14:solidFill>
                </w14:textFill>
              </w:rPr>
              <w:t>含货油残余物的油污水</w:t>
            </w:r>
          </w:p>
        </w:tc>
        <w:tc>
          <w:tcPr>
            <w:tcW w:w="696" w:type="dxa"/>
            <w:vAlign w:val="center"/>
          </w:tcPr>
          <w:p w14:paraId="399891B6">
            <w:pPr>
              <w:pStyle w:val="70"/>
              <w:rPr>
                <w:color w:val="000000" w:themeColor="text1"/>
                <w14:textFill>
                  <w14:solidFill>
                    <w14:schemeClr w14:val="tx1"/>
                  </w14:solidFill>
                </w14:textFill>
              </w:rPr>
            </w:pPr>
            <w:r>
              <w:rPr>
                <w:color w:val="000000" w:themeColor="text1"/>
                <w14:textFill>
                  <w14:solidFill>
                    <w14:schemeClr w14:val="tx1"/>
                  </w14:solidFill>
                </w14:textFill>
              </w:rPr>
              <w:t>内河</w:t>
            </w:r>
          </w:p>
        </w:tc>
        <w:tc>
          <w:tcPr>
            <w:tcW w:w="2064" w:type="dxa"/>
            <w:vAlign w:val="center"/>
          </w:tcPr>
          <w:p w14:paraId="57296F56">
            <w:pPr>
              <w:pStyle w:val="70"/>
              <w:rPr>
                <w:color w:val="000000" w:themeColor="text1"/>
                <w14:textFill>
                  <w14:solidFill>
                    <w14:schemeClr w14:val="tx1"/>
                  </w14:solidFill>
                </w14:textFill>
              </w:rPr>
            </w:pPr>
            <w:r>
              <w:rPr>
                <w:color w:val="000000" w:themeColor="text1"/>
                <w14:textFill>
                  <w14:solidFill>
                    <w14:schemeClr w14:val="tx1"/>
                  </w14:solidFill>
                </w14:textFill>
              </w:rPr>
              <w:t>全部油船</w:t>
            </w:r>
          </w:p>
        </w:tc>
        <w:tc>
          <w:tcPr>
            <w:tcW w:w="3853" w:type="dxa"/>
            <w:vAlign w:val="center"/>
          </w:tcPr>
          <w:p w14:paraId="165228CE">
            <w:pPr>
              <w:pStyle w:val="70"/>
              <w:rPr>
                <w:color w:val="000000" w:themeColor="text1"/>
                <w14:textFill>
                  <w14:solidFill>
                    <w14:schemeClr w14:val="tx1"/>
                  </w14:solidFill>
                </w14:textFill>
              </w:rPr>
            </w:pPr>
            <w:r>
              <w:rPr>
                <w:color w:val="000000" w:themeColor="text1"/>
                <w14:textFill>
                  <w14:solidFill>
                    <w14:schemeClr w14:val="tx1"/>
                  </w14:solidFill>
                </w14:textFill>
              </w:rPr>
              <w:t>收集并排入接收设施</w:t>
            </w:r>
          </w:p>
        </w:tc>
        <w:tc>
          <w:tcPr>
            <w:tcW w:w="1069" w:type="dxa"/>
            <w:vMerge w:val="continue"/>
            <w:vAlign w:val="center"/>
          </w:tcPr>
          <w:p w14:paraId="4B150BEF">
            <w:pPr>
              <w:pStyle w:val="70"/>
              <w:rPr>
                <w:color w:val="000000" w:themeColor="text1"/>
                <w14:textFill>
                  <w14:solidFill>
                    <w14:schemeClr w14:val="tx1"/>
                  </w14:solidFill>
                </w14:textFill>
              </w:rPr>
            </w:pPr>
          </w:p>
        </w:tc>
      </w:tr>
      <w:tr w14:paraId="2BC1AD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4" w:type="dxa"/>
            <w:vMerge w:val="continue"/>
            <w:vAlign w:val="center"/>
          </w:tcPr>
          <w:p w14:paraId="089B8BD6">
            <w:pPr>
              <w:pStyle w:val="70"/>
              <w:rPr>
                <w:color w:val="000000" w:themeColor="text1"/>
                <w14:textFill>
                  <w14:solidFill>
                    <w14:schemeClr w14:val="tx1"/>
                  </w14:solidFill>
                </w14:textFill>
              </w:rPr>
            </w:pPr>
          </w:p>
        </w:tc>
        <w:tc>
          <w:tcPr>
            <w:tcW w:w="696" w:type="dxa"/>
            <w:vMerge w:val="continue"/>
            <w:vAlign w:val="center"/>
          </w:tcPr>
          <w:p w14:paraId="1A69585E">
            <w:pPr>
              <w:pStyle w:val="70"/>
              <w:rPr>
                <w:color w:val="000000" w:themeColor="text1"/>
                <w14:textFill>
                  <w14:solidFill>
                    <w14:schemeClr w14:val="tx1"/>
                  </w14:solidFill>
                </w14:textFill>
              </w:rPr>
            </w:pPr>
          </w:p>
        </w:tc>
        <w:tc>
          <w:tcPr>
            <w:tcW w:w="696" w:type="dxa"/>
            <w:vAlign w:val="center"/>
          </w:tcPr>
          <w:p w14:paraId="671B7D16">
            <w:pPr>
              <w:pStyle w:val="70"/>
              <w:rPr>
                <w:color w:val="000000" w:themeColor="text1"/>
                <w14:textFill>
                  <w14:solidFill>
                    <w14:schemeClr w14:val="tx1"/>
                  </w14:solidFill>
                </w14:textFill>
              </w:rPr>
            </w:pPr>
            <w:r>
              <w:rPr>
                <w:color w:val="000000" w:themeColor="text1"/>
                <w14:textFill>
                  <w14:solidFill>
                    <w14:schemeClr w14:val="tx1"/>
                  </w14:solidFill>
                </w14:textFill>
              </w:rPr>
              <w:t>沿海</w:t>
            </w:r>
          </w:p>
        </w:tc>
        <w:tc>
          <w:tcPr>
            <w:tcW w:w="2064" w:type="dxa"/>
            <w:vAlign w:val="center"/>
          </w:tcPr>
          <w:p w14:paraId="52B0C634">
            <w:pPr>
              <w:pStyle w:val="70"/>
              <w:rPr>
                <w:color w:val="000000" w:themeColor="text1"/>
                <w14:textFill>
                  <w14:solidFill>
                    <w14:schemeClr w14:val="tx1"/>
                  </w14:solidFill>
                </w14:textFill>
              </w:rPr>
            </w:pPr>
            <w:r>
              <w:rPr>
                <w:color w:val="000000" w:themeColor="text1"/>
                <w14:textFill>
                  <w14:solidFill>
                    <w14:schemeClr w14:val="tx1"/>
                  </w14:solidFill>
                </w14:textFill>
              </w:rPr>
              <w:t>150总吨及以上船舶</w:t>
            </w:r>
          </w:p>
        </w:tc>
        <w:tc>
          <w:tcPr>
            <w:tcW w:w="3853" w:type="dxa"/>
            <w:vAlign w:val="center"/>
          </w:tcPr>
          <w:p w14:paraId="6F8FEC87">
            <w:pPr>
              <w:pStyle w:val="70"/>
              <w:rPr>
                <w:color w:val="000000" w:themeColor="text1"/>
                <w14:textFill>
                  <w14:solidFill>
                    <w14:schemeClr w14:val="tx1"/>
                  </w14:solidFill>
                </w14:textFill>
              </w:rPr>
            </w:pPr>
            <w:r>
              <w:rPr>
                <w:color w:val="000000" w:themeColor="text1"/>
                <w14:textFill>
                  <w14:solidFill>
                    <w14:schemeClr w14:val="tx1"/>
                  </w14:solidFill>
                </w14:textFill>
              </w:rPr>
              <w:t>收集并排入接收设施，或在船舶航行中排放，并同时满足下列条件：（1）油船距最近陆地50海里以上；（2）排入海中油污水含油量瞬间排放率</w:t>
            </w:r>
            <w:r>
              <w:rPr>
                <w:rFonts w:hint="eastAsia"/>
                <w:color w:val="000000" w:themeColor="text1"/>
                <w:lang w:eastAsia="zh-CN"/>
                <w14:textFill>
                  <w14:solidFill>
                    <w14:schemeClr w14:val="tx1"/>
                  </w14:solidFill>
                </w14:textFill>
              </w:rPr>
              <w:t>不得</w:t>
            </w:r>
            <w:r>
              <w:rPr>
                <w:color w:val="000000" w:themeColor="text1"/>
                <w14:textFill>
                  <w14:solidFill>
                    <w14:schemeClr w14:val="tx1"/>
                  </w14:solidFill>
                </w14:textFill>
              </w:rPr>
              <w:t>超过30升/海里；（3）排入海中油污水含油量不得超过货油总量的1/30000；（4）排油监控系统运转正常。</w:t>
            </w:r>
          </w:p>
        </w:tc>
        <w:tc>
          <w:tcPr>
            <w:tcW w:w="1069" w:type="dxa"/>
            <w:vMerge w:val="continue"/>
            <w:vAlign w:val="center"/>
          </w:tcPr>
          <w:p w14:paraId="12CCE99F">
            <w:pPr>
              <w:pStyle w:val="70"/>
              <w:rPr>
                <w:color w:val="000000" w:themeColor="text1"/>
                <w14:textFill>
                  <w14:solidFill>
                    <w14:schemeClr w14:val="tx1"/>
                  </w14:solidFill>
                </w14:textFill>
              </w:rPr>
            </w:pPr>
          </w:p>
        </w:tc>
      </w:tr>
      <w:tr w14:paraId="76253D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60" w:type="dxa"/>
            <w:gridSpan w:val="2"/>
            <w:vMerge w:val="restart"/>
            <w:vAlign w:val="center"/>
          </w:tcPr>
          <w:p w14:paraId="6ECB72EA">
            <w:pPr>
              <w:pStyle w:val="70"/>
              <w:rPr>
                <w:color w:val="000000" w:themeColor="text1"/>
                <w14:textFill>
                  <w14:solidFill>
                    <w14:schemeClr w14:val="tx1"/>
                  </w14:solidFill>
                </w14:textFill>
              </w:rPr>
            </w:pPr>
            <w:r>
              <w:rPr>
                <w:color w:val="000000" w:themeColor="text1"/>
                <w14:textFill>
                  <w14:solidFill>
                    <w14:schemeClr w14:val="tx1"/>
                  </w14:solidFill>
                </w14:textFill>
              </w:rPr>
              <w:t>船舶生活污水</w:t>
            </w:r>
          </w:p>
        </w:tc>
        <w:tc>
          <w:tcPr>
            <w:tcW w:w="696" w:type="dxa"/>
            <w:vAlign w:val="center"/>
          </w:tcPr>
          <w:p w14:paraId="4F9178C4">
            <w:pPr>
              <w:pStyle w:val="70"/>
              <w:rPr>
                <w:color w:val="000000" w:themeColor="text1"/>
                <w14:textFill>
                  <w14:solidFill>
                    <w14:schemeClr w14:val="tx1"/>
                  </w14:solidFill>
                </w14:textFill>
              </w:rPr>
            </w:pPr>
            <w:r>
              <w:rPr>
                <w:color w:val="000000" w:themeColor="text1"/>
                <w14:textFill>
                  <w14:solidFill>
                    <w14:schemeClr w14:val="tx1"/>
                  </w14:solidFill>
                </w14:textFill>
              </w:rPr>
              <w:t>内河</w:t>
            </w:r>
          </w:p>
        </w:tc>
        <w:tc>
          <w:tcPr>
            <w:tcW w:w="2064" w:type="dxa"/>
            <w:vAlign w:val="center"/>
          </w:tcPr>
          <w:p w14:paraId="4C074FA1">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3853" w:type="dxa"/>
            <w:vAlign w:val="center"/>
          </w:tcPr>
          <w:p w14:paraId="4DC9989E">
            <w:pPr>
              <w:pStyle w:val="70"/>
              <w:rPr>
                <w:color w:val="000000" w:themeColor="text1"/>
                <w14:textFill>
                  <w14:solidFill>
                    <w14:schemeClr w14:val="tx1"/>
                  </w14:solidFill>
                </w14:textFill>
              </w:rPr>
            </w:pPr>
            <w:r>
              <w:rPr>
                <w:color w:val="000000" w:themeColor="text1"/>
                <w14:textFill>
                  <w14:solidFill>
                    <w14:schemeClr w14:val="tx1"/>
                  </w14:solidFill>
                </w14:textFill>
              </w:rPr>
              <w:t>采取下列方式之一进行处理，不得直接排入环境水体：（1）利用船载收集装置收集，排入接收设施；（2）利用船载生活污水处理装置处理，达到沿海水域规定要求后在航行中排放</w:t>
            </w:r>
          </w:p>
        </w:tc>
        <w:tc>
          <w:tcPr>
            <w:tcW w:w="1069" w:type="dxa"/>
            <w:vMerge w:val="restart"/>
            <w:vAlign w:val="center"/>
          </w:tcPr>
          <w:p w14:paraId="794703C9">
            <w:pPr>
              <w:pStyle w:val="70"/>
              <w:rPr>
                <w:color w:val="000000" w:themeColor="text1"/>
                <w14:textFill>
                  <w14:solidFill>
                    <w14:schemeClr w14:val="tx1"/>
                  </w14:solidFill>
                </w14:textFill>
              </w:rPr>
            </w:pPr>
            <w:r>
              <w:rPr>
                <w:color w:val="000000" w:themeColor="text1"/>
                <w14:textFill>
                  <w14:solidFill>
                    <w14:schemeClr w14:val="tx1"/>
                  </w14:solidFill>
                </w14:textFill>
              </w:rPr>
              <w:t>生活污水处理装置出水口</w:t>
            </w:r>
          </w:p>
        </w:tc>
      </w:tr>
      <w:tr w14:paraId="37CA1C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60" w:type="dxa"/>
            <w:gridSpan w:val="2"/>
            <w:vMerge w:val="continue"/>
            <w:vAlign w:val="center"/>
          </w:tcPr>
          <w:p w14:paraId="2CA53E0D">
            <w:pPr>
              <w:pStyle w:val="70"/>
              <w:rPr>
                <w:color w:val="000000" w:themeColor="text1"/>
                <w14:textFill>
                  <w14:solidFill>
                    <w14:schemeClr w14:val="tx1"/>
                  </w14:solidFill>
                </w14:textFill>
              </w:rPr>
            </w:pPr>
          </w:p>
        </w:tc>
        <w:tc>
          <w:tcPr>
            <w:tcW w:w="696" w:type="dxa"/>
            <w:vMerge w:val="restart"/>
            <w:vAlign w:val="center"/>
          </w:tcPr>
          <w:p w14:paraId="3744DD63">
            <w:pPr>
              <w:pStyle w:val="70"/>
              <w:rPr>
                <w:color w:val="000000" w:themeColor="text1"/>
                <w14:textFill>
                  <w14:solidFill>
                    <w14:schemeClr w14:val="tx1"/>
                  </w14:solidFill>
                </w14:textFill>
              </w:rPr>
            </w:pPr>
            <w:r>
              <w:rPr>
                <w:color w:val="000000" w:themeColor="text1"/>
                <w14:textFill>
                  <w14:solidFill>
                    <w14:schemeClr w14:val="tx1"/>
                  </w14:solidFill>
                </w14:textFill>
              </w:rPr>
              <w:t>沿海</w:t>
            </w:r>
          </w:p>
        </w:tc>
        <w:tc>
          <w:tcPr>
            <w:tcW w:w="2064" w:type="dxa"/>
            <w:vAlign w:val="center"/>
          </w:tcPr>
          <w:p w14:paraId="6562430C">
            <w:pPr>
              <w:pStyle w:val="70"/>
              <w:rPr>
                <w:color w:val="000000" w:themeColor="text1"/>
                <w14:textFill>
                  <w14:solidFill>
                    <w14:schemeClr w14:val="tx1"/>
                  </w14:solidFill>
                </w14:textFill>
              </w:rPr>
            </w:pPr>
            <w:r>
              <w:rPr>
                <w:color w:val="000000" w:themeColor="text1"/>
                <w14:textFill>
                  <w14:solidFill>
                    <w14:schemeClr w14:val="tx1"/>
                  </w14:solidFill>
                </w14:textFill>
              </w:rPr>
              <w:t>2012年1月1日以前安装（含更换）生活污水处理装置的船舶</w:t>
            </w:r>
          </w:p>
        </w:tc>
        <w:tc>
          <w:tcPr>
            <w:tcW w:w="3853" w:type="dxa"/>
            <w:vAlign w:val="center"/>
          </w:tcPr>
          <w:p w14:paraId="2F266C54">
            <w:pPr>
              <w:pStyle w:val="70"/>
              <w:rPr>
                <w:color w:val="000000" w:themeColor="text1"/>
                <w14:textFill>
                  <w14:solidFill>
                    <w14:schemeClr w14:val="tx1"/>
                  </w14:solidFill>
                </w14:textFill>
              </w:rPr>
            </w:pPr>
            <w:r>
              <w:rPr>
                <w:color w:val="000000" w:themeColor="text1"/>
                <w14:textFill>
                  <w14:solidFill>
                    <w14:schemeClr w14:val="tx1"/>
                  </w14:solidFill>
                </w14:textFill>
              </w:rPr>
              <w:t>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≤50；SS≤150；耐热大肠菌群数≤2500个/L</w:t>
            </w:r>
          </w:p>
        </w:tc>
        <w:tc>
          <w:tcPr>
            <w:tcW w:w="1069" w:type="dxa"/>
            <w:vMerge w:val="continue"/>
            <w:vAlign w:val="center"/>
          </w:tcPr>
          <w:p w14:paraId="4FC6F4A1">
            <w:pPr>
              <w:pStyle w:val="70"/>
              <w:rPr>
                <w:color w:val="000000" w:themeColor="text1"/>
                <w14:textFill>
                  <w14:solidFill>
                    <w14:schemeClr w14:val="tx1"/>
                  </w14:solidFill>
                </w14:textFill>
              </w:rPr>
            </w:pPr>
          </w:p>
        </w:tc>
      </w:tr>
      <w:tr w14:paraId="386689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60" w:type="dxa"/>
            <w:gridSpan w:val="2"/>
            <w:vMerge w:val="continue"/>
            <w:vAlign w:val="center"/>
          </w:tcPr>
          <w:p w14:paraId="6250E9FE">
            <w:pPr>
              <w:pStyle w:val="70"/>
              <w:rPr>
                <w:color w:val="000000" w:themeColor="text1"/>
                <w14:textFill>
                  <w14:solidFill>
                    <w14:schemeClr w14:val="tx1"/>
                  </w14:solidFill>
                </w14:textFill>
              </w:rPr>
            </w:pPr>
          </w:p>
        </w:tc>
        <w:tc>
          <w:tcPr>
            <w:tcW w:w="696" w:type="dxa"/>
            <w:vMerge w:val="continue"/>
            <w:vAlign w:val="center"/>
          </w:tcPr>
          <w:p w14:paraId="5173A27A">
            <w:pPr>
              <w:pStyle w:val="70"/>
              <w:rPr>
                <w:color w:val="000000" w:themeColor="text1"/>
                <w14:textFill>
                  <w14:solidFill>
                    <w14:schemeClr w14:val="tx1"/>
                  </w14:solidFill>
                </w14:textFill>
              </w:rPr>
            </w:pPr>
          </w:p>
        </w:tc>
        <w:tc>
          <w:tcPr>
            <w:tcW w:w="2064" w:type="dxa"/>
            <w:vAlign w:val="center"/>
          </w:tcPr>
          <w:p w14:paraId="21D29389">
            <w:pPr>
              <w:pStyle w:val="70"/>
              <w:rPr>
                <w:color w:val="000000" w:themeColor="text1"/>
                <w14:textFill>
                  <w14:solidFill>
                    <w14:schemeClr w14:val="tx1"/>
                  </w14:solidFill>
                </w14:textFill>
              </w:rPr>
            </w:pPr>
            <w:r>
              <w:rPr>
                <w:color w:val="000000" w:themeColor="text1"/>
                <w14:textFill>
                  <w14:solidFill>
                    <w14:schemeClr w14:val="tx1"/>
                  </w14:solidFill>
                </w14:textFill>
              </w:rPr>
              <w:t>2012年1月1日~2021年1月1日安装（含更换）生活污水处理装置的船舶</w:t>
            </w:r>
          </w:p>
        </w:tc>
        <w:tc>
          <w:tcPr>
            <w:tcW w:w="3853" w:type="dxa"/>
            <w:vAlign w:val="center"/>
          </w:tcPr>
          <w:p w14:paraId="75C87878">
            <w:pPr>
              <w:pStyle w:val="70"/>
              <w:rPr>
                <w:color w:val="000000" w:themeColor="text1"/>
                <w14:textFill>
                  <w14:solidFill>
                    <w14:schemeClr w14:val="tx1"/>
                  </w14:solidFill>
                </w14:textFill>
              </w:rPr>
            </w:pPr>
            <w:r>
              <w:rPr>
                <w:color w:val="000000" w:themeColor="text1"/>
                <w14:textFill>
                  <w14:solidFill>
                    <w14:schemeClr w14:val="tx1"/>
                  </w14:solidFill>
                </w14:textFill>
              </w:rPr>
              <w:t>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≤25；SS≤35；耐热大肠菌群数≤1000个/L；COD</w:t>
            </w:r>
            <w:r>
              <w:rPr>
                <w:color w:val="000000" w:themeColor="text1"/>
                <w:vertAlign w:val="subscript"/>
                <w14:textFill>
                  <w14:solidFill>
                    <w14:schemeClr w14:val="tx1"/>
                  </w14:solidFill>
                </w14:textFill>
              </w:rPr>
              <w:t>cr</w:t>
            </w:r>
            <w:r>
              <w:rPr>
                <w:color w:val="000000" w:themeColor="text1"/>
                <w14:textFill>
                  <w14:solidFill>
                    <w14:schemeClr w14:val="tx1"/>
                  </w14:solidFill>
                </w14:textFill>
              </w:rPr>
              <w:t>≤125；pH值6~8.5；总氯（总余氯）＜0.5</w:t>
            </w:r>
          </w:p>
        </w:tc>
        <w:tc>
          <w:tcPr>
            <w:tcW w:w="1069" w:type="dxa"/>
            <w:vMerge w:val="continue"/>
            <w:vAlign w:val="center"/>
          </w:tcPr>
          <w:p w14:paraId="1C7A7B0A">
            <w:pPr>
              <w:pStyle w:val="70"/>
              <w:rPr>
                <w:color w:val="000000" w:themeColor="text1"/>
                <w14:textFill>
                  <w14:solidFill>
                    <w14:schemeClr w14:val="tx1"/>
                  </w14:solidFill>
                </w14:textFill>
              </w:rPr>
            </w:pPr>
          </w:p>
        </w:tc>
      </w:tr>
      <w:tr w14:paraId="3D837B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60" w:type="dxa"/>
            <w:gridSpan w:val="2"/>
            <w:vMerge w:val="continue"/>
            <w:vAlign w:val="center"/>
          </w:tcPr>
          <w:p w14:paraId="57C4A38E">
            <w:pPr>
              <w:pStyle w:val="70"/>
              <w:rPr>
                <w:color w:val="000000" w:themeColor="text1"/>
                <w14:textFill>
                  <w14:solidFill>
                    <w14:schemeClr w14:val="tx1"/>
                  </w14:solidFill>
                </w14:textFill>
              </w:rPr>
            </w:pPr>
          </w:p>
        </w:tc>
        <w:tc>
          <w:tcPr>
            <w:tcW w:w="696" w:type="dxa"/>
            <w:vMerge w:val="continue"/>
            <w:vAlign w:val="center"/>
          </w:tcPr>
          <w:p w14:paraId="01B138ED">
            <w:pPr>
              <w:pStyle w:val="70"/>
              <w:rPr>
                <w:color w:val="000000" w:themeColor="text1"/>
                <w14:textFill>
                  <w14:solidFill>
                    <w14:schemeClr w14:val="tx1"/>
                  </w14:solidFill>
                </w14:textFill>
              </w:rPr>
            </w:pPr>
          </w:p>
        </w:tc>
        <w:tc>
          <w:tcPr>
            <w:tcW w:w="2064" w:type="dxa"/>
            <w:vAlign w:val="center"/>
          </w:tcPr>
          <w:p w14:paraId="0FAE0CCE">
            <w:pPr>
              <w:pStyle w:val="70"/>
              <w:rPr>
                <w:color w:val="000000" w:themeColor="text1"/>
                <w14:textFill>
                  <w14:solidFill>
                    <w14:schemeClr w14:val="tx1"/>
                  </w14:solidFill>
                </w14:textFill>
              </w:rPr>
            </w:pPr>
            <w:r>
              <w:rPr>
                <w:color w:val="000000" w:themeColor="text1"/>
                <w14:textFill>
                  <w14:solidFill>
                    <w14:schemeClr w14:val="tx1"/>
                  </w14:solidFill>
                </w14:textFill>
              </w:rPr>
              <w:t>2021年1月1日以后安装（含更换）生活污水处理装置的船舶</w:t>
            </w:r>
          </w:p>
        </w:tc>
        <w:tc>
          <w:tcPr>
            <w:tcW w:w="3853" w:type="dxa"/>
            <w:vAlign w:val="center"/>
          </w:tcPr>
          <w:p w14:paraId="7C8E7AC5">
            <w:pPr>
              <w:pStyle w:val="70"/>
              <w:rPr>
                <w:color w:val="000000" w:themeColor="text1"/>
                <w14:textFill>
                  <w14:solidFill>
                    <w14:schemeClr w14:val="tx1"/>
                  </w14:solidFill>
                </w14:textFill>
              </w:rPr>
            </w:pPr>
            <w:r>
              <w:rPr>
                <w:color w:val="000000" w:themeColor="text1"/>
                <w14:textFill>
                  <w14:solidFill>
                    <w14:schemeClr w14:val="tx1"/>
                  </w14:solidFill>
                </w14:textFill>
              </w:rPr>
              <w:t>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≤20；SS≤20；耐热大肠菌群数≤1000个/L；COD</w:t>
            </w:r>
            <w:r>
              <w:rPr>
                <w:color w:val="000000" w:themeColor="text1"/>
                <w:vertAlign w:val="subscript"/>
                <w14:textFill>
                  <w14:solidFill>
                    <w14:schemeClr w14:val="tx1"/>
                  </w14:solidFill>
                </w14:textFill>
              </w:rPr>
              <w:t>cr</w:t>
            </w:r>
            <w:r>
              <w:rPr>
                <w:color w:val="000000" w:themeColor="text1"/>
                <w14:textFill>
                  <w14:solidFill>
                    <w14:schemeClr w14:val="tx1"/>
                  </w14:solidFill>
                </w14:textFill>
              </w:rPr>
              <w:t>≤60；pH值6~8.5；总氯（总余氯）＜0.5；总氮≤20；氨氮≤15；总磷≤1</w:t>
            </w:r>
          </w:p>
        </w:tc>
        <w:tc>
          <w:tcPr>
            <w:tcW w:w="1069" w:type="dxa"/>
            <w:vMerge w:val="continue"/>
            <w:vAlign w:val="center"/>
          </w:tcPr>
          <w:p w14:paraId="2ECCD5D8">
            <w:pPr>
              <w:pStyle w:val="70"/>
              <w:rPr>
                <w:color w:val="000000" w:themeColor="text1"/>
                <w14:textFill>
                  <w14:solidFill>
                    <w14:schemeClr w14:val="tx1"/>
                  </w14:solidFill>
                </w14:textFill>
              </w:rPr>
            </w:pPr>
          </w:p>
        </w:tc>
      </w:tr>
    </w:tbl>
    <w:p w14:paraId="7382C35B">
      <w:pPr>
        <w:pStyle w:val="6"/>
        <w:rPr>
          <w:color w:val="000000" w:themeColor="text1"/>
          <w14:textFill>
            <w14:solidFill>
              <w14:schemeClr w14:val="tx1"/>
            </w14:solidFill>
          </w14:textFill>
        </w:rPr>
      </w:pPr>
      <w:r>
        <w:rPr>
          <w:color w:val="000000" w:themeColor="text1"/>
          <w14:textFill>
            <w14:solidFill>
              <w14:schemeClr w14:val="tx1"/>
            </w14:solidFill>
          </w14:textFill>
        </w:rPr>
        <w:t>声环境排放标准</w:t>
      </w:r>
    </w:p>
    <w:p w14:paraId="4F2CB36D">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施工期执行《建筑施工噪声排放标准》(GB12523-20</w:t>
      </w:r>
      <w:r>
        <w:rPr>
          <w:rFonts w:hint="eastAsia"/>
          <w:color w:val="000000" w:themeColor="text1"/>
          <w:u w:val="single"/>
          <w14:textFill>
            <w14:solidFill>
              <w14:schemeClr w14:val="tx1"/>
            </w14:solidFill>
          </w14:textFill>
        </w:rPr>
        <w:t>25</w:t>
      </w:r>
      <w:r>
        <w:rPr>
          <w:color w:val="000000" w:themeColor="text1"/>
          <w:u w:val="single"/>
          <w14:textFill>
            <w14:solidFill>
              <w14:schemeClr w14:val="tx1"/>
            </w14:solidFill>
          </w14:textFill>
        </w:rPr>
        <w:t>)；码头厂界执行《工业企业场界环境噪声排放标准》（GB12348-2008）中的3 类标准。</w:t>
      </w:r>
    </w:p>
    <w:p w14:paraId="4931C092">
      <w:pPr>
        <w:pStyle w:val="7"/>
        <w:rPr>
          <w:color w:val="000000" w:themeColor="text1"/>
          <w14:textFill>
            <w14:solidFill>
              <w14:schemeClr w14:val="tx1"/>
            </w14:solidFill>
          </w14:textFill>
        </w:rPr>
      </w:pPr>
      <w:r>
        <w:rPr>
          <w:color w:val="000000" w:themeColor="text1"/>
          <w14:textFill>
            <w14:solidFill>
              <w14:schemeClr w14:val="tx1"/>
            </w14:solidFill>
          </w14:textFill>
        </w:rPr>
        <w:t>建筑施工场界噪声排放限值</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单位：dB(A)</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112"/>
        <w:gridCol w:w="3930"/>
      </w:tblGrid>
      <w:tr w14:paraId="254BAD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3" w:hRule="atLeast"/>
          <w:jc w:val="center"/>
        </w:trPr>
        <w:tc>
          <w:tcPr>
            <w:tcW w:w="5112" w:type="dxa"/>
            <w:vAlign w:val="center"/>
          </w:tcPr>
          <w:p w14:paraId="6AD82252">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昼间</w:t>
            </w:r>
          </w:p>
        </w:tc>
        <w:tc>
          <w:tcPr>
            <w:tcW w:w="3930" w:type="dxa"/>
            <w:vAlign w:val="center"/>
          </w:tcPr>
          <w:p w14:paraId="510FEC68">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夜间</w:t>
            </w:r>
          </w:p>
        </w:tc>
      </w:tr>
      <w:tr w14:paraId="5A5583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112" w:type="dxa"/>
            <w:vAlign w:val="center"/>
          </w:tcPr>
          <w:p w14:paraId="6563B561">
            <w:pPr>
              <w:pStyle w:val="70"/>
              <w:rPr>
                <w:color w:val="000000" w:themeColor="text1"/>
                <w14:textFill>
                  <w14:solidFill>
                    <w14:schemeClr w14:val="tx1"/>
                  </w14:solidFill>
                </w14:textFill>
              </w:rPr>
            </w:pPr>
            <w:r>
              <w:rPr>
                <w:color w:val="000000" w:themeColor="text1"/>
                <w14:textFill>
                  <w14:solidFill>
                    <w14:schemeClr w14:val="tx1"/>
                  </w14:solidFill>
                </w14:textFill>
              </w:rPr>
              <w:t>70</w:t>
            </w:r>
          </w:p>
        </w:tc>
        <w:tc>
          <w:tcPr>
            <w:tcW w:w="3930" w:type="dxa"/>
            <w:vAlign w:val="center"/>
          </w:tcPr>
          <w:p w14:paraId="7AE79D83">
            <w:pPr>
              <w:pStyle w:val="70"/>
              <w:rPr>
                <w:color w:val="000000" w:themeColor="text1"/>
                <w14:textFill>
                  <w14:solidFill>
                    <w14:schemeClr w14:val="tx1"/>
                  </w14:solidFill>
                </w14:textFill>
              </w:rPr>
            </w:pPr>
            <w:r>
              <w:rPr>
                <w:color w:val="000000" w:themeColor="text1"/>
                <w14:textFill>
                  <w14:solidFill>
                    <w14:schemeClr w14:val="tx1"/>
                  </w14:solidFill>
                </w14:textFill>
              </w:rPr>
              <w:t>55</w:t>
            </w:r>
          </w:p>
        </w:tc>
      </w:tr>
    </w:tbl>
    <w:p w14:paraId="1406E1BC">
      <w:pPr>
        <w:pStyle w:val="7"/>
        <w:rPr>
          <w:color w:val="000000" w:themeColor="text1"/>
          <w14:textFill>
            <w14:solidFill>
              <w14:schemeClr w14:val="tx1"/>
            </w14:solidFill>
          </w14:textFill>
        </w:rPr>
      </w:pPr>
      <w:r>
        <w:rPr>
          <w:color w:val="000000" w:themeColor="text1"/>
          <w14:textFill>
            <w14:solidFill>
              <w14:schemeClr w14:val="tx1"/>
            </w14:solidFill>
          </w14:textFill>
        </w:rPr>
        <w:t>工业企业厂界环境噪声排放标准单位：dB(A)</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111"/>
        <w:gridCol w:w="2163"/>
        <w:gridCol w:w="2383"/>
        <w:gridCol w:w="2385"/>
      </w:tblGrid>
      <w:tr w14:paraId="0EBD0B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2111" w:type="dxa"/>
            <w:vMerge w:val="restart"/>
            <w:vAlign w:val="center"/>
          </w:tcPr>
          <w:p w14:paraId="53C85BED">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名称</w:t>
            </w:r>
          </w:p>
        </w:tc>
        <w:tc>
          <w:tcPr>
            <w:tcW w:w="2163" w:type="dxa"/>
            <w:vMerge w:val="restart"/>
            <w:vAlign w:val="center"/>
          </w:tcPr>
          <w:p w14:paraId="12D2CDB1">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声环境功能区类别</w:t>
            </w:r>
          </w:p>
        </w:tc>
        <w:tc>
          <w:tcPr>
            <w:tcW w:w="4768" w:type="dxa"/>
            <w:gridSpan w:val="2"/>
            <w:vAlign w:val="center"/>
          </w:tcPr>
          <w:p w14:paraId="505E8618">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噪声限值</w:t>
            </w:r>
          </w:p>
        </w:tc>
      </w:tr>
      <w:tr w14:paraId="571E9E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2111" w:type="dxa"/>
            <w:vMerge w:val="continue"/>
            <w:vAlign w:val="center"/>
          </w:tcPr>
          <w:p w14:paraId="41A6CA53">
            <w:pPr>
              <w:pStyle w:val="70"/>
              <w:rPr>
                <w:b/>
                <w:bCs/>
                <w:color w:val="000000" w:themeColor="text1"/>
                <w14:textFill>
                  <w14:solidFill>
                    <w14:schemeClr w14:val="tx1"/>
                  </w14:solidFill>
                </w14:textFill>
              </w:rPr>
            </w:pPr>
          </w:p>
        </w:tc>
        <w:tc>
          <w:tcPr>
            <w:tcW w:w="2163" w:type="dxa"/>
            <w:vMerge w:val="continue"/>
            <w:vAlign w:val="center"/>
          </w:tcPr>
          <w:p w14:paraId="64E6CCFA">
            <w:pPr>
              <w:pStyle w:val="70"/>
              <w:rPr>
                <w:b/>
                <w:bCs/>
                <w:color w:val="000000" w:themeColor="text1"/>
                <w14:textFill>
                  <w14:solidFill>
                    <w14:schemeClr w14:val="tx1"/>
                  </w14:solidFill>
                </w14:textFill>
              </w:rPr>
            </w:pPr>
          </w:p>
        </w:tc>
        <w:tc>
          <w:tcPr>
            <w:tcW w:w="2383" w:type="dxa"/>
            <w:vAlign w:val="center"/>
          </w:tcPr>
          <w:p w14:paraId="1FB40FD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昼间</w:t>
            </w:r>
          </w:p>
        </w:tc>
        <w:tc>
          <w:tcPr>
            <w:tcW w:w="2385" w:type="dxa"/>
            <w:vAlign w:val="center"/>
          </w:tcPr>
          <w:p w14:paraId="31002035">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夜间</w:t>
            </w:r>
          </w:p>
        </w:tc>
      </w:tr>
      <w:tr w14:paraId="639ED4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2111" w:type="dxa"/>
            <w:vAlign w:val="center"/>
          </w:tcPr>
          <w:p w14:paraId="5575936A">
            <w:pPr>
              <w:pStyle w:val="70"/>
              <w:rPr>
                <w:color w:val="000000" w:themeColor="text1"/>
                <w14:textFill>
                  <w14:solidFill>
                    <w14:schemeClr w14:val="tx1"/>
                  </w14:solidFill>
                </w14:textFill>
              </w:rPr>
            </w:pPr>
            <w:r>
              <w:rPr>
                <w:color w:val="000000" w:themeColor="text1"/>
                <w14:textFill>
                  <w14:solidFill>
                    <w14:schemeClr w14:val="tx1"/>
                  </w14:solidFill>
                </w14:textFill>
              </w:rPr>
              <w:t>项目厂界</w:t>
            </w:r>
          </w:p>
        </w:tc>
        <w:tc>
          <w:tcPr>
            <w:tcW w:w="2163" w:type="dxa"/>
            <w:vAlign w:val="center"/>
          </w:tcPr>
          <w:p w14:paraId="40762CC1">
            <w:pPr>
              <w:pStyle w:val="70"/>
              <w:rPr>
                <w:color w:val="000000" w:themeColor="text1"/>
                <w14:textFill>
                  <w14:solidFill>
                    <w14:schemeClr w14:val="tx1"/>
                  </w14:solidFill>
                </w14:textFill>
              </w:rPr>
            </w:pPr>
            <w:r>
              <w:rPr>
                <w:color w:val="000000" w:themeColor="text1"/>
                <w14:textFill>
                  <w14:solidFill>
                    <w14:schemeClr w14:val="tx1"/>
                  </w14:solidFill>
                </w14:textFill>
              </w:rPr>
              <w:t>3</w:t>
            </w:r>
          </w:p>
        </w:tc>
        <w:tc>
          <w:tcPr>
            <w:tcW w:w="2383" w:type="dxa"/>
            <w:vAlign w:val="center"/>
          </w:tcPr>
          <w:p w14:paraId="2EB27D05">
            <w:pPr>
              <w:pStyle w:val="70"/>
              <w:rPr>
                <w:color w:val="000000" w:themeColor="text1"/>
                <w14:textFill>
                  <w14:solidFill>
                    <w14:schemeClr w14:val="tx1"/>
                  </w14:solidFill>
                </w14:textFill>
              </w:rPr>
            </w:pPr>
            <w:r>
              <w:rPr>
                <w:color w:val="000000" w:themeColor="text1"/>
                <w14:textFill>
                  <w14:solidFill>
                    <w14:schemeClr w14:val="tx1"/>
                  </w14:solidFill>
                </w14:textFill>
              </w:rPr>
              <w:t>65</w:t>
            </w:r>
          </w:p>
        </w:tc>
        <w:tc>
          <w:tcPr>
            <w:tcW w:w="2385" w:type="dxa"/>
            <w:vAlign w:val="center"/>
          </w:tcPr>
          <w:p w14:paraId="70B3FC96">
            <w:pPr>
              <w:pStyle w:val="70"/>
              <w:rPr>
                <w:color w:val="000000" w:themeColor="text1"/>
                <w14:textFill>
                  <w14:solidFill>
                    <w14:schemeClr w14:val="tx1"/>
                  </w14:solidFill>
                </w14:textFill>
              </w:rPr>
            </w:pPr>
            <w:r>
              <w:rPr>
                <w:color w:val="000000" w:themeColor="text1"/>
                <w14:textFill>
                  <w14:solidFill>
                    <w14:schemeClr w14:val="tx1"/>
                  </w14:solidFill>
                </w14:textFill>
              </w:rPr>
              <w:t>55</w:t>
            </w:r>
          </w:p>
        </w:tc>
      </w:tr>
    </w:tbl>
    <w:p w14:paraId="1B52933F">
      <w:pPr>
        <w:pStyle w:val="6"/>
        <w:rPr>
          <w:color w:val="000000" w:themeColor="text1"/>
          <w14:textFill>
            <w14:solidFill>
              <w14:schemeClr w14:val="tx1"/>
            </w14:solidFill>
          </w14:textFill>
        </w:rPr>
      </w:pPr>
      <w:r>
        <w:rPr>
          <w:color w:val="000000" w:themeColor="text1"/>
          <w14:textFill>
            <w14:solidFill>
              <w14:schemeClr w14:val="tx1"/>
            </w14:solidFill>
          </w14:textFill>
        </w:rPr>
        <w:t>固体废物</w:t>
      </w:r>
    </w:p>
    <w:p w14:paraId="00DA6DD4">
      <w:pPr>
        <w:ind w:firstLine="480"/>
        <w:rPr>
          <w:color w:val="000000" w:themeColor="text1"/>
          <w14:textFill>
            <w14:solidFill>
              <w14:schemeClr w14:val="tx1"/>
            </w14:solidFill>
          </w14:textFill>
        </w:rPr>
      </w:pPr>
      <w:r>
        <w:rPr>
          <w:rFonts w:eastAsiaTheme="minorEastAsia"/>
          <w:color w:val="000000" w:themeColor="text1"/>
          <w14:textFill>
            <w14:solidFill>
              <w14:schemeClr w14:val="tx1"/>
            </w14:solidFill>
          </w14:textFill>
        </w:rPr>
        <w:t>一般工业固体废物执行《一般工业固体废物贮存和填埋污染控制标准》（GB18599-2020）；危险废物执行《危险废物贮存污染控制标准》（GB18597-2023）。</w:t>
      </w:r>
    </w:p>
    <w:p w14:paraId="0798399D">
      <w:pPr>
        <w:pStyle w:val="5"/>
        <w:rPr>
          <w:color w:val="000000" w:themeColor="text1"/>
          <w14:textFill>
            <w14:solidFill>
              <w14:schemeClr w14:val="tx1"/>
            </w14:solidFill>
          </w14:textFill>
        </w:rPr>
      </w:pPr>
      <w:bookmarkStart w:id="97" w:name="_Toc216620336"/>
      <w:r>
        <w:rPr>
          <w:color w:val="000000" w:themeColor="text1"/>
          <w14:textFill>
            <w14:solidFill>
              <w14:schemeClr w14:val="tx1"/>
            </w14:solidFill>
          </w14:textFill>
        </w:rPr>
        <w:t>评价工作等级和评价范围</w:t>
      </w:r>
      <w:bookmarkEnd w:id="97"/>
    </w:p>
    <w:p w14:paraId="1DE94146">
      <w:pPr>
        <w:pStyle w:val="4"/>
        <w:rPr>
          <w:color w:val="000000" w:themeColor="text1"/>
          <w14:textFill>
            <w14:solidFill>
              <w14:schemeClr w14:val="tx1"/>
            </w14:solidFill>
          </w14:textFill>
        </w:rPr>
      </w:pPr>
      <w:bookmarkStart w:id="98" w:name="_Toc136878425"/>
      <w:bookmarkStart w:id="99" w:name="_Toc216103178"/>
      <w:bookmarkStart w:id="100" w:name="_Toc135090176"/>
      <w:bookmarkStart w:id="101" w:name="_Toc216620337"/>
      <w:bookmarkStart w:id="102" w:name="_Toc26909957"/>
      <w:bookmarkStart w:id="103" w:name="_Toc25436911"/>
      <w:bookmarkStart w:id="104" w:name="_Toc29131771"/>
      <w:r>
        <w:rPr>
          <w:color w:val="000000" w:themeColor="text1"/>
          <w14:textFill>
            <w14:solidFill>
              <w14:schemeClr w14:val="tx1"/>
            </w14:solidFill>
          </w14:textFill>
        </w:rPr>
        <w:t>大气评价等级</w:t>
      </w:r>
      <w:bookmarkEnd w:id="98"/>
      <w:bookmarkEnd w:id="99"/>
      <w:bookmarkEnd w:id="100"/>
      <w:bookmarkEnd w:id="101"/>
      <w:bookmarkEnd w:id="102"/>
      <w:bookmarkEnd w:id="103"/>
      <w:bookmarkEnd w:id="104"/>
    </w:p>
    <w:p w14:paraId="3E16F82D">
      <w:pPr>
        <w:ind w:firstLine="480"/>
        <w:rPr>
          <w:color w:val="000000" w:themeColor="text1"/>
          <w14:textFill>
            <w14:solidFill>
              <w14:schemeClr w14:val="tx1"/>
            </w14:solidFill>
          </w14:textFill>
        </w:rPr>
      </w:pPr>
      <w:r>
        <w:rPr>
          <w:snapToGrid w:val="0"/>
          <w:color w:val="000000" w:themeColor="text1"/>
          <w:kern w:val="0"/>
          <w14:textFill>
            <w14:solidFill>
              <w14:schemeClr w14:val="tx1"/>
            </w14:solidFill>
          </w14:textFill>
        </w:rPr>
        <w:t>根据《环境影响评价技术导则 大气环境》（HJ2.2-2018）的要求对本工程环境影响评价等级进行计算，根据项目工艺特点、污染物控制标准及污染物排放情况，对废气回收装置及码头无组织排放分别选取主要污染物进行污染源估算。</w:t>
      </w:r>
      <w:r>
        <w:rPr>
          <w:rFonts w:ascii="宋体" w:hAnsi="宋体"/>
          <w:color w:val="000000" w:themeColor="text1"/>
          <w14:textFill>
            <w14:solidFill>
              <w14:schemeClr w14:val="tx1"/>
            </w14:solidFill>
          </w14:textFill>
        </w:rPr>
        <w:t>本</w:t>
      </w:r>
      <w:r>
        <w:rPr>
          <w:rFonts w:hint="eastAsia" w:ascii="宋体" w:hAnsi="宋体"/>
          <w:color w:val="000000" w:themeColor="text1"/>
          <w14:textFill>
            <w14:solidFill>
              <w14:schemeClr w14:val="tx1"/>
            </w14:solidFill>
          </w14:textFill>
        </w:rPr>
        <w:t>扩建项目</w:t>
      </w:r>
      <w:r>
        <w:rPr>
          <w:rFonts w:ascii="宋体" w:hAnsi="宋体"/>
          <w:color w:val="000000" w:themeColor="text1"/>
          <w14:textFill>
            <w14:solidFill>
              <w14:schemeClr w14:val="tx1"/>
            </w14:solidFill>
          </w14:textFill>
        </w:rPr>
        <w:t>主要废气环境影响是装卸过程装卸作业排放的有机废气，</w:t>
      </w:r>
      <w:r>
        <w:rPr>
          <w:snapToGrid w:val="0"/>
          <w:color w:val="000000" w:themeColor="text1"/>
          <w:kern w:val="0"/>
          <w14:textFill>
            <w14:solidFill>
              <w14:schemeClr w14:val="tx1"/>
            </w14:solidFill>
          </w14:textFill>
        </w:rPr>
        <w:t>特征污染物主要考虑苯乙烯、硫酸、非甲烷总烃。</w:t>
      </w:r>
    </w:p>
    <w:p w14:paraId="33A085EF">
      <w:pPr>
        <w:ind w:firstLine="480"/>
        <w:contextualSpacing/>
        <w:rPr>
          <w:color w:val="000000" w:themeColor="text1"/>
          <w14:textFill>
            <w14:solidFill>
              <w14:schemeClr w14:val="tx1"/>
            </w14:solidFill>
          </w14:textFill>
        </w:rPr>
      </w:pPr>
      <w:r>
        <w:rPr>
          <w:color w:val="000000" w:themeColor="text1"/>
          <w14:textFill>
            <w14:solidFill>
              <w14:schemeClr w14:val="tx1"/>
            </w14:solidFill>
          </w14:textFill>
        </w:rPr>
        <w:t>最大地面空气质量浓度占标率计算公式：</w:t>
      </w:r>
    </w:p>
    <w:p w14:paraId="6D26373D">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219200" cy="228600"/>
            <wp:effectExtent l="0" t="0" r="0" b="0"/>
            <wp:docPr id="6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1219200" cy="228600"/>
                    </a:xfrm>
                    <a:prstGeom prst="rect">
                      <a:avLst/>
                    </a:prstGeom>
                    <a:noFill/>
                    <a:ln>
                      <a:noFill/>
                    </a:ln>
                  </pic:spPr>
                </pic:pic>
              </a:graphicData>
            </a:graphic>
          </wp:inline>
        </w:drawing>
      </w:r>
    </w:p>
    <w:p w14:paraId="0277A885">
      <w:pPr>
        <w:ind w:firstLine="480"/>
        <w:rPr>
          <w:color w:val="000000" w:themeColor="text1"/>
          <w14:textFill>
            <w14:solidFill>
              <w14:schemeClr w14:val="tx1"/>
            </w14:solidFill>
          </w14:textFill>
        </w:rPr>
      </w:pPr>
      <w:r>
        <w:rPr>
          <w:color w:val="000000" w:themeColor="text1"/>
          <w14:textFill>
            <w14:solidFill>
              <w14:schemeClr w14:val="tx1"/>
            </w14:solidFill>
          </w14:textFill>
        </w:rPr>
        <w:t>式中：</w:t>
      </w:r>
    </w:p>
    <w:p w14:paraId="6D1C4E53">
      <w:pPr>
        <w:ind w:firstLine="480"/>
        <w:rPr>
          <w:color w:val="000000" w:themeColor="text1"/>
          <w14:textFill>
            <w14:solidFill>
              <w14:schemeClr w14:val="tx1"/>
            </w14:solidFill>
          </w14:textFill>
        </w:rPr>
      </w:pPr>
      <w:r>
        <w:rPr>
          <w:color w:val="000000" w:themeColor="text1"/>
          <w14:textFill>
            <w14:solidFill>
              <w14:schemeClr w14:val="tx1"/>
            </w14:solidFill>
          </w14:textFill>
        </w:rPr>
        <w:t>P</w:t>
      </w:r>
      <w:r>
        <w:rPr>
          <w:color w:val="000000" w:themeColor="text1"/>
          <w:vertAlign w:val="subscript"/>
          <w14:textFill>
            <w14:solidFill>
              <w14:schemeClr w14:val="tx1"/>
            </w14:solidFill>
          </w14:textFill>
        </w:rPr>
        <w:t>i</w:t>
      </w:r>
      <w:r>
        <w:rPr>
          <w:color w:val="000000" w:themeColor="text1"/>
          <w14:textFill>
            <w14:solidFill>
              <w14:schemeClr w14:val="tx1"/>
            </w14:solidFill>
          </w14:textFill>
        </w:rPr>
        <w:t>——第i个污染物的最大地面浓度占标率，%；</w:t>
      </w:r>
    </w:p>
    <w:p w14:paraId="18F62F72">
      <w:pPr>
        <w:ind w:firstLine="480"/>
        <w:rPr>
          <w:color w:val="000000" w:themeColor="text1"/>
          <w14:textFill>
            <w14:solidFill>
              <w14:schemeClr w14:val="tx1"/>
            </w14:solidFill>
          </w14:textFill>
        </w:rPr>
      </w:pPr>
      <w:r>
        <w:rPr>
          <w:color w:val="000000" w:themeColor="text1"/>
          <w14:textFill>
            <w14:solidFill>
              <w14:schemeClr w14:val="tx1"/>
            </w14:solidFill>
          </w14:textFill>
        </w:rPr>
        <w:t>C</w:t>
      </w:r>
      <w:r>
        <w:rPr>
          <w:color w:val="000000" w:themeColor="text1"/>
          <w:vertAlign w:val="subscript"/>
          <w14:textFill>
            <w14:solidFill>
              <w14:schemeClr w14:val="tx1"/>
            </w14:solidFill>
          </w14:textFill>
        </w:rPr>
        <w:t>i</w:t>
      </w:r>
      <w:r>
        <w:rPr>
          <w:color w:val="000000" w:themeColor="text1"/>
          <w14:textFill>
            <w14:solidFill>
              <w14:schemeClr w14:val="tx1"/>
            </w14:solidFill>
          </w14:textFill>
        </w:rPr>
        <w:t>——采用估算模式计算出的第i个污染物的最大地面浓度，mg/m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14:paraId="216CA18E">
      <w:pPr>
        <w:ind w:firstLine="480"/>
        <w:rPr>
          <w:color w:val="000000" w:themeColor="text1"/>
          <w14:textFill>
            <w14:solidFill>
              <w14:schemeClr w14:val="tx1"/>
            </w14:solidFill>
          </w14:textFill>
        </w:rPr>
      </w:pPr>
      <w:r>
        <w:rPr>
          <w:color w:val="000000" w:themeColor="text1"/>
          <w14:textFill>
            <w14:solidFill>
              <w14:schemeClr w14:val="tx1"/>
            </w14:solidFill>
          </w14:textFill>
        </w:rPr>
        <w:t>C</w:t>
      </w:r>
      <w:r>
        <w:rPr>
          <w:color w:val="000000" w:themeColor="text1"/>
          <w:vertAlign w:val="subscript"/>
          <w14:textFill>
            <w14:solidFill>
              <w14:schemeClr w14:val="tx1"/>
            </w14:solidFill>
          </w14:textFill>
        </w:rPr>
        <w:t>0i</w:t>
      </w:r>
      <w:r>
        <w:rPr>
          <w:color w:val="000000" w:themeColor="text1"/>
          <w14:textFill>
            <w14:solidFill>
              <w14:schemeClr w14:val="tx1"/>
            </w14:solidFill>
          </w14:textFill>
        </w:rPr>
        <w:t>——第i个污染物的环境空气质量标准，mg/m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14:paraId="52261748">
      <w:pPr>
        <w:pStyle w:val="7"/>
        <w:rPr>
          <w:color w:val="000000" w:themeColor="text1"/>
          <w14:textFill>
            <w14:solidFill>
              <w14:schemeClr w14:val="tx1"/>
            </w14:solidFill>
          </w14:textFill>
        </w:rPr>
      </w:pPr>
      <w:r>
        <w:rPr>
          <w:color w:val="000000" w:themeColor="text1"/>
          <w14:textFill>
            <w14:solidFill>
              <w14:schemeClr w14:val="tx1"/>
            </w14:solidFill>
          </w14:textFill>
        </w:rPr>
        <w:t>评价工作等级</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033"/>
        <w:gridCol w:w="6009"/>
      </w:tblGrid>
      <w:tr w14:paraId="01389E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3033" w:type="dxa"/>
            <w:vAlign w:val="center"/>
          </w:tcPr>
          <w:p w14:paraId="55F45F6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评价工作等级</w:t>
            </w:r>
          </w:p>
        </w:tc>
        <w:tc>
          <w:tcPr>
            <w:tcW w:w="6009" w:type="dxa"/>
            <w:vAlign w:val="center"/>
          </w:tcPr>
          <w:p w14:paraId="2D81505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评价工作分级判据</w:t>
            </w:r>
          </w:p>
        </w:tc>
      </w:tr>
      <w:tr w14:paraId="68215B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3033" w:type="dxa"/>
            <w:vAlign w:val="center"/>
          </w:tcPr>
          <w:p w14:paraId="4068C358">
            <w:pPr>
              <w:pStyle w:val="70"/>
              <w:rPr>
                <w:color w:val="000000" w:themeColor="text1"/>
                <w14:textFill>
                  <w14:solidFill>
                    <w14:schemeClr w14:val="tx1"/>
                  </w14:solidFill>
                </w14:textFill>
              </w:rPr>
            </w:pPr>
            <w:r>
              <w:rPr>
                <w:color w:val="000000" w:themeColor="text1"/>
                <w14:textFill>
                  <w14:solidFill>
                    <w14:schemeClr w14:val="tx1"/>
                  </w14:solidFill>
                </w14:textFill>
              </w:rPr>
              <w:t>一级</w:t>
            </w:r>
          </w:p>
        </w:tc>
        <w:tc>
          <w:tcPr>
            <w:tcW w:w="6009" w:type="dxa"/>
            <w:vAlign w:val="center"/>
          </w:tcPr>
          <w:p w14:paraId="62B3B073">
            <w:pPr>
              <w:pStyle w:val="70"/>
              <w:rPr>
                <w:color w:val="000000" w:themeColor="text1"/>
                <w14:textFill>
                  <w14:solidFill>
                    <w14:schemeClr w14:val="tx1"/>
                  </w14:solidFill>
                </w14:textFill>
              </w:rPr>
            </w:pPr>
            <w:r>
              <w:rPr>
                <w:color w:val="000000" w:themeColor="text1"/>
                <w14:textFill>
                  <w14:solidFill>
                    <w14:schemeClr w14:val="tx1"/>
                  </w14:solidFill>
                </w14:textFill>
              </w:rPr>
              <w:t>Pmax≥10%</w:t>
            </w:r>
          </w:p>
        </w:tc>
      </w:tr>
      <w:tr w14:paraId="34D919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3033" w:type="dxa"/>
            <w:vAlign w:val="center"/>
          </w:tcPr>
          <w:p w14:paraId="760946E4">
            <w:pPr>
              <w:pStyle w:val="70"/>
              <w:rPr>
                <w:color w:val="000000" w:themeColor="text1"/>
                <w14:textFill>
                  <w14:solidFill>
                    <w14:schemeClr w14:val="tx1"/>
                  </w14:solidFill>
                </w14:textFill>
              </w:rPr>
            </w:pPr>
            <w:r>
              <w:rPr>
                <w:color w:val="000000" w:themeColor="text1"/>
                <w14:textFill>
                  <w14:solidFill>
                    <w14:schemeClr w14:val="tx1"/>
                  </w14:solidFill>
                </w14:textFill>
              </w:rPr>
              <w:t>二级</w:t>
            </w:r>
          </w:p>
        </w:tc>
        <w:tc>
          <w:tcPr>
            <w:tcW w:w="6009" w:type="dxa"/>
            <w:vAlign w:val="center"/>
          </w:tcPr>
          <w:p w14:paraId="53EBFEA4">
            <w:pPr>
              <w:pStyle w:val="70"/>
              <w:rPr>
                <w:color w:val="000000" w:themeColor="text1"/>
                <w14:textFill>
                  <w14:solidFill>
                    <w14:schemeClr w14:val="tx1"/>
                  </w14:solidFill>
                </w14:textFill>
              </w:rPr>
            </w:pPr>
            <w:r>
              <w:rPr>
                <w:color w:val="000000" w:themeColor="text1"/>
                <w14:textFill>
                  <w14:solidFill>
                    <w14:schemeClr w14:val="tx1"/>
                  </w14:solidFill>
                </w14:textFill>
              </w:rPr>
              <w:t>1%≤Pmax&lt;10%</w:t>
            </w:r>
          </w:p>
        </w:tc>
      </w:tr>
      <w:tr w14:paraId="1C18EB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3033" w:type="dxa"/>
            <w:vAlign w:val="center"/>
          </w:tcPr>
          <w:p w14:paraId="5CC68474">
            <w:pPr>
              <w:pStyle w:val="70"/>
              <w:rPr>
                <w:color w:val="000000" w:themeColor="text1"/>
                <w14:textFill>
                  <w14:solidFill>
                    <w14:schemeClr w14:val="tx1"/>
                  </w14:solidFill>
                </w14:textFill>
              </w:rPr>
            </w:pPr>
            <w:r>
              <w:rPr>
                <w:color w:val="000000" w:themeColor="text1"/>
                <w14:textFill>
                  <w14:solidFill>
                    <w14:schemeClr w14:val="tx1"/>
                  </w14:solidFill>
                </w14:textFill>
              </w:rPr>
              <w:t>三级</w:t>
            </w:r>
          </w:p>
        </w:tc>
        <w:tc>
          <w:tcPr>
            <w:tcW w:w="6009" w:type="dxa"/>
            <w:vAlign w:val="center"/>
          </w:tcPr>
          <w:p w14:paraId="29FB0A73">
            <w:pPr>
              <w:pStyle w:val="70"/>
              <w:rPr>
                <w:color w:val="000000" w:themeColor="text1"/>
                <w14:textFill>
                  <w14:solidFill>
                    <w14:schemeClr w14:val="tx1"/>
                  </w14:solidFill>
                </w14:textFill>
              </w:rPr>
            </w:pPr>
            <w:r>
              <w:rPr>
                <w:color w:val="000000" w:themeColor="text1"/>
                <w14:textFill>
                  <w14:solidFill>
                    <w14:schemeClr w14:val="tx1"/>
                  </w14:solidFill>
                </w14:textFill>
              </w:rPr>
              <w:t>Pmax&lt;1%</w:t>
            </w:r>
          </w:p>
        </w:tc>
      </w:tr>
    </w:tbl>
    <w:p w14:paraId="64603D1D">
      <w:pPr>
        <w:ind w:firstLine="480"/>
        <w:rPr>
          <w:color w:val="000000" w:themeColor="text1"/>
          <w14:textFill>
            <w14:solidFill>
              <w14:schemeClr w14:val="tx1"/>
            </w14:solidFill>
          </w14:textFill>
        </w:rPr>
      </w:pPr>
      <w:r>
        <w:rPr>
          <w:color w:val="000000" w:themeColor="text1"/>
          <w14:textFill>
            <w14:solidFill>
              <w14:schemeClr w14:val="tx1"/>
            </w14:solidFill>
          </w14:textFill>
        </w:rPr>
        <w:t>估算模式参数见表1.5.2。项目源强一览表见表1.5-3~表1.5-4。</w:t>
      </w:r>
    </w:p>
    <w:p w14:paraId="67CBACD7">
      <w:pPr>
        <w:ind w:firstLine="480"/>
        <w:rPr>
          <w:color w:val="000000" w:themeColor="text1"/>
          <w14:textFill>
            <w14:solidFill>
              <w14:schemeClr w14:val="tx1"/>
            </w14:solidFill>
          </w14:textFill>
        </w:rPr>
      </w:pPr>
    </w:p>
    <w:p w14:paraId="0C166E78">
      <w:pPr>
        <w:pStyle w:val="7"/>
        <w:rPr>
          <w:color w:val="000000" w:themeColor="text1"/>
          <w14:textFill>
            <w14:solidFill>
              <w14:schemeClr w14:val="tx1"/>
            </w14:solidFill>
          </w14:textFill>
        </w:rPr>
      </w:pPr>
      <w:r>
        <w:rPr>
          <w:color w:val="000000" w:themeColor="text1"/>
          <w14:textFill>
            <w14:solidFill>
              <w14:schemeClr w14:val="tx1"/>
            </w14:solidFill>
          </w14:textFill>
        </w:rPr>
        <w:t>项目厂区估算模型参数表</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16"/>
        <w:gridCol w:w="4076"/>
        <w:gridCol w:w="3250"/>
      </w:tblGrid>
      <w:tr w14:paraId="2E4783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tblHeader/>
          <w:jc w:val="center"/>
        </w:trPr>
        <w:tc>
          <w:tcPr>
            <w:tcW w:w="5792" w:type="dxa"/>
            <w:gridSpan w:val="2"/>
            <w:vAlign w:val="center"/>
          </w:tcPr>
          <w:p w14:paraId="612D84C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参数</w:t>
            </w:r>
          </w:p>
        </w:tc>
        <w:tc>
          <w:tcPr>
            <w:tcW w:w="3250" w:type="dxa"/>
            <w:vAlign w:val="center"/>
          </w:tcPr>
          <w:p w14:paraId="0030A4A0">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取值</w:t>
            </w:r>
          </w:p>
        </w:tc>
      </w:tr>
      <w:tr w14:paraId="00B9E2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1716" w:type="dxa"/>
            <w:vMerge w:val="restart"/>
            <w:vAlign w:val="center"/>
          </w:tcPr>
          <w:p w14:paraId="46C3E89E">
            <w:pPr>
              <w:pStyle w:val="70"/>
              <w:rPr>
                <w:color w:val="000000" w:themeColor="text1"/>
                <w14:textFill>
                  <w14:solidFill>
                    <w14:schemeClr w14:val="tx1"/>
                  </w14:solidFill>
                </w14:textFill>
              </w:rPr>
            </w:pPr>
            <w:r>
              <w:rPr>
                <w:color w:val="000000" w:themeColor="text1"/>
                <w14:textFill>
                  <w14:solidFill>
                    <w14:schemeClr w14:val="tx1"/>
                  </w14:solidFill>
                </w14:textFill>
              </w:rPr>
              <w:t>城市/农村选项</w:t>
            </w:r>
          </w:p>
        </w:tc>
        <w:tc>
          <w:tcPr>
            <w:tcW w:w="4076" w:type="dxa"/>
            <w:vAlign w:val="center"/>
          </w:tcPr>
          <w:p w14:paraId="7CE74A1D">
            <w:pPr>
              <w:pStyle w:val="70"/>
              <w:rPr>
                <w:color w:val="000000" w:themeColor="text1"/>
                <w14:textFill>
                  <w14:solidFill>
                    <w14:schemeClr w14:val="tx1"/>
                  </w14:solidFill>
                </w14:textFill>
              </w:rPr>
            </w:pPr>
            <w:r>
              <w:rPr>
                <w:color w:val="000000" w:themeColor="text1"/>
                <w14:textFill>
                  <w14:solidFill>
                    <w14:schemeClr w14:val="tx1"/>
                  </w14:solidFill>
                </w14:textFill>
              </w:rPr>
              <w:t>城市/农村</w:t>
            </w:r>
          </w:p>
        </w:tc>
        <w:tc>
          <w:tcPr>
            <w:tcW w:w="3250" w:type="dxa"/>
            <w:vAlign w:val="center"/>
          </w:tcPr>
          <w:p w14:paraId="56661691">
            <w:pPr>
              <w:pStyle w:val="70"/>
              <w:rPr>
                <w:color w:val="000000" w:themeColor="text1"/>
                <w14:textFill>
                  <w14:solidFill>
                    <w14:schemeClr w14:val="tx1"/>
                  </w14:solidFill>
                </w14:textFill>
              </w:rPr>
            </w:pPr>
            <w:r>
              <w:rPr>
                <w:color w:val="000000" w:themeColor="text1"/>
                <w14:textFill>
                  <w14:solidFill>
                    <w14:schemeClr w14:val="tx1"/>
                  </w14:solidFill>
                </w14:textFill>
              </w:rPr>
              <w:t>城市</w:t>
            </w:r>
          </w:p>
        </w:tc>
      </w:tr>
      <w:tr w14:paraId="75214F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1716" w:type="dxa"/>
            <w:vMerge w:val="continue"/>
            <w:vAlign w:val="center"/>
          </w:tcPr>
          <w:p w14:paraId="1B71D830">
            <w:pPr>
              <w:pStyle w:val="70"/>
              <w:rPr>
                <w:color w:val="000000" w:themeColor="text1"/>
                <w14:textFill>
                  <w14:solidFill>
                    <w14:schemeClr w14:val="tx1"/>
                  </w14:solidFill>
                </w14:textFill>
              </w:rPr>
            </w:pPr>
          </w:p>
        </w:tc>
        <w:tc>
          <w:tcPr>
            <w:tcW w:w="4076" w:type="dxa"/>
            <w:vAlign w:val="center"/>
          </w:tcPr>
          <w:p w14:paraId="755D8105">
            <w:pPr>
              <w:pStyle w:val="70"/>
              <w:rPr>
                <w:color w:val="000000" w:themeColor="text1"/>
                <w14:textFill>
                  <w14:solidFill>
                    <w14:schemeClr w14:val="tx1"/>
                  </w14:solidFill>
                </w14:textFill>
              </w:rPr>
            </w:pPr>
            <w:r>
              <w:rPr>
                <w:color w:val="000000" w:themeColor="text1"/>
                <w14:textFill>
                  <w14:solidFill>
                    <w14:schemeClr w14:val="tx1"/>
                  </w14:solidFill>
                </w14:textFill>
              </w:rPr>
              <w:t>人口数（城市选项时）</w:t>
            </w:r>
          </w:p>
        </w:tc>
        <w:tc>
          <w:tcPr>
            <w:tcW w:w="3250" w:type="dxa"/>
            <w:vAlign w:val="center"/>
          </w:tcPr>
          <w:p w14:paraId="1DC4979E">
            <w:pPr>
              <w:pStyle w:val="70"/>
              <w:rPr>
                <w:color w:val="000000" w:themeColor="text1"/>
                <w14:textFill>
                  <w14:solidFill>
                    <w14:schemeClr w14:val="tx1"/>
                  </w14:solidFill>
                </w14:textFill>
              </w:rPr>
            </w:pPr>
            <w:r>
              <w:rPr>
                <w:color w:val="000000" w:themeColor="text1"/>
                <w14:textFill>
                  <w14:solidFill>
                    <w14:schemeClr w14:val="tx1"/>
                  </w14:solidFill>
                </w14:textFill>
              </w:rPr>
              <w:t>4.3万</w:t>
            </w:r>
          </w:p>
        </w:tc>
      </w:tr>
      <w:tr w14:paraId="18CD83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5792" w:type="dxa"/>
            <w:gridSpan w:val="2"/>
            <w:vAlign w:val="center"/>
          </w:tcPr>
          <w:p w14:paraId="2AFEF7D3">
            <w:pPr>
              <w:pStyle w:val="70"/>
              <w:rPr>
                <w:color w:val="000000" w:themeColor="text1"/>
                <w14:textFill>
                  <w14:solidFill>
                    <w14:schemeClr w14:val="tx1"/>
                  </w14:solidFill>
                </w14:textFill>
              </w:rPr>
            </w:pPr>
            <w:r>
              <w:rPr>
                <w:color w:val="000000" w:themeColor="text1"/>
                <w14:textFill>
                  <w14:solidFill>
                    <w14:schemeClr w14:val="tx1"/>
                  </w14:solidFill>
                </w14:textFill>
              </w:rPr>
              <w:t>最高环境温度/</w:t>
            </w:r>
            <w:r>
              <w:rPr>
                <w:color w:val="000000" w:themeColor="text1"/>
                <w:vertAlign w:val="superscript"/>
                <w14:textFill>
                  <w14:solidFill>
                    <w14:schemeClr w14:val="tx1"/>
                  </w14:solidFill>
                </w14:textFill>
              </w:rPr>
              <w:t>o</w:t>
            </w:r>
            <w:r>
              <w:rPr>
                <w:color w:val="000000" w:themeColor="text1"/>
                <w14:textFill>
                  <w14:solidFill>
                    <w14:schemeClr w14:val="tx1"/>
                  </w14:solidFill>
                </w14:textFill>
              </w:rPr>
              <w:t>C</w:t>
            </w:r>
          </w:p>
        </w:tc>
        <w:tc>
          <w:tcPr>
            <w:tcW w:w="3250" w:type="dxa"/>
            <w:vAlign w:val="center"/>
          </w:tcPr>
          <w:p w14:paraId="4ABE0A4F">
            <w:pPr>
              <w:pStyle w:val="70"/>
              <w:rPr>
                <w:color w:val="000000" w:themeColor="text1"/>
                <w14:textFill>
                  <w14:solidFill>
                    <w14:schemeClr w14:val="tx1"/>
                  </w14:solidFill>
                </w14:textFill>
              </w:rPr>
            </w:pPr>
            <w:r>
              <w:rPr>
                <w:color w:val="000000" w:themeColor="text1"/>
                <w14:textFill>
                  <w14:solidFill>
                    <w14:schemeClr w14:val="tx1"/>
                  </w14:solidFill>
                </w14:textFill>
              </w:rPr>
              <w:t>36.8</w:t>
            </w:r>
          </w:p>
        </w:tc>
      </w:tr>
      <w:tr w14:paraId="00D192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5792" w:type="dxa"/>
            <w:gridSpan w:val="2"/>
            <w:vAlign w:val="center"/>
          </w:tcPr>
          <w:p w14:paraId="159A133E">
            <w:pPr>
              <w:pStyle w:val="70"/>
              <w:rPr>
                <w:color w:val="000000" w:themeColor="text1"/>
                <w14:textFill>
                  <w14:solidFill>
                    <w14:schemeClr w14:val="tx1"/>
                  </w14:solidFill>
                </w14:textFill>
              </w:rPr>
            </w:pPr>
            <w:r>
              <w:rPr>
                <w:color w:val="000000" w:themeColor="text1"/>
                <w14:textFill>
                  <w14:solidFill>
                    <w14:schemeClr w14:val="tx1"/>
                  </w14:solidFill>
                </w14:textFill>
              </w:rPr>
              <w:t>最低环境温度/</w:t>
            </w:r>
            <w:r>
              <w:rPr>
                <w:color w:val="000000" w:themeColor="text1"/>
                <w:vertAlign w:val="superscript"/>
                <w14:textFill>
                  <w14:solidFill>
                    <w14:schemeClr w14:val="tx1"/>
                  </w14:solidFill>
                </w14:textFill>
              </w:rPr>
              <w:t>o</w:t>
            </w:r>
            <w:r>
              <w:rPr>
                <w:color w:val="000000" w:themeColor="text1"/>
                <w14:textFill>
                  <w14:solidFill>
                    <w14:schemeClr w14:val="tx1"/>
                  </w14:solidFill>
                </w14:textFill>
              </w:rPr>
              <w:t>C</w:t>
            </w:r>
          </w:p>
        </w:tc>
        <w:tc>
          <w:tcPr>
            <w:tcW w:w="3250" w:type="dxa"/>
            <w:vAlign w:val="center"/>
          </w:tcPr>
          <w:p w14:paraId="2786FD80">
            <w:pPr>
              <w:pStyle w:val="70"/>
              <w:rPr>
                <w:color w:val="000000" w:themeColor="text1"/>
                <w14:textFill>
                  <w14:solidFill>
                    <w14:schemeClr w14:val="tx1"/>
                  </w14:solidFill>
                </w14:textFill>
              </w:rPr>
            </w:pPr>
            <w:r>
              <w:rPr>
                <w:color w:val="000000" w:themeColor="text1"/>
                <w14:textFill>
                  <w14:solidFill>
                    <w14:schemeClr w14:val="tx1"/>
                  </w14:solidFill>
                </w14:textFill>
              </w:rPr>
              <w:t>5</w:t>
            </w:r>
          </w:p>
        </w:tc>
      </w:tr>
      <w:tr w14:paraId="2A3CFB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5792" w:type="dxa"/>
            <w:gridSpan w:val="2"/>
            <w:vAlign w:val="center"/>
          </w:tcPr>
          <w:p w14:paraId="3787F854">
            <w:pPr>
              <w:pStyle w:val="70"/>
              <w:rPr>
                <w:color w:val="000000" w:themeColor="text1"/>
                <w14:textFill>
                  <w14:solidFill>
                    <w14:schemeClr w14:val="tx1"/>
                  </w14:solidFill>
                </w14:textFill>
              </w:rPr>
            </w:pPr>
            <w:r>
              <w:rPr>
                <w:color w:val="000000" w:themeColor="text1"/>
                <w14:textFill>
                  <w14:solidFill>
                    <w14:schemeClr w14:val="tx1"/>
                  </w14:solidFill>
                </w14:textFill>
              </w:rPr>
              <w:t>土地利用类型</w:t>
            </w:r>
          </w:p>
        </w:tc>
        <w:tc>
          <w:tcPr>
            <w:tcW w:w="3250" w:type="dxa"/>
            <w:vAlign w:val="center"/>
          </w:tcPr>
          <w:p w14:paraId="45814F5D">
            <w:pPr>
              <w:pStyle w:val="70"/>
              <w:rPr>
                <w:color w:val="000000" w:themeColor="text1"/>
                <w14:textFill>
                  <w14:solidFill>
                    <w14:schemeClr w14:val="tx1"/>
                  </w14:solidFill>
                </w14:textFill>
              </w:rPr>
            </w:pPr>
            <w:r>
              <w:rPr>
                <w:color w:val="000000" w:themeColor="text1"/>
                <w14:textFill>
                  <w14:solidFill>
                    <w14:schemeClr w14:val="tx1"/>
                  </w14:solidFill>
                </w14:textFill>
              </w:rPr>
              <w:t>城市</w:t>
            </w:r>
          </w:p>
        </w:tc>
      </w:tr>
      <w:tr w14:paraId="11F5DF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5792" w:type="dxa"/>
            <w:gridSpan w:val="2"/>
            <w:vAlign w:val="center"/>
          </w:tcPr>
          <w:p w14:paraId="71E2E041">
            <w:pPr>
              <w:pStyle w:val="70"/>
              <w:rPr>
                <w:color w:val="000000" w:themeColor="text1"/>
                <w14:textFill>
                  <w14:solidFill>
                    <w14:schemeClr w14:val="tx1"/>
                  </w14:solidFill>
                </w14:textFill>
              </w:rPr>
            </w:pPr>
            <w:r>
              <w:rPr>
                <w:color w:val="000000" w:themeColor="text1"/>
                <w14:textFill>
                  <w14:solidFill>
                    <w14:schemeClr w14:val="tx1"/>
                  </w14:solidFill>
                </w14:textFill>
              </w:rPr>
              <w:t>区域湿度条件</w:t>
            </w:r>
          </w:p>
        </w:tc>
        <w:tc>
          <w:tcPr>
            <w:tcW w:w="3250" w:type="dxa"/>
            <w:vAlign w:val="center"/>
          </w:tcPr>
          <w:p w14:paraId="316F833D">
            <w:pPr>
              <w:pStyle w:val="70"/>
              <w:rPr>
                <w:color w:val="000000" w:themeColor="text1"/>
                <w14:textFill>
                  <w14:solidFill>
                    <w14:schemeClr w14:val="tx1"/>
                  </w14:solidFill>
                </w14:textFill>
              </w:rPr>
            </w:pPr>
            <w:r>
              <w:rPr>
                <w:color w:val="000000" w:themeColor="text1"/>
                <w14:textFill>
                  <w14:solidFill>
                    <w14:schemeClr w14:val="tx1"/>
                  </w14:solidFill>
                </w14:textFill>
              </w:rPr>
              <w:t>多年平均相对湿度76.7%</w:t>
            </w:r>
          </w:p>
        </w:tc>
      </w:tr>
      <w:tr w14:paraId="5E0085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1716" w:type="dxa"/>
            <w:vMerge w:val="restart"/>
            <w:vAlign w:val="center"/>
          </w:tcPr>
          <w:p w14:paraId="1E5C9CFA">
            <w:pPr>
              <w:pStyle w:val="70"/>
              <w:rPr>
                <w:color w:val="000000" w:themeColor="text1"/>
                <w14:textFill>
                  <w14:solidFill>
                    <w14:schemeClr w14:val="tx1"/>
                  </w14:solidFill>
                </w14:textFill>
              </w:rPr>
            </w:pPr>
            <w:r>
              <w:rPr>
                <w:color w:val="000000" w:themeColor="text1"/>
                <w14:textFill>
                  <w14:solidFill>
                    <w14:schemeClr w14:val="tx1"/>
                  </w14:solidFill>
                </w14:textFill>
              </w:rPr>
              <w:t>是否考虑地形</w:t>
            </w:r>
          </w:p>
        </w:tc>
        <w:tc>
          <w:tcPr>
            <w:tcW w:w="4076" w:type="dxa"/>
            <w:vAlign w:val="center"/>
          </w:tcPr>
          <w:p w14:paraId="69974A00">
            <w:pPr>
              <w:pStyle w:val="70"/>
              <w:rPr>
                <w:color w:val="000000" w:themeColor="text1"/>
                <w14:textFill>
                  <w14:solidFill>
                    <w14:schemeClr w14:val="tx1"/>
                  </w14:solidFill>
                </w14:textFill>
              </w:rPr>
            </w:pPr>
            <w:r>
              <w:rPr>
                <w:color w:val="000000" w:themeColor="text1"/>
                <w14:textFill>
                  <w14:solidFill>
                    <w14:schemeClr w14:val="tx1"/>
                  </w14:solidFill>
                </w14:textFill>
              </w:rPr>
              <w:t>考虑地形</w:t>
            </w:r>
          </w:p>
        </w:tc>
        <w:tc>
          <w:tcPr>
            <w:tcW w:w="3250" w:type="dxa"/>
            <w:vAlign w:val="center"/>
          </w:tcPr>
          <w:p w14:paraId="5236F2AF">
            <w:pPr>
              <w:pStyle w:val="70"/>
              <w:rPr>
                <w:color w:val="000000" w:themeColor="text1"/>
                <w14:textFill>
                  <w14:solidFill>
                    <w14:schemeClr w14:val="tx1"/>
                  </w14:solidFill>
                </w14:textFill>
              </w:rPr>
            </w:pPr>
            <w:r>
              <w:rPr>
                <w:color w:val="000000" w:themeColor="text1"/>
                <w14:textFill>
                  <w14:solidFill>
                    <w14:schemeClr w14:val="tx1"/>
                  </w14:solidFill>
                </w14:textFill>
              </w:rPr>
              <w:sym w:font="Wingdings 2" w:char="0052"/>
            </w:r>
            <w:r>
              <w:rPr>
                <w:color w:val="000000" w:themeColor="text1"/>
                <w14:textFill>
                  <w14:solidFill>
                    <w14:schemeClr w14:val="tx1"/>
                  </w14:solidFill>
                </w14:textFill>
              </w:rPr>
              <w:t xml:space="preserve">是  </w:t>
            </w:r>
            <w:r>
              <w:rPr>
                <w:color w:val="000000" w:themeColor="text1"/>
                <w14:textFill>
                  <w14:solidFill>
                    <w14:schemeClr w14:val="tx1"/>
                  </w14:solidFill>
                </w14:textFill>
              </w:rPr>
              <w:sym w:font="Wingdings 2" w:char="00A3"/>
            </w:r>
            <w:r>
              <w:rPr>
                <w:color w:val="000000" w:themeColor="text1"/>
                <w14:textFill>
                  <w14:solidFill>
                    <w14:schemeClr w14:val="tx1"/>
                  </w14:solidFill>
                </w14:textFill>
              </w:rPr>
              <w:t>否</w:t>
            </w:r>
          </w:p>
        </w:tc>
      </w:tr>
      <w:tr w14:paraId="340E68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1716" w:type="dxa"/>
            <w:vMerge w:val="continue"/>
            <w:vAlign w:val="center"/>
          </w:tcPr>
          <w:p w14:paraId="4BAED08D">
            <w:pPr>
              <w:pStyle w:val="70"/>
              <w:rPr>
                <w:color w:val="000000" w:themeColor="text1"/>
                <w14:textFill>
                  <w14:solidFill>
                    <w14:schemeClr w14:val="tx1"/>
                  </w14:solidFill>
                </w14:textFill>
              </w:rPr>
            </w:pPr>
          </w:p>
        </w:tc>
        <w:tc>
          <w:tcPr>
            <w:tcW w:w="4076" w:type="dxa"/>
            <w:vAlign w:val="center"/>
          </w:tcPr>
          <w:p w14:paraId="324722AE">
            <w:pPr>
              <w:pStyle w:val="70"/>
              <w:rPr>
                <w:color w:val="000000" w:themeColor="text1"/>
                <w14:textFill>
                  <w14:solidFill>
                    <w14:schemeClr w14:val="tx1"/>
                  </w14:solidFill>
                </w14:textFill>
              </w:rPr>
            </w:pPr>
            <w:r>
              <w:rPr>
                <w:color w:val="000000" w:themeColor="text1"/>
                <w14:textFill>
                  <w14:solidFill>
                    <w14:schemeClr w14:val="tx1"/>
                  </w14:solidFill>
                </w14:textFill>
              </w:rPr>
              <w:t>地形数据分辨率/m</w:t>
            </w:r>
          </w:p>
        </w:tc>
        <w:tc>
          <w:tcPr>
            <w:tcW w:w="3250" w:type="dxa"/>
            <w:vAlign w:val="center"/>
          </w:tcPr>
          <w:p w14:paraId="3BA90129">
            <w:pPr>
              <w:pStyle w:val="70"/>
              <w:rPr>
                <w:color w:val="000000" w:themeColor="text1"/>
                <w14:textFill>
                  <w14:solidFill>
                    <w14:schemeClr w14:val="tx1"/>
                  </w14:solidFill>
                </w14:textFill>
              </w:rPr>
            </w:pPr>
            <w:r>
              <w:rPr>
                <w:color w:val="000000" w:themeColor="text1"/>
                <w14:textFill>
                  <w14:solidFill>
                    <w14:schemeClr w14:val="tx1"/>
                  </w14:solidFill>
                </w14:textFill>
              </w:rPr>
              <w:t>90m</w:t>
            </w:r>
          </w:p>
        </w:tc>
      </w:tr>
      <w:tr w14:paraId="5301DE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1716" w:type="dxa"/>
            <w:vMerge w:val="restart"/>
            <w:vAlign w:val="center"/>
          </w:tcPr>
          <w:p w14:paraId="2504A271">
            <w:pPr>
              <w:pStyle w:val="70"/>
              <w:rPr>
                <w:color w:val="000000" w:themeColor="text1"/>
                <w14:textFill>
                  <w14:solidFill>
                    <w14:schemeClr w14:val="tx1"/>
                  </w14:solidFill>
                </w14:textFill>
              </w:rPr>
            </w:pPr>
            <w:r>
              <w:rPr>
                <w:color w:val="000000" w:themeColor="text1"/>
                <w14:textFill>
                  <w14:solidFill>
                    <w14:schemeClr w14:val="tx1"/>
                  </w14:solidFill>
                </w14:textFill>
              </w:rPr>
              <w:t>是否考虑岸线</w:t>
            </w:r>
          </w:p>
          <w:p w14:paraId="3A760556">
            <w:pPr>
              <w:pStyle w:val="70"/>
              <w:rPr>
                <w:color w:val="000000" w:themeColor="text1"/>
                <w14:textFill>
                  <w14:solidFill>
                    <w14:schemeClr w14:val="tx1"/>
                  </w14:solidFill>
                </w14:textFill>
              </w:rPr>
            </w:pPr>
            <w:r>
              <w:rPr>
                <w:color w:val="000000" w:themeColor="text1"/>
                <w14:textFill>
                  <w14:solidFill>
                    <w14:schemeClr w14:val="tx1"/>
                  </w14:solidFill>
                </w14:textFill>
              </w:rPr>
              <w:t>熏烟</w:t>
            </w:r>
          </w:p>
        </w:tc>
        <w:tc>
          <w:tcPr>
            <w:tcW w:w="4076" w:type="dxa"/>
            <w:vAlign w:val="center"/>
          </w:tcPr>
          <w:p w14:paraId="5F27781C">
            <w:pPr>
              <w:pStyle w:val="70"/>
              <w:rPr>
                <w:color w:val="000000" w:themeColor="text1"/>
                <w14:textFill>
                  <w14:solidFill>
                    <w14:schemeClr w14:val="tx1"/>
                  </w14:solidFill>
                </w14:textFill>
              </w:rPr>
            </w:pPr>
            <w:r>
              <w:rPr>
                <w:color w:val="000000" w:themeColor="text1"/>
                <w14:textFill>
                  <w14:solidFill>
                    <w14:schemeClr w14:val="tx1"/>
                  </w14:solidFill>
                </w14:textFill>
              </w:rPr>
              <w:t>考虑岸线熏烟</w:t>
            </w:r>
          </w:p>
        </w:tc>
        <w:tc>
          <w:tcPr>
            <w:tcW w:w="3250" w:type="dxa"/>
            <w:vAlign w:val="center"/>
          </w:tcPr>
          <w:p w14:paraId="0642AA23">
            <w:pPr>
              <w:pStyle w:val="70"/>
              <w:rPr>
                <w:color w:val="000000" w:themeColor="text1"/>
                <w:u w:val="single"/>
                <w14:textFill>
                  <w14:solidFill>
                    <w14:schemeClr w14:val="tx1"/>
                  </w14:solidFill>
                </w14:textFill>
              </w:rPr>
            </w:pPr>
            <w:r>
              <w:rPr>
                <w:color w:val="000000" w:themeColor="text1"/>
                <w:u w:val="single"/>
                <w14:textFill>
                  <w14:solidFill>
                    <w14:schemeClr w14:val="tx1"/>
                  </w14:solidFill>
                </w14:textFill>
              </w:rPr>
              <w:sym w:font="Wingdings 2" w:char="00A3"/>
            </w:r>
            <w:r>
              <w:rPr>
                <w:color w:val="000000" w:themeColor="text1"/>
                <w:u w:val="single"/>
                <w14:textFill>
                  <w14:solidFill>
                    <w14:schemeClr w14:val="tx1"/>
                  </w14:solidFill>
                </w14:textFill>
              </w:rPr>
              <w:t xml:space="preserve">是  </w:t>
            </w:r>
            <w:r>
              <w:rPr>
                <w:color w:val="000000" w:themeColor="text1"/>
                <w:u w:val="single"/>
                <w14:textFill>
                  <w14:solidFill>
                    <w14:schemeClr w14:val="tx1"/>
                  </w14:solidFill>
                </w14:textFill>
              </w:rPr>
              <w:sym w:font="Wingdings 2" w:char="0052"/>
            </w:r>
            <w:r>
              <w:rPr>
                <w:color w:val="000000" w:themeColor="text1"/>
                <w:u w:val="single"/>
                <w14:textFill>
                  <w14:solidFill>
                    <w14:schemeClr w14:val="tx1"/>
                  </w14:solidFill>
                </w14:textFill>
              </w:rPr>
              <w:t>否</w:t>
            </w:r>
          </w:p>
        </w:tc>
      </w:tr>
      <w:tr w14:paraId="312DF9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1716" w:type="dxa"/>
            <w:vMerge w:val="continue"/>
            <w:vAlign w:val="center"/>
          </w:tcPr>
          <w:p w14:paraId="10B3EEDD">
            <w:pPr>
              <w:pStyle w:val="70"/>
              <w:rPr>
                <w:color w:val="000000" w:themeColor="text1"/>
                <w14:textFill>
                  <w14:solidFill>
                    <w14:schemeClr w14:val="tx1"/>
                  </w14:solidFill>
                </w14:textFill>
              </w:rPr>
            </w:pPr>
          </w:p>
        </w:tc>
        <w:tc>
          <w:tcPr>
            <w:tcW w:w="4076" w:type="dxa"/>
            <w:vAlign w:val="center"/>
          </w:tcPr>
          <w:p w14:paraId="01CF07AF">
            <w:pPr>
              <w:pStyle w:val="70"/>
              <w:rPr>
                <w:color w:val="000000" w:themeColor="text1"/>
                <w14:textFill>
                  <w14:solidFill>
                    <w14:schemeClr w14:val="tx1"/>
                  </w14:solidFill>
                </w14:textFill>
              </w:rPr>
            </w:pPr>
            <w:r>
              <w:rPr>
                <w:color w:val="000000" w:themeColor="text1"/>
                <w14:textFill>
                  <w14:solidFill>
                    <w14:schemeClr w14:val="tx1"/>
                  </w14:solidFill>
                </w14:textFill>
              </w:rPr>
              <w:t>岸线距离/km</w:t>
            </w:r>
          </w:p>
        </w:tc>
        <w:tc>
          <w:tcPr>
            <w:tcW w:w="3250" w:type="dxa"/>
            <w:vAlign w:val="center"/>
          </w:tcPr>
          <w:p w14:paraId="22A50609">
            <w:pPr>
              <w:pStyle w:val="70"/>
              <w:rPr>
                <w:color w:val="000000" w:themeColor="text1"/>
                <w14:textFill>
                  <w14:solidFill>
                    <w14:schemeClr w14:val="tx1"/>
                  </w14:solidFill>
                </w14:textFill>
              </w:rPr>
            </w:pPr>
            <w:r>
              <w:rPr>
                <w:color w:val="000000" w:themeColor="text1"/>
                <w14:textFill>
                  <w14:solidFill>
                    <w14:schemeClr w14:val="tx1"/>
                  </w14:solidFill>
                </w14:textFill>
              </w:rPr>
              <w:t>项目周边3km范围内有大型水体</w:t>
            </w:r>
          </w:p>
        </w:tc>
      </w:tr>
      <w:tr w14:paraId="17B997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1716" w:type="dxa"/>
            <w:vMerge w:val="continue"/>
            <w:vAlign w:val="center"/>
          </w:tcPr>
          <w:p w14:paraId="0DA0BBC2">
            <w:pPr>
              <w:pStyle w:val="70"/>
              <w:rPr>
                <w:color w:val="000000" w:themeColor="text1"/>
                <w14:textFill>
                  <w14:solidFill>
                    <w14:schemeClr w14:val="tx1"/>
                  </w14:solidFill>
                </w14:textFill>
              </w:rPr>
            </w:pPr>
          </w:p>
        </w:tc>
        <w:tc>
          <w:tcPr>
            <w:tcW w:w="4076" w:type="dxa"/>
            <w:vAlign w:val="center"/>
          </w:tcPr>
          <w:p w14:paraId="58176E0C">
            <w:pPr>
              <w:pStyle w:val="70"/>
              <w:rPr>
                <w:color w:val="000000" w:themeColor="text1"/>
                <w14:textFill>
                  <w14:solidFill>
                    <w14:schemeClr w14:val="tx1"/>
                  </w14:solidFill>
                </w14:textFill>
              </w:rPr>
            </w:pPr>
            <w:r>
              <w:rPr>
                <w:color w:val="000000" w:themeColor="text1"/>
                <w14:textFill>
                  <w14:solidFill>
                    <w14:schemeClr w14:val="tx1"/>
                  </w14:solidFill>
                </w14:textFill>
              </w:rPr>
              <w:t>岸线方向/°</w:t>
            </w:r>
          </w:p>
        </w:tc>
        <w:tc>
          <w:tcPr>
            <w:tcW w:w="3250" w:type="dxa"/>
            <w:vAlign w:val="center"/>
          </w:tcPr>
          <w:p w14:paraId="1F10FD9F">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bl>
    <w:p w14:paraId="087960DA">
      <w:pPr>
        <w:pStyle w:val="7"/>
        <w:rPr>
          <w:color w:val="000000" w:themeColor="text1"/>
          <w14:textFill>
            <w14:solidFill>
              <w14:schemeClr w14:val="tx1"/>
            </w14:solidFill>
          </w14:textFill>
        </w:rPr>
      </w:pPr>
      <w:r>
        <w:rPr>
          <w:color w:val="000000" w:themeColor="text1"/>
          <w14:textFill>
            <w14:solidFill>
              <w14:schemeClr w14:val="tx1"/>
            </w14:solidFill>
          </w14:textFill>
        </w:rPr>
        <w:t>无组织面源估算模式参数表</w:t>
      </w:r>
    </w:p>
    <w:tbl>
      <w:tblPr>
        <w:tblStyle w:val="43"/>
        <w:tblW w:w="909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6" w:type="dxa"/>
          <w:bottom w:w="0" w:type="dxa"/>
          <w:right w:w="6" w:type="dxa"/>
        </w:tblCellMar>
      </w:tblPr>
      <w:tblGrid>
        <w:gridCol w:w="411"/>
        <w:gridCol w:w="1175"/>
        <w:gridCol w:w="464"/>
        <w:gridCol w:w="435"/>
        <w:gridCol w:w="825"/>
        <w:gridCol w:w="703"/>
        <w:gridCol w:w="684"/>
        <w:gridCol w:w="835"/>
        <w:gridCol w:w="909"/>
        <w:gridCol w:w="695"/>
        <w:gridCol w:w="996"/>
        <w:gridCol w:w="960"/>
      </w:tblGrid>
      <w:tr w14:paraId="422C50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Merge w:val="restart"/>
            <w:vAlign w:val="center"/>
          </w:tcPr>
          <w:p w14:paraId="7C29C51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序</w:t>
            </w:r>
          </w:p>
          <w:p w14:paraId="7EDB5F6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号</w:t>
            </w:r>
          </w:p>
        </w:tc>
        <w:tc>
          <w:tcPr>
            <w:tcW w:w="1175" w:type="dxa"/>
            <w:vMerge w:val="restart"/>
            <w:vAlign w:val="center"/>
          </w:tcPr>
          <w:p w14:paraId="76BE52AA">
            <w:pPr>
              <w:adjustRightInd w:val="0"/>
              <w:snapToGrid w:val="0"/>
              <w:spacing w:line="240" w:lineRule="auto"/>
              <w:ind w:firstLine="0" w:firstLineChars="0"/>
              <w:jc w:val="center"/>
              <w:rPr>
                <w:color w:val="000000" w:themeColor="text1"/>
                <w:sz w:val="21"/>
                <w:szCs w:val="20"/>
                <w14:textFill>
                  <w14:solidFill>
                    <w14:schemeClr w14:val="tx1"/>
                  </w14:solidFill>
                </w14:textFill>
              </w:rPr>
            </w:pPr>
            <w:r>
              <w:rPr>
                <w:rFonts w:hint="eastAsia"/>
                <w:color w:val="000000" w:themeColor="text1"/>
                <w:sz w:val="21"/>
                <w:szCs w:val="21"/>
                <w14:textFill>
                  <w14:solidFill>
                    <w14:schemeClr w14:val="tx1"/>
                  </w14:solidFill>
                </w14:textFill>
              </w:rPr>
              <w:t>名称</w:t>
            </w:r>
          </w:p>
        </w:tc>
        <w:tc>
          <w:tcPr>
            <w:tcW w:w="899" w:type="dxa"/>
            <w:gridSpan w:val="2"/>
            <w:vAlign w:val="center"/>
          </w:tcPr>
          <w:p w14:paraId="6DF1FB1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面源中点坐标/m</w:t>
            </w:r>
          </w:p>
        </w:tc>
        <w:tc>
          <w:tcPr>
            <w:tcW w:w="825" w:type="dxa"/>
            <w:vMerge w:val="restart"/>
            <w:vAlign w:val="center"/>
          </w:tcPr>
          <w:p w14:paraId="19B3E68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面源海拔高度/m</w:t>
            </w:r>
          </w:p>
        </w:tc>
        <w:tc>
          <w:tcPr>
            <w:tcW w:w="703" w:type="dxa"/>
            <w:vMerge w:val="restart"/>
            <w:vAlign w:val="center"/>
          </w:tcPr>
          <w:p w14:paraId="68CCB30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面源长度/m</w:t>
            </w:r>
          </w:p>
        </w:tc>
        <w:tc>
          <w:tcPr>
            <w:tcW w:w="684" w:type="dxa"/>
            <w:vMerge w:val="restart"/>
            <w:vAlign w:val="center"/>
          </w:tcPr>
          <w:p w14:paraId="23407FB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面源宽度/m</w:t>
            </w:r>
          </w:p>
        </w:tc>
        <w:tc>
          <w:tcPr>
            <w:tcW w:w="835" w:type="dxa"/>
            <w:vMerge w:val="restart"/>
            <w:vAlign w:val="center"/>
          </w:tcPr>
          <w:p w14:paraId="65819F9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与正北方向夹角/°</w:t>
            </w:r>
          </w:p>
        </w:tc>
        <w:tc>
          <w:tcPr>
            <w:tcW w:w="909" w:type="dxa"/>
            <w:vMerge w:val="restart"/>
            <w:vAlign w:val="center"/>
          </w:tcPr>
          <w:p w14:paraId="6816F03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面源有效排放高度/m</w:t>
            </w:r>
          </w:p>
        </w:tc>
        <w:tc>
          <w:tcPr>
            <w:tcW w:w="695" w:type="dxa"/>
            <w:vMerge w:val="restart"/>
            <w:vAlign w:val="center"/>
          </w:tcPr>
          <w:p w14:paraId="4E9C594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年排放小时数/h</w:t>
            </w:r>
          </w:p>
        </w:tc>
        <w:tc>
          <w:tcPr>
            <w:tcW w:w="996" w:type="dxa"/>
            <w:vMerge w:val="restart"/>
            <w:vAlign w:val="center"/>
          </w:tcPr>
          <w:p w14:paraId="58E098E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排放工况</w:t>
            </w:r>
          </w:p>
        </w:tc>
        <w:tc>
          <w:tcPr>
            <w:tcW w:w="960" w:type="dxa"/>
            <w:vMerge w:val="restart"/>
            <w:vAlign w:val="center"/>
          </w:tcPr>
          <w:p w14:paraId="12A110A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污染物排放速率/（kg/h）</w:t>
            </w:r>
          </w:p>
        </w:tc>
      </w:tr>
      <w:tr w14:paraId="46F8D6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Merge w:val="continue"/>
            <w:vAlign w:val="center"/>
          </w:tcPr>
          <w:p w14:paraId="3EF27173">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1175" w:type="dxa"/>
            <w:vMerge w:val="continue"/>
            <w:vAlign w:val="center"/>
          </w:tcPr>
          <w:p w14:paraId="4EC699E2">
            <w:pPr>
              <w:adjustRightInd w:val="0"/>
              <w:snapToGrid w:val="0"/>
              <w:spacing w:line="240" w:lineRule="auto"/>
              <w:ind w:firstLine="420"/>
              <w:jc w:val="center"/>
              <w:rPr>
                <w:color w:val="000000" w:themeColor="text1"/>
                <w:sz w:val="21"/>
                <w:szCs w:val="20"/>
                <w14:textFill>
                  <w14:solidFill>
                    <w14:schemeClr w14:val="tx1"/>
                  </w14:solidFill>
                </w14:textFill>
              </w:rPr>
            </w:pPr>
          </w:p>
        </w:tc>
        <w:tc>
          <w:tcPr>
            <w:tcW w:w="464" w:type="dxa"/>
            <w:vAlign w:val="center"/>
          </w:tcPr>
          <w:p w14:paraId="08F5EFF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X</w:t>
            </w:r>
          </w:p>
        </w:tc>
        <w:tc>
          <w:tcPr>
            <w:tcW w:w="435" w:type="dxa"/>
            <w:vAlign w:val="center"/>
          </w:tcPr>
          <w:p w14:paraId="0983967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Y</w:t>
            </w:r>
          </w:p>
        </w:tc>
        <w:tc>
          <w:tcPr>
            <w:tcW w:w="825" w:type="dxa"/>
            <w:vMerge w:val="continue"/>
            <w:vAlign w:val="center"/>
          </w:tcPr>
          <w:p w14:paraId="1EB94611">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3" w:type="dxa"/>
            <w:vMerge w:val="continue"/>
            <w:vAlign w:val="center"/>
          </w:tcPr>
          <w:p w14:paraId="0162CD76">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4" w:type="dxa"/>
            <w:vMerge w:val="continue"/>
            <w:vAlign w:val="center"/>
          </w:tcPr>
          <w:p w14:paraId="7C32BAFE">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835" w:type="dxa"/>
            <w:vMerge w:val="continue"/>
            <w:vAlign w:val="center"/>
          </w:tcPr>
          <w:p w14:paraId="7A04BBE6">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909" w:type="dxa"/>
            <w:vMerge w:val="continue"/>
            <w:vAlign w:val="center"/>
          </w:tcPr>
          <w:p w14:paraId="78197FD9">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95" w:type="dxa"/>
            <w:vMerge w:val="continue"/>
            <w:vAlign w:val="center"/>
          </w:tcPr>
          <w:p w14:paraId="646A8D4C">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996" w:type="dxa"/>
            <w:vMerge w:val="continue"/>
            <w:vAlign w:val="center"/>
          </w:tcPr>
          <w:p w14:paraId="2E93D049">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960" w:type="dxa"/>
            <w:vMerge w:val="continue"/>
            <w:vAlign w:val="center"/>
          </w:tcPr>
          <w:p w14:paraId="206A8CF7">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r>
      <w:tr w14:paraId="1FC0E9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Align w:val="center"/>
          </w:tcPr>
          <w:p w14:paraId="268F34A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175" w:type="dxa"/>
            <w:vAlign w:val="center"/>
          </w:tcPr>
          <w:p w14:paraId="03883D02">
            <w:pPr>
              <w:spacing w:line="240" w:lineRule="exact"/>
              <w:ind w:firstLine="0" w:firstLineChars="0"/>
              <w:jc w:val="center"/>
              <w:rPr>
                <w:color w:val="000000" w:themeColor="text1"/>
                <w:sz w:val="21"/>
                <w:szCs w:val="16"/>
                <w14:textFill>
                  <w14:solidFill>
                    <w14:schemeClr w14:val="tx1"/>
                  </w14:solidFill>
                </w14:textFill>
              </w:rPr>
            </w:pPr>
            <w:r>
              <w:rPr>
                <w:rFonts w:hint="eastAsia"/>
                <w:color w:val="000000" w:themeColor="text1"/>
                <w:sz w:val="21"/>
                <w:szCs w:val="16"/>
                <w14:textFill>
                  <w14:solidFill>
                    <w14:schemeClr w14:val="tx1"/>
                  </w14:solidFill>
                </w14:textFill>
              </w:rPr>
              <w:t>苯乙烯</w:t>
            </w:r>
          </w:p>
        </w:tc>
        <w:tc>
          <w:tcPr>
            <w:tcW w:w="464" w:type="dxa"/>
            <w:vAlign w:val="center"/>
          </w:tcPr>
          <w:p w14:paraId="02B3262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p>
        </w:tc>
        <w:tc>
          <w:tcPr>
            <w:tcW w:w="435" w:type="dxa"/>
            <w:vAlign w:val="center"/>
          </w:tcPr>
          <w:p w14:paraId="07F3082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w:t>
            </w:r>
          </w:p>
        </w:tc>
        <w:tc>
          <w:tcPr>
            <w:tcW w:w="825" w:type="dxa"/>
            <w:vAlign w:val="center"/>
          </w:tcPr>
          <w:p w14:paraId="1947F06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03" w:type="dxa"/>
            <w:vAlign w:val="center"/>
          </w:tcPr>
          <w:p w14:paraId="7FF5CB0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276.5</w:t>
            </w:r>
          </w:p>
        </w:tc>
        <w:tc>
          <w:tcPr>
            <w:tcW w:w="684" w:type="dxa"/>
            <w:vAlign w:val="center"/>
          </w:tcPr>
          <w:p w14:paraId="48BA039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80</w:t>
            </w:r>
          </w:p>
        </w:tc>
        <w:tc>
          <w:tcPr>
            <w:tcW w:w="835" w:type="dxa"/>
            <w:vAlign w:val="center"/>
          </w:tcPr>
          <w:p w14:paraId="10D0C3F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909" w:type="dxa"/>
            <w:vAlign w:val="center"/>
          </w:tcPr>
          <w:p w14:paraId="56A3264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695" w:type="dxa"/>
            <w:vAlign w:val="center"/>
          </w:tcPr>
          <w:p w14:paraId="4E3C24B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3168</w:t>
            </w:r>
          </w:p>
        </w:tc>
        <w:tc>
          <w:tcPr>
            <w:tcW w:w="996" w:type="dxa"/>
            <w:vAlign w:val="center"/>
          </w:tcPr>
          <w:p w14:paraId="0EAD4EA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正常排放</w:t>
            </w:r>
          </w:p>
        </w:tc>
        <w:tc>
          <w:tcPr>
            <w:tcW w:w="960" w:type="dxa"/>
            <w:vAlign w:val="center"/>
          </w:tcPr>
          <w:p w14:paraId="462AF0A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0.0023</w:t>
            </w:r>
          </w:p>
        </w:tc>
      </w:tr>
      <w:tr w14:paraId="5FE876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Align w:val="center"/>
          </w:tcPr>
          <w:p w14:paraId="4F01088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175" w:type="dxa"/>
            <w:vAlign w:val="center"/>
          </w:tcPr>
          <w:p w14:paraId="52B491A3">
            <w:pPr>
              <w:spacing w:line="240" w:lineRule="exact"/>
              <w:ind w:firstLine="0" w:firstLineChars="0"/>
              <w:jc w:val="center"/>
              <w:rPr>
                <w:color w:val="000000" w:themeColor="text1"/>
                <w:sz w:val="21"/>
                <w:szCs w:val="16"/>
                <w14:textFill>
                  <w14:solidFill>
                    <w14:schemeClr w14:val="tx1"/>
                  </w14:solidFill>
                </w14:textFill>
              </w:rPr>
            </w:pPr>
            <w:r>
              <w:rPr>
                <w:rFonts w:hint="eastAsia"/>
                <w:color w:val="000000" w:themeColor="text1"/>
                <w:sz w:val="21"/>
                <w:szCs w:val="16"/>
                <w14:textFill>
                  <w14:solidFill>
                    <w14:schemeClr w14:val="tx1"/>
                  </w14:solidFill>
                </w14:textFill>
              </w:rPr>
              <w:t>硫酸雾</w:t>
            </w:r>
          </w:p>
        </w:tc>
        <w:tc>
          <w:tcPr>
            <w:tcW w:w="464" w:type="dxa"/>
            <w:vAlign w:val="center"/>
          </w:tcPr>
          <w:p w14:paraId="0E42654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p>
        </w:tc>
        <w:tc>
          <w:tcPr>
            <w:tcW w:w="435" w:type="dxa"/>
            <w:vAlign w:val="center"/>
          </w:tcPr>
          <w:p w14:paraId="471B2BD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w:t>
            </w:r>
          </w:p>
        </w:tc>
        <w:tc>
          <w:tcPr>
            <w:tcW w:w="825" w:type="dxa"/>
            <w:vAlign w:val="center"/>
          </w:tcPr>
          <w:p w14:paraId="62F7000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03" w:type="dxa"/>
            <w:vAlign w:val="center"/>
          </w:tcPr>
          <w:p w14:paraId="108D8C0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276.5</w:t>
            </w:r>
          </w:p>
        </w:tc>
        <w:tc>
          <w:tcPr>
            <w:tcW w:w="684" w:type="dxa"/>
            <w:vAlign w:val="center"/>
          </w:tcPr>
          <w:p w14:paraId="00015EB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80</w:t>
            </w:r>
          </w:p>
        </w:tc>
        <w:tc>
          <w:tcPr>
            <w:tcW w:w="835" w:type="dxa"/>
            <w:vAlign w:val="center"/>
          </w:tcPr>
          <w:p w14:paraId="7E306FF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909" w:type="dxa"/>
            <w:vAlign w:val="center"/>
          </w:tcPr>
          <w:p w14:paraId="55C5F53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695" w:type="dxa"/>
            <w:vAlign w:val="center"/>
          </w:tcPr>
          <w:p w14:paraId="157BA96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3168</w:t>
            </w:r>
          </w:p>
        </w:tc>
        <w:tc>
          <w:tcPr>
            <w:tcW w:w="996" w:type="dxa"/>
            <w:vAlign w:val="center"/>
          </w:tcPr>
          <w:p w14:paraId="54269A9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正常排放</w:t>
            </w:r>
          </w:p>
        </w:tc>
        <w:tc>
          <w:tcPr>
            <w:tcW w:w="960" w:type="dxa"/>
            <w:vAlign w:val="center"/>
          </w:tcPr>
          <w:p w14:paraId="239A177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0.0311</w:t>
            </w:r>
          </w:p>
        </w:tc>
      </w:tr>
      <w:tr w14:paraId="270EA9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Align w:val="center"/>
          </w:tcPr>
          <w:p w14:paraId="01A0A9D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1175" w:type="dxa"/>
            <w:vAlign w:val="center"/>
          </w:tcPr>
          <w:p w14:paraId="4A43D1FD">
            <w:pPr>
              <w:adjustRightInd w:val="0"/>
              <w:snapToGrid w:val="0"/>
              <w:spacing w:line="240" w:lineRule="auto"/>
              <w:ind w:firstLine="0" w:firstLineChars="0"/>
              <w:jc w:val="center"/>
              <w:rPr>
                <w:color w:val="000000" w:themeColor="text1"/>
                <w:sz w:val="21"/>
                <w:szCs w:val="16"/>
                <w14:textFill>
                  <w14:solidFill>
                    <w14:schemeClr w14:val="tx1"/>
                  </w14:solidFill>
                </w14:textFill>
              </w:rPr>
            </w:pPr>
            <w:r>
              <w:rPr>
                <w:color w:val="000000" w:themeColor="text1"/>
                <w:sz w:val="21"/>
                <w:szCs w:val="16"/>
                <w14:textFill>
                  <w14:solidFill>
                    <w14:schemeClr w14:val="tx1"/>
                  </w14:solidFill>
                </w14:textFill>
              </w:rPr>
              <w:t>VOCs</w:t>
            </w:r>
          </w:p>
        </w:tc>
        <w:tc>
          <w:tcPr>
            <w:tcW w:w="464" w:type="dxa"/>
            <w:vAlign w:val="center"/>
          </w:tcPr>
          <w:p w14:paraId="3A9E165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p>
        </w:tc>
        <w:tc>
          <w:tcPr>
            <w:tcW w:w="435" w:type="dxa"/>
            <w:vAlign w:val="center"/>
          </w:tcPr>
          <w:p w14:paraId="014B23E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w:t>
            </w:r>
          </w:p>
        </w:tc>
        <w:tc>
          <w:tcPr>
            <w:tcW w:w="825" w:type="dxa"/>
            <w:vAlign w:val="center"/>
          </w:tcPr>
          <w:p w14:paraId="052D177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03" w:type="dxa"/>
            <w:vAlign w:val="center"/>
          </w:tcPr>
          <w:p w14:paraId="6D3BE41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453</w:t>
            </w:r>
          </w:p>
        </w:tc>
        <w:tc>
          <w:tcPr>
            <w:tcW w:w="684" w:type="dxa"/>
            <w:vAlign w:val="center"/>
          </w:tcPr>
          <w:p w14:paraId="00E7F8C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w:t>
            </w:r>
          </w:p>
        </w:tc>
        <w:tc>
          <w:tcPr>
            <w:tcW w:w="835" w:type="dxa"/>
            <w:vAlign w:val="center"/>
          </w:tcPr>
          <w:p w14:paraId="29E7BEB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909" w:type="dxa"/>
            <w:vAlign w:val="center"/>
          </w:tcPr>
          <w:p w14:paraId="61FF3B9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695" w:type="dxa"/>
            <w:vAlign w:val="center"/>
          </w:tcPr>
          <w:p w14:paraId="176AF9C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3168</w:t>
            </w:r>
          </w:p>
        </w:tc>
        <w:tc>
          <w:tcPr>
            <w:tcW w:w="996" w:type="dxa"/>
            <w:vAlign w:val="center"/>
          </w:tcPr>
          <w:p w14:paraId="3C0FE6F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正常排放</w:t>
            </w:r>
          </w:p>
        </w:tc>
        <w:tc>
          <w:tcPr>
            <w:tcW w:w="960" w:type="dxa"/>
            <w:vAlign w:val="center"/>
          </w:tcPr>
          <w:p w14:paraId="65C1F3C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0.0293</w:t>
            </w:r>
          </w:p>
        </w:tc>
      </w:tr>
    </w:tbl>
    <w:p w14:paraId="4F03B670">
      <w:pPr>
        <w:ind w:firstLine="480"/>
        <w:rPr>
          <w:color w:val="000000" w:themeColor="text1"/>
          <w14:textFill>
            <w14:solidFill>
              <w14:schemeClr w14:val="tx1"/>
            </w14:solidFill>
          </w14:textFill>
        </w:rPr>
      </w:pPr>
      <w:r>
        <w:rPr>
          <w:color w:val="000000" w:themeColor="text1"/>
          <w14:textFill>
            <w14:solidFill>
              <w14:schemeClr w14:val="tx1"/>
            </w14:solidFill>
          </w14:textFill>
        </w:rPr>
        <w:t>主要污染物估算模型计算结果</w:t>
      </w:r>
      <w:r>
        <w:rPr>
          <w:rFonts w:hint="eastAsia"/>
          <w:color w:val="000000" w:themeColor="text1"/>
          <w14:textFill>
            <w14:solidFill>
              <w14:schemeClr w14:val="tx1"/>
            </w14:solidFill>
          </w14:textFill>
        </w:rPr>
        <w:t>见表4.3-11.。</w:t>
      </w:r>
    </w:p>
    <w:p w14:paraId="0DBD0976">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装卸作业区排放的苯乙烯</w:t>
      </w:r>
      <w:r>
        <w:rPr>
          <w:color w:val="000000" w:themeColor="text1"/>
          <w14:textFill>
            <w14:solidFill>
              <w14:schemeClr w14:val="tx1"/>
            </w14:solidFill>
          </w14:textFill>
        </w:rPr>
        <w:t>P</w:t>
      </w:r>
      <w:r>
        <w:rPr>
          <w:color w:val="000000" w:themeColor="text1"/>
          <w:vertAlign w:val="subscript"/>
          <w14:textFill>
            <w14:solidFill>
              <w14:schemeClr w14:val="tx1"/>
            </w14:solidFill>
          </w14:textFill>
        </w:rPr>
        <w:t>max</w:t>
      </w:r>
      <w:r>
        <w:rPr>
          <w:color w:val="000000" w:themeColor="text1"/>
          <w14:textFill>
            <w14:solidFill>
              <w14:schemeClr w14:val="tx1"/>
            </w14:solidFill>
          </w14:textFill>
        </w:rPr>
        <w:t>值为</w:t>
      </w:r>
      <w:r>
        <w:rPr>
          <w:rFonts w:hint="eastAsia"/>
          <w:color w:val="000000" w:themeColor="text1"/>
          <w14:textFill>
            <w14:solidFill>
              <w14:schemeClr w14:val="tx1"/>
            </w14:solidFill>
          </w14:textFill>
        </w:rPr>
        <w:t>3.29</w:t>
      </w:r>
      <w:r>
        <w:rPr>
          <w:color w:val="000000" w:themeColor="text1"/>
          <w14:textFill>
            <w14:solidFill>
              <w14:schemeClr w14:val="tx1"/>
            </w14:solidFill>
          </w14:textFill>
        </w:rPr>
        <w:t>%，C</w:t>
      </w:r>
      <w:r>
        <w:rPr>
          <w:color w:val="000000" w:themeColor="text1"/>
          <w:vertAlign w:val="subscript"/>
          <w14:textFill>
            <w14:solidFill>
              <w14:schemeClr w14:val="tx1"/>
            </w14:solidFill>
          </w14:textFill>
        </w:rPr>
        <w:t>max</w:t>
      </w:r>
      <w:r>
        <w:rPr>
          <w:color w:val="000000" w:themeColor="text1"/>
          <w14:textFill>
            <w14:solidFill>
              <w14:schemeClr w14:val="tx1"/>
            </w14:solidFill>
          </w14:textFill>
        </w:rPr>
        <w:t>为</w:t>
      </w:r>
      <w:r>
        <w:rPr>
          <w:rFonts w:hint="eastAsia"/>
          <w:color w:val="000000" w:themeColor="text1"/>
          <w14:textFill>
            <w14:solidFill>
              <w14:schemeClr w14:val="tx1"/>
            </w14:solidFill>
          </w14:textFill>
        </w:rPr>
        <w:t>0.329u</w:t>
      </w:r>
      <w:r>
        <w:rPr>
          <w:color w:val="000000" w:themeColor="text1"/>
          <w14:textFill>
            <w14:solidFill>
              <w14:schemeClr w14:val="tx1"/>
            </w14:solidFill>
          </w14:textFill>
        </w:rPr>
        <w:t>g/m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，在1%≤P</w:t>
      </w:r>
      <w:r>
        <w:rPr>
          <w:color w:val="000000" w:themeColor="text1"/>
          <w:vertAlign w:val="subscript"/>
          <w14:textFill>
            <w14:solidFill>
              <w14:schemeClr w14:val="tx1"/>
            </w14:solidFill>
          </w14:textFill>
        </w:rPr>
        <w:t>max</w:t>
      </w:r>
      <w:r>
        <w:rPr>
          <w:color w:val="000000" w:themeColor="text1"/>
          <w14:textFill>
            <w14:solidFill>
              <w14:schemeClr w14:val="tx1"/>
            </w14:solidFill>
          </w14:textFill>
        </w:rPr>
        <w:t>&lt;10%范围内，根据《</w:t>
      </w:r>
      <w:r>
        <w:rPr>
          <w:rFonts w:hint="eastAsia"/>
          <w:color w:val="000000" w:themeColor="text1"/>
          <w14:textFill>
            <w14:solidFill>
              <w14:schemeClr w14:val="tx1"/>
            </w14:solidFill>
          </w14:textFill>
        </w:rPr>
        <w:t>环境影响评价技术导则 大气环境</w:t>
      </w:r>
      <w:r>
        <w:rPr>
          <w:color w:val="000000" w:themeColor="text1"/>
          <w14:textFill>
            <w14:solidFill>
              <w14:schemeClr w14:val="tx1"/>
            </w14:solidFill>
          </w14:textFill>
        </w:rPr>
        <w:t>》（HJ</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2.2-2018）分级判据，确定本项目大气环境影响评价工作等级为二级。二级评价项目可不进行进一步预测与评价，只对污染物排放量进行核算。</w:t>
      </w:r>
    </w:p>
    <w:p w14:paraId="22901900">
      <w:pPr>
        <w:pStyle w:val="4"/>
        <w:rPr>
          <w:color w:val="000000" w:themeColor="text1"/>
          <w14:textFill>
            <w14:solidFill>
              <w14:schemeClr w14:val="tx1"/>
            </w14:solidFill>
          </w14:textFill>
        </w:rPr>
      </w:pPr>
      <w:bookmarkStart w:id="105" w:name="_Toc216620338"/>
      <w:bookmarkStart w:id="106" w:name="_Toc26909958"/>
      <w:bookmarkStart w:id="107" w:name="_Toc216103179"/>
      <w:bookmarkStart w:id="108" w:name="_Toc25436912"/>
      <w:bookmarkStart w:id="109" w:name="_Toc29131772"/>
      <w:bookmarkStart w:id="110" w:name="_Toc135090177"/>
      <w:bookmarkStart w:id="111" w:name="_Toc136878426"/>
      <w:r>
        <w:rPr>
          <w:color w:val="000000" w:themeColor="text1"/>
          <w14:textFill>
            <w14:solidFill>
              <w14:schemeClr w14:val="tx1"/>
            </w14:solidFill>
          </w14:textFill>
        </w:rPr>
        <w:t>地表水环境</w:t>
      </w:r>
      <w:bookmarkEnd w:id="105"/>
      <w:bookmarkEnd w:id="106"/>
      <w:bookmarkEnd w:id="107"/>
      <w:bookmarkEnd w:id="108"/>
      <w:bookmarkEnd w:id="109"/>
      <w:bookmarkEnd w:id="110"/>
      <w:bookmarkEnd w:id="111"/>
    </w:p>
    <w:p w14:paraId="39D30EA1">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本项目属于码头工程，根据《环境影响评价技术导则——地表水环境》（HJ2.3-2018），项目水环境影响类型为水</w:t>
      </w:r>
      <w:r>
        <w:rPr>
          <w:rFonts w:hint="eastAsia"/>
          <w:color w:val="000000" w:themeColor="text1"/>
          <w:u w:val="single"/>
          <w14:textFill>
            <w14:solidFill>
              <w14:schemeClr w14:val="tx1"/>
            </w14:solidFill>
          </w14:textFill>
        </w:rPr>
        <w:t>污染</w:t>
      </w:r>
      <w:r>
        <w:rPr>
          <w:color w:val="000000" w:themeColor="text1"/>
          <w:u w:val="single"/>
          <w14:textFill>
            <w14:solidFill>
              <w14:schemeClr w14:val="tx1"/>
            </w14:solidFill>
          </w14:textFill>
        </w:rPr>
        <w:t>影响。</w:t>
      </w:r>
    </w:p>
    <w:p w14:paraId="77815E13">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本项目营运期废水主要来自船舶污水、生活污水、冲洗水等。船舶含油污水由资质单位接收处置，生活污水、冲洗废水及初期雨水依托广西恒逸污水处理厂进行处理。根据《环境影响评价技术导则——地表水环境》（HJ2.3-2018），本项目营运期废水排放方式为间接排放，依据水污染影响判定评价等级为三级B。</w:t>
      </w:r>
    </w:p>
    <w:p w14:paraId="08688EC0">
      <w:pPr>
        <w:pStyle w:val="4"/>
        <w:rPr>
          <w:color w:val="000000" w:themeColor="text1"/>
          <w14:textFill>
            <w14:solidFill>
              <w14:schemeClr w14:val="tx1"/>
            </w14:solidFill>
          </w14:textFill>
        </w:rPr>
      </w:pPr>
      <w:bookmarkStart w:id="112" w:name="_Toc216103180"/>
      <w:bookmarkStart w:id="113" w:name="_Toc216620339"/>
      <w:bookmarkStart w:id="114" w:name="_Toc135090178"/>
      <w:bookmarkStart w:id="115" w:name="_Toc136878427"/>
      <w:r>
        <w:rPr>
          <w:color w:val="000000" w:themeColor="text1"/>
          <w14:textFill>
            <w14:solidFill>
              <w14:schemeClr w14:val="tx1"/>
            </w14:solidFill>
          </w14:textFill>
        </w:rPr>
        <w:t>海洋环境</w:t>
      </w:r>
      <w:bookmarkEnd w:id="112"/>
      <w:bookmarkEnd w:id="113"/>
      <w:bookmarkEnd w:id="114"/>
      <w:bookmarkEnd w:id="115"/>
    </w:p>
    <w:p w14:paraId="5EB6744F">
      <w:pPr>
        <w:ind w:firstLine="480"/>
        <w:rPr>
          <w:color w:val="000000" w:themeColor="text1"/>
          <w:u w:val="single"/>
          <w14:textFill>
            <w14:solidFill>
              <w14:schemeClr w14:val="tx1"/>
            </w14:solidFill>
          </w14:textFill>
        </w:rPr>
      </w:pPr>
      <w:r>
        <w:rPr>
          <w:rFonts w:hint="eastAsia"/>
          <w:color w:val="000000" w:themeColor="text1"/>
          <w14:textFill>
            <w14:solidFill>
              <w14:schemeClr w14:val="tx1"/>
            </w14:solidFill>
          </w14:textFill>
        </w:rPr>
        <w:t>项目属于新增装卸货种，不涉及海洋施工。</w:t>
      </w:r>
    </w:p>
    <w:p w14:paraId="3F085DDF">
      <w:pPr>
        <w:pStyle w:val="4"/>
        <w:rPr>
          <w:color w:val="000000" w:themeColor="text1"/>
          <w14:textFill>
            <w14:solidFill>
              <w14:schemeClr w14:val="tx1"/>
            </w14:solidFill>
          </w14:textFill>
        </w:rPr>
      </w:pPr>
      <w:bookmarkStart w:id="116" w:name="_Toc26909959"/>
      <w:bookmarkStart w:id="117" w:name="_Toc216620340"/>
      <w:bookmarkStart w:id="118" w:name="_Toc25436913"/>
      <w:bookmarkStart w:id="119" w:name="_Toc136878428"/>
      <w:bookmarkStart w:id="120" w:name="_Toc135090179"/>
      <w:bookmarkStart w:id="121" w:name="_Toc216103181"/>
      <w:bookmarkStart w:id="122" w:name="_Toc29131773"/>
      <w:r>
        <w:rPr>
          <w:color w:val="000000" w:themeColor="text1"/>
          <w14:textFill>
            <w14:solidFill>
              <w14:schemeClr w14:val="tx1"/>
            </w14:solidFill>
          </w14:textFill>
        </w:rPr>
        <w:t>地下水环境评价等级</w:t>
      </w:r>
      <w:bookmarkEnd w:id="116"/>
      <w:bookmarkEnd w:id="117"/>
      <w:bookmarkEnd w:id="118"/>
      <w:bookmarkEnd w:id="119"/>
      <w:bookmarkEnd w:id="120"/>
      <w:bookmarkEnd w:id="121"/>
      <w:bookmarkEnd w:id="122"/>
    </w:p>
    <w:p w14:paraId="54FD2AF6">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本项目主要进行液体化工品转运。根据《环境影响评价技术导则地下水环境》（HJ 610-2016）附录A，本项目码头工程属于S油气、液体化工码头，属Ⅱ类建设项目。</w:t>
      </w:r>
    </w:p>
    <w:p w14:paraId="21EDD0A6">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场地处于钦州港金鼓江西岸，周边主要为工业企业，附近无集中式饮用水水源地，也无国家或地方政府设定的与地下水环境相关的其他保护区，如热水、矿泉水、温泉等特殊地下水资源保护区。项目场地紧邻金鼓江，属于区域地下水的排泄区，浅层地下水均为咸水，利用价值低，周边居民饮水均为自来水，无集中式或分散式饮用水源地及矿泉水、温泉等特殊地下水资源分布区等地下水环境敏感、较敏感区，也不涉及《建设项目环境影响评价分类管理名录》中所界定的涉及地下水的环境敏感区。</w:t>
      </w:r>
    </w:p>
    <w:p w14:paraId="4C7B4154">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本项目码头生产废水、生活污水依托恒逸污水处理厂集中处理达标后排海。因此综合判定建设项目的地下水环境敏感程度为“不敏感”。</w:t>
      </w:r>
    </w:p>
    <w:p w14:paraId="01565340">
      <w:pPr>
        <w:ind w:firstLine="480"/>
        <w:rPr>
          <w:color w:val="000000" w:themeColor="text1"/>
          <w14:textFill>
            <w14:solidFill>
              <w14:schemeClr w14:val="tx1"/>
            </w14:solidFill>
          </w14:textFill>
        </w:rPr>
      </w:pPr>
      <w:r>
        <w:rPr>
          <w:color w:val="000000" w:themeColor="text1"/>
          <w14:textFill>
            <w14:solidFill>
              <w14:schemeClr w14:val="tx1"/>
            </w14:solidFill>
          </w14:textFill>
        </w:rPr>
        <w:t>根据地下水评价工作等级分级表，确定本项目的地下水评价工作等级为“三级”。</w:t>
      </w:r>
    </w:p>
    <w:p w14:paraId="11E54078">
      <w:pPr>
        <w:pStyle w:val="7"/>
        <w:rPr>
          <w:color w:val="000000" w:themeColor="text1"/>
          <w14:textFill>
            <w14:solidFill>
              <w14:schemeClr w14:val="tx1"/>
            </w14:solidFill>
          </w14:textFill>
        </w:rPr>
      </w:pPr>
      <w:r>
        <w:rPr>
          <w:color w:val="000000" w:themeColor="text1"/>
          <w14:textFill>
            <w14:solidFill>
              <w14:schemeClr w14:val="tx1"/>
            </w14:solidFill>
          </w14:textFill>
        </w:rPr>
        <w:t>地下水评价工作等级分级表</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418"/>
        <w:gridCol w:w="1933"/>
        <w:gridCol w:w="1794"/>
        <w:gridCol w:w="1897"/>
      </w:tblGrid>
      <w:tr w14:paraId="3448AB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418" w:type="dxa"/>
            <w:tcBorders>
              <w:top w:val="single" w:color="auto" w:sz="12" w:space="0"/>
              <w:bottom w:val="single" w:color="auto" w:sz="6" w:space="0"/>
              <w:tl2br w:val="single" w:color="auto" w:sz="4" w:space="0"/>
            </w:tcBorders>
            <w:vAlign w:val="center"/>
          </w:tcPr>
          <w:p w14:paraId="7C2FD8EF">
            <w:pPr>
              <w:spacing w:line="300" w:lineRule="exact"/>
              <w:ind w:firstLine="0" w:firstLineChars="0"/>
              <w:jc w:val="right"/>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项目类别</w:t>
            </w:r>
          </w:p>
          <w:p w14:paraId="3E38FCD4">
            <w:pPr>
              <w:spacing w:line="300" w:lineRule="exact"/>
              <w:ind w:firstLine="0" w:firstLineChars="0"/>
              <w:jc w:val="left"/>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 xml:space="preserve">敏感程度 </w:t>
            </w:r>
          </w:p>
        </w:tc>
        <w:tc>
          <w:tcPr>
            <w:tcW w:w="1933" w:type="dxa"/>
            <w:tcBorders>
              <w:top w:val="single" w:color="auto" w:sz="12" w:space="0"/>
              <w:bottom w:val="single" w:color="auto" w:sz="6" w:space="0"/>
              <w:tl2br w:val="nil"/>
            </w:tcBorders>
            <w:vAlign w:val="center"/>
          </w:tcPr>
          <w:p w14:paraId="0E8BF88F">
            <w:pPr>
              <w:spacing w:line="30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Ⅰ类项目</w:t>
            </w:r>
          </w:p>
        </w:tc>
        <w:tc>
          <w:tcPr>
            <w:tcW w:w="1794" w:type="dxa"/>
            <w:tcBorders>
              <w:top w:val="single" w:color="auto" w:sz="12" w:space="0"/>
              <w:bottom w:val="single" w:color="auto" w:sz="6" w:space="0"/>
              <w:tl2br w:val="nil"/>
            </w:tcBorders>
            <w:vAlign w:val="center"/>
          </w:tcPr>
          <w:p w14:paraId="6905EC0C">
            <w:pPr>
              <w:spacing w:line="30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Ⅱ类项目</w:t>
            </w:r>
          </w:p>
        </w:tc>
        <w:tc>
          <w:tcPr>
            <w:tcW w:w="1897" w:type="dxa"/>
            <w:vAlign w:val="center"/>
          </w:tcPr>
          <w:p w14:paraId="2257C983">
            <w:pPr>
              <w:spacing w:line="30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Ⅲ类项目</w:t>
            </w:r>
          </w:p>
        </w:tc>
      </w:tr>
      <w:tr w14:paraId="4ADC0D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418" w:type="dxa"/>
            <w:tcBorders>
              <w:top w:val="single" w:color="auto" w:sz="6" w:space="0"/>
            </w:tcBorders>
            <w:vAlign w:val="center"/>
          </w:tcPr>
          <w:p w14:paraId="60123CDB">
            <w:pPr>
              <w:spacing w:line="30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敏感</w:t>
            </w:r>
          </w:p>
        </w:tc>
        <w:tc>
          <w:tcPr>
            <w:tcW w:w="1933" w:type="dxa"/>
            <w:tcBorders>
              <w:top w:val="single" w:color="auto" w:sz="6" w:space="0"/>
            </w:tcBorders>
            <w:vAlign w:val="center"/>
          </w:tcPr>
          <w:p w14:paraId="4CD46FB7">
            <w:pPr>
              <w:spacing w:line="30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一</w:t>
            </w:r>
          </w:p>
        </w:tc>
        <w:tc>
          <w:tcPr>
            <w:tcW w:w="1794" w:type="dxa"/>
            <w:tcBorders>
              <w:top w:val="single" w:color="auto" w:sz="6" w:space="0"/>
            </w:tcBorders>
            <w:vAlign w:val="center"/>
          </w:tcPr>
          <w:p w14:paraId="0CF8A255">
            <w:pPr>
              <w:spacing w:line="30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一</w:t>
            </w:r>
          </w:p>
        </w:tc>
        <w:tc>
          <w:tcPr>
            <w:tcW w:w="1897" w:type="dxa"/>
            <w:vAlign w:val="center"/>
          </w:tcPr>
          <w:p w14:paraId="31046B1D">
            <w:pPr>
              <w:spacing w:line="30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w:t>
            </w:r>
          </w:p>
        </w:tc>
      </w:tr>
      <w:tr w14:paraId="1A52AC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418" w:type="dxa"/>
            <w:vAlign w:val="center"/>
          </w:tcPr>
          <w:p w14:paraId="71E08C3E">
            <w:pPr>
              <w:spacing w:line="30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较敏感</w:t>
            </w:r>
          </w:p>
        </w:tc>
        <w:tc>
          <w:tcPr>
            <w:tcW w:w="1933" w:type="dxa"/>
            <w:vAlign w:val="center"/>
          </w:tcPr>
          <w:p w14:paraId="6EED3797">
            <w:pPr>
              <w:spacing w:line="30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一</w:t>
            </w:r>
          </w:p>
        </w:tc>
        <w:tc>
          <w:tcPr>
            <w:tcW w:w="1794" w:type="dxa"/>
            <w:vAlign w:val="center"/>
          </w:tcPr>
          <w:p w14:paraId="42F413E7">
            <w:pPr>
              <w:spacing w:line="30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w:t>
            </w:r>
          </w:p>
        </w:tc>
        <w:tc>
          <w:tcPr>
            <w:tcW w:w="1897" w:type="dxa"/>
            <w:vAlign w:val="center"/>
          </w:tcPr>
          <w:p w14:paraId="18004B28">
            <w:pPr>
              <w:spacing w:line="30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三</w:t>
            </w:r>
          </w:p>
        </w:tc>
      </w:tr>
      <w:tr w14:paraId="6C939A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418" w:type="dxa"/>
            <w:vAlign w:val="center"/>
          </w:tcPr>
          <w:p w14:paraId="50D434B1">
            <w:pPr>
              <w:spacing w:line="30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不敏感</w:t>
            </w:r>
          </w:p>
        </w:tc>
        <w:tc>
          <w:tcPr>
            <w:tcW w:w="1933" w:type="dxa"/>
            <w:vAlign w:val="center"/>
          </w:tcPr>
          <w:p w14:paraId="4104DE2F">
            <w:pPr>
              <w:spacing w:line="30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w:t>
            </w:r>
          </w:p>
        </w:tc>
        <w:tc>
          <w:tcPr>
            <w:tcW w:w="1794" w:type="dxa"/>
            <w:shd w:val="clear" w:color="auto" w:fill="BFBFBF"/>
            <w:vAlign w:val="center"/>
          </w:tcPr>
          <w:p w14:paraId="3E1E8A30">
            <w:pPr>
              <w:spacing w:line="30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三</w:t>
            </w:r>
          </w:p>
        </w:tc>
        <w:tc>
          <w:tcPr>
            <w:tcW w:w="1897" w:type="dxa"/>
            <w:vAlign w:val="center"/>
          </w:tcPr>
          <w:p w14:paraId="76034B4C">
            <w:pPr>
              <w:spacing w:line="30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三</w:t>
            </w:r>
          </w:p>
        </w:tc>
      </w:tr>
    </w:tbl>
    <w:p w14:paraId="5DC00FB9">
      <w:pPr>
        <w:pStyle w:val="4"/>
        <w:rPr>
          <w:color w:val="000000" w:themeColor="text1"/>
          <w14:textFill>
            <w14:solidFill>
              <w14:schemeClr w14:val="tx1"/>
            </w14:solidFill>
          </w14:textFill>
        </w:rPr>
      </w:pPr>
      <w:bookmarkStart w:id="123" w:name="_Toc216103182"/>
      <w:bookmarkStart w:id="124" w:name="_Toc216620341"/>
      <w:bookmarkStart w:id="125" w:name="_Toc26909960"/>
      <w:bookmarkStart w:id="126" w:name="_Toc29131774"/>
      <w:bookmarkStart w:id="127" w:name="_Toc135090180"/>
      <w:bookmarkStart w:id="128" w:name="_Toc136878429"/>
      <w:bookmarkStart w:id="129" w:name="_Toc25436914"/>
      <w:r>
        <w:rPr>
          <w:color w:val="000000" w:themeColor="text1"/>
          <w14:textFill>
            <w14:solidFill>
              <w14:schemeClr w14:val="tx1"/>
            </w14:solidFill>
          </w14:textFill>
        </w:rPr>
        <w:t>噪声评价等级</w:t>
      </w:r>
      <w:bookmarkEnd w:id="123"/>
      <w:bookmarkEnd w:id="124"/>
      <w:bookmarkEnd w:id="125"/>
      <w:bookmarkEnd w:id="126"/>
      <w:bookmarkEnd w:id="127"/>
      <w:bookmarkEnd w:id="128"/>
      <w:bookmarkEnd w:id="129"/>
    </w:p>
    <w:p w14:paraId="3F67C74B">
      <w:pPr>
        <w:ind w:firstLine="480"/>
        <w:rPr>
          <w:color w:val="000000" w:themeColor="text1"/>
          <w14:textFill>
            <w14:solidFill>
              <w14:schemeClr w14:val="tx1"/>
            </w14:solidFill>
          </w14:textFill>
        </w:rPr>
      </w:pPr>
      <w:r>
        <w:rPr>
          <w:color w:val="000000" w:themeColor="text1"/>
          <w14:textFill>
            <w14:solidFill>
              <w14:schemeClr w14:val="tx1"/>
            </w14:solidFill>
          </w14:textFill>
        </w:rPr>
        <w:t>项目所处的声环境功能区为3 类，厂界外200m范围内无居民区、学校、医院等环境敏感目标，根据《环境影响评价技术导则 声环境》（HJ2.4-2021），确定本项目声环境影响评价等级为“三级”。</w:t>
      </w:r>
    </w:p>
    <w:p w14:paraId="4AECCBA2">
      <w:pPr>
        <w:pStyle w:val="4"/>
        <w:rPr>
          <w:color w:val="000000" w:themeColor="text1"/>
          <w14:textFill>
            <w14:solidFill>
              <w14:schemeClr w14:val="tx1"/>
            </w14:solidFill>
          </w14:textFill>
        </w:rPr>
      </w:pPr>
      <w:bookmarkStart w:id="130" w:name="_Toc29131775"/>
      <w:bookmarkStart w:id="131" w:name="_Toc26909961"/>
      <w:bookmarkStart w:id="132" w:name="_Toc135090181"/>
      <w:bookmarkStart w:id="133" w:name="_Toc216620342"/>
      <w:bookmarkStart w:id="134" w:name="_Toc216103183"/>
      <w:bookmarkStart w:id="135" w:name="_Toc136878430"/>
      <w:bookmarkStart w:id="136" w:name="_Toc25436915"/>
      <w:r>
        <w:rPr>
          <w:color w:val="000000" w:themeColor="text1"/>
          <w14:textFill>
            <w14:solidFill>
              <w14:schemeClr w14:val="tx1"/>
            </w14:solidFill>
          </w14:textFill>
        </w:rPr>
        <w:t>生态评价等级</w:t>
      </w:r>
      <w:bookmarkEnd w:id="130"/>
      <w:bookmarkEnd w:id="131"/>
      <w:bookmarkEnd w:id="132"/>
      <w:bookmarkEnd w:id="133"/>
      <w:bookmarkEnd w:id="134"/>
      <w:bookmarkEnd w:id="135"/>
      <w:bookmarkEnd w:id="136"/>
    </w:p>
    <w:p w14:paraId="179DBE06">
      <w:pPr>
        <w:widowControl/>
        <w:autoSpaceDE w:val="0"/>
        <w:ind w:firstLine="480"/>
        <w:rPr>
          <w:color w:val="000000" w:themeColor="text1"/>
          <w14:textFill>
            <w14:solidFill>
              <w14:schemeClr w14:val="tx1"/>
            </w14:solidFill>
          </w14:textFill>
        </w:rPr>
      </w:pPr>
      <w:bookmarkStart w:id="137" w:name="_Toc25436916"/>
      <w:bookmarkStart w:id="138" w:name="_Toc29131776"/>
      <w:bookmarkStart w:id="139" w:name="_Toc26909962"/>
      <w:r>
        <w:rPr>
          <w:rFonts w:hint="eastAsia" w:ascii="宋体" w:hAnsi="宋体"/>
          <w:color w:val="000000" w:themeColor="text1"/>
          <w14:textFill>
            <w14:solidFill>
              <w14:schemeClr w14:val="tx1"/>
            </w14:solidFill>
          </w14:textFill>
        </w:rPr>
        <w:t>本项目无涉海作业，无需根据《环境影响评价技术导则</w:t>
      </w:r>
      <w:r>
        <w:rPr>
          <w:rFonts w:hint="eastAsia"/>
          <w:color w:val="000000" w:themeColor="text1"/>
          <w14:textFill>
            <w14:solidFill>
              <w14:schemeClr w14:val="tx1"/>
            </w14:solidFill>
          </w14:textFill>
        </w:rPr>
        <w:t xml:space="preserve"> </w:t>
      </w:r>
      <w:r>
        <w:rPr>
          <w:rFonts w:hint="eastAsia" w:ascii="宋体" w:hAnsi="宋体"/>
          <w:color w:val="000000" w:themeColor="text1"/>
          <w14:textFill>
            <w14:solidFill>
              <w14:schemeClr w14:val="tx1"/>
            </w14:solidFill>
          </w14:textFill>
        </w:rPr>
        <w:t>海洋生态环境（</w:t>
      </w:r>
      <w:r>
        <w:rPr>
          <w:rFonts w:hint="eastAsia"/>
          <w:color w:val="000000" w:themeColor="text1"/>
          <w14:textFill>
            <w14:solidFill>
              <w14:schemeClr w14:val="tx1"/>
            </w14:solidFill>
          </w14:textFill>
        </w:rPr>
        <w:t>HJ 1409-2025</w:t>
      </w:r>
      <w:r>
        <w:rPr>
          <w:rFonts w:hint="eastAsia" w:ascii="宋体" w:hAnsi="宋体"/>
          <w:color w:val="000000" w:themeColor="text1"/>
          <w14:textFill>
            <w14:solidFill>
              <w14:schemeClr w14:val="tx1"/>
            </w14:solidFill>
          </w14:textFill>
        </w:rPr>
        <w:t>）》进行海洋生态环境评价等级判定。</w:t>
      </w:r>
      <w:r>
        <w:rPr>
          <w:rFonts w:ascii="宋体" w:hAnsi="宋体"/>
          <w:color w:val="000000" w:themeColor="text1"/>
          <w14:textFill>
            <w14:solidFill>
              <w14:schemeClr w14:val="tx1"/>
            </w14:solidFill>
          </w14:textFill>
        </w:rPr>
        <w:t>根据《环境影响评价技术导则</w:t>
      </w:r>
      <w:r>
        <w:rPr>
          <w:color w:val="000000" w:themeColor="text1"/>
          <w14:textFill>
            <w14:solidFill>
              <w14:schemeClr w14:val="tx1"/>
            </w14:solidFill>
          </w14:textFill>
        </w:rPr>
        <w:t xml:space="preserve"> </w:t>
      </w:r>
      <w:r>
        <w:rPr>
          <w:rFonts w:ascii="宋体" w:hAnsi="宋体"/>
          <w:color w:val="000000" w:themeColor="text1"/>
          <w14:textFill>
            <w14:solidFill>
              <w14:schemeClr w14:val="tx1"/>
            </w14:solidFill>
          </w14:textFill>
        </w:rPr>
        <w:t>生态影响》（</w:t>
      </w:r>
      <w:r>
        <w:rPr>
          <w:color w:val="000000" w:themeColor="text1"/>
          <w14:textFill>
            <w14:solidFill>
              <w14:schemeClr w14:val="tx1"/>
            </w14:solidFill>
          </w14:textFill>
        </w:rPr>
        <w:t>HJ 19-2022</w:t>
      </w:r>
      <w:r>
        <w:rPr>
          <w:rFonts w:ascii="宋体" w:hAnsi="宋体"/>
          <w:color w:val="000000" w:themeColor="text1"/>
          <w14:textFill>
            <w14:solidFill>
              <w14:schemeClr w14:val="tx1"/>
            </w14:solidFill>
          </w14:textFill>
        </w:rPr>
        <w:t>），建设项目</w:t>
      </w:r>
      <w:r>
        <w:rPr>
          <w:rFonts w:hint="eastAsia" w:ascii="宋体" w:hAnsi="宋体"/>
          <w:color w:val="000000" w:themeColor="text1"/>
          <w14:textFill>
            <w14:solidFill>
              <w14:schemeClr w14:val="tx1"/>
            </w14:solidFill>
          </w14:textFill>
        </w:rPr>
        <w:t>不</w:t>
      </w:r>
      <w:r>
        <w:rPr>
          <w:rFonts w:ascii="宋体" w:hAnsi="宋体"/>
          <w:color w:val="000000" w:themeColor="text1"/>
          <w14:textFill>
            <w14:solidFill>
              <w14:schemeClr w14:val="tx1"/>
            </w14:solidFill>
          </w14:textFill>
        </w:rPr>
        <w:t>涉及水生生态影响，</w:t>
      </w:r>
      <w:r>
        <w:rPr>
          <w:rFonts w:hint="eastAsia" w:ascii="宋体" w:hAnsi="宋体"/>
          <w:color w:val="000000" w:themeColor="text1"/>
          <w14:textFill>
            <w14:solidFill>
              <w14:schemeClr w14:val="tx1"/>
            </w14:solidFill>
          </w14:textFill>
        </w:rPr>
        <w:t>仅</w:t>
      </w:r>
      <w:r>
        <w:rPr>
          <w:rFonts w:ascii="宋体" w:hAnsi="宋体"/>
          <w:color w:val="000000" w:themeColor="text1"/>
          <w14:textFill>
            <w14:solidFill>
              <w14:schemeClr w14:val="tx1"/>
            </w14:solidFill>
          </w14:textFill>
        </w:rPr>
        <w:t>对陆生生态</w:t>
      </w:r>
      <w:r>
        <w:rPr>
          <w:rFonts w:hint="eastAsia" w:ascii="宋体" w:hAnsi="宋体"/>
          <w:color w:val="000000" w:themeColor="text1"/>
          <w14:textFill>
            <w14:solidFill>
              <w14:schemeClr w14:val="tx1"/>
            </w14:solidFill>
          </w14:textFill>
        </w:rPr>
        <w:t>进行</w:t>
      </w:r>
      <w:r>
        <w:rPr>
          <w:rFonts w:ascii="宋体" w:hAnsi="宋体"/>
          <w:color w:val="000000" w:themeColor="text1"/>
          <w14:textFill>
            <w14:solidFill>
              <w14:schemeClr w14:val="tx1"/>
            </w14:solidFill>
          </w14:textFill>
        </w:rPr>
        <w:t>评价等级</w:t>
      </w:r>
      <w:r>
        <w:rPr>
          <w:rFonts w:hint="eastAsia" w:ascii="宋体" w:hAnsi="宋体"/>
          <w:color w:val="000000" w:themeColor="text1"/>
          <w14:textFill>
            <w14:solidFill>
              <w14:schemeClr w14:val="tx1"/>
            </w14:solidFill>
          </w14:textFill>
        </w:rPr>
        <w:t>判定</w:t>
      </w:r>
      <w:r>
        <w:rPr>
          <w:rFonts w:ascii="宋体" w:hAnsi="宋体"/>
          <w:color w:val="000000" w:themeColor="text1"/>
          <w14:textFill>
            <w14:solidFill>
              <w14:schemeClr w14:val="tx1"/>
            </w14:solidFill>
          </w14:textFill>
        </w:rPr>
        <w:t>。</w:t>
      </w:r>
    </w:p>
    <w:p w14:paraId="7E80D6A7">
      <w:pPr>
        <w:autoSpaceDE w:val="0"/>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参照《环境影响评价技术导则</w:t>
      </w:r>
      <w:r>
        <w:rPr>
          <w:rFonts w:hint="eastAsia"/>
          <w:color w:val="000000" w:themeColor="text1"/>
          <w14:textFill>
            <w14:solidFill>
              <w14:schemeClr w14:val="tx1"/>
            </w14:solidFill>
          </w14:textFill>
        </w:rPr>
        <w:t xml:space="preserve"> </w:t>
      </w:r>
      <w:r>
        <w:rPr>
          <w:rFonts w:hint="eastAsia" w:ascii="宋体" w:hAnsi="宋体"/>
          <w:color w:val="000000" w:themeColor="text1"/>
          <w14:textFill>
            <w14:solidFill>
              <w14:schemeClr w14:val="tx1"/>
            </w14:solidFill>
          </w14:textFill>
        </w:rPr>
        <w:t>生态环境》（</w:t>
      </w:r>
      <w:r>
        <w:rPr>
          <w:rFonts w:hint="eastAsia"/>
          <w:color w:val="000000" w:themeColor="text1"/>
          <w14:textFill>
            <w14:solidFill>
              <w14:schemeClr w14:val="tx1"/>
            </w14:solidFill>
          </w14:textFill>
        </w:rPr>
        <w:t>HJ19-2022</w:t>
      </w:r>
      <w:r>
        <w:rPr>
          <w:rFonts w:hint="eastAsia" w:ascii="宋体" w:hAnsi="宋体"/>
          <w:color w:val="000000" w:themeColor="text1"/>
          <w14:textFill>
            <w14:solidFill>
              <w14:schemeClr w14:val="tx1"/>
            </w14:solidFill>
          </w14:textFill>
        </w:rPr>
        <w:t>），本项目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p>
    <w:p w14:paraId="44BCA889">
      <w:pPr>
        <w:pStyle w:val="4"/>
        <w:rPr>
          <w:color w:val="000000" w:themeColor="text1"/>
          <w14:textFill>
            <w14:solidFill>
              <w14:schemeClr w14:val="tx1"/>
            </w14:solidFill>
          </w14:textFill>
        </w:rPr>
      </w:pPr>
      <w:bookmarkStart w:id="140" w:name="_Toc216620343"/>
      <w:bookmarkStart w:id="141" w:name="_Toc216103184"/>
      <w:bookmarkStart w:id="142" w:name="_Toc135090182"/>
      <w:bookmarkStart w:id="143" w:name="_Toc136878431"/>
      <w:r>
        <w:rPr>
          <w:color w:val="000000" w:themeColor="text1"/>
          <w14:textFill>
            <w14:solidFill>
              <w14:schemeClr w14:val="tx1"/>
            </w14:solidFill>
          </w14:textFill>
        </w:rPr>
        <w:t>土壤环境</w:t>
      </w:r>
      <w:bookmarkEnd w:id="140"/>
      <w:bookmarkEnd w:id="141"/>
      <w:bookmarkEnd w:id="142"/>
      <w:bookmarkEnd w:id="143"/>
    </w:p>
    <w:p w14:paraId="7D80BD37">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根据《环境影响评价技术导则</w:t>
      </w:r>
      <w:r>
        <w:rPr>
          <w:rFonts w:hint="eastAsia"/>
          <w:color w:val="000000" w:themeColor="text1"/>
          <w14:textFill>
            <w14:solidFill>
              <w14:schemeClr w14:val="tx1"/>
            </w14:solidFill>
          </w14:textFill>
        </w:rPr>
        <w:t xml:space="preserve"> </w:t>
      </w:r>
      <w:r>
        <w:rPr>
          <w:rFonts w:hint="eastAsia" w:ascii="宋体" w:hAnsi="宋体"/>
          <w:color w:val="000000" w:themeColor="text1"/>
          <w14:textFill>
            <w14:solidFill>
              <w14:schemeClr w14:val="tx1"/>
            </w14:solidFill>
          </w14:textFill>
        </w:rPr>
        <w:t>土壤环境》（</w:t>
      </w:r>
      <w:r>
        <w:rPr>
          <w:rFonts w:hint="eastAsia"/>
          <w:color w:val="000000" w:themeColor="text1"/>
          <w14:textFill>
            <w14:solidFill>
              <w14:schemeClr w14:val="tx1"/>
            </w14:solidFill>
          </w14:textFill>
        </w:rPr>
        <w:t>HJ 964-2018</w:t>
      </w:r>
      <w:r>
        <w:rPr>
          <w:rFonts w:hint="eastAsia" w:ascii="宋体" w:hAnsi="宋体"/>
          <w:color w:val="000000" w:themeColor="text1"/>
          <w14:textFill>
            <w14:solidFill>
              <w14:schemeClr w14:val="tx1"/>
            </w14:solidFill>
          </w14:textFill>
        </w:rPr>
        <w:t>）附录</w:t>
      </w:r>
      <w:r>
        <w:rPr>
          <w:rFonts w:hint="eastAsia"/>
          <w:color w:val="000000" w:themeColor="text1"/>
          <w14:textFill>
            <w14:solidFill>
              <w14:schemeClr w14:val="tx1"/>
            </w14:solidFill>
          </w14:textFill>
        </w:rPr>
        <w:t>A</w:t>
      </w:r>
      <w:r>
        <w:rPr>
          <w:rFonts w:hint="eastAsia" w:ascii="宋体" w:hAnsi="宋体"/>
          <w:color w:val="000000" w:themeColor="text1"/>
          <w14:textFill>
            <w14:solidFill>
              <w14:schemeClr w14:val="tx1"/>
            </w14:solidFill>
          </w14:textFill>
        </w:rPr>
        <w:t>土壤环境影响评价项目类别表，拟建项目属于涉及危险品、化学品的码头，为</w:t>
      </w:r>
      <w:r>
        <w:rPr>
          <w:color w:val="000000" w:themeColor="text1"/>
          <w14:textFill>
            <w14:solidFill>
              <w14:schemeClr w14:val="tx1"/>
            </w14:solidFill>
          </w14:textFill>
        </w:rPr>
        <w:t>Ⅱ</w:t>
      </w:r>
      <w:r>
        <w:rPr>
          <w:rFonts w:hint="eastAsia" w:ascii="宋体" w:hAnsi="宋体"/>
          <w:color w:val="000000" w:themeColor="text1"/>
          <w14:textFill>
            <w14:solidFill>
              <w14:schemeClr w14:val="tx1"/>
            </w14:solidFill>
          </w14:textFill>
        </w:rPr>
        <w:t>类项目。本项目不新增永久占地，占地规模为小型，项目厂区周边均为工业用地及海域用地，不涉及土壤环境敏感目标，敏感程度为不敏感。本项目位于金鼓江入海口的码头上，码头为重力式透水码头结构，无绿化带和防风林，码头地面已硬化，硬化地面下的陆域土壤均为回填土，不具备代表性。因此本次环评不对土壤进行评价。</w:t>
      </w:r>
    </w:p>
    <w:p w14:paraId="0A27FD5D">
      <w:pPr>
        <w:pStyle w:val="4"/>
        <w:rPr>
          <w:color w:val="000000" w:themeColor="text1"/>
          <w14:textFill>
            <w14:solidFill>
              <w14:schemeClr w14:val="tx1"/>
            </w14:solidFill>
          </w14:textFill>
        </w:rPr>
      </w:pPr>
      <w:bookmarkStart w:id="144" w:name="_Toc216620344"/>
      <w:bookmarkStart w:id="145" w:name="_Toc216103185"/>
      <w:bookmarkStart w:id="146" w:name="_Toc136878432"/>
      <w:bookmarkStart w:id="147" w:name="_Toc135090183"/>
      <w:r>
        <w:rPr>
          <w:color w:val="000000" w:themeColor="text1"/>
          <w14:textFill>
            <w14:solidFill>
              <w14:schemeClr w14:val="tx1"/>
            </w14:solidFill>
          </w14:textFill>
        </w:rPr>
        <w:t>风险评价等级</w:t>
      </w:r>
      <w:bookmarkEnd w:id="137"/>
      <w:bookmarkEnd w:id="138"/>
      <w:bookmarkEnd w:id="139"/>
      <w:bookmarkEnd w:id="144"/>
      <w:bookmarkEnd w:id="145"/>
      <w:bookmarkEnd w:id="146"/>
      <w:bookmarkEnd w:id="147"/>
    </w:p>
    <w:p w14:paraId="6A1D4950">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本项目涉及的主要化学品有</w:t>
      </w:r>
      <w:r>
        <w:rPr>
          <w:rFonts w:hint="eastAsia"/>
          <w:color w:val="000000" w:themeColor="text1"/>
          <w:u w:val="none"/>
          <w14:textFill>
            <w14:solidFill>
              <w14:schemeClr w14:val="tx1"/>
            </w14:solidFill>
          </w14:textFill>
        </w:rPr>
        <w:t>苯乙烯、裂解C9、棕榈酸化油、脂肪酸甲酯、脂肪酸混合物、工业级混合油、纯生物柴油、航空煤油、液硫、碱液、发烟硫酸、硫酸</w:t>
      </w:r>
      <w:r>
        <w:rPr>
          <w:color w:val="000000" w:themeColor="text1"/>
          <w14:textFill>
            <w14:solidFill>
              <w14:schemeClr w14:val="tx1"/>
            </w14:solidFill>
          </w14:textFill>
        </w:rPr>
        <w:t>等，依据《建设项目环境风险评价技术导则》（HJ/T169-2018），</w:t>
      </w:r>
      <w:r>
        <w:rPr>
          <w:color w:val="000000" w:themeColor="text1"/>
          <w:kern w:val="0"/>
          <w:szCs w:val="20"/>
          <w14:textFill>
            <w14:solidFill>
              <w14:schemeClr w14:val="tx1"/>
            </w14:solidFill>
          </w14:textFill>
        </w:rPr>
        <w:t>本项目环境风险大气环境敏感区为E2，地表水环境敏感区为E</w:t>
      </w:r>
      <w:r>
        <w:rPr>
          <w:rFonts w:hint="eastAsia"/>
          <w:color w:val="000000" w:themeColor="text1"/>
          <w:kern w:val="0"/>
          <w:szCs w:val="20"/>
          <w14:textFill>
            <w14:solidFill>
              <w14:schemeClr w14:val="tx1"/>
            </w14:solidFill>
          </w14:textFill>
        </w:rPr>
        <w:t>2</w:t>
      </w:r>
      <w:r>
        <w:rPr>
          <w:color w:val="000000" w:themeColor="text1"/>
          <w:kern w:val="0"/>
          <w:szCs w:val="20"/>
          <w14:textFill>
            <w14:solidFill>
              <w14:schemeClr w14:val="tx1"/>
            </w14:solidFill>
          </w14:textFill>
        </w:rPr>
        <w:t>；本项目危险物质及工艺系统危险性等级为P2，故按《建设项目环境风险评价技术导则》（HJ/169-2018），项目环境风险潜势等级为Ⅲ级，确定风险评价工作级别为二级。其中环境风险大气环境风险潜势为Ⅲ</w:t>
      </w:r>
      <w:r>
        <w:rPr>
          <w:rFonts w:hint="eastAsia"/>
          <w:color w:val="000000" w:themeColor="text1"/>
          <w:kern w:val="0"/>
          <w:szCs w:val="20"/>
          <w14:textFill>
            <w14:solidFill>
              <w14:schemeClr w14:val="tx1"/>
            </w14:solidFill>
          </w14:textFill>
        </w:rPr>
        <w:t>，</w:t>
      </w:r>
      <w:r>
        <w:rPr>
          <w:color w:val="000000" w:themeColor="text1"/>
          <w:kern w:val="0"/>
          <w:szCs w:val="20"/>
          <w14:textFill>
            <w14:solidFill>
              <w14:schemeClr w14:val="tx1"/>
            </w14:solidFill>
          </w14:textFill>
        </w:rPr>
        <w:t>评价等级为二级；</w:t>
      </w:r>
      <w:r>
        <w:rPr>
          <w:rFonts w:hint="eastAsia"/>
          <w:color w:val="000000" w:themeColor="text1"/>
          <w:kern w:val="0"/>
          <w14:textFill>
            <w14:solidFill>
              <w14:schemeClr w14:val="tx1"/>
            </w14:solidFill>
          </w14:textFill>
        </w:rPr>
        <w:t>地表水环境风险潜势等级为</w:t>
      </w:r>
      <w:r>
        <w:rPr>
          <w:color w:val="000000" w:themeColor="text1"/>
          <w:kern w:val="0"/>
          <w:szCs w:val="20"/>
          <w14:textFill>
            <w14:solidFill>
              <w14:schemeClr w14:val="tx1"/>
            </w14:solidFill>
          </w14:textFill>
        </w:rPr>
        <w:t>Ⅲ</w:t>
      </w:r>
      <w:r>
        <w:rPr>
          <w:rFonts w:hint="eastAsia"/>
          <w:color w:val="000000" w:themeColor="text1"/>
          <w:spacing w:val="-2"/>
          <w:kern w:val="0"/>
          <w14:textFill>
            <w14:solidFill>
              <w14:schemeClr w14:val="tx1"/>
            </w14:solidFill>
          </w14:textFill>
        </w:rPr>
        <w:t>，</w:t>
      </w:r>
      <w:r>
        <w:rPr>
          <w:rFonts w:hint="eastAsia"/>
          <w:color w:val="000000" w:themeColor="text1"/>
          <w:kern w:val="0"/>
          <w14:textFill>
            <w14:solidFill>
              <w14:schemeClr w14:val="tx1"/>
            </w14:solidFill>
          </w14:textFill>
        </w:rPr>
        <w:t>因本工程为码头工程，涉及地表水环境为海域环境，风险类型为船舶污染海洋环境；故水域环境风险等级判定参照《船舶污染海洋环境风险评价技术规范（试行）》，本扩建项目所在码头为液体化工码头，地表水环境风险评价等级定为一级。具体判定见章节“5.2</w:t>
      </w:r>
      <w:r>
        <w:rPr>
          <w:rFonts w:hint="eastAsia" w:ascii="宋体" w:hAnsi="宋体"/>
          <w:color w:val="000000" w:themeColor="text1"/>
          <w14:textFill>
            <w14:solidFill>
              <w14:schemeClr w14:val="tx1"/>
            </w14:solidFill>
          </w14:textFill>
        </w:rPr>
        <w:t>环境风险潜势初判</w:t>
      </w:r>
      <w:r>
        <w:rPr>
          <w:rFonts w:hint="eastAsia"/>
          <w:color w:val="000000" w:themeColor="text1"/>
          <w:kern w:val="0"/>
          <w14:textFill>
            <w14:solidFill>
              <w14:schemeClr w14:val="tx1"/>
            </w14:solidFill>
          </w14:textFill>
        </w:rPr>
        <w:t>”</w:t>
      </w:r>
    </w:p>
    <w:p w14:paraId="73736F7A">
      <w:pPr>
        <w:pStyle w:val="4"/>
        <w:rPr>
          <w:color w:val="000000" w:themeColor="text1"/>
          <w14:textFill>
            <w14:solidFill>
              <w14:schemeClr w14:val="tx1"/>
            </w14:solidFill>
          </w14:textFill>
        </w:rPr>
      </w:pPr>
      <w:bookmarkStart w:id="148" w:name="_Toc26909964"/>
      <w:bookmarkStart w:id="149" w:name="_Toc136878433"/>
      <w:bookmarkStart w:id="150" w:name="_Toc25436918"/>
      <w:bookmarkStart w:id="151" w:name="_Toc216103186"/>
      <w:bookmarkStart w:id="152" w:name="_Toc135090184"/>
      <w:bookmarkStart w:id="153" w:name="_Toc29131778"/>
      <w:bookmarkStart w:id="154" w:name="_Toc216620345"/>
      <w:r>
        <w:rPr>
          <w:color w:val="000000" w:themeColor="text1"/>
          <w14:textFill>
            <w14:solidFill>
              <w14:schemeClr w14:val="tx1"/>
            </w14:solidFill>
          </w14:textFill>
        </w:rPr>
        <w:t>评价范围</w:t>
      </w:r>
      <w:bookmarkEnd w:id="148"/>
      <w:bookmarkEnd w:id="149"/>
      <w:bookmarkEnd w:id="150"/>
      <w:bookmarkEnd w:id="151"/>
      <w:bookmarkEnd w:id="152"/>
      <w:bookmarkEnd w:id="153"/>
      <w:bookmarkEnd w:id="154"/>
    </w:p>
    <w:p w14:paraId="7CF06B2C">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w:t>
      </w:r>
    </w:p>
    <w:p w14:paraId="4380080D">
      <w:pPr>
        <w:ind w:firstLine="480"/>
        <w:rPr>
          <w:rFonts w:hint="eastAsia" w:eastAsia="宋体"/>
          <w:color w:val="000000" w:themeColor="text1"/>
          <w:lang w:eastAsia="zh-CN"/>
          <w14:textFill>
            <w14:solidFill>
              <w14:schemeClr w14:val="tx1"/>
            </w14:solidFill>
          </w14:textFill>
        </w:rPr>
      </w:pPr>
      <w:r>
        <w:rPr>
          <w:color w:val="000000" w:themeColor="text1"/>
          <w14:textFill>
            <w14:solidFill>
              <w14:schemeClr w14:val="tx1"/>
            </w14:solidFill>
          </w14:textFill>
        </w:rPr>
        <w:t>大气环境风险评价范围：距离源点不低于5km。风险</w:t>
      </w:r>
      <w:r>
        <w:rPr>
          <w:rFonts w:hint="eastAsia"/>
          <w:color w:val="000000" w:themeColor="text1"/>
          <w:lang w:eastAsia="zh-CN"/>
          <w14:textFill>
            <w14:solidFill>
              <w14:schemeClr w14:val="tx1"/>
            </w14:solidFill>
          </w14:textFill>
        </w:rPr>
        <w:t>评价</w:t>
      </w:r>
      <w:r>
        <w:rPr>
          <w:color w:val="000000" w:themeColor="text1"/>
          <w14:textFill>
            <w14:solidFill>
              <w14:schemeClr w14:val="tx1"/>
            </w14:solidFill>
          </w14:textFill>
        </w:rPr>
        <w:t>范围四至坐标为 108° 35'E~108° 45'E， 21° 35'N~ 21° 45'N，海域面积约为 170km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根据涉及风险目标扩大。</w:t>
      </w:r>
    </w:p>
    <w:p w14:paraId="796CD33F">
      <w:pPr>
        <w:ind w:firstLine="480"/>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4186555</wp:posOffset>
                </wp:positionH>
                <wp:positionV relativeFrom="paragraph">
                  <wp:posOffset>1908810</wp:posOffset>
                </wp:positionV>
                <wp:extent cx="819150" cy="285750"/>
                <wp:effectExtent l="0" t="0" r="0" b="0"/>
                <wp:wrapNone/>
                <wp:docPr id="156" name="AutoShape 2010"/>
                <wp:cNvGraphicFramePr/>
                <a:graphic xmlns:a="http://schemas.openxmlformats.org/drawingml/2006/main">
                  <a:graphicData uri="http://schemas.microsoft.com/office/word/2010/wordprocessingShape">
                    <wps:wsp>
                      <wps:cNvSpPr/>
                      <wps:spPr bwMode="auto">
                        <a:xfrm>
                          <a:off x="0" y="0"/>
                          <a:ext cx="819150" cy="285750"/>
                        </a:xfrm>
                        <a:prstGeom prst="accentBorderCallout1">
                          <a:avLst>
                            <a:gd name="adj1" fmla="val 40000"/>
                            <a:gd name="adj2" fmla="val -9301"/>
                            <a:gd name="adj3" fmla="val 143778"/>
                            <a:gd name="adj4" fmla="val -150389"/>
                          </a:avLst>
                        </a:prstGeom>
                        <a:solidFill>
                          <a:srgbClr val="FFFFFF"/>
                        </a:solidFill>
                        <a:ln w="9525">
                          <a:solidFill>
                            <a:srgbClr val="000000"/>
                          </a:solidFill>
                          <a:miter lim="800000"/>
                        </a:ln>
                      </wps:spPr>
                      <wps:txbx>
                        <w:txbxContent>
                          <w:p w14:paraId="182B7C62">
                            <w:pPr>
                              <w:spacing w:line="240" w:lineRule="exact"/>
                              <w:ind w:firstLine="0" w:firstLineChars="0"/>
                            </w:pPr>
                            <w:r>
                              <w:rPr>
                                <w:rFonts w:hint="eastAsia"/>
                              </w:rPr>
                              <w:t>项目位置</w:t>
                            </w:r>
                          </w:p>
                        </w:txbxContent>
                      </wps:txbx>
                      <wps:bodyPr rot="0" vert="horz" wrap="square" lIns="91440" tIns="45720" rIns="91440" bIns="45720" anchor="t" anchorCtr="0" upright="1">
                        <a:noAutofit/>
                      </wps:bodyPr>
                    </wps:wsp>
                  </a:graphicData>
                </a:graphic>
              </wp:anchor>
            </w:drawing>
          </mc:Choice>
          <mc:Fallback>
            <w:pict>
              <v:shape id="AutoShape 2010" o:spid="_x0000_s1026" o:spt="50" type="#_x0000_t50" style="position:absolute;left:0pt;margin-left:329.65pt;margin-top:150.3pt;height:22.5pt;width:64.5pt;z-index:251663360;mso-width-relative:page;mso-height-relative:page;" fillcolor="#FFFFFF" filled="t" stroked="t" coordsize="21600,21600" o:gfxdata="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JQDFx2AAA&#10;AAsBAAAPAAAAAAAAAAEAIAAAACIAAABkcnMvZG93bnJldi54bWxQSwECFAAUAAAACACHTuJAoJJn&#10;wFcCAAD9BAAADgAAAAAAAAABACAAAAAnAQAAZHJzL2Uyb0RvYy54bWxQSwUGAAAAAAYABgBZAQAA&#10;8AUAAAAA&#10;" adj="-32484,31056,-2009,8640">
                <v:fill on="t" focussize="0,0"/>
                <v:stroke color="#000000" miterlimit="8" joinstyle="miter"/>
                <v:imagedata o:title=""/>
                <o:lock v:ext="edit" aspectratio="f"/>
                <v:textbox>
                  <w:txbxContent>
                    <w:p w14:paraId="182B7C62">
                      <w:pPr>
                        <w:spacing w:line="240" w:lineRule="exact"/>
                        <w:ind w:firstLine="0" w:firstLineChars="0"/>
                      </w:pPr>
                      <w:r>
                        <w:rPr>
                          <w:rFonts w:hint="eastAsia"/>
                        </w:rPr>
                        <w:t>项目位置</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1278890</wp:posOffset>
                </wp:positionH>
                <wp:positionV relativeFrom="paragraph">
                  <wp:posOffset>1539875</wp:posOffset>
                </wp:positionV>
                <wp:extent cx="2432050" cy="3723005"/>
                <wp:effectExtent l="19050" t="19050" r="25400" b="10795"/>
                <wp:wrapNone/>
                <wp:docPr id="157" name="Rectangle 2011"/>
                <wp:cNvGraphicFramePr/>
                <a:graphic xmlns:a="http://schemas.openxmlformats.org/drawingml/2006/main">
                  <a:graphicData uri="http://schemas.microsoft.com/office/word/2010/wordprocessingShape">
                    <wps:wsp>
                      <wps:cNvSpPr>
                        <a:spLocks noChangeArrowheads="1"/>
                      </wps:cNvSpPr>
                      <wps:spPr bwMode="auto">
                        <a:xfrm>
                          <a:off x="0" y="0"/>
                          <a:ext cx="2432157" cy="3723074"/>
                        </a:xfrm>
                        <a:prstGeom prst="rect">
                          <a:avLst/>
                        </a:prstGeom>
                        <a:noFill/>
                        <a:ln w="38100">
                          <a:solidFill>
                            <a:srgbClr val="00B0F0"/>
                          </a:solidFill>
                          <a:miter lim="800000"/>
                        </a:ln>
                      </wps:spPr>
                      <wps:bodyPr rot="0" vert="horz" wrap="square" lIns="91440" tIns="45720" rIns="91440" bIns="45720" anchor="t" anchorCtr="0" upright="1">
                        <a:noAutofit/>
                      </wps:bodyPr>
                    </wps:wsp>
                  </a:graphicData>
                </a:graphic>
              </wp:anchor>
            </w:drawing>
          </mc:Choice>
          <mc:Fallback>
            <w:pict>
              <v:rect id="Rectangle 2011" o:spid="_x0000_s1026" o:spt="1" style="position:absolute;left:0pt;margin-left:100.7pt;margin-top:121.25pt;height:293.15pt;width:191.5pt;z-index:251664384;mso-width-relative:page;mso-height-relative:page;" filled="f" stroked="t" coordsize="21600,21600" o:gfxdata="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10uBKNkAAAALAQAADwAAAAAAAAABACAAAAAiAAAAZHJzL2Rvd25yZXYueG1sUEsBAhQA&#10;FAAAAAgAh07iQD2DEz8qAgAAUAQAAA4AAAAAAAAAAQAgAAAAKAEAAGRycy9lMm9Eb2MueG1sUEsF&#10;BgAAAAAGAAYAWQEAAMQFAAAAAA==&#10;">
                <v:fill on="f" focussize="0,0"/>
                <v:stroke weight="3pt" color="#00B0F0" miterlimit="8" joinstyle="miter"/>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2361565</wp:posOffset>
                </wp:positionH>
                <wp:positionV relativeFrom="paragraph">
                  <wp:posOffset>2510790</wp:posOffset>
                </wp:positionV>
                <wp:extent cx="396875" cy="372745"/>
                <wp:effectExtent l="0" t="0" r="0" b="0"/>
                <wp:wrapNone/>
                <wp:docPr id="155" name="Text Box 87"/>
                <wp:cNvGraphicFramePr/>
                <a:graphic xmlns:a="http://schemas.openxmlformats.org/drawingml/2006/main">
                  <a:graphicData uri="http://schemas.microsoft.com/office/word/2010/wordprocessingShape">
                    <wps:wsp>
                      <wps:cNvSpPr txBox="1">
                        <a:spLocks noChangeArrowheads="1"/>
                      </wps:cNvSpPr>
                      <wps:spPr bwMode="auto">
                        <a:xfrm>
                          <a:off x="0" y="0"/>
                          <a:ext cx="396875" cy="372745"/>
                        </a:xfrm>
                        <a:prstGeom prst="rect">
                          <a:avLst/>
                        </a:prstGeom>
                        <a:noFill/>
                        <a:ln>
                          <a:noFill/>
                        </a:ln>
                      </wps:spPr>
                      <wps:txbx>
                        <w:txbxContent>
                          <w:p w14:paraId="5D12D5EA">
                            <w:pPr>
                              <w:ind w:firstLine="560"/>
                              <w:rPr>
                                <w:color w:val="FF0000"/>
                                <w:sz w:val="28"/>
                                <w:szCs w:val="28"/>
                              </w:rPr>
                            </w:pPr>
                            <w:r>
                              <w:rPr>
                                <w:rFonts w:hint="eastAsia"/>
                                <w:color w:val="FF0000"/>
                                <w:sz w:val="28"/>
                                <w:szCs w:val="28"/>
                              </w:rPr>
                              <w:t xml:space="preserve">★ </w:t>
                            </w:r>
                          </w:p>
                        </w:txbxContent>
                      </wps:txbx>
                      <wps:bodyPr rot="0" vert="horz" wrap="square" lIns="91440" tIns="45720" rIns="91440" bIns="45720" anchor="t" anchorCtr="0" upright="1">
                        <a:noAutofit/>
                      </wps:bodyPr>
                    </wps:wsp>
                  </a:graphicData>
                </a:graphic>
              </wp:anchor>
            </w:drawing>
          </mc:Choice>
          <mc:Fallback>
            <w:pict>
              <v:shape id="Text Box 87" o:spid="_x0000_s1026" o:spt="202" type="#_x0000_t202" style="position:absolute;left:0pt;margin-left:185.95pt;margin-top:197.7pt;height:29.35pt;width:31.25pt;z-index:251662336;mso-width-relative:page;mso-height-relative:page;" filled="f" stroked="f" coordsize="21600,21600" o:gfxdata="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u4ujDXAAAACwEAAA8AAAAAAAAAAQAgAAAAIgAA&#10;AGRycy9kb3ducmV2LnhtbFBLAQIUABQAAAAIAIdO4kAlFydECQIAABYEAAAOAAAAAAAAAAEAIAAA&#10;ACYBAABkcnMvZTJvRG9jLnhtbFBLBQYAAAAABgAGAFkBAAChBQAAAAA=&#10;">
                <v:fill on="f" focussize="0,0"/>
                <v:stroke on="f"/>
                <v:imagedata o:title=""/>
                <o:lock v:ext="edit" aspectratio="f"/>
                <v:textbox>
                  <w:txbxContent>
                    <w:p w14:paraId="5D12D5EA">
                      <w:pPr>
                        <w:ind w:firstLine="560"/>
                        <w:rPr>
                          <w:color w:val="FF0000"/>
                          <w:sz w:val="28"/>
                          <w:szCs w:val="28"/>
                        </w:rPr>
                      </w:pPr>
                      <w:r>
                        <w:rPr>
                          <w:rFonts w:hint="eastAsia"/>
                          <w:color w:val="FF0000"/>
                          <w:sz w:val="28"/>
                          <w:szCs w:val="28"/>
                        </w:rPr>
                        <w:t xml:space="preserve">★ </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1237615</wp:posOffset>
                </wp:positionH>
                <wp:positionV relativeFrom="paragraph">
                  <wp:posOffset>802640</wp:posOffset>
                </wp:positionV>
                <wp:extent cx="857250" cy="352425"/>
                <wp:effectExtent l="0" t="0" r="0" b="0"/>
                <wp:wrapNone/>
                <wp:docPr id="154" name="AutoShape 2014"/>
                <wp:cNvGraphicFramePr/>
                <a:graphic xmlns:a="http://schemas.openxmlformats.org/drawingml/2006/main">
                  <a:graphicData uri="http://schemas.microsoft.com/office/word/2010/wordprocessingShape">
                    <wps:wsp>
                      <wps:cNvSpPr>
                        <a:spLocks noChangeArrowheads="1"/>
                      </wps:cNvSpPr>
                      <wps:spPr bwMode="auto">
                        <a:xfrm>
                          <a:off x="0" y="0"/>
                          <a:ext cx="857250" cy="352425"/>
                        </a:xfrm>
                        <a:prstGeom prst="wedgeRectCallout">
                          <a:avLst>
                            <a:gd name="adj1" fmla="val 64000"/>
                            <a:gd name="adj2" fmla="val 150542"/>
                          </a:avLst>
                        </a:prstGeom>
                        <a:solidFill>
                          <a:srgbClr val="FFFFFF"/>
                        </a:solidFill>
                        <a:ln w="9525">
                          <a:solidFill>
                            <a:srgbClr val="000000"/>
                          </a:solidFill>
                          <a:miter lim="800000"/>
                        </a:ln>
                      </wps:spPr>
                      <wps:txbx>
                        <w:txbxContent>
                          <w:p w14:paraId="06866E26">
                            <w:pPr>
                              <w:ind w:firstLine="0" w:firstLineChars="0"/>
                            </w:pPr>
                            <w:r>
                              <w:rPr>
                                <w:rFonts w:hint="eastAsia"/>
                              </w:rPr>
                              <w:t>评价范围</w:t>
                            </w:r>
                          </w:p>
                        </w:txbxContent>
                      </wps:txbx>
                      <wps:bodyPr rot="0" vert="horz" wrap="square" lIns="91440" tIns="45720" rIns="91440" bIns="45720" anchor="t" anchorCtr="0" upright="1">
                        <a:noAutofit/>
                      </wps:bodyPr>
                    </wps:wsp>
                  </a:graphicData>
                </a:graphic>
              </wp:anchor>
            </w:drawing>
          </mc:Choice>
          <mc:Fallback>
            <w:pict>
              <v:shape id="AutoShape 2014" o:spid="_x0000_s1026" o:spt="61" type="#_x0000_t61" style="position:absolute;left:0pt;margin-left:97.45pt;margin-top:63.2pt;height:27.75pt;width:67.5pt;z-index:251665408;mso-width-relative:page;mso-height-relative:page;" fillcolor="#FFFFFF" filled="t" stroked="t" coordsize="21600,21600" o:gfxdata="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3K4O89kAAAAL&#10;AQAADwAAAAAAAAABACAAAAAiAAAAZHJzL2Rvd25yZXYueG1sUEsBAhQAFAAAAAgAh07iQDh0RX5U&#10;AgAA3wQAAA4AAAAAAAAAAQAgAAAAKAEAAGRycy9lMm9Eb2MueG1sUEsFBgAAAAAGAAYAWQEAAO4F&#10;AAAAAA==&#10;" adj="24624,43317">
                <v:fill on="t" focussize="0,0"/>
                <v:stroke color="#000000" miterlimit="8" joinstyle="miter"/>
                <v:imagedata o:title=""/>
                <o:lock v:ext="edit" aspectratio="f"/>
                <v:textbox>
                  <w:txbxContent>
                    <w:p w14:paraId="06866E26">
                      <w:pPr>
                        <w:ind w:firstLine="0" w:firstLineChars="0"/>
                      </w:pPr>
                      <w:r>
                        <w:rPr>
                          <w:rFonts w:hint="eastAsia"/>
                        </w:rPr>
                        <w:t>评价范围</w:t>
                      </w:r>
                    </w:p>
                  </w:txbxContent>
                </v:textbox>
              </v:shape>
            </w:pict>
          </mc:Fallback>
        </mc:AlternateContent>
      </w:r>
      <w:r>
        <w:rPr>
          <w:color w:val="000000" w:themeColor="text1"/>
          <w14:textFill>
            <w14:solidFill>
              <w14:schemeClr w14:val="tx1"/>
            </w14:solidFill>
          </w14:textFill>
        </w:rPr>
        <w:drawing>
          <wp:inline distT="0" distB="0" distL="0" distR="0">
            <wp:extent cx="5172710" cy="6038850"/>
            <wp:effectExtent l="0" t="0" r="0" b="0"/>
            <wp:docPr id="2748" name="图片 23" descr="评价范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8" name="图片 23" descr="评价范围.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172710" cy="6038850"/>
                    </a:xfrm>
                    <a:prstGeom prst="rect">
                      <a:avLst/>
                    </a:prstGeom>
                    <a:noFill/>
                    <a:ln>
                      <a:noFill/>
                    </a:ln>
                  </pic:spPr>
                </pic:pic>
              </a:graphicData>
            </a:graphic>
          </wp:inline>
        </w:drawing>
      </w:r>
    </w:p>
    <w:p w14:paraId="0648F103">
      <w:pPr>
        <w:pStyle w:val="8"/>
        <w:rPr>
          <w:color w:val="000000" w:themeColor="text1"/>
          <w:lang w:val="zh-CN"/>
          <w14:textFill>
            <w14:solidFill>
              <w14:schemeClr w14:val="tx1"/>
            </w14:solidFill>
          </w14:textFill>
        </w:rPr>
      </w:pPr>
      <w:r>
        <w:rPr>
          <w:color w:val="000000" w:themeColor="text1"/>
          <w14:textFill>
            <w14:solidFill>
              <w14:schemeClr w14:val="tx1"/>
            </w14:solidFill>
          </w14:textFill>
        </w:rPr>
        <w:t>环境风险影响评价范围图</w:t>
      </w:r>
    </w:p>
    <w:p w14:paraId="2FB9DCDD">
      <w:pPr>
        <w:pStyle w:val="6"/>
        <w:rPr>
          <w:color w:val="000000" w:themeColor="text1"/>
          <w14:textFill>
            <w14:solidFill>
              <w14:schemeClr w14:val="tx1"/>
            </w14:solidFill>
          </w14:textFill>
        </w:rPr>
      </w:pPr>
      <w:r>
        <w:rPr>
          <w:color w:val="000000" w:themeColor="text1"/>
          <w14:textFill>
            <w14:solidFill>
              <w14:schemeClr w14:val="tx1"/>
            </w14:solidFill>
          </w14:textFill>
        </w:rPr>
        <w:t>生态环境</w:t>
      </w:r>
    </w:p>
    <w:p w14:paraId="33857329">
      <w:pPr>
        <w:ind w:firstLine="48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评价范围为距项目5km范围</w:t>
      </w:r>
      <w:r>
        <w:rPr>
          <w:color w:val="000000" w:themeColor="text1"/>
          <w14:textFill>
            <w14:solidFill>
              <w14:schemeClr w14:val="tx1"/>
            </w14:solidFill>
          </w14:textFill>
        </w:rPr>
        <w:t>。</w:t>
      </w:r>
    </w:p>
    <w:p w14:paraId="30BCEF37">
      <w:pPr>
        <w:pStyle w:val="6"/>
        <w:rPr>
          <w:color w:val="000000" w:themeColor="text1"/>
          <w14:textFill>
            <w14:solidFill>
              <w14:schemeClr w14:val="tx1"/>
            </w14:solidFill>
          </w14:textFill>
        </w:rPr>
      </w:pPr>
      <w:r>
        <w:rPr>
          <w:color w:val="000000" w:themeColor="text1"/>
          <w14:textFill>
            <w14:solidFill>
              <w14:schemeClr w14:val="tx1"/>
            </w14:solidFill>
          </w14:textFill>
        </w:rPr>
        <w:t>环境空气</w:t>
      </w:r>
    </w:p>
    <w:p w14:paraId="0614A082">
      <w:pPr>
        <w:ind w:firstLine="480"/>
        <w:rPr>
          <w:color w:val="000000" w:themeColor="text1"/>
          <w14:textFill>
            <w14:solidFill>
              <w14:schemeClr w14:val="tx1"/>
            </w14:solidFill>
          </w14:textFill>
        </w:rPr>
      </w:pPr>
      <w:r>
        <w:rPr>
          <w:color w:val="000000" w:themeColor="text1"/>
          <w14:textFill>
            <w14:solidFill>
              <w14:schemeClr w14:val="tx1"/>
            </w14:solidFill>
          </w14:textFill>
        </w:rPr>
        <w:t>根据本项目工程排污情况，结合当地气象条件及区域环境特征，评价范围以项目码头为中心，边长5km的矩形。</w:t>
      </w:r>
    </w:p>
    <w:p w14:paraId="651ADD34">
      <w:pPr>
        <w:pStyle w:val="6"/>
        <w:rPr>
          <w:color w:val="000000" w:themeColor="text1"/>
          <w14:textFill>
            <w14:solidFill>
              <w14:schemeClr w14:val="tx1"/>
            </w14:solidFill>
          </w14:textFill>
        </w:rPr>
      </w:pPr>
      <w:r>
        <w:rPr>
          <w:color w:val="000000" w:themeColor="text1"/>
          <w14:textFill>
            <w14:solidFill>
              <w14:schemeClr w14:val="tx1"/>
            </w14:solidFill>
          </w14:textFill>
        </w:rPr>
        <w:t>地表水环境</w:t>
      </w:r>
    </w:p>
    <w:p w14:paraId="7812605F">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本项目生产废水和生活污水依托恒逸污水处理厂处理达标后外排，不直接进入地表水体，本次评价地表水环境评价范围与海洋环境评价范围一致。</w:t>
      </w:r>
    </w:p>
    <w:p w14:paraId="68A0F1E5">
      <w:pPr>
        <w:pStyle w:val="6"/>
        <w:rPr>
          <w:color w:val="000000" w:themeColor="text1"/>
          <w14:textFill>
            <w14:solidFill>
              <w14:schemeClr w14:val="tx1"/>
            </w14:solidFill>
          </w14:textFill>
        </w:rPr>
      </w:pPr>
      <w:r>
        <w:rPr>
          <w:color w:val="000000" w:themeColor="text1"/>
          <w14:textFill>
            <w14:solidFill>
              <w14:schemeClr w14:val="tx1"/>
            </w14:solidFill>
          </w14:textFill>
        </w:rPr>
        <w:t>地下水环境</w:t>
      </w:r>
    </w:p>
    <w:p w14:paraId="3E203F0A">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本项目厂址东侧紧邻港池，位于区域陆域部分地下水流向的下游。因此采用自定义法，确定本项目地下水评价范围为：作业区所在水文地质单元内。</w:t>
      </w:r>
    </w:p>
    <w:p w14:paraId="66F86B46">
      <w:pPr>
        <w:pStyle w:val="6"/>
        <w:rPr>
          <w:color w:val="000000" w:themeColor="text1"/>
          <w14:textFill>
            <w14:solidFill>
              <w14:schemeClr w14:val="tx1"/>
            </w14:solidFill>
          </w14:textFill>
        </w:rPr>
      </w:pPr>
      <w:r>
        <w:rPr>
          <w:color w:val="000000" w:themeColor="text1"/>
          <w14:textFill>
            <w14:solidFill>
              <w14:schemeClr w14:val="tx1"/>
            </w14:solidFill>
          </w14:textFill>
        </w:rPr>
        <w:t>土壤环境</w:t>
      </w:r>
    </w:p>
    <w:p w14:paraId="19398F4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本项目不对土壤进行评价。</w:t>
      </w:r>
    </w:p>
    <w:p w14:paraId="3A904CE0">
      <w:pPr>
        <w:pStyle w:val="6"/>
        <w:rPr>
          <w:color w:val="000000" w:themeColor="text1"/>
          <w14:textFill>
            <w14:solidFill>
              <w14:schemeClr w14:val="tx1"/>
            </w14:solidFill>
          </w14:textFill>
        </w:rPr>
      </w:pPr>
      <w:r>
        <w:rPr>
          <w:color w:val="000000" w:themeColor="text1"/>
          <w14:textFill>
            <w14:solidFill>
              <w14:schemeClr w14:val="tx1"/>
            </w14:solidFill>
          </w14:textFill>
        </w:rPr>
        <w:t>海洋环境</w:t>
      </w:r>
    </w:p>
    <w:p w14:paraId="10A3844F">
      <w:pPr>
        <w:ind w:firstLine="480"/>
        <w:rPr>
          <w:color w:val="000000" w:themeColor="text1"/>
          <w14:textFill>
            <w14:solidFill>
              <w14:schemeClr w14:val="tx1"/>
            </w14:solidFill>
          </w14:textFill>
        </w:rPr>
      </w:pPr>
      <w:r>
        <w:rPr>
          <w:color w:val="000000" w:themeColor="text1"/>
          <w14:textFill>
            <w14:solidFill>
              <w14:schemeClr w14:val="tx1"/>
            </w14:solidFill>
          </w14:textFill>
        </w:rPr>
        <w:t>不涉及海洋施工。</w:t>
      </w:r>
    </w:p>
    <w:p w14:paraId="6A2BA26A">
      <w:pPr>
        <w:pStyle w:val="5"/>
        <w:rPr>
          <w:color w:val="000000" w:themeColor="text1"/>
          <w14:textFill>
            <w14:solidFill>
              <w14:schemeClr w14:val="tx1"/>
            </w14:solidFill>
          </w14:textFill>
        </w:rPr>
      </w:pPr>
      <w:bookmarkStart w:id="155" w:name="_Toc216620346"/>
      <w:r>
        <w:rPr>
          <w:color w:val="000000" w:themeColor="text1"/>
          <w14:textFill>
            <w14:solidFill>
              <w14:schemeClr w14:val="tx1"/>
            </w14:solidFill>
          </w14:textFill>
        </w:rPr>
        <w:t>主要环境保护目标</w:t>
      </w:r>
      <w:bookmarkEnd w:id="155"/>
    </w:p>
    <w:p w14:paraId="6CCEF0C7">
      <w:pPr>
        <w:pStyle w:val="4"/>
        <w:rPr>
          <w:color w:val="000000" w:themeColor="text1"/>
          <w14:textFill>
            <w14:solidFill>
              <w14:schemeClr w14:val="tx1"/>
            </w14:solidFill>
          </w14:textFill>
        </w:rPr>
      </w:pPr>
      <w:bookmarkStart w:id="156" w:name="_Toc216620347"/>
      <w:bookmarkStart w:id="157" w:name="_Toc136878435"/>
      <w:bookmarkStart w:id="158" w:name="_Toc216103188"/>
      <w:bookmarkStart w:id="159" w:name="_Toc135090186"/>
      <w:r>
        <w:rPr>
          <w:color w:val="000000" w:themeColor="text1"/>
          <w14:textFill>
            <w14:solidFill>
              <w14:schemeClr w14:val="tx1"/>
            </w14:solidFill>
          </w14:textFill>
        </w:rPr>
        <w:t>声环境保护目标</w:t>
      </w:r>
      <w:bookmarkEnd w:id="156"/>
      <w:bookmarkEnd w:id="157"/>
      <w:bookmarkEnd w:id="158"/>
      <w:bookmarkEnd w:id="159"/>
    </w:p>
    <w:p w14:paraId="3A0E26E0">
      <w:pPr>
        <w:ind w:firstLine="480"/>
        <w:rPr>
          <w:color w:val="000000" w:themeColor="text1"/>
          <w14:textFill>
            <w14:solidFill>
              <w14:schemeClr w14:val="tx1"/>
            </w14:solidFill>
          </w14:textFill>
        </w:rPr>
      </w:pPr>
      <w:r>
        <w:rPr>
          <w:color w:val="000000" w:themeColor="text1"/>
          <w14:textFill>
            <w14:solidFill>
              <w14:schemeClr w14:val="tx1"/>
            </w14:solidFill>
          </w14:textFill>
        </w:rPr>
        <w:t>项目声环境评价范围内均无环境敏感目标分布。</w:t>
      </w:r>
    </w:p>
    <w:p w14:paraId="3066D65E">
      <w:pPr>
        <w:pStyle w:val="4"/>
        <w:rPr>
          <w:color w:val="000000" w:themeColor="text1"/>
          <w14:textFill>
            <w14:solidFill>
              <w14:schemeClr w14:val="tx1"/>
            </w14:solidFill>
          </w14:textFill>
        </w:rPr>
      </w:pPr>
      <w:bookmarkStart w:id="160" w:name="_Toc136878436"/>
      <w:bookmarkStart w:id="161" w:name="_Toc216620348"/>
      <w:bookmarkStart w:id="162" w:name="_Toc216103189"/>
      <w:bookmarkStart w:id="163" w:name="_Toc135090187"/>
      <w:r>
        <w:rPr>
          <w:color w:val="000000" w:themeColor="text1"/>
          <w14:textFill>
            <w14:solidFill>
              <w14:schemeClr w14:val="tx1"/>
            </w14:solidFill>
          </w14:textFill>
        </w:rPr>
        <w:t>大气环境保护目标</w:t>
      </w:r>
      <w:bookmarkEnd w:id="160"/>
      <w:bookmarkEnd w:id="161"/>
      <w:bookmarkEnd w:id="162"/>
      <w:bookmarkEnd w:id="163"/>
    </w:p>
    <w:p w14:paraId="7C481A41">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厂址附近区域的环境保护对象及敏感目标见表1.6-</w:t>
      </w:r>
      <w:r>
        <w:rPr>
          <w:rFonts w:hint="eastAsia"/>
          <w:color w:val="000000" w:themeColor="text1"/>
          <w:u w:val="single"/>
          <w14:textFill>
            <w14:solidFill>
              <w14:schemeClr w14:val="tx1"/>
            </w14:solidFill>
          </w14:textFill>
        </w:rPr>
        <w:t>2</w:t>
      </w:r>
      <w:r>
        <w:rPr>
          <w:color w:val="000000" w:themeColor="text1"/>
          <w:u w:val="single"/>
          <w14:textFill>
            <w14:solidFill>
              <w14:schemeClr w14:val="tx1"/>
            </w14:solidFill>
          </w14:textFill>
        </w:rPr>
        <w:t>。</w:t>
      </w:r>
    </w:p>
    <w:p w14:paraId="580F30A5">
      <w:pPr>
        <w:pStyle w:val="4"/>
        <w:rPr>
          <w:color w:val="000000" w:themeColor="text1"/>
          <w14:textFill>
            <w14:solidFill>
              <w14:schemeClr w14:val="tx1"/>
            </w14:solidFill>
          </w14:textFill>
        </w:rPr>
      </w:pPr>
      <w:bookmarkStart w:id="164" w:name="_Toc216103190"/>
      <w:bookmarkStart w:id="165" w:name="_Toc136878437"/>
      <w:bookmarkStart w:id="166" w:name="_Toc216620349"/>
      <w:bookmarkStart w:id="167" w:name="_Toc135090188"/>
      <w:r>
        <w:rPr>
          <w:color w:val="000000" w:themeColor="text1"/>
          <w14:textFill>
            <w14:solidFill>
              <w14:schemeClr w14:val="tx1"/>
            </w14:solidFill>
          </w14:textFill>
        </w:rPr>
        <w:t>生态环境保护目标</w:t>
      </w:r>
      <w:bookmarkEnd w:id="164"/>
      <w:bookmarkEnd w:id="165"/>
      <w:bookmarkEnd w:id="166"/>
      <w:bookmarkEnd w:id="167"/>
    </w:p>
    <w:p w14:paraId="38136169">
      <w:pPr>
        <w:ind w:firstLine="480"/>
        <w:rPr>
          <w:color w:val="000000" w:themeColor="text1"/>
          <w14:textFill>
            <w14:solidFill>
              <w14:schemeClr w14:val="tx1"/>
            </w14:solidFill>
          </w14:textFill>
        </w:rPr>
      </w:pPr>
      <w:r>
        <w:rPr>
          <w:color w:val="000000" w:themeColor="text1"/>
          <w14:textFill>
            <w14:solidFill>
              <w14:schemeClr w14:val="tx1"/>
            </w14:solidFill>
          </w14:textFill>
        </w:rPr>
        <w:t>以码头周边300m陆域及1500m水域生态系统为主要目标，兼顾对生态环境调查范围内的自然保护区，钦州市养殖水域滩涂规划中划定的养殖区、广西海洋功能区划（2011）中划定的农渔业区及旅游娱乐区、规模化蚝排养殖区、红树林分布斑块等。项目生态环境保护目标如下：</w:t>
      </w:r>
    </w:p>
    <w:p w14:paraId="5590CAD9">
      <w:pPr>
        <w:pStyle w:val="7"/>
        <w:rPr>
          <w:color w:val="000000" w:themeColor="text1"/>
          <w:u w:val="single"/>
          <w14:textFill>
            <w14:solidFill>
              <w14:schemeClr w14:val="tx1"/>
            </w14:solidFill>
          </w14:textFill>
        </w:rPr>
      </w:pPr>
      <w:bookmarkStart w:id="168" w:name="_Hlk54189494"/>
      <w:r>
        <w:rPr>
          <w:color w:val="000000" w:themeColor="text1"/>
          <w:u w:val="single"/>
          <w14:textFill>
            <w14:solidFill>
              <w14:schemeClr w14:val="tx1"/>
            </w14:solidFill>
          </w14:textFill>
        </w:rPr>
        <w:t>项目与评价范围内环境敏感区关系一览</w:t>
      </w:r>
    </w:p>
    <w:bookmarkEnd w:id="168"/>
    <w:tbl>
      <w:tblPr>
        <w:tblStyle w:val="43"/>
        <w:tblW w:w="912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02"/>
        <w:gridCol w:w="2379"/>
        <w:gridCol w:w="2089"/>
        <w:gridCol w:w="2091"/>
        <w:gridCol w:w="1968"/>
      </w:tblGrid>
      <w:tr w14:paraId="4D9F43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602" w:type="dxa"/>
            <w:tcMar>
              <w:left w:w="28" w:type="dxa"/>
              <w:right w:w="28" w:type="dxa"/>
            </w:tcMar>
            <w:vAlign w:val="center"/>
          </w:tcPr>
          <w:p w14:paraId="34724E04">
            <w:pPr>
              <w:pStyle w:val="70"/>
              <w:rPr>
                <w:b/>
                <w:bCs/>
                <w:color w:val="000000" w:themeColor="text1"/>
                <w14:textFill>
                  <w14:solidFill>
                    <w14:schemeClr w14:val="tx1"/>
                  </w14:solidFill>
                </w14:textFill>
              </w:rPr>
            </w:pPr>
            <w:bookmarkStart w:id="169" w:name="_Hlk70001080"/>
            <w:r>
              <w:rPr>
                <w:b/>
                <w:bCs/>
                <w:color w:val="000000" w:themeColor="text1"/>
                <w14:textFill>
                  <w14:solidFill>
                    <w14:schemeClr w14:val="tx1"/>
                  </w14:solidFill>
                </w14:textFill>
              </w:rPr>
              <w:t>序号</w:t>
            </w:r>
          </w:p>
        </w:tc>
        <w:tc>
          <w:tcPr>
            <w:tcW w:w="2379" w:type="dxa"/>
            <w:tcMar>
              <w:left w:w="28" w:type="dxa"/>
              <w:right w:w="28" w:type="dxa"/>
            </w:tcMar>
            <w:vAlign w:val="center"/>
          </w:tcPr>
          <w:p w14:paraId="4BA215EA">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生态敏感区名称</w:t>
            </w:r>
          </w:p>
        </w:tc>
        <w:tc>
          <w:tcPr>
            <w:tcW w:w="2089" w:type="dxa"/>
            <w:vAlign w:val="center"/>
          </w:tcPr>
          <w:p w14:paraId="7781916C">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保护级别</w:t>
            </w:r>
          </w:p>
        </w:tc>
        <w:tc>
          <w:tcPr>
            <w:tcW w:w="2091" w:type="dxa"/>
            <w:tcMar>
              <w:left w:w="28" w:type="dxa"/>
              <w:right w:w="28" w:type="dxa"/>
            </w:tcMar>
            <w:vAlign w:val="center"/>
          </w:tcPr>
          <w:p w14:paraId="104496FB">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保护对象</w:t>
            </w:r>
          </w:p>
        </w:tc>
        <w:tc>
          <w:tcPr>
            <w:tcW w:w="1968" w:type="dxa"/>
            <w:vAlign w:val="center"/>
          </w:tcPr>
          <w:p w14:paraId="3CF11154">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与项目相对方位/最近距离</w:t>
            </w:r>
          </w:p>
        </w:tc>
      </w:tr>
      <w:tr w14:paraId="629AD9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602" w:type="dxa"/>
            <w:tcMar>
              <w:left w:w="28" w:type="dxa"/>
              <w:right w:w="28" w:type="dxa"/>
            </w:tcMar>
            <w:vAlign w:val="center"/>
          </w:tcPr>
          <w:p w14:paraId="32B75E73">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c>
          <w:tcPr>
            <w:tcW w:w="2379" w:type="dxa"/>
            <w:tcMar>
              <w:left w:w="28" w:type="dxa"/>
              <w:right w:w="28" w:type="dxa"/>
            </w:tcMar>
            <w:vAlign w:val="center"/>
          </w:tcPr>
          <w:p w14:paraId="42A662A4">
            <w:pPr>
              <w:pStyle w:val="70"/>
              <w:rPr>
                <w:color w:val="000000" w:themeColor="text1"/>
                <w14:textFill>
                  <w14:solidFill>
                    <w14:schemeClr w14:val="tx1"/>
                  </w14:solidFill>
                </w14:textFill>
              </w:rPr>
            </w:pPr>
            <w:r>
              <w:rPr>
                <w:color w:val="000000" w:themeColor="text1"/>
                <w14:textFill>
                  <w14:solidFill>
                    <w14:schemeClr w14:val="tx1"/>
                  </w14:solidFill>
                </w14:textFill>
              </w:rPr>
              <w:t>广西茅尾海红树林自治区级自然保护区</w:t>
            </w:r>
          </w:p>
        </w:tc>
        <w:tc>
          <w:tcPr>
            <w:tcW w:w="2089" w:type="dxa"/>
            <w:vAlign w:val="center"/>
          </w:tcPr>
          <w:p w14:paraId="0919CF35">
            <w:pPr>
              <w:pStyle w:val="70"/>
              <w:rPr>
                <w:color w:val="000000" w:themeColor="text1"/>
                <w14:textFill>
                  <w14:solidFill>
                    <w14:schemeClr w14:val="tx1"/>
                  </w14:solidFill>
                </w14:textFill>
              </w:rPr>
            </w:pPr>
            <w:r>
              <w:rPr>
                <w:color w:val="000000" w:themeColor="text1"/>
                <w14:textFill>
                  <w14:solidFill>
                    <w14:schemeClr w14:val="tx1"/>
                  </w14:solidFill>
                </w14:textFill>
              </w:rPr>
              <w:t>自治区级</w:t>
            </w:r>
          </w:p>
          <w:p w14:paraId="01D8DD6C">
            <w:pPr>
              <w:pStyle w:val="70"/>
              <w:rPr>
                <w:color w:val="000000" w:themeColor="text1"/>
                <w14:textFill>
                  <w14:solidFill>
                    <w14:schemeClr w14:val="tx1"/>
                  </w14:solidFill>
                </w14:textFill>
              </w:rPr>
            </w:pPr>
            <w:r>
              <w:rPr>
                <w:color w:val="000000" w:themeColor="text1"/>
                <w14:textFill>
                  <w14:solidFill>
                    <w14:schemeClr w14:val="tx1"/>
                  </w14:solidFill>
                </w14:textFill>
              </w:rPr>
              <w:t>桂政函〔2020〕14号</w:t>
            </w:r>
          </w:p>
        </w:tc>
        <w:tc>
          <w:tcPr>
            <w:tcW w:w="2091" w:type="dxa"/>
            <w:tcMar>
              <w:left w:w="28" w:type="dxa"/>
              <w:right w:w="28" w:type="dxa"/>
            </w:tcMar>
            <w:vAlign w:val="center"/>
          </w:tcPr>
          <w:p w14:paraId="67F462F3">
            <w:pPr>
              <w:pStyle w:val="70"/>
              <w:rPr>
                <w:color w:val="000000" w:themeColor="text1"/>
                <w14:textFill>
                  <w14:solidFill>
                    <w14:schemeClr w14:val="tx1"/>
                  </w14:solidFill>
                </w14:textFill>
              </w:rPr>
            </w:pPr>
            <w:r>
              <w:rPr>
                <w:color w:val="000000" w:themeColor="text1"/>
                <w14:textFill>
                  <w14:solidFill>
                    <w14:schemeClr w14:val="tx1"/>
                  </w14:solidFill>
                </w14:textFill>
              </w:rPr>
              <w:t>红树林生态系统</w:t>
            </w:r>
          </w:p>
        </w:tc>
        <w:tc>
          <w:tcPr>
            <w:tcW w:w="1968" w:type="dxa"/>
            <w:vAlign w:val="center"/>
          </w:tcPr>
          <w:p w14:paraId="6BFE81BE">
            <w:pPr>
              <w:pStyle w:val="70"/>
              <w:rPr>
                <w:color w:val="000000" w:themeColor="text1"/>
                <w14:textFill>
                  <w14:solidFill>
                    <w14:schemeClr w14:val="tx1"/>
                  </w14:solidFill>
                </w14:textFill>
              </w:rPr>
            </w:pPr>
            <w:r>
              <w:rPr>
                <w:color w:val="000000" w:themeColor="text1"/>
                <w14:textFill>
                  <w14:solidFill>
                    <w14:schemeClr w14:val="tx1"/>
                  </w14:solidFill>
                </w14:textFill>
              </w:rPr>
              <w:t>W，3.8km</w:t>
            </w:r>
          </w:p>
        </w:tc>
      </w:tr>
      <w:tr w14:paraId="578A4D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602" w:type="dxa"/>
            <w:tcMar>
              <w:left w:w="28" w:type="dxa"/>
              <w:right w:w="28" w:type="dxa"/>
            </w:tcMar>
            <w:vAlign w:val="center"/>
          </w:tcPr>
          <w:p w14:paraId="6782A7B4">
            <w:pPr>
              <w:pStyle w:val="70"/>
              <w:rPr>
                <w:color w:val="000000" w:themeColor="text1"/>
                <w14:textFill>
                  <w14:solidFill>
                    <w14:schemeClr w14:val="tx1"/>
                  </w14:solidFill>
                </w14:textFill>
              </w:rPr>
            </w:pPr>
            <w:r>
              <w:rPr>
                <w:color w:val="000000" w:themeColor="text1"/>
                <w14:textFill>
                  <w14:solidFill>
                    <w14:schemeClr w14:val="tx1"/>
                  </w14:solidFill>
                </w14:textFill>
              </w:rPr>
              <w:t>2</w:t>
            </w:r>
          </w:p>
        </w:tc>
        <w:tc>
          <w:tcPr>
            <w:tcW w:w="2379" w:type="dxa"/>
            <w:tcMar>
              <w:left w:w="28" w:type="dxa"/>
              <w:right w:w="28" w:type="dxa"/>
            </w:tcMar>
            <w:vAlign w:val="center"/>
          </w:tcPr>
          <w:p w14:paraId="1F5912B0">
            <w:pPr>
              <w:pStyle w:val="70"/>
              <w:rPr>
                <w:color w:val="000000" w:themeColor="text1"/>
                <w14:textFill>
                  <w14:solidFill>
                    <w14:schemeClr w14:val="tx1"/>
                  </w14:solidFill>
                </w14:textFill>
              </w:rPr>
            </w:pPr>
            <w:r>
              <w:rPr>
                <w:color w:val="000000" w:themeColor="text1"/>
                <w14:textFill>
                  <w14:solidFill>
                    <w14:schemeClr w14:val="tx1"/>
                  </w14:solidFill>
                </w14:textFill>
              </w:rPr>
              <w:t>钦州港青菜头南浅海滩涂养殖区</w:t>
            </w:r>
          </w:p>
        </w:tc>
        <w:tc>
          <w:tcPr>
            <w:tcW w:w="2089" w:type="dxa"/>
            <w:vAlign w:val="center"/>
          </w:tcPr>
          <w:p w14:paraId="35DCC754">
            <w:pPr>
              <w:pStyle w:val="70"/>
              <w:rPr>
                <w:color w:val="000000" w:themeColor="text1"/>
                <w14:textFill>
                  <w14:solidFill>
                    <w14:schemeClr w14:val="tx1"/>
                  </w14:solidFill>
                </w14:textFill>
              </w:rPr>
            </w:pPr>
            <w:r>
              <w:rPr>
                <w:bCs/>
                <w:color w:val="000000" w:themeColor="text1"/>
                <w:spacing w:val="6"/>
                <w:szCs w:val="30"/>
                <w14:textFill>
                  <w14:solidFill>
                    <w14:schemeClr w14:val="tx1"/>
                  </w14:solidFill>
                </w14:textFill>
              </w:rPr>
              <w:t>钦州市养殖水域滩涂规划（2019-2030）</w:t>
            </w:r>
          </w:p>
        </w:tc>
        <w:tc>
          <w:tcPr>
            <w:tcW w:w="2091" w:type="dxa"/>
            <w:tcMar>
              <w:left w:w="28" w:type="dxa"/>
              <w:right w:w="28" w:type="dxa"/>
            </w:tcMar>
            <w:vAlign w:val="center"/>
          </w:tcPr>
          <w:p w14:paraId="2532288A">
            <w:pPr>
              <w:pStyle w:val="70"/>
              <w:rPr>
                <w:color w:val="000000" w:themeColor="text1"/>
                <w14:textFill>
                  <w14:solidFill>
                    <w14:schemeClr w14:val="tx1"/>
                  </w14:solidFill>
                </w14:textFill>
              </w:rPr>
            </w:pPr>
            <w:r>
              <w:rPr>
                <w:color w:val="000000" w:themeColor="text1"/>
                <w14:textFill>
                  <w14:solidFill>
                    <w14:schemeClr w14:val="tx1"/>
                  </w14:solidFill>
                </w14:textFill>
              </w:rPr>
              <w:t>海水水质</w:t>
            </w:r>
          </w:p>
        </w:tc>
        <w:tc>
          <w:tcPr>
            <w:tcW w:w="1968" w:type="dxa"/>
            <w:vAlign w:val="center"/>
          </w:tcPr>
          <w:p w14:paraId="2EBB85B6">
            <w:pPr>
              <w:pStyle w:val="70"/>
              <w:rPr>
                <w:color w:val="000000" w:themeColor="text1"/>
                <w14:textFill>
                  <w14:solidFill>
                    <w14:schemeClr w14:val="tx1"/>
                  </w14:solidFill>
                </w14:textFill>
              </w:rPr>
            </w:pPr>
            <w:r>
              <w:rPr>
                <w:color w:val="000000" w:themeColor="text1"/>
                <w14:textFill>
                  <w14:solidFill>
                    <w14:schemeClr w14:val="tx1"/>
                  </w14:solidFill>
                </w14:textFill>
              </w:rPr>
              <w:t>S,5.9km</w:t>
            </w:r>
          </w:p>
        </w:tc>
      </w:tr>
      <w:tr w14:paraId="2A345D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3" w:hRule="atLeast"/>
          <w:jc w:val="center"/>
        </w:trPr>
        <w:tc>
          <w:tcPr>
            <w:tcW w:w="602" w:type="dxa"/>
            <w:tcMar>
              <w:left w:w="28" w:type="dxa"/>
              <w:right w:w="28" w:type="dxa"/>
            </w:tcMar>
            <w:vAlign w:val="center"/>
          </w:tcPr>
          <w:p w14:paraId="48E51AB1">
            <w:pPr>
              <w:pStyle w:val="70"/>
              <w:rPr>
                <w:color w:val="000000" w:themeColor="text1"/>
                <w14:textFill>
                  <w14:solidFill>
                    <w14:schemeClr w14:val="tx1"/>
                  </w14:solidFill>
                </w14:textFill>
              </w:rPr>
            </w:pPr>
            <w:r>
              <w:rPr>
                <w:color w:val="000000" w:themeColor="text1"/>
                <w14:textFill>
                  <w14:solidFill>
                    <w14:schemeClr w14:val="tx1"/>
                  </w14:solidFill>
                </w14:textFill>
              </w:rPr>
              <w:t>3</w:t>
            </w:r>
          </w:p>
        </w:tc>
        <w:tc>
          <w:tcPr>
            <w:tcW w:w="2379" w:type="dxa"/>
            <w:tcMar>
              <w:left w:w="28" w:type="dxa"/>
              <w:right w:w="28" w:type="dxa"/>
            </w:tcMar>
            <w:vAlign w:val="center"/>
          </w:tcPr>
          <w:p w14:paraId="055E5423">
            <w:pPr>
              <w:pStyle w:val="70"/>
              <w:rPr>
                <w:color w:val="000000" w:themeColor="text1"/>
                <w14:textFill>
                  <w14:solidFill>
                    <w14:schemeClr w14:val="tx1"/>
                  </w14:solidFill>
                </w14:textFill>
              </w:rPr>
            </w:pPr>
            <w:r>
              <w:rPr>
                <w:color w:val="000000" w:themeColor="text1"/>
                <w14:textFill>
                  <w14:solidFill>
                    <w14:schemeClr w14:val="tx1"/>
                  </w14:solidFill>
                </w14:textFill>
              </w:rPr>
              <w:t>红树林集中分布斑块</w:t>
            </w:r>
          </w:p>
        </w:tc>
        <w:tc>
          <w:tcPr>
            <w:tcW w:w="2089" w:type="dxa"/>
            <w:vAlign w:val="center"/>
          </w:tcPr>
          <w:p w14:paraId="49BBCC10">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2091" w:type="dxa"/>
            <w:vAlign w:val="center"/>
          </w:tcPr>
          <w:p w14:paraId="5BA088EF">
            <w:pPr>
              <w:pStyle w:val="70"/>
              <w:rPr>
                <w:color w:val="000000" w:themeColor="text1"/>
                <w14:textFill>
                  <w14:solidFill>
                    <w14:schemeClr w14:val="tx1"/>
                  </w14:solidFill>
                </w14:textFill>
              </w:rPr>
            </w:pPr>
            <w:r>
              <w:rPr>
                <w:color w:val="000000" w:themeColor="text1"/>
                <w14:textFill>
                  <w14:solidFill>
                    <w14:schemeClr w14:val="tx1"/>
                  </w14:solidFill>
                </w14:textFill>
              </w:rPr>
              <w:t>红树林生态系统</w:t>
            </w:r>
          </w:p>
        </w:tc>
        <w:tc>
          <w:tcPr>
            <w:tcW w:w="1968" w:type="dxa"/>
            <w:vAlign w:val="center"/>
          </w:tcPr>
          <w:p w14:paraId="4A3BA85E">
            <w:pPr>
              <w:pStyle w:val="70"/>
              <w:rPr>
                <w:color w:val="000000" w:themeColor="text1"/>
                <w14:textFill>
                  <w14:solidFill>
                    <w14:schemeClr w14:val="tx1"/>
                  </w14:solidFill>
                </w14:textFill>
              </w:rPr>
            </w:pPr>
            <w:r>
              <w:rPr>
                <w:color w:val="000000" w:themeColor="text1"/>
                <w14:textFill>
                  <w14:solidFill>
                    <w14:schemeClr w14:val="tx1"/>
                  </w14:solidFill>
                </w14:textFill>
              </w:rPr>
              <w:t>N，3.8km</w:t>
            </w:r>
          </w:p>
        </w:tc>
      </w:tr>
      <w:tr w14:paraId="6391D3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9" w:hRule="atLeast"/>
          <w:jc w:val="center"/>
        </w:trPr>
        <w:tc>
          <w:tcPr>
            <w:tcW w:w="602" w:type="dxa"/>
            <w:tcMar>
              <w:left w:w="28" w:type="dxa"/>
              <w:right w:w="28" w:type="dxa"/>
            </w:tcMar>
            <w:vAlign w:val="center"/>
          </w:tcPr>
          <w:p w14:paraId="72AB3432">
            <w:pPr>
              <w:pStyle w:val="70"/>
              <w:rPr>
                <w:color w:val="000000" w:themeColor="text1"/>
                <w14:textFill>
                  <w14:solidFill>
                    <w14:schemeClr w14:val="tx1"/>
                  </w14:solidFill>
                </w14:textFill>
              </w:rPr>
            </w:pPr>
            <w:r>
              <w:rPr>
                <w:color w:val="000000" w:themeColor="text1"/>
                <w14:textFill>
                  <w14:solidFill>
                    <w14:schemeClr w14:val="tx1"/>
                  </w14:solidFill>
                </w14:textFill>
              </w:rPr>
              <w:t>4</w:t>
            </w:r>
          </w:p>
        </w:tc>
        <w:tc>
          <w:tcPr>
            <w:tcW w:w="2379" w:type="dxa"/>
            <w:tcMar>
              <w:left w:w="28" w:type="dxa"/>
              <w:right w:w="28" w:type="dxa"/>
            </w:tcMar>
            <w:vAlign w:val="center"/>
          </w:tcPr>
          <w:p w14:paraId="577447B6">
            <w:pPr>
              <w:pStyle w:val="70"/>
              <w:rPr>
                <w:color w:val="000000" w:themeColor="text1"/>
                <w14:textFill>
                  <w14:solidFill>
                    <w14:schemeClr w14:val="tx1"/>
                  </w14:solidFill>
                </w14:textFill>
              </w:rPr>
            </w:pPr>
            <w:r>
              <w:rPr>
                <w:color w:val="000000" w:themeColor="text1"/>
                <w14:textFill>
                  <w14:solidFill>
                    <w14:schemeClr w14:val="tx1"/>
                  </w14:solidFill>
                </w14:textFill>
              </w:rPr>
              <w:t>蚝排养殖区</w:t>
            </w:r>
          </w:p>
        </w:tc>
        <w:tc>
          <w:tcPr>
            <w:tcW w:w="2089" w:type="dxa"/>
            <w:vAlign w:val="center"/>
          </w:tcPr>
          <w:p w14:paraId="50753760">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2091" w:type="dxa"/>
            <w:vAlign w:val="center"/>
          </w:tcPr>
          <w:p w14:paraId="100BDC59">
            <w:pPr>
              <w:pStyle w:val="70"/>
              <w:rPr>
                <w:color w:val="000000" w:themeColor="text1"/>
                <w14:textFill>
                  <w14:solidFill>
                    <w14:schemeClr w14:val="tx1"/>
                  </w14:solidFill>
                </w14:textFill>
              </w:rPr>
            </w:pPr>
            <w:r>
              <w:rPr>
                <w:color w:val="000000" w:themeColor="text1"/>
                <w14:textFill>
                  <w14:solidFill>
                    <w14:schemeClr w14:val="tx1"/>
                  </w14:solidFill>
                </w14:textFill>
              </w:rPr>
              <w:t>海水水质</w:t>
            </w:r>
          </w:p>
        </w:tc>
        <w:tc>
          <w:tcPr>
            <w:tcW w:w="1968" w:type="dxa"/>
            <w:vAlign w:val="center"/>
          </w:tcPr>
          <w:p w14:paraId="4230B023">
            <w:pPr>
              <w:pStyle w:val="70"/>
              <w:rPr>
                <w:color w:val="000000" w:themeColor="text1"/>
                <w14:textFill>
                  <w14:solidFill>
                    <w14:schemeClr w14:val="tx1"/>
                  </w14:solidFill>
                </w14:textFill>
              </w:rPr>
            </w:pPr>
            <w:r>
              <w:rPr>
                <w:color w:val="000000" w:themeColor="text1"/>
                <w14:textFill>
                  <w14:solidFill>
                    <w14:schemeClr w14:val="tx1"/>
                  </w14:solidFill>
                </w14:textFill>
              </w:rPr>
              <w:t>项目周边海域，最近距离3.6km</w:t>
            </w:r>
          </w:p>
        </w:tc>
      </w:tr>
      <w:bookmarkEnd w:id="169"/>
    </w:tbl>
    <w:p w14:paraId="602F9A62">
      <w:pPr>
        <w:pStyle w:val="4"/>
        <w:rPr>
          <w:color w:val="000000" w:themeColor="text1"/>
          <w14:textFill>
            <w14:solidFill>
              <w14:schemeClr w14:val="tx1"/>
            </w14:solidFill>
          </w14:textFill>
        </w:rPr>
      </w:pPr>
      <w:bookmarkStart w:id="170" w:name="_Toc135090189"/>
      <w:bookmarkStart w:id="171" w:name="_Toc216620350"/>
      <w:bookmarkStart w:id="172" w:name="_Toc136878438"/>
      <w:bookmarkStart w:id="173" w:name="_Toc216103191"/>
      <w:r>
        <w:rPr>
          <w:color w:val="000000" w:themeColor="text1"/>
          <w14:textFill>
            <w14:solidFill>
              <w14:schemeClr w14:val="tx1"/>
            </w14:solidFill>
          </w14:textFill>
        </w:rPr>
        <w:t>水环境</w:t>
      </w:r>
      <w:bookmarkEnd w:id="170"/>
      <w:bookmarkEnd w:id="171"/>
      <w:bookmarkEnd w:id="172"/>
      <w:bookmarkEnd w:id="173"/>
    </w:p>
    <w:p w14:paraId="38E7342D">
      <w:pPr>
        <w:ind w:firstLine="480"/>
        <w:rPr>
          <w:color w:val="000000" w:themeColor="text1"/>
          <w14:textFill>
            <w14:solidFill>
              <w14:schemeClr w14:val="tx1"/>
            </w14:solidFill>
          </w14:textFill>
        </w:rPr>
      </w:pPr>
      <w:r>
        <w:rPr>
          <w:color w:val="000000" w:themeColor="text1"/>
          <w14:textFill>
            <w14:solidFill>
              <w14:schemeClr w14:val="tx1"/>
            </w14:solidFill>
          </w14:textFill>
        </w:rPr>
        <w:t>项目水环境保护目标为所处水域海水水质。</w:t>
      </w:r>
    </w:p>
    <w:p w14:paraId="4E891ED0">
      <w:pPr>
        <w:pStyle w:val="4"/>
        <w:rPr>
          <w:color w:val="000000" w:themeColor="text1"/>
          <w14:textFill>
            <w14:solidFill>
              <w14:schemeClr w14:val="tx1"/>
            </w14:solidFill>
          </w14:textFill>
        </w:rPr>
      </w:pPr>
      <w:bookmarkStart w:id="174" w:name="_Toc136878439"/>
      <w:bookmarkStart w:id="175" w:name="_Toc216103192"/>
      <w:bookmarkStart w:id="176" w:name="_Toc216620351"/>
      <w:bookmarkStart w:id="177" w:name="_Toc135090190"/>
      <w:r>
        <w:rPr>
          <w:color w:val="000000" w:themeColor="text1"/>
          <w14:textFill>
            <w14:solidFill>
              <w14:schemeClr w14:val="tx1"/>
            </w14:solidFill>
          </w14:textFill>
        </w:rPr>
        <w:t>环境风险</w:t>
      </w:r>
      <w:bookmarkEnd w:id="174"/>
      <w:bookmarkEnd w:id="175"/>
      <w:bookmarkEnd w:id="176"/>
      <w:bookmarkEnd w:id="177"/>
    </w:p>
    <w:p w14:paraId="572B6A11">
      <w:pPr>
        <w:ind w:firstLine="480"/>
        <w:rPr>
          <w:color w:val="000000" w:themeColor="text1"/>
          <w14:textFill>
            <w14:solidFill>
              <w14:schemeClr w14:val="tx1"/>
            </w14:solidFill>
          </w14:textFill>
        </w:rPr>
      </w:pPr>
      <w:r>
        <w:rPr>
          <w:color w:val="000000" w:themeColor="text1"/>
          <w14:textFill>
            <w14:solidFill>
              <w14:schemeClr w14:val="tx1"/>
            </w14:solidFill>
          </w14:textFill>
        </w:rPr>
        <w:t>项目风险评价范围内的敏感目标分布见表1.6-3。</w:t>
      </w:r>
    </w:p>
    <w:p w14:paraId="3C2A9494">
      <w:pPr>
        <w:pStyle w:val="7"/>
        <w:rPr>
          <w:color w:val="000000" w:themeColor="text1"/>
          <w14:textFill>
            <w14:solidFill>
              <w14:schemeClr w14:val="tx1"/>
            </w14:solidFill>
          </w14:textFill>
        </w:rPr>
      </w:pPr>
      <w:r>
        <w:rPr>
          <w:color w:val="000000" w:themeColor="text1"/>
          <w14:textFill>
            <w14:solidFill>
              <w14:schemeClr w14:val="tx1"/>
            </w14:solidFill>
          </w14:textFill>
        </w:rPr>
        <w:t>项目风险评价环境敏感特征表</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291"/>
        <w:gridCol w:w="470"/>
        <w:gridCol w:w="2208"/>
        <w:gridCol w:w="720"/>
        <w:gridCol w:w="2049"/>
        <w:gridCol w:w="1262"/>
        <w:gridCol w:w="1042"/>
      </w:tblGrid>
      <w:tr w14:paraId="53F619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Align w:val="center"/>
          </w:tcPr>
          <w:p w14:paraId="79C5C561">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类别</w:t>
            </w:r>
          </w:p>
        </w:tc>
        <w:tc>
          <w:tcPr>
            <w:tcW w:w="7751" w:type="dxa"/>
            <w:gridSpan w:val="6"/>
            <w:vAlign w:val="center"/>
          </w:tcPr>
          <w:p w14:paraId="0D4A8D5C">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环境敏感特征</w:t>
            </w:r>
          </w:p>
        </w:tc>
      </w:tr>
      <w:tr w14:paraId="202460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restart"/>
            <w:vAlign w:val="center"/>
          </w:tcPr>
          <w:p w14:paraId="1766C4DD">
            <w:pPr>
              <w:pStyle w:val="70"/>
              <w:rPr>
                <w:color w:val="000000" w:themeColor="text1"/>
                <w14:textFill>
                  <w14:solidFill>
                    <w14:schemeClr w14:val="tx1"/>
                  </w14:solidFill>
                </w14:textFill>
              </w:rPr>
            </w:pPr>
            <w:r>
              <w:rPr>
                <w:color w:val="000000" w:themeColor="text1"/>
                <w14:textFill>
                  <w14:solidFill>
                    <w14:schemeClr w14:val="tx1"/>
                  </w14:solidFill>
                </w14:textFill>
              </w:rPr>
              <w:t>环境空气</w:t>
            </w:r>
          </w:p>
        </w:tc>
        <w:tc>
          <w:tcPr>
            <w:tcW w:w="7751" w:type="dxa"/>
            <w:gridSpan w:val="6"/>
            <w:vAlign w:val="center"/>
          </w:tcPr>
          <w:p w14:paraId="0332EA71">
            <w:pPr>
              <w:pStyle w:val="70"/>
              <w:rPr>
                <w:color w:val="000000" w:themeColor="text1"/>
                <w14:textFill>
                  <w14:solidFill>
                    <w14:schemeClr w14:val="tx1"/>
                  </w14:solidFill>
                </w14:textFill>
              </w:rPr>
            </w:pPr>
            <w:r>
              <w:rPr>
                <w:color w:val="000000" w:themeColor="text1"/>
                <w14:textFill>
                  <w14:solidFill>
                    <w14:schemeClr w14:val="tx1"/>
                  </w14:solidFill>
                </w14:textFill>
              </w:rPr>
              <w:t>厂址周边5km范围内</w:t>
            </w:r>
          </w:p>
        </w:tc>
      </w:tr>
      <w:tr w14:paraId="1005C5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5D1CD7FE">
            <w:pPr>
              <w:pStyle w:val="70"/>
              <w:rPr>
                <w:color w:val="000000" w:themeColor="text1"/>
                <w14:textFill>
                  <w14:solidFill>
                    <w14:schemeClr w14:val="tx1"/>
                  </w14:solidFill>
                </w14:textFill>
              </w:rPr>
            </w:pPr>
          </w:p>
        </w:tc>
        <w:tc>
          <w:tcPr>
            <w:tcW w:w="470" w:type="dxa"/>
            <w:vAlign w:val="center"/>
          </w:tcPr>
          <w:p w14:paraId="35C96BE6">
            <w:pPr>
              <w:pStyle w:val="70"/>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2208" w:type="dxa"/>
            <w:vAlign w:val="center"/>
          </w:tcPr>
          <w:p w14:paraId="420D9B3A">
            <w:pPr>
              <w:pStyle w:val="70"/>
              <w:rPr>
                <w:color w:val="000000" w:themeColor="text1"/>
                <w14:textFill>
                  <w14:solidFill>
                    <w14:schemeClr w14:val="tx1"/>
                  </w14:solidFill>
                </w14:textFill>
              </w:rPr>
            </w:pPr>
            <w:r>
              <w:rPr>
                <w:color w:val="000000" w:themeColor="text1"/>
                <w14:textFill>
                  <w14:solidFill>
                    <w14:schemeClr w14:val="tx1"/>
                  </w14:solidFill>
                </w14:textFill>
              </w:rPr>
              <w:t>敏感目标名称</w:t>
            </w:r>
          </w:p>
        </w:tc>
        <w:tc>
          <w:tcPr>
            <w:tcW w:w="720" w:type="dxa"/>
            <w:vAlign w:val="center"/>
          </w:tcPr>
          <w:p w14:paraId="075CA6AF">
            <w:pPr>
              <w:pStyle w:val="70"/>
              <w:rPr>
                <w:color w:val="000000" w:themeColor="text1"/>
                <w14:textFill>
                  <w14:solidFill>
                    <w14:schemeClr w14:val="tx1"/>
                  </w14:solidFill>
                </w14:textFill>
              </w:rPr>
            </w:pPr>
            <w:r>
              <w:rPr>
                <w:color w:val="000000" w:themeColor="text1"/>
                <w14:textFill>
                  <w14:solidFill>
                    <w14:schemeClr w14:val="tx1"/>
                  </w14:solidFill>
                </w14:textFill>
              </w:rPr>
              <w:t>相对方位</w:t>
            </w:r>
          </w:p>
        </w:tc>
        <w:tc>
          <w:tcPr>
            <w:tcW w:w="2049" w:type="dxa"/>
            <w:vAlign w:val="center"/>
          </w:tcPr>
          <w:p w14:paraId="5764230E">
            <w:pPr>
              <w:pStyle w:val="70"/>
              <w:rPr>
                <w:color w:val="000000" w:themeColor="text1"/>
                <w14:textFill>
                  <w14:solidFill>
                    <w14:schemeClr w14:val="tx1"/>
                  </w14:solidFill>
                </w14:textFill>
              </w:rPr>
            </w:pPr>
            <w:r>
              <w:rPr>
                <w:color w:val="000000" w:themeColor="text1"/>
                <w14:textFill>
                  <w14:solidFill>
                    <w14:schemeClr w14:val="tx1"/>
                  </w14:solidFill>
                </w14:textFill>
              </w:rPr>
              <w:t>距离km</w:t>
            </w:r>
          </w:p>
        </w:tc>
        <w:tc>
          <w:tcPr>
            <w:tcW w:w="1262" w:type="dxa"/>
            <w:vAlign w:val="center"/>
          </w:tcPr>
          <w:p w14:paraId="7E703C53">
            <w:pPr>
              <w:pStyle w:val="70"/>
              <w:rPr>
                <w:color w:val="000000" w:themeColor="text1"/>
                <w14:textFill>
                  <w14:solidFill>
                    <w14:schemeClr w14:val="tx1"/>
                  </w14:solidFill>
                </w14:textFill>
              </w:rPr>
            </w:pPr>
            <w:r>
              <w:rPr>
                <w:color w:val="000000" w:themeColor="text1"/>
                <w14:textFill>
                  <w14:solidFill>
                    <w14:schemeClr w14:val="tx1"/>
                  </w14:solidFill>
                </w14:textFill>
              </w:rPr>
              <w:t>属性</w:t>
            </w:r>
          </w:p>
        </w:tc>
        <w:tc>
          <w:tcPr>
            <w:tcW w:w="1042" w:type="dxa"/>
            <w:vAlign w:val="center"/>
          </w:tcPr>
          <w:p w14:paraId="75AFDE20">
            <w:pPr>
              <w:pStyle w:val="70"/>
              <w:rPr>
                <w:color w:val="000000" w:themeColor="text1"/>
                <w14:textFill>
                  <w14:solidFill>
                    <w14:schemeClr w14:val="tx1"/>
                  </w14:solidFill>
                </w14:textFill>
              </w:rPr>
            </w:pPr>
            <w:r>
              <w:rPr>
                <w:color w:val="000000" w:themeColor="text1"/>
                <w14:textFill>
                  <w14:solidFill>
                    <w14:schemeClr w14:val="tx1"/>
                  </w14:solidFill>
                </w14:textFill>
              </w:rPr>
              <w:t>人口数</w:t>
            </w:r>
          </w:p>
        </w:tc>
      </w:tr>
      <w:tr w14:paraId="58FE45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4469B9F3">
            <w:pPr>
              <w:pStyle w:val="70"/>
              <w:rPr>
                <w:color w:val="000000" w:themeColor="text1"/>
                <w14:textFill>
                  <w14:solidFill>
                    <w14:schemeClr w14:val="tx1"/>
                  </w14:solidFill>
                </w14:textFill>
              </w:rPr>
            </w:pPr>
          </w:p>
        </w:tc>
        <w:tc>
          <w:tcPr>
            <w:tcW w:w="470" w:type="dxa"/>
            <w:vAlign w:val="center"/>
          </w:tcPr>
          <w:p w14:paraId="336A033D">
            <w:pPr>
              <w:pStyle w:val="70"/>
              <w:numPr>
                <w:ilvl w:val="0"/>
                <w:numId w:val="14"/>
              </w:numPr>
              <w:rPr>
                <w:color w:val="000000" w:themeColor="text1"/>
                <w14:textFill>
                  <w14:solidFill>
                    <w14:schemeClr w14:val="tx1"/>
                  </w14:solidFill>
                </w14:textFill>
              </w:rPr>
            </w:pPr>
          </w:p>
        </w:tc>
        <w:tc>
          <w:tcPr>
            <w:tcW w:w="2208" w:type="dxa"/>
            <w:vAlign w:val="center"/>
          </w:tcPr>
          <w:p w14:paraId="43536032">
            <w:pPr>
              <w:pStyle w:val="70"/>
              <w:rPr>
                <w:color w:val="000000" w:themeColor="text1"/>
                <w14:textFill>
                  <w14:solidFill>
                    <w14:schemeClr w14:val="tx1"/>
                  </w14:solidFill>
                </w14:textFill>
              </w:rPr>
            </w:pPr>
            <w:r>
              <w:rPr>
                <w:color w:val="000000" w:themeColor="text1"/>
                <w14:textFill>
                  <w14:solidFill>
                    <w14:schemeClr w14:val="tx1"/>
                  </w14:solidFill>
                </w14:textFill>
              </w:rPr>
              <w:t>淡水湾</w:t>
            </w:r>
            <w:r>
              <w:rPr>
                <w:rFonts w:hint="eastAsia"/>
                <w:color w:val="000000" w:themeColor="text1"/>
                <w14:textFill>
                  <w14:solidFill>
                    <w14:schemeClr w14:val="tx1"/>
                  </w14:solidFill>
                </w14:textFill>
              </w:rPr>
              <w:t>村</w:t>
            </w:r>
          </w:p>
        </w:tc>
        <w:tc>
          <w:tcPr>
            <w:tcW w:w="720" w:type="dxa"/>
            <w:vAlign w:val="center"/>
          </w:tcPr>
          <w:p w14:paraId="40BA1E33">
            <w:pPr>
              <w:pStyle w:val="70"/>
              <w:rPr>
                <w:color w:val="000000" w:themeColor="text1"/>
                <w14:textFill>
                  <w14:solidFill>
                    <w14:schemeClr w14:val="tx1"/>
                  </w14:solidFill>
                </w14:textFill>
              </w:rPr>
            </w:pPr>
            <w:r>
              <w:rPr>
                <w:color w:val="000000" w:themeColor="text1"/>
                <w14:textFill>
                  <w14:solidFill>
                    <w14:schemeClr w14:val="tx1"/>
                  </w14:solidFill>
                </w14:textFill>
              </w:rPr>
              <w:t>NE</w:t>
            </w:r>
          </w:p>
        </w:tc>
        <w:tc>
          <w:tcPr>
            <w:tcW w:w="2049" w:type="dxa"/>
            <w:vAlign w:val="center"/>
          </w:tcPr>
          <w:p w14:paraId="7FBF3E90">
            <w:pPr>
              <w:pStyle w:val="70"/>
              <w:rPr>
                <w:color w:val="000000" w:themeColor="text1"/>
                <w14:textFill>
                  <w14:solidFill>
                    <w14:schemeClr w14:val="tx1"/>
                  </w14:solidFill>
                </w14:textFill>
              </w:rPr>
            </w:pPr>
            <w:r>
              <w:rPr>
                <w:color w:val="000000" w:themeColor="text1"/>
                <w14:textFill>
                  <w14:solidFill>
                    <w14:schemeClr w14:val="tx1"/>
                  </w14:solidFill>
                </w14:textFill>
              </w:rPr>
              <w:t>1.98</w:t>
            </w:r>
          </w:p>
        </w:tc>
        <w:tc>
          <w:tcPr>
            <w:tcW w:w="1262" w:type="dxa"/>
            <w:vAlign w:val="center"/>
          </w:tcPr>
          <w:p w14:paraId="1312F248">
            <w:pPr>
              <w:pStyle w:val="70"/>
              <w:rPr>
                <w:color w:val="000000" w:themeColor="text1"/>
                <w14:textFill>
                  <w14:solidFill>
                    <w14:schemeClr w14:val="tx1"/>
                  </w14:solidFill>
                </w14:textFill>
              </w:rPr>
            </w:pPr>
            <w:r>
              <w:rPr>
                <w:color w:val="000000" w:themeColor="text1"/>
                <w14:textFill>
                  <w14:solidFill>
                    <w14:schemeClr w14:val="tx1"/>
                  </w14:solidFill>
                </w14:textFill>
              </w:rPr>
              <w:t>居住区</w:t>
            </w:r>
          </w:p>
        </w:tc>
        <w:tc>
          <w:tcPr>
            <w:tcW w:w="1042" w:type="dxa"/>
            <w:vAlign w:val="center"/>
          </w:tcPr>
          <w:p w14:paraId="3DC02467">
            <w:pPr>
              <w:pStyle w:val="70"/>
              <w:rPr>
                <w:color w:val="000000" w:themeColor="text1"/>
                <w14:textFill>
                  <w14:solidFill>
                    <w14:schemeClr w14:val="tx1"/>
                  </w14:solidFill>
                </w14:textFill>
              </w:rPr>
            </w:pPr>
            <w:r>
              <w:rPr>
                <w:color w:val="000000" w:themeColor="text1"/>
                <w14:textFill>
                  <w14:solidFill>
                    <w14:schemeClr w14:val="tx1"/>
                  </w14:solidFill>
                </w14:textFill>
              </w:rPr>
              <w:t>195</w:t>
            </w:r>
          </w:p>
        </w:tc>
      </w:tr>
      <w:tr w14:paraId="0F0EFF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359B420A">
            <w:pPr>
              <w:pStyle w:val="70"/>
              <w:rPr>
                <w:color w:val="000000" w:themeColor="text1"/>
                <w14:textFill>
                  <w14:solidFill>
                    <w14:schemeClr w14:val="tx1"/>
                  </w14:solidFill>
                </w14:textFill>
              </w:rPr>
            </w:pPr>
          </w:p>
        </w:tc>
        <w:tc>
          <w:tcPr>
            <w:tcW w:w="470" w:type="dxa"/>
            <w:vAlign w:val="center"/>
          </w:tcPr>
          <w:p w14:paraId="042C3348">
            <w:pPr>
              <w:pStyle w:val="70"/>
              <w:numPr>
                <w:ilvl w:val="0"/>
                <w:numId w:val="14"/>
              </w:numPr>
              <w:rPr>
                <w:color w:val="000000" w:themeColor="text1"/>
                <w14:textFill>
                  <w14:solidFill>
                    <w14:schemeClr w14:val="tx1"/>
                  </w14:solidFill>
                </w14:textFill>
              </w:rPr>
            </w:pPr>
          </w:p>
        </w:tc>
        <w:tc>
          <w:tcPr>
            <w:tcW w:w="2208" w:type="dxa"/>
            <w:vAlign w:val="center"/>
          </w:tcPr>
          <w:p w14:paraId="3BE27B1F">
            <w:pPr>
              <w:pStyle w:val="70"/>
              <w:rPr>
                <w:color w:val="000000" w:themeColor="text1"/>
                <w14:textFill>
                  <w14:solidFill>
                    <w14:schemeClr w14:val="tx1"/>
                  </w14:solidFill>
                </w14:textFill>
              </w:rPr>
            </w:pPr>
            <w:r>
              <w:rPr>
                <w:color w:val="000000" w:themeColor="text1"/>
                <w14:textFill>
                  <w14:solidFill>
                    <w14:schemeClr w14:val="tx1"/>
                  </w14:solidFill>
                </w14:textFill>
              </w:rPr>
              <w:t>果子山村</w:t>
            </w:r>
          </w:p>
        </w:tc>
        <w:tc>
          <w:tcPr>
            <w:tcW w:w="720" w:type="dxa"/>
            <w:vAlign w:val="center"/>
          </w:tcPr>
          <w:p w14:paraId="003C9664">
            <w:pPr>
              <w:pStyle w:val="70"/>
              <w:rPr>
                <w:color w:val="000000" w:themeColor="text1"/>
                <w14:textFill>
                  <w14:solidFill>
                    <w14:schemeClr w14:val="tx1"/>
                  </w14:solidFill>
                </w14:textFill>
              </w:rPr>
            </w:pPr>
            <w:r>
              <w:rPr>
                <w:color w:val="000000" w:themeColor="text1"/>
                <w14:textFill>
                  <w14:solidFill>
                    <w14:schemeClr w14:val="tx1"/>
                  </w14:solidFill>
                </w14:textFill>
              </w:rPr>
              <w:t>W</w:t>
            </w:r>
          </w:p>
        </w:tc>
        <w:tc>
          <w:tcPr>
            <w:tcW w:w="2049" w:type="dxa"/>
            <w:vAlign w:val="center"/>
          </w:tcPr>
          <w:p w14:paraId="1425BB69">
            <w:pPr>
              <w:pStyle w:val="70"/>
              <w:rPr>
                <w:color w:val="000000" w:themeColor="text1"/>
                <w14:textFill>
                  <w14:solidFill>
                    <w14:schemeClr w14:val="tx1"/>
                  </w14:solidFill>
                </w14:textFill>
              </w:rPr>
            </w:pPr>
            <w:r>
              <w:rPr>
                <w:color w:val="000000" w:themeColor="text1"/>
                <w14:textFill>
                  <w14:solidFill>
                    <w14:schemeClr w14:val="tx1"/>
                  </w14:solidFill>
                </w14:textFill>
              </w:rPr>
              <w:t>3.27</w:t>
            </w:r>
          </w:p>
        </w:tc>
        <w:tc>
          <w:tcPr>
            <w:tcW w:w="1262" w:type="dxa"/>
            <w:vAlign w:val="center"/>
          </w:tcPr>
          <w:p w14:paraId="4989F761">
            <w:pPr>
              <w:pStyle w:val="70"/>
              <w:rPr>
                <w:color w:val="000000" w:themeColor="text1"/>
                <w14:textFill>
                  <w14:solidFill>
                    <w14:schemeClr w14:val="tx1"/>
                  </w14:solidFill>
                </w14:textFill>
              </w:rPr>
            </w:pPr>
            <w:r>
              <w:rPr>
                <w:color w:val="000000" w:themeColor="text1"/>
                <w14:textFill>
                  <w14:solidFill>
                    <w14:schemeClr w14:val="tx1"/>
                  </w14:solidFill>
                </w14:textFill>
              </w:rPr>
              <w:t>居住区</w:t>
            </w:r>
          </w:p>
        </w:tc>
        <w:tc>
          <w:tcPr>
            <w:tcW w:w="1042" w:type="dxa"/>
            <w:vAlign w:val="center"/>
          </w:tcPr>
          <w:p w14:paraId="47132A91">
            <w:pPr>
              <w:pStyle w:val="70"/>
              <w:rPr>
                <w:color w:val="000000" w:themeColor="text1"/>
                <w14:textFill>
                  <w14:solidFill>
                    <w14:schemeClr w14:val="tx1"/>
                  </w14:solidFill>
                </w14:textFill>
              </w:rPr>
            </w:pPr>
            <w:r>
              <w:rPr>
                <w:color w:val="000000" w:themeColor="text1"/>
                <w14:textFill>
                  <w14:solidFill>
                    <w14:schemeClr w14:val="tx1"/>
                  </w14:solidFill>
                </w14:textFill>
              </w:rPr>
              <w:t>990</w:t>
            </w:r>
          </w:p>
        </w:tc>
      </w:tr>
      <w:tr w14:paraId="644E8B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5B8607F1">
            <w:pPr>
              <w:pStyle w:val="70"/>
              <w:rPr>
                <w:color w:val="000000" w:themeColor="text1"/>
                <w14:textFill>
                  <w14:solidFill>
                    <w14:schemeClr w14:val="tx1"/>
                  </w14:solidFill>
                </w14:textFill>
              </w:rPr>
            </w:pPr>
          </w:p>
        </w:tc>
        <w:tc>
          <w:tcPr>
            <w:tcW w:w="470" w:type="dxa"/>
            <w:vAlign w:val="center"/>
          </w:tcPr>
          <w:p w14:paraId="0B25FDBC">
            <w:pPr>
              <w:pStyle w:val="70"/>
              <w:numPr>
                <w:ilvl w:val="0"/>
                <w:numId w:val="14"/>
              </w:numPr>
              <w:rPr>
                <w:color w:val="000000" w:themeColor="text1"/>
                <w14:textFill>
                  <w14:solidFill>
                    <w14:schemeClr w14:val="tx1"/>
                  </w14:solidFill>
                </w14:textFill>
              </w:rPr>
            </w:pPr>
          </w:p>
        </w:tc>
        <w:tc>
          <w:tcPr>
            <w:tcW w:w="2208" w:type="dxa"/>
            <w:vAlign w:val="center"/>
          </w:tcPr>
          <w:p w14:paraId="13760B0A">
            <w:pPr>
              <w:pStyle w:val="70"/>
              <w:rPr>
                <w:color w:val="000000" w:themeColor="text1"/>
                <w14:textFill>
                  <w14:solidFill>
                    <w14:schemeClr w14:val="tx1"/>
                  </w14:solidFill>
                </w14:textFill>
              </w:rPr>
            </w:pPr>
            <w:r>
              <w:rPr>
                <w:color w:val="000000" w:themeColor="text1"/>
                <w14:textFill>
                  <w14:solidFill>
                    <w14:schemeClr w14:val="tx1"/>
                  </w14:solidFill>
                </w14:textFill>
              </w:rPr>
              <w:t>厚福沙村</w:t>
            </w:r>
          </w:p>
        </w:tc>
        <w:tc>
          <w:tcPr>
            <w:tcW w:w="720" w:type="dxa"/>
            <w:vAlign w:val="center"/>
          </w:tcPr>
          <w:p w14:paraId="5B9A2B3D">
            <w:pPr>
              <w:pStyle w:val="70"/>
              <w:rPr>
                <w:color w:val="000000" w:themeColor="text1"/>
                <w14:textFill>
                  <w14:solidFill>
                    <w14:schemeClr w14:val="tx1"/>
                  </w14:solidFill>
                </w14:textFill>
              </w:rPr>
            </w:pPr>
            <w:r>
              <w:rPr>
                <w:color w:val="000000" w:themeColor="text1"/>
                <w14:textFill>
                  <w14:solidFill>
                    <w14:schemeClr w14:val="tx1"/>
                  </w14:solidFill>
                </w14:textFill>
              </w:rPr>
              <w:t>W</w:t>
            </w:r>
          </w:p>
        </w:tc>
        <w:tc>
          <w:tcPr>
            <w:tcW w:w="2049" w:type="dxa"/>
            <w:vAlign w:val="center"/>
          </w:tcPr>
          <w:p w14:paraId="0E402DF5">
            <w:pPr>
              <w:pStyle w:val="70"/>
              <w:rPr>
                <w:color w:val="000000" w:themeColor="text1"/>
                <w14:textFill>
                  <w14:solidFill>
                    <w14:schemeClr w14:val="tx1"/>
                  </w14:solidFill>
                </w14:textFill>
              </w:rPr>
            </w:pPr>
            <w:r>
              <w:rPr>
                <w:color w:val="000000" w:themeColor="text1"/>
                <w14:textFill>
                  <w14:solidFill>
                    <w14:schemeClr w14:val="tx1"/>
                  </w14:solidFill>
                </w14:textFill>
              </w:rPr>
              <w:t>2.64</w:t>
            </w:r>
          </w:p>
        </w:tc>
        <w:tc>
          <w:tcPr>
            <w:tcW w:w="1262" w:type="dxa"/>
            <w:vAlign w:val="center"/>
          </w:tcPr>
          <w:p w14:paraId="6935B7AE">
            <w:pPr>
              <w:pStyle w:val="70"/>
              <w:rPr>
                <w:color w:val="000000" w:themeColor="text1"/>
                <w14:textFill>
                  <w14:solidFill>
                    <w14:schemeClr w14:val="tx1"/>
                  </w14:solidFill>
                </w14:textFill>
              </w:rPr>
            </w:pPr>
            <w:r>
              <w:rPr>
                <w:color w:val="000000" w:themeColor="text1"/>
                <w14:textFill>
                  <w14:solidFill>
                    <w14:schemeClr w14:val="tx1"/>
                  </w14:solidFill>
                </w14:textFill>
              </w:rPr>
              <w:t>居住区</w:t>
            </w:r>
          </w:p>
        </w:tc>
        <w:tc>
          <w:tcPr>
            <w:tcW w:w="1042" w:type="dxa"/>
            <w:vAlign w:val="center"/>
          </w:tcPr>
          <w:p w14:paraId="70DF7AA8">
            <w:pPr>
              <w:pStyle w:val="70"/>
              <w:rPr>
                <w:color w:val="000000" w:themeColor="text1"/>
                <w14:textFill>
                  <w14:solidFill>
                    <w14:schemeClr w14:val="tx1"/>
                  </w14:solidFill>
                </w14:textFill>
              </w:rPr>
            </w:pPr>
            <w:r>
              <w:rPr>
                <w:color w:val="000000" w:themeColor="text1"/>
                <w14:textFill>
                  <w14:solidFill>
                    <w14:schemeClr w14:val="tx1"/>
                  </w14:solidFill>
                </w14:textFill>
              </w:rPr>
              <w:t>600</w:t>
            </w:r>
          </w:p>
        </w:tc>
      </w:tr>
      <w:tr w14:paraId="2FD0C9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6BEC9508">
            <w:pPr>
              <w:pStyle w:val="70"/>
              <w:rPr>
                <w:color w:val="000000" w:themeColor="text1"/>
                <w14:textFill>
                  <w14:solidFill>
                    <w14:schemeClr w14:val="tx1"/>
                  </w14:solidFill>
                </w14:textFill>
              </w:rPr>
            </w:pPr>
          </w:p>
        </w:tc>
        <w:tc>
          <w:tcPr>
            <w:tcW w:w="470" w:type="dxa"/>
            <w:vAlign w:val="center"/>
          </w:tcPr>
          <w:p w14:paraId="6C546855">
            <w:pPr>
              <w:pStyle w:val="70"/>
              <w:numPr>
                <w:ilvl w:val="0"/>
                <w:numId w:val="14"/>
              </w:numPr>
              <w:rPr>
                <w:color w:val="000000" w:themeColor="text1"/>
                <w14:textFill>
                  <w14:solidFill>
                    <w14:schemeClr w14:val="tx1"/>
                  </w14:solidFill>
                </w14:textFill>
              </w:rPr>
            </w:pPr>
          </w:p>
        </w:tc>
        <w:tc>
          <w:tcPr>
            <w:tcW w:w="2208" w:type="dxa"/>
            <w:vAlign w:val="center"/>
          </w:tcPr>
          <w:p w14:paraId="634FA2D8">
            <w:pPr>
              <w:pStyle w:val="70"/>
              <w:rPr>
                <w:color w:val="000000" w:themeColor="text1"/>
                <w14:textFill>
                  <w14:solidFill>
                    <w14:schemeClr w14:val="tx1"/>
                  </w14:solidFill>
                </w14:textFill>
              </w:rPr>
            </w:pPr>
            <w:r>
              <w:rPr>
                <w:color w:val="000000" w:themeColor="text1"/>
                <w14:textFill>
                  <w14:solidFill>
                    <w14:schemeClr w14:val="tx1"/>
                  </w14:solidFill>
                </w14:textFill>
              </w:rPr>
              <w:t>滨海社区</w:t>
            </w:r>
          </w:p>
        </w:tc>
        <w:tc>
          <w:tcPr>
            <w:tcW w:w="720" w:type="dxa"/>
            <w:vAlign w:val="center"/>
          </w:tcPr>
          <w:p w14:paraId="75FB1461">
            <w:pPr>
              <w:pStyle w:val="70"/>
              <w:rPr>
                <w:color w:val="000000" w:themeColor="text1"/>
                <w14:textFill>
                  <w14:solidFill>
                    <w14:schemeClr w14:val="tx1"/>
                  </w14:solidFill>
                </w14:textFill>
              </w:rPr>
            </w:pPr>
            <w:r>
              <w:rPr>
                <w:color w:val="000000" w:themeColor="text1"/>
                <w14:textFill>
                  <w14:solidFill>
                    <w14:schemeClr w14:val="tx1"/>
                  </w14:solidFill>
                </w14:textFill>
              </w:rPr>
              <w:t>NW</w:t>
            </w:r>
          </w:p>
        </w:tc>
        <w:tc>
          <w:tcPr>
            <w:tcW w:w="2049" w:type="dxa"/>
            <w:vAlign w:val="center"/>
          </w:tcPr>
          <w:p w14:paraId="0606E3C1">
            <w:pPr>
              <w:pStyle w:val="70"/>
              <w:rPr>
                <w:color w:val="000000" w:themeColor="text1"/>
                <w14:textFill>
                  <w14:solidFill>
                    <w14:schemeClr w14:val="tx1"/>
                  </w14:solidFill>
                </w14:textFill>
              </w:rPr>
            </w:pPr>
            <w:r>
              <w:rPr>
                <w:color w:val="000000" w:themeColor="text1"/>
                <w14:textFill>
                  <w14:solidFill>
                    <w14:schemeClr w14:val="tx1"/>
                  </w14:solidFill>
                </w14:textFill>
              </w:rPr>
              <w:t>3.38</w:t>
            </w:r>
          </w:p>
        </w:tc>
        <w:tc>
          <w:tcPr>
            <w:tcW w:w="1262" w:type="dxa"/>
            <w:vAlign w:val="center"/>
          </w:tcPr>
          <w:p w14:paraId="7C9F0F1C">
            <w:pPr>
              <w:pStyle w:val="70"/>
              <w:rPr>
                <w:color w:val="000000" w:themeColor="text1"/>
                <w14:textFill>
                  <w14:solidFill>
                    <w14:schemeClr w14:val="tx1"/>
                  </w14:solidFill>
                </w14:textFill>
              </w:rPr>
            </w:pPr>
            <w:r>
              <w:rPr>
                <w:color w:val="000000" w:themeColor="text1"/>
                <w14:textFill>
                  <w14:solidFill>
                    <w14:schemeClr w14:val="tx1"/>
                  </w14:solidFill>
                </w14:textFill>
              </w:rPr>
              <w:t>居住区</w:t>
            </w:r>
          </w:p>
        </w:tc>
        <w:tc>
          <w:tcPr>
            <w:tcW w:w="1042" w:type="dxa"/>
            <w:vAlign w:val="center"/>
          </w:tcPr>
          <w:p w14:paraId="49F0B3FB">
            <w:pPr>
              <w:pStyle w:val="70"/>
              <w:rPr>
                <w:color w:val="000000" w:themeColor="text1"/>
                <w14:textFill>
                  <w14:solidFill>
                    <w14:schemeClr w14:val="tx1"/>
                  </w14:solidFill>
                </w14:textFill>
              </w:rPr>
            </w:pPr>
            <w:r>
              <w:rPr>
                <w:color w:val="000000" w:themeColor="text1"/>
                <w14:textFill>
                  <w14:solidFill>
                    <w14:schemeClr w14:val="tx1"/>
                  </w14:solidFill>
                </w14:textFill>
              </w:rPr>
              <w:t>13590</w:t>
            </w:r>
          </w:p>
        </w:tc>
      </w:tr>
      <w:tr w14:paraId="2FA73C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3DC91DF8">
            <w:pPr>
              <w:pStyle w:val="70"/>
              <w:rPr>
                <w:color w:val="000000" w:themeColor="text1"/>
                <w14:textFill>
                  <w14:solidFill>
                    <w14:schemeClr w14:val="tx1"/>
                  </w14:solidFill>
                </w14:textFill>
              </w:rPr>
            </w:pPr>
          </w:p>
        </w:tc>
        <w:tc>
          <w:tcPr>
            <w:tcW w:w="470" w:type="dxa"/>
            <w:vAlign w:val="center"/>
          </w:tcPr>
          <w:p w14:paraId="554FA82D">
            <w:pPr>
              <w:pStyle w:val="70"/>
              <w:numPr>
                <w:ilvl w:val="0"/>
                <w:numId w:val="14"/>
              </w:numPr>
              <w:rPr>
                <w:color w:val="000000" w:themeColor="text1"/>
                <w14:textFill>
                  <w14:solidFill>
                    <w14:schemeClr w14:val="tx1"/>
                  </w14:solidFill>
                </w14:textFill>
              </w:rPr>
            </w:pPr>
          </w:p>
        </w:tc>
        <w:tc>
          <w:tcPr>
            <w:tcW w:w="2208" w:type="dxa"/>
            <w:vAlign w:val="center"/>
          </w:tcPr>
          <w:p w14:paraId="0D95B5F8">
            <w:pPr>
              <w:pStyle w:val="70"/>
              <w:rPr>
                <w:color w:val="000000" w:themeColor="text1"/>
                <w14:textFill>
                  <w14:solidFill>
                    <w14:schemeClr w14:val="tx1"/>
                  </w14:solidFill>
                </w14:textFill>
              </w:rPr>
            </w:pPr>
            <w:r>
              <w:rPr>
                <w:color w:val="000000" w:themeColor="text1"/>
                <w14:textFill>
                  <w14:solidFill>
                    <w14:schemeClr w14:val="tx1"/>
                  </w14:solidFill>
                </w14:textFill>
              </w:rPr>
              <w:t>鰮鱼潭</w:t>
            </w:r>
          </w:p>
        </w:tc>
        <w:tc>
          <w:tcPr>
            <w:tcW w:w="720" w:type="dxa"/>
            <w:vAlign w:val="center"/>
          </w:tcPr>
          <w:p w14:paraId="6458F905">
            <w:pPr>
              <w:pStyle w:val="70"/>
              <w:rPr>
                <w:color w:val="000000" w:themeColor="text1"/>
                <w14:textFill>
                  <w14:solidFill>
                    <w14:schemeClr w14:val="tx1"/>
                  </w14:solidFill>
                </w14:textFill>
              </w:rPr>
            </w:pPr>
            <w:r>
              <w:rPr>
                <w:color w:val="000000" w:themeColor="text1"/>
                <w14:textFill>
                  <w14:solidFill>
                    <w14:schemeClr w14:val="tx1"/>
                  </w14:solidFill>
                </w14:textFill>
              </w:rPr>
              <w:t>NW</w:t>
            </w:r>
          </w:p>
        </w:tc>
        <w:tc>
          <w:tcPr>
            <w:tcW w:w="2049" w:type="dxa"/>
            <w:vAlign w:val="center"/>
          </w:tcPr>
          <w:p w14:paraId="5B5E4299">
            <w:pPr>
              <w:pStyle w:val="70"/>
              <w:rPr>
                <w:color w:val="000000" w:themeColor="text1"/>
                <w14:textFill>
                  <w14:solidFill>
                    <w14:schemeClr w14:val="tx1"/>
                  </w14:solidFill>
                </w14:textFill>
              </w:rPr>
            </w:pPr>
            <w:r>
              <w:rPr>
                <w:color w:val="000000" w:themeColor="text1"/>
                <w14:textFill>
                  <w14:solidFill>
                    <w14:schemeClr w14:val="tx1"/>
                  </w14:solidFill>
                </w14:textFill>
              </w:rPr>
              <w:t>2.90</w:t>
            </w:r>
          </w:p>
        </w:tc>
        <w:tc>
          <w:tcPr>
            <w:tcW w:w="1262" w:type="dxa"/>
            <w:vAlign w:val="center"/>
          </w:tcPr>
          <w:p w14:paraId="63B877FC">
            <w:pPr>
              <w:pStyle w:val="70"/>
              <w:rPr>
                <w:color w:val="000000" w:themeColor="text1"/>
                <w14:textFill>
                  <w14:solidFill>
                    <w14:schemeClr w14:val="tx1"/>
                  </w14:solidFill>
                </w14:textFill>
              </w:rPr>
            </w:pPr>
            <w:r>
              <w:rPr>
                <w:color w:val="000000" w:themeColor="text1"/>
                <w14:textFill>
                  <w14:solidFill>
                    <w14:schemeClr w14:val="tx1"/>
                  </w14:solidFill>
                </w14:textFill>
              </w:rPr>
              <w:t>居住区</w:t>
            </w:r>
          </w:p>
        </w:tc>
        <w:tc>
          <w:tcPr>
            <w:tcW w:w="1042" w:type="dxa"/>
            <w:vAlign w:val="center"/>
          </w:tcPr>
          <w:p w14:paraId="4F483CE5">
            <w:pPr>
              <w:pStyle w:val="70"/>
              <w:rPr>
                <w:color w:val="000000" w:themeColor="text1"/>
                <w14:textFill>
                  <w14:solidFill>
                    <w14:schemeClr w14:val="tx1"/>
                  </w14:solidFill>
                </w14:textFill>
              </w:rPr>
            </w:pPr>
            <w:r>
              <w:rPr>
                <w:color w:val="000000" w:themeColor="text1"/>
                <w14:textFill>
                  <w14:solidFill>
                    <w14:schemeClr w14:val="tx1"/>
                  </w14:solidFill>
                </w14:textFill>
              </w:rPr>
              <w:t>460</w:t>
            </w:r>
          </w:p>
        </w:tc>
      </w:tr>
      <w:tr w14:paraId="56D20D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2FB6C902">
            <w:pPr>
              <w:pStyle w:val="70"/>
              <w:rPr>
                <w:color w:val="000000" w:themeColor="text1"/>
                <w14:textFill>
                  <w14:solidFill>
                    <w14:schemeClr w14:val="tx1"/>
                  </w14:solidFill>
                </w14:textFill>
              </w:rPr>
            </w:pPr>
          </w:p>
        </w:tc>
        <w:tc>
          <w:tcPr>
            <w:tcW w:w="470" w:type="dxa"/>
            <w:vAlign w:val="center"/>
          </w:tcPr>
          <w:p w14:paraId="02955B66">
            <w:pPr>
              <w:pStyle w:val="70"/>
              <w:numPr>
                <w:ilvl w:val="0"/>
                <w:numId w:val="14"/>
              </w:numPr>
              <w:rPr>
                <w:color w:val="000000" w:themeColor="text1"/>
                <w14:textFill>
                  <w14:solidFill>
                    <w14:schemeClr w14:val="tx1"/>
                  </w14:solidFill>
                </w14:textFill>
              </w:rPr>
            </w:pPr>
          </w:p>
        </w:tc>
        <w:tc>
          <w:tcPr>
            <w:tcW w:w="2208" w:type="dxa"/>
            <w:vAlign w:val="center"/>
          </w:tcPr>
          <w:p w14:paraId="17818164">
            <w:pPr>
              <w:pStyle w:val="70"/>
              <w:rPr>
                <w:color w:val="000000" w:themeColor="text1"/>
                <w14:textFill>
                  <w14:solidFill>
                    <w14:schemeClr w14:val="tx1"/>
                  </w14:solidFill>
                </w14:textFill>
              </w:rPr>
            </w:pPr>
            <w:r>
              <w:rPr>
                <w:color w:val="000000" w:themeColor="text1"/>
                <w14:textFill>
                  <w14:solidFill>
                    <w14:schemeClr w14:val="tx1"/>
                  </w14:solidFill>
                </w14:textFill>
              </w:rPr>
              <w:t>沙岗头</w:t>
            </w:r>
          </w:p>
        </w:tc>
        <w:tc>
          <w:tcPr>
            <w:tcW w:w="720" w:type="dxa"/>
            <w:vAlign w:val="center"/>
          </w:tcPr>
          <w:p w14:paraId="29308023">
            <w:pPr>
              <w:pStyle w:val="70"/>
              <w:rPr>
                <w:color w:val="000000" w:themeColor="text1"/>
                <w14:textFill>
                  <w14:solidFill>
                    <w14:schemeClr w14:val="tx1"/>
                  </w14:solidFill>
                </w14:textFill>
              </w:rPr>
            </w:pPr>
            <w:r>
              <w:rPr>
                <w:color w:val="000000" w:themeColor="text1"/>
                <w14:textFill>
                  <w14:solidFill>
                    <w14:schemeClr w14:val="tx1"/>
                  </w14:solidFill>
                </w14:textFill>
              </w:rPr>
              <w:t>N</w:t>
            </w:r>
          </w:p>
        </w:tc>
        <w:tc>
          <w:tcPr>
            <w:tcW w:w="2049" w:type="dxa"/>
            <w:vAlign w:val="center"/>
          </w:tcPr>
          <w:p w14:paraId="259F0707">
            <w:pPr>
              <w:pStyle w:val="70"/>
              <w:rPr>
                <w:color w:val="000000" w:themeColor="text1"/>
                <w14:textFill>
                  <w14:solidFill>
                    <w14:schemeClr w14:val="tx1"/>
                  </w14:solidFill>
                </w14:textFill>
              </w:rPr>
            </w:pPr>
            <w:r>
              <w:rPr>
                <w:color w:val="000000" w:themeColor="text1"/>
                <w14:textFill>
                  <w14:solidFill>
                    <w14:schemeClr w14:val="tx1"/>
                  </w14:solidFill>
                </w14:textFill>
              </w:rPr>
              <w:t>2.51</w:t>
            </w:r>
          </w:p>
        </w:tc>
        <w:tc>
          <w:tcPr>
            <w:tcW w:w="1262" w:type="dxa"/>
            <w:vAlign w:val="center"/>
          </w:tcPr>
          <w:p w14:paraId="79320E45">
            <w:pPr>
              <w:pStyle w:val="70"/>
              <w:rPr>
                <w:color w:val="000000" w:themeColor="text1"/>
                <w14:textFill>
                  <w14:solidFill>
                    <w14:schemeClr w14:val="tx1"/>
                  </w14:solidFill>
                </w14:textFill>
              </w:rPr>
            </w:pPr>
            <w:r>
              <w:rPr>
                <w:color w:val="000000" w:themeColor="text1"/>
                <w14:textFill>
                  <w14:solidFill>
                    <w14:schemeClr w14:val="tx1"/>
                  </w14:solidFill>
                </w14:textFill>
              </w:rPr>
              <w:t>居住区</w:t>
            </w:r>
          </w:p>
        </w:tc>
        <w:tc>
          <w:tcPr>
            <w:tcW w:w="1042" w:type="dxa"/>
            <w:vAlign w:val="center"/>
          </w:tcPr>
          <w:p w14:paraId="012FFA67">
            <w:pPr>
              <w:pStyle w:val="70"/>
              <w:rPr>
                <w:color w:val="000000" w:themeColor="text1"/>
                <w14:textFill>
                  <w14:solidFill>
                    <w14:schemeClr w14:val="tx1"/>
                  </w14:solidFill>
                </w14:textFill>
              </w:rPr>
            </w:pPr>
            <w:r>
              <w:rPr>
                <w:color w:val="000000" w:themeColor="text1"/>
                <w14:textFill>
                  <w14:solidFill>
                    <w14:schemeClr w14:val="tx1"/>
                  </w14:solidFill>
                </w14:textFill>
              </w:rPr>
              <w:t>330</w:t>
            </w:r>
          </w:p>
        </w:tc>
      </w:tr>
      <w:tr w14:paraId="0928E2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5D37D811">
            <w:pPr>
              <w:pStyle w:val="70"/>
              <w:rPr>
                <w:color w:val="000000" w:themeColor="text1"/>
                <w14:textFill>
                  <w14:solidFill>
                    <w14:schemeClr w14:val="tx1"/>
                  </w14:solidFill>
                </w14:textFill>
              </w:rPr>
            </w:pPr>
          </w:p>
        </w:tc>
        <w:tc>
          <w:tcPr>
            <w:tcW w:w="470" w:type="dxa"/>
            <w:vAlign w:val="center"/>
          </w:tcPr>
          <w:p w14:paraId="6D7A0F6B">
            <w:pPr>
              <w:pStyle w:val="70"/>
              <w:numPr>
                <w:ilvl w:val="0"/>
                <w:numId w:val="14"/>
              </w:numPr>
              <w:rPr>
                <w:color w:val="000000" w:themeColor="text1"/>
                <w14:textFill>
                  <w14:solidFill>
                    <w14:schemeClr w14:val="tx1"/>
                  </w14:solidFill>
                </w14:textFill>
              </w:rPr>
            </w:pPr>
          </w:p>
        </w:tc>
        <w:tc>
          <w:tcPr>
            <w:tcW w:w="2208" w:type="dxa"/>
            <w:vAlign w:val="center"/>
          </w:tcPr>
          <w:p w14:paraId="549D27D8">
            <w:pPr>
              <w:pStyle w:val="70"/>
              <w:rPr>
                <w:color w:val="000000" w:themeColor="text1"/>
                <w14:textFill>
                  <w14:solidFill>
                    <w14:schemeClr w14:val="tx1"/>
                  </w14:solidFill>
                </w14:textFill>
              </w:rPr>
            </w:pPr>
            <w:r>
              <w:rPr>
                <w:color w:val="000000" w:themeColor="text1"/>
                <w14:textFill>
                  <w14:solidFill>
                    <w14:schemeClr w14:val="tx1"/>
                  </w14:solidFill>
                </w14:textFill>
              </w:rPr>
              <w:t>旧村</w:t>
            </w:r>
          </w:p>
        </w:tc>
        <w:tc>
          <w:tcPr>
            <w:tcW w:w="720" w:type="dxa"/>
            <w:vAlign w:val="center"/>
          </w:tcPr>
          <w:p w14:paraId="66B7CFE2">
            <w:pPr>
              <w:pStyle w:val="70"/>
              <w:rPr>
                <w:color w:val="000000" w:themeColor="text1"/>
                <w14:textFill>
                  <w14:solidFill>
                    <w14:schemeClr w14:val="tx1"/>
                  </w14:solidFill>
                </w14:textFill>
              </w:rPr>
            </w:pPr>
            <w:r>
              <w:rPr>
                <w:color w:val="000000" w:themeColor="text1"/>
                <w14:textFill>
                  <w14:solidFill>
                    <w14:schemeClr w14:val="tx1"/>
                  </w14:solidFill>
                </w14:textFill>
              </w:rPr>
              <w:t>N</w:t>
            </w:r>
          </w:p>
        </w:tc>
        <w:tc>
          <w:tcPr>
            <w:tcW w:w="2049" w:type="dxa"/>
            <w:vAlign w:val="center"/>
          </w:tcPr>
          <w:p w14:paraId="7511D5AC">
            <w:pPr>
              <w:pStyle w:val="70"/>
              <w:rPr>
                <w:color w:val="000000" w:themeColor="text1"/>
                <w14:textFill>
                  <w14:solidFill>
                    <w14:schemeClr w14:val="tx1"/>
                  </w14:solidFill>
                </w14:textFill>
              </w:rPr>
            </w:pPr>
            <w:r>
              <w:rPr>
                <w:color w:val="000000" w:themeColor="text1"/>
                <w14:textFill>
                  <w14:solidFill>
                    <w14:schemeClr w14:val="tx1"/>
                  </w14:solidFill>
                </w14:textFill>
              </w:rPr>
              <w:t>2.59</w:t>
            </w:r>
          </w:p>
        </w:tc>
        <w:tc>
          <w:tcPr>
            <w:tcW w:w="1262" w:type="dxa"/>
            <w:vAlign w:val="center"/>
          </w:tcPr>
          <w:p w14:paraId="7703435F">
            <w:pPr>
              <w:pStyle w:val="70"/>
              <w:rPr>
                <w:color w:val="000000" w:themeColor="text1"/>
                <w14:textFill>
                  <w14:solidFill>
                    <w14:schemeClr w14:val="tx1"/>
                  </w14:solidFill>
                </w14:textFill>
              </w:rPr>
            </w:pPr>
            <w:r>
              <w:rPr>
                <w:color w:val="000000" w:themeColor="text1"/>
                <w14:textFill>
                  <w14:solidFill>
                    <w14:schemeClr w14:val="tx1"/>
                  </w14:solidFill>
                </w14:textFill>
              </w:rPr>
              <w:t>居住区</w:t>
            </w:r>
          </w:p>
        </w:tc>
        <w:tc>
          <w:tcPr>
            <w:tcW w:w="1042" w:type="dxa"/>
            <w:vAlign w:val="center"/>
          </w:tcPr>
          <w:p w14:paraId="0CADCD70">
            <w:pPr>
              <w:pStyle w:val="70"/>
              <w:rPr>
                <w:color w:val="000000" w:themeColor="text1"/>
                <w14:textFill>
                  <w14:solidFill>
                    <w14:schemeClr w14:val="tx1"/>
                  </w14:solidFill>
                </w14:textFill>
              </w:rPr>
            </w:pPr>
            <w:r>
              <w:rPr>
                <w:color w:val="000000" w:themeColor="text1"/>
                <w14:textFill>
                  <w14:solidFill>
                    <w14:schemeClr w14:val="tx1"/>
                  </w14:solidFill>
                </w14:textFill>
              </w:rPr>
              <w:t>270</w:t>
            </w:r>
          </w:p>
        </w:tc>
      </w:tr>
      <w:tr w14:paraId="76EC21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2462FF51">
            <w:pPr>
              <w:pStyle w:val="70"/>
              <w:rPr>
                <w:color w:val="000000" w:themeColor="text1"/>
                <w14:textFill>
                  <w14:solidFill>
                    <w14:schemeClr w14:val="tx1"/>
                  </w14:solidFill>
                </w14:textFill>
              </w:rPr>
            </w:pPr>
          </w:p>
        </w:tc>
        <w:tc>
          <w:tcPr>
            <w:tcW w:w="470" w:type="dxa"/>
            <w:vAlign w:val="center"/>
          </w:tcPr>
          <w:p w14:paraId="72AFE7E9">
            <w:pPr>
              <w:pStyle w:val="70"/>
              <w:numPr>
                <w:ilvl w:val="0"/>
                <w:numId w:val="14"/>
              </w:numPr>
              <w:rPr>
                <w:color w:val="000000" w:themeColor="text1"/>
                <w14:textFill>
                  <w14:solidFill>
                    <w14:schemeClr w14:val="tx1"/>
                  </w14:solidFill>
                </w14:textFill>
              </w:rPr>
            </w:pPr>
          </w:p>
        </w:tc>
        <w:tc>
          <w:tcPr>
            <w:tcW w:w="2208" w:type="dxa"/>
            <w:vAlign w:val="center"/>
          </w:tcPr>
          <w:p w14:paraId="3E25A49E">
            <w:pPr>
              <w:pStyle w:val="70"/>
              <w:rPr>
                <w:color w:val="000000" w:themeColor="text1"/>
                <w14:textFill>
                  <w14:solidFill>
                    <w14:schemeClr w14:val="tx1"/>
                  </w14:solidFill>
                </w14:textFill>
              </w:rPr>
            </w:pPr>
            <w:r>
              <w:rPr>
                <w:color w:val="000000" w:themeColor="text1"/>
                <w14:textFill>
                  <w14:solidFill>
                    <w14:schemeClr w14:val="tx1"/>
                  </w14:solidFill>
                </w14:textFill>
              </w:rPr>
              <w:t>金鼓村</w:t>
            </w:r>
          </w:p>
        </w:tc>
        <w:tc>
          <w:tcPr>
            <w:tcW w:w="720" w:type="dxa"/>
            <w:vAlign w:val="center"/>
          </w:tcPr>
          <w:p w14:paraId="20A6529F">
            <w:pPr>
              <w:pStyle w:val="70"/>
              <w:rPr>
                <w:color w:val="000000" w:themeColor="text1"/>
                <w14:textFill>
                  <w14:solidFill>
                    <w14:schemeClr w14:val="tx1"/>
                  </w14:solidFill>
                </w14:textFill>
              </w:rPr>
            </w:pPr>
            <w:r>
              <w:rPr>
                <w:color w:val="000000" w:themeColor="text1"/>
                <w14:textFill>
                  <w14:solidFill>
                    <w14:schemeClr w14:val="tx1"/>
                  </w14:solidFill>
                </w14:textFill>
              </w:rPr>
              <w:t>NE</w:t>
            </w:r>
          </w:p>
        </w:tc>
        <w:tc>
          <w:tcPr>
            <w:tcW w:w="2049" w:type="dxa"/>
            <w:vAlign w:val="center"/>
          </w:tcPr>
          <w:p w14:paraId="61CDFFDA">
            <w:pPr>
              <w:pStyle w:val="70"/>
              <w:rPr>
                <w:color w:val="000000" w:themeColor="text1"/>
                <w14:textFill>
                  <w14:solidFill>
                    <w14:schemeClr w14:val="tx1"/>
                  </w14:solidFill>
                </w14:textFill>
              </w:rPr>
            </w:pPr>
            <w:r>
              <w:rPr>
                <w:color w:val="000000" w:themeColor="text1"/>
                <w14:textFill>
                  <w14:solidFill>
                    <w14:schemeClr w14:val="tx1"/>
                  </w14:solidFill>
                </w14:textFill>
              </w:rPr>
              <w:t>2.60</w:t>
            </w:r>
          </w:p>
        </w:tc>
        <w:tc>
          <w:tcPr>
            <w:tcW w:w="1262" w:type="dxa"/>
            <w:vAlign w:val="center"/>
          </w:tcPr>
          <w:p w14:paraId="239DC36E">
            <w:pPr>
              <w:pStyle w:val="70"/>
              <w:rPr>
                <w:color w:val="000000" w:themeColor="text1"/>
                <w14:textFill>
                  <w14:solidFill>
                    <w14:schemeClr w14:val="tx1"/>
                  </w14:solidFill>
                </w14:textFill>
              </w:rPr>
            </w:pPr>
            <w:r>
              <w:rPr>
                <w:color w:val="000000" w:themeColor="text1"/>
                <w14:textFill>
                  <w14:solidFill>
                    <w14:schemeClr w14:val="tx1"/>
                  </w14:solidFill>
                </w14:textFill>
              </w:rPr>
              <w:t>居住区</w:t>
            </w:r>
          </w:p>
        </w:tc>
        <w:tc>
          <w:tcPr>
            <w:tcW w:w="1042" w:type="dxa"/>
            <w:vAlign w:val="center"/>
          </w:tcPr>
          <w:p w14:paraId="0AF8AA8A">
            <w:pPr>
              <w:pStyle w:val="70"/>
              <w:rPr>
                <w:color w:val="000000" w:themeColor="text1"/>
                <w14:textFill>
                  <w14:solidFill>
                    <w14:schemeClr w14:val="tx1"/>
                  </w14:solidFill>
                </w14:textFill>
              </w:rPr>
            </w:pPr>
            <w:r>
              <w:rPr>
                <w:color w:val="000000" w:themeColor="text1"/>
                <w14:textFill>
                  <w14:solidFill>
                    <w14:schemeClr w14:val="tx1"/>
                  </w14:solidFill>
                </w14:textFill>
              </w:rPr>
              <w:t>1300</w:t>
            </w:r>
          </w:p>
        </w:tc>
      </w:tr>
      <w:tr w14:paraId="3086B1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05F1E021">
            <w:pPr>
              <w:pStyle w:val="70"/>
              <w:rPr>
                <w:color w:val="000000" w:themeColor="text1"/>
                <w14:textFill>
                  <w14:solidFill>
                    <w14:schemeClr w14:val="tx1"/>
                  </w14:solidFill>
                </w14:textFill>
              </w:rPr>
            </w:pPr>
          </w:p>
        </w:tc>
        <w:tc>
          <w:tcPr>
            <w:tcW w:w="470" w:type="dxa"/>
            <w:vAlign w:val="center"/>
          </w:tcPr>
          <w:p w14:paraId="02C262EC">
            <w:pPr>
              <w:pStyle w:val="70"/>
              <w:numPr>
                <w:ilvl w:val="0"/>
                <w:numId w:val="14"/>
              </w:numPr>
              <w:rPr>
                <w:color w:val="000000" w:themeColor="text1"/>
                <w14:textFill>
                  <w14:solidFill>
                    <w14:schemeClr w14:val="tx1"/>
                  </w14:solidFill>
                </w14:textFill>
              </w:rPr>
            </w:pPr>
          </w:p>
        </w:tc>
        <w:tc>
          <w:tcPr>
            <w:tcW w:w="2208" w:type="dxa"/>
            <w:vAlign w:val="bottom"/>
          </w:tcPr>
          <w:p w14:paraId="33D2079F">
            <w:pPr>
              <w:pStyle w:val="70"/>
              <w:rPr>
                <w:color w:val="000000" w:themeColor="text1"/>
                <w14:textFill>
                  <w14:solidFill>
                    <w14:schemeClr w14:val="tx1"/>
                  </w14:solidFill>
                </w14:textFill>
              </w:rPr>
            </w:pPr>
            <w:r>
              <w:rPr>
                <w:color w:val="000000" w:themeColor="text1"/>
                <w14:textFill>
                  <w14:solidFill>
                    <w14:schemeClr w14:val="tx1"/>
                  </w14:solidFill>
                </w14:textFill>
              </w:rPr>
              <w:t>竹笼</w:t>
            </w:r>
          </w:p>
        </w:tc>
        <w:tc>
          <w:tcPr>
            <w:tcW w:w="720" w:type="dxa"/>
            <w:vAlign w:val="center"/>
          </w:tcPr>
          <w:p w14:paraId="7FEADA6E">
            <w:pPr>
              <w:pStyle w:val="70"/>
              <w:rPr>
                <w:color w:val="000000" w:themeColor="text1"/>
                <w14:textFill>
                  <w14:solidFill>
                    <w14:schemeClr w14:val="tx1"/>
                  </w14:solidFill>
                </w14:textFill>
              </w:rPr>
            </w:pPr>
            <w:r>
              <w:rPr>
                <w:color w:val="000000" w:themeColor="text1"/>
                <w14:textFill>
                  <w14:solidFill>
                    <w14:schemeClr w14:val="tx1"/>
                  </w14:solidFill>
                </w14:textFill>
              </w:rPr>
              <w:t xml:space="preserve">NW </w:t>
            </w:r>
          </w:p>
        </w:tc>
        <w:tc>
          <w:tcPr>
            <w:tcW w:w="2049" w:type="dxa"/>
            <w:vAlign w:val="bottom"/>
          </w:tcPr>
          <w:p w14:paraId="6BF6B5EF">
            <w:pPr>
              <w:pStyle w:val="70"/>
              <w:rPr>
                <w:color w:val="000000" w:themeColor="text1"/>
                <w14:textFill>
                  <w14:solidFill>
                    <w14:schemeClr w14:val="tx1"/>
                  </w14:solidFill>
                </w14:textFill>
              </w:rPr>
            </w:pPr>
            <w:r>
              <w:rPr>
                <w:color w:val="000000" w:themeColor="text1"/>
                <w14:textFill>
                  <w14:solidFill>
                    <w14:schemeClr w14:val="tx1"/>
                  </w14:solidFill>
                </w14:textFill>
              </w:rPr>
              <w:t>2.92</w:t>
            </w:r>
          </w:p>
        </w:tc>
        <w:tc>
          <w:tcPr>
            <w:tcW w:w="1262" w:type="dxa"/>
            <w:vAlign w:val="center"/>
          </w:tcPr>
          <w:p w14:paraId="25F3E4C3">
            <w:pPr>
              <w:pStyle w:val="70"/>
              <w:rPr>
                <w:color w:val="000000" w:themeColor="text1"/>
                <w14:textFill>
                  <w14:solidFill>
                    <w14:schemeClr w14:val="tx1"/>
                  </w14:solidFill>
                </w14:textFill>
              </w:rPr>
            </w:pPr>
            <w:r>
              <w:rPr>
                <w:color w:val="000000" w:themeColor="text1"/>
                <w14:textFill>
                  <w14:solidFill>
                    <w14:schemeClr w14:val="tx1"/>
                  </w14:solidFill>
                </w14:textFill>
              </w:rPr>
              <w:t>居住区</w:t>
            </w:r>
          </w:p>
        </w:tc>
        <w:tc>
          <w:tcPr>
            <w:tcW w:w="1042" w:type="dxa"/>
            <w:vAlign w:val="center"/>
          </w:tcPr>
          <w:p w14:paraId="79CF78ED">
            <w:pPr>
              <w:pStyle w:val="70"/>
              <w:rPr>
                <w:color w:val="000000" w:themeColor="text1"/>
                <w14:textFill>
                  <w14:solidFill>
                    <w14:schemeClr w14:val="tx1"/>
                  </w14:solidFill>
                </w14:textFill>
              </w:rPr>
            </w:pPr>
            <w:r>
              <w:rPr>
                <w:color w:val="000000" w:themeColor="text1"/>
                <w14:textFill>
                  <w14:solidFill>
                    <w14:schemeClr w14:val="tx1"/>
                  </w14:solidFill>
                </w14:textFill>
              </w:rPr>
              <w:t>270</w:t>
            </w:r>
          </w:p>
        </w:tc>
      </w:tr>
      <w:tr w14:paraId="3683CD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249E4CA0">
            <w:pPr>
              <w:pStyle w:val="70"/>
              <w:rPr>
                <w:color w:val="000000" w:themeColor="text1"/>
                <w14:textFill>
                  <w14:solidFill>
                    <w14:schemeClr w14:val="tx1"/>
                  </w14:solidFill>
                </w14:textFill>
              </w:rPr>
            </w:pPr>
          </w:p>
        </w:tc>
        <w:tc>
          <w:tcPr>
            <w:tcW w:w="470" w:type="dxa"/>
            <w:vAlign w:val="center"/>
          </w:tcPr>
          <w:p w14:paraId="11BF04C0">
            <w:pPr>
              <w:pStyle w:val="70"/>
              <w:numPr>
                <w:ilvl w:val="0"/>
                <w:numId w:val="14"/>
              </w:numPr>
              <w:rPr>
                <w:color w:val="000000" w:themeColor="text1"/>
                <w14:textFill>
                  <w14:solidFill>
                    <w14:schemeClr w14:val="tx1"/>
                  </w14:solidFill>
                </w14:textFill>
              </w:rPr>
            </w:pPr>
          </w:p>
        </w:tc>
        <w:tc>
          <w:tcPr>
            <w:tcW w:w="2208" w:type="dxa"/>
            <w:vAlign w:val="bottom"/>
          </w:tcPr>
          <w:p w14:paraId="3FACCF95">
            <w:pPr>
              <w:pStyle w:val="70"/>
              <w:rPr>
                <w:color w:val="000000" w:themeColor="text1"/>
                <w14:textFill>
                  <w14:solidFill>
                    <w14:schemeClr w14:val="tx1"/>
                  </w14:solidFill>
                </w14:textFill>
              </w:rPr>
            </w:pPr>
            <w:r>
              <w:rPr>
                <w:color w:val="000000" w:themeColor="text1"/>
                <w14:textFill>
                  <w14:solidFill>
                    <w14:schemeClr w14:val="tx1"/>
                  </w14:solidFill>
                </w14:textFill>
              </w:rPr>
              <w:t>佛子坳</w:t>
            </w:r>
          </w:p>
        </w:tc>
        <w:tc>
          <w:tcPr>
            <w:tcW w:w="720" w:type="dxa"/>
            <w:vAlign w:val="center"/>
          </w:tcPr>
          <w:p w14:paraId="7EFB98C2">
            <w:pPr>
              <w:pStyle w:val="70"/>
              <w:rPr>
                <w:color w:val="000000" w:themeColor="text1"/>
                <w14:textFill>
                  <w14:solidFill>
                    <w14:schemeClr w14:val="tx1"/>
                  </w14:solidFill>
                </w14:textFill>
              </w:rPr>
            </w:pPr>
            <w:r>
              <w:rPr>
                <w:color w:val="000000" w:themeColor="text1"/>
                <w14:textFill>
                  <w14:solidFill>
                    <w14:schemeClr w14:val="tx1"/>
                  </w14:solidFill>
                </w14:textFill>
              </w:rPr>
              <w:t>NW</w:t>
            </w:r>
          </w:p>
        </w:tc>
        <w:tc>
          <w:tcPr>
            <w:tcW w:w="2049" w:type="dxa"/>
            <w:vAlign w:val="bottom"/>
          </w:tcPr>
          <w:p w14:paraId="6371B319">
            <w:pPr>
              <w:pStyle w:val="70"/>
              <w:rPr>
                <w:color w:val="000000" w:themeColor="text1"/>
                <w14:textFill>
                  <w14:solidFill>
                    <w14:schemeClr w14:val="tx1"/>
                  </w14:solidFill>
                </w14:textFill>
              </w:rPr>
            </w:pPr>
            <w:r>
              <w:rPr>
                <w:color w:val="000000" w:themeColor="text1"/>
                <w14:textFill>
                  <w14:solidFill>
                    <w14:schemeClr w14:val="tx1"/>
                  </w14:solidFill>
                </w14:textFill>
              </w:rPr>
              <w:t>3.46</w:t>
            </w:r>
          </w:p>
        </w:tc>
        <w:tc>
          <w:tcPr>
            <w:tcW w:w="1262" w:type="dxa"/>
            <w:vAlign w:val="center"/>
          </w:tcPr>
          <w:p w14:paraId="1834B9F5">
            <w:pPr>
              <w:pStyle w:val="70"/>
              <w:rPr>
                <w:color w:val="000000" w:themeColor="text1"/>
                <w14:textFill>
                  <w14:solidFill>
                    <w14:schemeClr w14:val="tx1"/>
                  </w14:solidFill>
                </w14:textFill>
              </w:rPr>
            </w:pPr>
            <w:r>
              <w:rPr>
                <w:color w:val="000000" w:themeColor="text1"/>
                <w14:textFill>
                  <w14:solidFill>
                    <w14:schemeClr w14:val="tx1"/>
                  </w14:solidFill>
                </w14:textFill>
              </w:rPr>
              <w:t>居住区</w:t>
            </w:r>
          </w:p>
        </w:tc>
        <w:tc>
          <w:tcPr>
            <w:tcW w:w="1042" w:type="dxa"/>
            <w:vAlign w:val="center"/>
          </w:tcPr>
          <w:p w14:paraId="045F8FC0">
            <w:pPr>
              <w:pStyle w:val="70"/>
              <w:rPr>
                <w:color w:val="000000" w:themeColor="text1"/>
                <w14:textFill>
                  <w14:solidFill>
                    <w14:schemeClr w14:val="tx1"/>
                  </w14:solidFill>
                </w14:textFill>
              </w:rPr>
            </w:pPr>
            <w:r>
              <w:rPr>
                <w:color w:val="000000" w:themeColor="text1"/>
                <w14:textFill>
                  <w14:solidFill>
                    <w14:schemeClr w14:val="tx1"/>
                  </w14:solidFill>
                </w14:textFill>
              </w:rPr>
              <w:t>900</w:t>
            </w:r>
          </w:p>
        </w:tc>
      </w:tr>
      <w:tr w14:paraId="4B0DF8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29C9179A">
            <w:pPr>
              <w:pStyle w:val="70"/>
              <w:rPr>
                <w:color w:val="000000" w:themeColor="text1"/>
                <w14:textFill>
                  <w14:solidFill>
                    <w14:schemeClr w14:val="tx1"/>
                  </w14:solidFill>
                </w14:textFill>
              </w:rPr>
            </w:pPr>
          </w:p>
        </w:tc>
        <w:tc>
          <w:tcPr>
            <w:tcW w:w="470" w:type="dxa"/>
            <w:vAlign w:val="center"/>
          </w:tcPr>
          <w:p w14:paraId="7CA4B3EF">
            <w:pPr>
              <w:pStyle w:val="70"/>
              <w:numPr>
                <w:ilvl w:val="0"/>
                <w:numId w:val="14"/>
              </w:numPr>
              <w:rPr>
                <w:color w:val="000000" w:themeColor="text1"/>
                <w14:textFill>
                  <w14:solidFill>
                    <w14:schemeClr w14:val="tx1"/>
                  </w14:solidFill>
                </w14:textFill>
              </w:rPr>
            </w:pPr>
          </w:p>
        </w:tc>
        <w:tc>
          <w:tcPr>
            <w:tcW w:w="2208" w:type="dxa"/>
            <w:vAlign w:val="bottom"/>
          </w:tcPr>
          <w:p w14:paraId="61896D5D">
            <w:pPr>
              <w:pStyle w:val="70"/>
              <w:rPr>
                <w:color w:val="000000" w:themeColor="text1"/>
                <w14:textFill>
                  <w14:solidFill>
                    <w14:schemeClr w14:val="tx1"/>
                  </w14:solidFill>
                </w14:textFill>
              </w:rPr>
            </w:pPr>
            <w:r>
              <w:rPr>
                <w:color w:val="000000" w:themeColor="text1"/>
                <w14:textFill>
                  <w14:solidFill>
                    <w14:schemeClr w14:val="tx1"/>
                  </w14:solidFill>
                </w14:textFill>
              </w:rPr>
              <w:t>第一垌</w:t>
            </w:r>
          </w:p>
        </w:tc>
        <w:tc>
          <w:tcPr>
            <w:tcW w:w="720" w:type="dxa"/>
            <w:vAlign w:val="center"/>
          </w:tcPr>
          <w:p w14:paraId="1B387603">
            <w:pPr>
              <w:pStyle w:val="70"/>
              <w:rPr>
                <w:color w:val="000000" w:themeColor="text1"/>
                <w14:textFill>
                  <w14:solidFill>
                    <w14:schemeClr w14:val="tx1"/>
                  </w14:solidFill>
                </w14:textFill>
              </w:rPr>
            </w:pPr>
            <w:r>
              <w:rPr>
                <w:color w:val="000000" w:themeColor="text1"/>
                <w14:textFill>
                  <w14:solidFill>
                    <w14:schemeClr w14:val="tx1"/>
                  </w14:solidFill>
                </w14:textFill>
              </w:rPr>
              <w:t>NE</w:t>
            </w:r>
          </w:p>
        </w:tc>
        <w:tc>
          <w:tcPr>
            <w:tcW w:w="2049" w:type="dxa"/>
            <w:vAlign w:val="bottom"/>
          </w:tcPr>
          <w:p w14:paraId="5EEC5890">
            <w:pPr>
              <w:pStyle w:val="70"/>
              <w:rPr>
                <w:color w:val="000000" w:themeColor="text1"/>
                <w14:textFill>
                  <w14:solidFill>
                    <w14:schemeClr w14:val="tx1"/>
                  </w14:solidFill>
                </w14:textFill>
              </w:rPr>
            </w:pPr>
            <w:r>
              <w:rPr>
                <w:color w:val="000000" w:themeColor="text1"/>
                <w14:textFill>
                  <w14:solidFill>
                    <w14:schemeClr w14:val="tx1"/>
                  </w14:solidFill>
                </w14:textFill>
              </w:rPr>
              <w:t>3.47</w:t>
            </w:r>
          </w:p>
        </w:tc>
        <w:tc>
          <w:tcPr>
            <w:tcW w:w="1262" w:type="dxa"/>
            <w:vAlign w:val="center"/>
          </w:tcPr>
          <w:p w14:paraId="2C1E9F5F">
            <w:pPr>
              <w:pStyle w:val="70"/>
              <w:rPr>
                <w:color w:val="000000" w:themeColor="text1"/>
                <w14:textFill>
                  <w14:solidFill>
                    <w14:schemeClr w14:val="tx1"/>
                  </w14:solidFill>
                </w14:textFill>
              </w:rPr>
            </w:pPr>
            <w:r>
              <w:rPr>
                <w:color w:val="000000" w:themeColor="text1"/>
                <w14:textFill>
                  <w14:solidFill>
                    <w14:schemeClr w14:val="tx1"/>
                  </w14:solidFill>
                </w14:textFill>
              </w:rPr>
              <w:t>居住区</w:t>
            </w:r>
          </w:p>
        </w:tc>
        <w:tc>
          <w:tcPr>
            <w:tcW w:w="1042" w:type="dxa"/>
            <w:vAlign w:val="center"/>
          </w:tcPr>
          <w:p w14:paraId="5701C93B">
            <w:pPr>
              <w:pStyle w:val="70"/>
              <w:rPr>
                <w:color w:val="000000" w:themeColor="text1"/>
                <w14:textFill>
                  <w14:solidFill>
                    <w14:schemeClr w14:val="tx1"/>
                  </w14:solidFill>
                </w14:textFill>
              </w:rPr>
            </w:pPr>
            <w:r>
              <w:rPr>
                <w:color w:val="000000" w:themeColor="text1"/>
                <w14:textFill>
                  <w14:solidFill>
                    <w14:schemeClr w14:val="tx1"/>
                  </w14:solidFill>
                </w14:textFill>
              </w:rPr>
              <w:t>300</w:t>
            </w:r>
          </w:p>
        </w:tc>
      </w:tr>
      <w:tr w14:paraId="6FF5F4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0CD5D6DF">
            <w:pPr>
              <w:pStyle w:val="70"/>
              <w:rPr>
                <w:color w:val="000000" w:themeColor="text1"/>
                <w14:textFill>
                  <w14:solidFill>
                    <w14:schemeClr w14:val="tx1"/>
                  </w14:solidFill>
                </w14:textFill>
              </w:rPr>
            </w:pPr>
          </w:p>
        </w:tc>
        <w:tc>
          <w:tcPr>
            <w:tcW w:w="470" w:type="dxa"/>
            <w:vAlign w:val="center"/>
          </w:tcPr>
          <w:p w14:paraId="794E68F7">
            <w:pPr>
              <w:pStyle w:val="70"/>
              <w:numPr>
                <w:ilvl w:val="0"/>
                <w:numId w:val="14"/>
              </w:numPr>
              <w:rPr>
                <w:color w:val="000000" w:themeColor="text1"/>
                <w14:textFill>
                  <w14:solidFill>
                    <w14:schemeClr w14:val="tx1"/>
                  </w14:solidFill>
                </w14:textFill>
              </w:rPr>
            </w:pPr>
          </w:p>
        </w:tc>
        <w:tc>
          <w:tcPr>
            <w:tcW w:w="2208" w:type="dxa"/>
            <w:vAlign w:val="bottom"/>
          </w:tcPr>
          <w:p w14:paraId="36056E2F">
            <w:pPr>
              <w:pStyle w:val="70"/>
              <w:rPr>
                <w:color w:val="000000" w:themeColor="text1"/>
                <w14:textFill>
                  <w14:solidFill>
                    <w14:schemeClr w14:val="tx1"/>
                  </w14:solidFill>
                </w14:textFill>
              </w:rPr>
            </w:pPr>
            <w:r>
              <w:rPr>
                <w:color w:val="000000" w:themeColor="text1"/>
                <w14:textFill>
                  <w14:solidFill>
                    <w14:schemeClr w14:val="tx1"/>
                  </w14:solidFill>
                </w14:textFill>
              </w:rPr>
              <w:t>鸡墩头</w:t>
            </w:r>
          </w:p>
        </w:tc>
        <w:tc>
          <w:tcPr>
            <w:tcW w:w="720" w:type="dxa"/>
            <w:vAlign w:val="center"/>
          </w:tcPr>
          <w:p w14:paraId="09A31B12">
            <w:pPr>
              <w:pStyle w:val="70"/>
              <w:rPr>
                <w:color w:val="000000" w:themeColor="text1"/>
                <w14:textFill>
                  <w14:solidFill>
                    <w14:schemeClr w14:val="tx1"/>
                  </w14:solidFill>
                </w14:textFill>
              </w:rPr>
            </w:pPr>
            <w:r>
              <w:rPr>
                <w:color w:val="000000" w:themeColor="text1"/>
                <w14:textFill>
                  <w14:solidFill>
                    <w14:schemeClr w14:val="tx1"/>
                  </w14:solidFill>
                </w14:textFill>
              </w:rPr>
              <w:t xml:space="preserve">E </w:t>
            </w:r>
          </w:p>
        </w:tc>
        <w:tc>
          <w:tcPr>
            <w:tcW w:w="2049" w:type="dxa"/>
            <w:vAlign w:val="bottom"/>
          </w:tcPr>
          <w:p w14:paraId="53EB46AE">
            <w:pPr>
              <w:pStyle w:val="70"/>
              <w:rPr>
                <w:color w:val="000000" w:themeColor="text1"/>
                <w14:textFill>
                  <w14:solidFill>
                    <w14:schemeClr w14:val="tx1"/>
                  </w14:solidFill>
                </w14:textFill>
              </w:rPr>
            </w:pPr>
            <w:r>
              <w:rPr>
                <w:color w:val="000000" w:themeColor="text1"/>
                <w14:textFill>
                  <w14:solidFill>
                    <w14:schemeClr w14:val="tx1"/>
                  </w14:solidFill>
                </w14:textFill>
              </w:rPr>
              <w:t>3.85</w:t>
            </w:r>
          </w:p>
        </w:tc>
        <w:tc>
          <w:tcPr>
            <w:tcW w:w="1262" w:type="dxa"/>
            <w:vAlign w:val="center"/>
          </w:tcPr>
          <w:p w14:paraId="17FE0072">
            <w:pPr>
              <w:pStyle w:val="70"/>
              <w:rPr>
                <w:color w:val="000000" w:themeColor="text1"/>
                <w14:textFill>
                  <w14:solidFill>
                    <w14:schemeClr w14:val="tx1"/>
                  </w14:solidFill>
                </w14:textFill>
              </w:rPr>
            </w:pPr>
            <w:r>
              <w:rPr>
                <w:color w:val="000000" w:themeColor="text1"/>
                <w14:textFill>
                  <w14:solidFill>
                    <w14:schemeClr w14:val="tx1"/>
                  </w14:solidFill>
                </w14:textFill>
              </w:rPr>
              <w:t>居住区</w:t>
            </w:r>
          </w:p>
        </w:tc>
        <w:tc>
          <w:tcPr>
            <w:tcW w:w="1042" w:type="dxa"/>
            <w:vAlign w:val="center"/>
          </w:tcPr>
          <w:p w14:paraId="3F180D1A">
            <w:pPr>
              <w:pStyle w:val="70"/>
              <w:rPr>
                <w:color w:val="000000" w:themeColor="text1"/>
                <w14:textFill>
                  <w14:solidFill>
                    <w14:schemeClr w14:val="tx1"/>
                  </w14:solidFill>
                </w14:textFill>
              </w:rPr>
            </w:pPr>
            <w:r>
              <w:rPr>
                <w:color w:val="000000" w:themeColor="text1"/>
                <w14:textFill>
                  <w14:solidFill>
                    <w14:schemeClr w14:val="tx1"/>
                  </w14:solidFill>
                </w14:textFill>
              </w:rPr>
              <w:t>2400</w:t>
            </w:r>
          </w:p>
        </w:tc>
      </w:tr>
      <w:tr w14:paraId="606550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7E8BB4A9">
            <w:pPr>
              <w:pStyle w:val="70"/>
              <w:rPr>
                <w:color w:val="000000" w:themeColor="text1"/>
                <w14:textFill>
                  <w14:solidFill>
                    <w14:schemeClr w14:val="tx1"/>
                  </w14:solidFill>
                </w14:textFill>
              </w:rPr>
            </w:pPr>
          </w:p>
        </w:tc>
        <w:tc>
          <w:tcPr>
            <w:tcW w:w="470" w:type="dxa"/>
            <w:vAlign w:val="center"/>
          </w:tcPr>
          <w:p w14:paraId="1E0080E5">
            <w:pPr>
              <w:pStyle w:val="70"/>
              <w:numPr>
                <w:ilvl w:val="0"/>
                <w:numId w:val="14"/>
              </w:numPr>
              <w:rPr>
                <w:color w:val="000000" w:themeColor="text1"/>
                <w14:textFill>
                  <w14:solidFill>
                    <w14:schemeClr w14:val="tx1"/>
                  </w14:solidFill>
                </w14:textFill>
              </w:rPr>
            </w:pPr>
          </w:p>
        </w:tc>
        <w:tc>
          <w:tcPr>
            <w:tcW w:w="2208" w:type="dxa"/>
            <w:vAlign w:val="bottom"/>
          </w:tcPr>
          <w:p w14:paraId="2C3A92B2">
            <w:pPr>
              <w:pStyle w:val="70"/>
              <w:rPr>
                <w:color w:val="000000" w:themeColor="text1"/>
                <w14:textFill>
                  <w14:solidFill>
                    <w14:schemeClr w14:val="tx1"/>
                  </w14:solidFill>
                </w14:textFill>
              </w:rPr>
            </w:pPr>
            <w:r>
              <w:rPr>
                <w:color w:val="000000" w:themeColor="text1"/>
                <w14:textFill>
                  <w14:solidFill>
                    <w14:schemeClr w14:val="tx1"/>
                  </w14:solidFill>
                </w14:textFill>
              </w:rPr>
              <w:t>钦州港经济技术开发区中学</w:t>
            </w:r>
          </w:p>
        </w:tc>
        <w:tc>
          <w:tcPr>
            <w:tcW w:w="720" w:type="dxa"/>
            <w:vAlign w:val="center"/>
          </w:tcPr>
          <w:p w14:paraId="6AADDDF4">
            <w:pPr>
              <w:pStyle w:val="70"/>
              <w:rPr>
                <w:color w:val="000000" w:themeColor="text1"/>
                <w14:textFill>
                  <w14:solidFill>
                    <w14:schemeClr w14:val="tx1"/>
                  </w14:solidFill>
                </w14:textFill>
              </w:rPr>
            </w:pPr>
            <w:r>
              <w:rPr>
                <w:color w:val="000000" w:themeColor="text1"/>
                <w14:textFill>
                  <w14:solidFill>
                    <w14:schemeClr w14:val="tx1"/>
                  </w14:solidFill>
                </w14:textFill>
              </w:rPr>
              <w:t>NE</w:t>
            </w:r>
          </w:p>
        </w:tc>
        <w:tc>
          <w:tcPr>
            <w:tcW w:w="2049" w:type="dxa"/>
            <w:vAlign w:val="bottom"/>
          </w:tcPr>
          <w:p w14:paraId="3F4910E3">
            <w:pPr>
              <w:pStyle w:val="70"/>
              <w:rPr>
                <w:color w:val="000000" w:themeColor="text1"/>
                <w14:textFill>
                  <w14:solidFill>
                    <w14:schemeClr w14:val="tx1"/>
                  </w14:solidFill>
                </w14:textFill>
              </w:rPr>
            </w:pPr>
            <w:r>
              <w:rPr>
                <w:color w:val="000000" w:themeColor="text1"/>
                <w14:textFill>
                  <w14:solidFill>
                    <w14:schemeClr w14:val="tx1"/>
                  </w14:solidFill>
                </w14:textFill>
              </w:rPr>
              <w:t>3.11</w:t>
            </w:r>
          </w:p>
        </w:tc>
        <w:tc>
          <w:tcPr>
            <w:tcW w:w="1262" w:type="dxa"/>
            <w:vAlign w:val="center"/>
          </w:tcPr>
          <w:p w14:paraId="72CAF11B">
            <w:pPr>
              <w:pStyle w:val="70"/>
              <w:rPr>
                <w:color w:val="000000" w:themeColor="text1"/>
                <w14:textFill>
                  <w14:solidFill>
                    <w14:schemeClr w14:val="tx1"/>
                  </w14:solidFill>
                </w14:textFill>
              </w:rPr>
            </w:pPr>
            <w:r>
              <w:rPr>
                <w:color w:val="000000" w:themeColor="text1"/>
                <w14:textFill>
                  <w14:solidFill>
                    <w14:schemeClr w14:val="tx1"/>
                  </w14:solidFill>
                </w14:textFill>
              </w:rPr>
              <w:t>学校</w:t>
            </w:r>
          </w:p>
        </w:tc>
        <w:tc>
          <w:tcPr>
            <w:tcW w:w="1042" w:type="dxa"/>
            <w:vAlign w:val="center"/>
          </w:tcPr>
          <w:p w14:paraId="45A43947">
            <w:pPr>
              <w:pStyle w:val="70"/>
              <w:rPr>
                <w:color w:val="000000" w:themeColor="text1"/>
                <w14:textFill>
                  <w14:solidFill>
                    <w14:schemeClr w14:val="tx1"/>
                  </w14:solidFill>
                </w14:textFill>
              </w:rPr>
            </w:pPr>
            <w:r>
              <w:rPr>
                <w:color w:val="000000" w:themeColor="text1"/>
                <w14:textFill>
                  <w14:solidFill>
                    <w14:schemeClr w14:val="tx1"/>
                  </w14:solidFill>
                </w14:textFill>
              </w:rPr>
              <w:t>1070</w:t>
            </w:r>
          </w:p>
        </w:tc>
      </w:tr>
      <w:tr w14:paraId="798910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1BAA1ED8">
            <w:pPr>
              <w:pStyle w:val="70"/>
              <w:rPr>
                <w:color w:val="000000" w:themeColor="text1"/>
                <w14:textFill>
                  <w14:solidFill>
                    <w14:schemeClr w14:val="tx1"/>
                  </w14:solidFill>
                </w14:textFill>
              </w:rPr>
            </w:pPr>
          </w:p>
        </w:tc>
        <w:tc>
          <w:tcPr>
            <w:tcW w:w="470" w:type="dxa"/>
            <w:vAlign w:val="center"/>
          </w:tcPr>
          <w:p w14:paraId="2C78070B">
            <w:pPr>
              <w:pStyle w:val="70"/>
              <w:numPr>
                <w:ilvl w:val="0"/>
                <w:numId w:val="14"/>
              </w:numPr>
              <w:rPr>
                <w:color w:val="000000" w:themeColor="text1"/>
                <w14:textFill>
                  <w14:solidFill>
                    <w14:schemeClr w14:val="tx1"/>
                  </w14:solidFill>
                </w14:textFill>
              </w:rPr>
            </w:pPr>
          </w:p>
        </w:tc>
        <w:tc>
          <w:tcPr>
            <w:tcW w:w="2208" w:type="dxa"/>
            <w:vAlign w:val="bottom"/>
          </w:tcPr>
          <w:p w14:paraId="590CB837">
            <w:pPr>
              <w:pStyle w:val="70"/>
              <w:rPr>
                <w:color w:val="000000" w:themeColor="text1"/>
                <w14:textFill>
                  <w14:solidFill>
                    <w14:schemeClr w14:val="tx1"/>
                  </w14:solidFill>
                </w14:textFill>
              </w:rPr>
            </w:pPr>
            <w:r>
              <w:rPr>
                <w:color w:val="000000" w:themeColor="text1"/>
                <w14:textFill>
                  <w14:solidFill>
                    <w14:schemeClr w14:val="tx1"/>
                  </w14:solidFill>
                </w14:textFill>
              </w:rPr>
              <w:t>钦州港经济技术开发区第四小学</w:t>
            </w:r>
          </w:p>
        </w:tc>
        <w:tc>
          <w:tcPr>
            <w:tcW w:w="720" w:type="dxa"/>
            <w:vAlign w:val="center"/>
          </w:tcPr>
          <w:p w14:paraId="2F5852C7">
            <w:pPr>
              <w:pStyle w:val="70"/>
              <w:rPr>
                <w:color w:val="000000" w:themeColor="text1"/>
                <w14:textFill>
                  <w14:solidFill>
                    <w14:schemeClr w14:val="tx1"/>
                  </w14:solidFill>
                </w14:textFill>
              </w:rPr>
            </w:pPr>
            <w:r>
              <w:rPr>
                <w:color w:val="000000" w:themeColor="text1"/>
                <w14:textFill>
                  <w14:solidFill>
                    <w14:schemeClr w14:val="tx1"/>
                  </w14:solidFill>
                </w14:textFill>
              </w:rPr>
              <w:t>NE</w:t>
            </w:r>
          </w:p>
        </w:tc>
        <w:tc>
          <w:tcPr>
            <w:tcW w:w="2049" w:type="dxa"/>
            <w:vAlign w:val="bottom"/>
          </w:tcPr>
          <w:p w14:paraId="1D5FB106">
            <w:pPr>
              <w:pStyle w:val="70"/>
              <w:rPr>
                <w:color w:val="000000" w:themeColor="text1"/>
                <w14:textFill>
                  <w14:solidFill>
                    <w14:schemeClr w14:val="tx1"/>
                  </w14:solidFill>
                </w14:textFill>
              </w:rPr>
            </w:pPr>
            <w:r>
              <w:rPr>
                <w:color w:val="000000" w:themeColor="text1"/>
                <w14:textFill>
                  <w14:solidFill>
                    <w14:schemeClr w14:val="tx1"/>
                  </w14:solidFill>
                </w14:textFill>
              </w:rPr>
              <w:t>3.00</w:t>
            </w:r>
          </w:p>
        </w:tc>
        <w:tc>
          <w:tcPr>
            <w:tcW w:w="1262" w:type="dxa"/>
            <w:vAlign w:val="center"/>
          </w:tcPr>
          <w:p w14:paraId="3E7F6147">
            <w:pPr>
              <w:pStyle w:val="70"/>
              <w:rPr>
                <w:color w:val="000000" w:themeColor="text1"/>
                <w14:textFill>
                  <w14:solidFill>
                    <w14:schemeClr w14:val="tx1"/>
                  </w14:solidFill>
                </w14:textFill>
              </w:rPr>
            </w:pPr>
            <w:r>
              <w:rPr>
                <w:color w:val="000000" w:themeColor="text1"/>
                <w14:textFill>
                  <w14:solidFill>
                    <w14:schemeClr w14:val="tx1"/>
                  </w14:solidFill>
                </w14:textFill>
              </w:rPr>
              <w:t>学校</w:t>
            </w:r>
          </w:p>
        </w:tc>
        <w:tc>
          <w:tcPr>
            <w:tcW w:w="1042" w:type="dxa"/>
            <w:vAlign w:val="center"/>
          </w:tcPr>
          <w:p w14:paraId="6A04FDC5">
            <w:pPr>
              <w:pStyle w:val="70"/>
              <w:rPr>
                <w:color w:val="000000" w:themeColor="text1"/>
                <w14:textFill>
                  <w14:solidFill>
                    <w14:schemeClr w14:val="tx1"/>
                  </w14:solidFill>
                </w14:textFill>
              </w:rPr>
            </w:pPr>
            <w:r>
              <w:rPr>
                <w:color w:val="000000" w:themeColor="text1"/>
                <w14:textFill>
                  <w14:solidFill>
                    <w14:schemeClr w14:val="tx1"/>
                  </w14:solidFill>
                </w14:textFill>
              </w:rPr>
              <w:t>1000</w:t>
            </w:r>
          </w:p>
        </w:tc>
      </w:tr>
      <w:tr w14:paraId="59DBF1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25468C19">
            <w:pPr>
              <w:pStyle w:val="70"/>
              <w:rPr>
                <w:color w:val="000000" w:themeColor="text1"/>
                <w14:textFill>
                  <w14:solidFill>
                    <w14:schemeClr w14:val="tx1"/>
                  </w14:solidFill>
                </w14:textFill>
              </w:rPr>
            </w:pPr>
          </w:p>
        </w:tc>
        <w:tc>
          <w:tcPr>
            <w:tcW w:w="6709" w:type="dxa"/>
            <w:gridSpan w:val="5"/>
            <w:vAlign w:val="center"/>
          </w:tcPr>
          <w:p w14:paraId="7A4B37E3">
            <w:pPr>
              <w:pStyle w:val="70"/>
              <w:rPr>
                <w:color w:val="000000" w:themeColor="text1"/>
                <w14:textFill>
                  <w14:solidFill>
                    <w14:schemeClr w14:val="tx1"/>
                  </w14:solidFill>
                </w14:textFill>
              </w:rPr>
            </w:pPr>
            <w:r>
              <w:rPr>
                <w:color w:val="000000" w:themeColor="text1"/>
                <w14:textFill>
                  <w14:solidFill>
                    <w14:schemeClr w14:val="tx1"/>
                  </w14:solidFill>
                </w14:textFill>
              </w:rPr>
              <w:t>厂址周边500m范围内人口数小计</w:t>
            </w:r>
          </w:p>
        </w:tc>
        <w:tc>
          <w:tcPr>
            <w:tcW w:w="1042" w:type="dxa"/>
            <w:vAlign w:val="center"/>
          </w:tcPr>
          <w:p w14:paraId="006E8F32">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r>
      <w:tr w14:paraId="3A7906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69F5E7F2">
            <w:pPr>
              <w:pStyle w:val="70"/>
              <w:rPr>
                <w:color w:val="000000" w:themeColor="text1"/>
                <w14:textFill>
                  <w14:solidFill>
                    <w14:schemeClr w14:val="tx1"/>
                  </w14:solidFill>
                </w14:textFill>
              </w:rPr>
            </w:pPr>
          </w:p>
        </w:tc>
        <w:tc>
          <w:tcPr>
            <w:tcW w:w="6709" w:type="dxa"/>
            <w:gridSpan w:val="5"/>
            <w:vAlign w:val="center"/>
          </w:tcPr>
          <w:p w14:paraId="3A394FAA">
            <w:pPr>
              <w:pStyle w:val="70"/>
              <w:rPr>
                <w:color w:val="000000" w:themeColor="text1"/>
                <w14:textFill>
                  <w14:solidFill>
                    <w14:schemeClr w14:val="tx1"/>
                  </w14:solidFill>
                </w14:textFill>
              </w:rPr>
            </w:pPr>
            <w:r>
              <w:rPr>
                <w:color w:val="000000" w:themeColor="text1"/>
                <w14:textFill>
                  <w14:solidFill>
                    <w14:schemeClr w14:val="tx1"/>
                  </w14:solidFill>
                </w14:textFill>
              </w:rPr>
              <w:t>厂址周边5km范围内人口数小计</w:t>
            </w:r>
          </w:p>
        </w:tc>
        <w:tc>
          <w:tcPr>
            <w:tcW w:w="1042" w:type="dxa"/>
            <w:vAlign w:val="center"/>
          </w:tcPr>
          <w:p w14:paraId="25CEAFB0">
            <w:pPr>
              <w:pStyle w:val="70"/>
              <w:rPr>
                <w:color w:val="000000" w:themeColor="text1"/>
                <w14:textFill>
                  <w14:solidFill>
                    <w14:schemeClr w14:val="tx1"/>
                  </w14:solidFill>
                </w14:textFill>
              </w:rPr>
            </w:pPr>
            <w:r>
              <w:rPr>
                <w:color w:val="000000" w:themeColor="text1"/>
                <w14:textFill>
                  <w14:solidFill>
                    <w14:schemeClr w14:val="tx1"/>
                  </w14:solidFill>
                </w14:textFill>
              </w:rPr>
              <w:t>23</w:t>
            </w:r>
            <w:r>
              <w:rPr>
                <w:rFonts w:hint="eastAsia"/>
                <w:color w:val="000000" w:themeColor="text1"/>
                <w14:textFill>
                  <w14:solidFill>
                    <w14:schemeClr w14:val="tx1"/>
                  </w14:solidFill>
                </w14:textFill>
              </w:rPr>
              <w:t>675</w:t>
            </w:r>
          </w:p>
        </w:tc>
      </w:tr>
      <w:tr w14:paraId="668DCD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2CE0314D">
            <w:pPr>
              <w:pStyle w:val="70"/>
              <w:rPr>
                <w:color w:val="000000" w:themeColor="text1"/>
                <w14:textFill>
                  <w14:solidFill>
                    <w14:schemeClr w14:val="tx1"/>
                  </w14:solidFill>
                </w14:textFill>
              </w:rPr>
            </w:pPr>
          </w:p>
        </w:tc>
        <w:tc>
          <w:tcPr>
            <w:tcW w:w="6709" w:type="dxa"/>
            <w:gridSpan w:val="5"/>
            <w:vAlign w:val="center"/>
          </w:tcPr>
          <w:p w14:paraId="773C184A">
            <w:pPr>
              <w:pStyle w:val="70"/>
              <w:rPr>
                <w:color w:val="000000" w:themeColor="text1"/>
                <w14:textFill>
                  <w14:solidFill>
                    <w14:schemeClr w14:val="tx1"/>
                  </w14:solidFill>
                </w14:textFill>
              </w:rPr>
            </w:pPr>
            <w:r>
              <w:rPr>
                <w:color w:val="000000" w:themeColor="text1"/>
                <w14:textFill>
                  <w14:solidFill>
                    <w14:schemeClr w14:val="tx1"/>
                  </w14:solidFill>
                </w14:textFill>
              </w:rPr>
              <w:t>大气环境敏感程度E值</w:t>
            </w:r>
          </w:p>
        </w:tc>
        <w:tc>
          <w:tcPr>
            <w:tcW w:w="1042" w:type="dxa"/>
            <w:vAlign w:val="center"/>
          </w:tcPr>
          <w:p w14:paraId="74C389F2">
            <w:pPr>
              <w:pStyle w:val="70"/>
              <w:rPr>
                <w:color w:val="000000" w:themeColor="text1"/>
                <w14:textFill>
                  <w14:solidFill>
                    <w14:schemeClr w14:val="tx1"/>
                  </w14:solidFill>
                </w14:textFill>
              </w:rPr>
            </w:pPr>
            <w:r>
              <w:rPr>
                <w:color w:val="000000" w:themeColor="text1"/>
                <w14:textFill>
                  <w14:solidFill>
                    <w14:schemeClr w14:val="tx1"/>
                  </w14:solidFill>
                </w14:textFill>
              </w:rPr>
              <w:t>E2</w:t>
            </w:r>
          </w:p>
        </w:tc>
      </w:tr>
      <w:tr w14:paraId="4B1764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restart"/>
            <w:vAlign w:val="center"/>
          </w:tcPr>
          <w:p w14:paraId="64C18BCA">
            <w:pPr>
              <w:pStyle w:val="70"/>
              <w:rPr>
                <w:color w:val="000000" w:themeColor="text1"/>
                <w14:textFill>
                  <w14:solidFill>
                    <w14:schemeClr w14:val="tx1"/>
                  </w14:solidFill>
                </w14:textFill>
              </w:rPr>
            </w:pPr>
            <w:r>
              <w:rPr>
                <w:color w:val="000000" w:themeColor="text1"/>
                <w14:textFill>
                  <w14:solidFill>
                    <w14:schemeClr w14:val="tx1"/>
                  </w14:solidFill>
                </w14:textFill>
              </w:rPr>
              <w:t>地表水</w:t>
            </w:r>
          </w:p>
        </w:tc>
        <w:tc>
          <w:tcPr>
            <w:tcW w:w="7751" w:type="dxa"/>
            <w:gridSpan w:val="6"/>
            <w:vAlign w:val="center"/>
          </w:tcPr>
          <w:p w14:paraId="3DC1D3EB">
            <w:pPr>
              <w:pStyle w:val="70"/>
              <w:rPr>
                <w:color w:val="000000" w:themeColor="text1"/>
                <w14:textFill>
                  <w14:solidFill>
                    <w14:schemeClr w14:val="tx1"/>
                  </w14:solidFill>
                </w14:textFill>
              </w:rPr>
            </w:pPr>
            <w:r>
              <w:rPr>
                <w:color w:val="000000" w:themeColor="text1"/>
                <w14:textFill>
                  <w14:solidFill>
                    <w14:schemeClr w14:val="tx1"/>
                  </w14:solidFill>
                </w14:textFill>
              </w:rPr>
              <w:t>受纳水体</w:t>
            </w:r>
          </w:p>
        </w:tc>
      </w:tr>
      <w:tr w14:paraId="1A91D0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10C5863F">
            <w:pPr>
              <w:pStyle w:val="70"/>
              <w:rPr>
                <w:color w:val="000000" w:themeColor="text1"/>
                <w14:textFill>
                  <w14:solidFill>
                    <w14:schemeClr w14:val="tx1"/>
                  </w14:solidFill>
                </w14:textFill>
              </w:rPr>
            </w:pPr>
          </w:p>
        </w:tc>
        <w:tc>
          <w:tcPr>
            <w:tcW w:w="470" w:type="dxa"/>
            <w:vAlign w:val="center"/>
          </w:tcPr>
          <w:p w14:paraId="4590A763">
            <w:pPr>
              <w:pStyle w:val="70"/>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2928" w:type="dxa"/>
            <w:gridSpan w:val="2"/>
            <w:vAlign w:val="center"/>
          </w:tcPr>
          <w:p w14:paraId="467BC38E">
            <w:pPr>
              <w:pStyle w:val="70"/>
              <w:rPr>
                <w:color w:val="000000" w:themeColor="text1"/>
                <w14:textFill>
                  <w14:solidFill>
                    <w14:schemeClr w14:val="tx1"/>
                  </w14:solidFill>
                </w14:textFill>
              </w:rPr>
            </w:pPr>
            <w:r>
              <w:rPr>
                <w:color w:val="000000" w:themeColor="text1"/>
                <w14:textFill>
                  <w14:solidFill>
                    <w14:schemeClr w14:val="tx1"/>
                  </w14:solidFill>
                </w14:textFill>
              </w:rPr>
              <w:t>受纳水体名称</w:t>
            </w:r>
          </w:p>
        </w:tc>
        <w:tc>
          <w:tcPr>
            <w:tcW w:w="2049" w:type="dxa"/>
            <w:vAlign w:val="center"/>
          </w:tcPr>
          <w:p w14:paraId="6E413CA0">
            <w:pPr>
              <w:pStyle w:val="70"/>
              <w:rPr>
                <w:color w:val="000000" w:themeColor="text1"/>
                <w14:textFill>
                  <w14:solidFill>
                    <w14:schemeClr w14:val="tx1"/>
                  </w14:solidFill>
                </w14:textFill>
              </w:rPr>
            </w:pPr>
            <w:r>
              <w:rPr>
                <w:color w:val="000000" w:themeColor="text1"/>
                <w14:textFill>
                  <w14:solidFill>
                    <w14:schemeClr w14:val="tx1"/>
                  </w14:solidFill>
                </w14:textFill>
              </w:rPr>
              <w:t>排放点水域环境功能</w:t>
            </w:r>
          </w:p>
        </w:tc>
        <w:tc>
          <w:tcPr>
            <w:tcW w:w="2304" w:type="dxa"/>
            <w:gridSpan w:val="2"/>
            <w:vAlign w:val="center"/>
          </w:tcPr>
          <w:p w14:paraId="460ADD8F">
            <w:pPr>
              <w:pStyle w:val="70"/>
              <w:rPr>
                <w:color w:val="000000" w:themeColor="text1"/>
                <w14:textFill>
                  <w14:solidFill>
                    <w14:schemeClr w14:val="tx1"/>
                  </w14:solidFill>
                </w14:textFill>
              </w:rPr>
            </w:pPr>
            <w:r>
              <w:rPr>
                <w:color w:val="000000" w:themeColor="text1"/>
                <w14:textFill>
                  <w14:solidFill>
                    <w14:schemeClr w14:val="tx1"/>
                  </w14:solidFill>
                </w14:textFill>
              </w:rPr>
              <w:t>24h内流经范围km</w:t>
            </w:r>
          </w:p>
        </w:tc>
      </w:tr>
      <w:tr w14:paraId="1B3487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1A408CC8">
            <w:pPr>
              <w:pStyle w:val="70"/>
              <w:rPr>
                <w:color w:val="000000" w:themeColor="text1"/>
                <w14:textFill>
                  <w14:solidFill>
                    <w14:schemeClr w14:val="tx1"/>
                  </w14:solidFill>
                </w14:textFill>
              </w:rPr>
            </w:pPr>
          </w:p>
        </w:tc>
        <w:tc>
          <w:tcPr>
            <w:tcW w:w="470" w:type="dxa"/>
            <w:vAlign w:val="center"/>
          </w:tcPr>
          <w:p w14:paraId="790AC6FE">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c>
          <w:tcPr>
            <w:tcW w:w="2928" w:type="dxa"/>
            <w:gridSpan w:val="2"/>
            <w:vAlign w:val="center"/>
          </w:tcPr>
          <w:p w14:paraId="3CA5D247">
            <w:pPr>
              <w:pStyle w:val="70"/>
              <w:rPr>
                <w:color w:val="000000" w:themeColor="text1"/>
                <w14:textFill>
                  <w14:solidFill>
                    <w14:schemeClr w14:val="tx1"/>
                  </w14:solidFill>
                </w14:textFill>
              </w:rPr>
            </w:pPr>
            <w:r>
              <w:rPr>
                <w:color w:val="000000" w:themeColor="text1"/>
                <w14:textFill>
                  <w14:solidFill>
                    <w14:schemeClr w14:val="tx1"/>
                  </w14:solidFill>
                </w14:textFill>
              </w:rPr>
              <w:t>钦州湾金鼓江</w:t>
            </w:r>
          </w:p>
        </w:tc>
        <w:tc>
          <w:tcPr>
            <w:tcW w:w="2049" w:type="dxa"/>
            <w:vAlign w:val="center"/>
          </w:tcPr>
          <w:p w14:paraId="06608AAB">
            <w:pPr>
              <w:pStyle w:val="70"/>
              <w:rPr>
                <w:color w:val="000000" w:themeColor="text1"/>
                <w14:textFill>
                  <w14:solidFill>
                    <w14:schemeClr w14:val="tx1"/>
                  </w14:solidFill>
                </w14:textFill>
              </w:rPr>
            </w:pPr>
            <w:r>
              <w:rPr>
                <w:color w:val="000000" w:themeColor="text1"/>
                <w14:textFill>
                  <w14:solidFill>
                    <w14:schemeClr w14:val="tx1"/>
                  </w14:solidFill>
                </w14:textFill>
              </w:rPr>
              <w:t>港口航运区</w:t>
            </w:r>
          </w:p>
        </w:tc>
        <w:tc>
          <w:tcPr>
            <w:tcW w:w="1262" w:type="dxa"/>
            <w:vAlign w:val="center"/>
          </w:tcPr>
          <w:p w14:paraId="26608D8D">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042" w:type="dxa"/>
            <w:vAlign w:val="center"/>
          </w:tcPr>
          <w:p w14:paraId="4F0AA3DF">
            <w:pPr>
              <w:pStyle w:val="70"/>
              <w:rPr>
                <w:color w:val="000000" w:themeColor="text1"/>
                <w14:textFill>
                  <w14:solidFill>
                    <w14:schemeClr w14:val="tx1"/>
                  </w14:solidFill>
                </w14:textFill>
              </w:rPr>
            </w:pPr>
            <w:r>
              <w:rPr>
                <w:color w:val="000000" w:themeColor="text1"/>
                <w14:textFill>
                  <w14:solidFill>
                    <w14:schemeClr w14:val="tx1"/>
                  </w14:solidFill>
                </w14:textFill>
              </w:rPr>
              <w:t xml:space="preserve"> 15</w:t>
            </w:r>
          </w:p>
        </w:tc>
      </w:tr>
      <w:tr w14:paraId="7BDBF7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70E81BC1">
            <w:pPr>
              <w:pStyle w:val="70"/>
              <w:rPr>
                <w:color w:val="000000" w:themeColor="text1"/>
                <w14:textFill>
                  <w14:solidFill>
                    <w14:schemeClr w14:val="tx1"/>
                  </w14:solidFill>
                </w14:textFill>
              </w:rPr>
            </w:pPr>
          </w:p>
        </w:tc>
        <w:tc>
          <w:tcPr>
            <w:tcW w:w="7751" w:type="dxa"/>
            <w:gridSpan w:val="6"/>
            <w:vAlign w:val="center"/>
          </w:tcPr>
          <w:p w14:paraId="4EF5B115">
            <w:pPr>
              <w:pStyle w:val="70"/>
              <w:rPr>
                <w:color w:val="000000" w:themeColor="text1"/>
                <w14:textFill>
                  <w14:solidFill>
                    <w14:schemeClr w14:val="tx1"/>
                  </w14:solidFill>
                </w14:textFill>
              </w:rPr>
            </w:pPr>
            <w:r>
              <w:rPr>
                <w:color w:val="000000" w:themeColor="text1"/>
                <w14:textFill>
                  <w14:solidFill>
                    <w14:schemeClr w14:val="tx1"/>
                  </w14:solidFill>
                </w14:textFill>
              </w:rPr>
              <w:t>范围内敏感目标</w:t>
            </w:r>
          </w:p>
        </w:tc>
      </w:tr>
      <w:tr w14:paraId="1402D5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6C1082C9">
            <w:pPr>
              <w:pStyle w:val="70"/>
              <w:rPr>
                <w:color w:val="000000" w:themeColor="text1"/>
                <w14:textFill>
                  <w14:solidFill>
                    <w14:schemeClr w14:val="tx1"/>
                  </w14:solidFill>
                </w14:textFill>
              </w:rPr>
            </w:pPr>
          </w:p>
        </w:tc>
        <w:tc>
          <w:tcPr>
            <w:tcW w:w="470" w:type="dxa"/>
            <w:vAlign w:val="center"/>
          </w:tcPr>
          <w:p w14:paraId="75B1E023">
            <w:pPr>
              <w:pStyle w:val="70"/>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2928" w:type="dxa"/>
            <w:gridSpan w:val="2"/>
            <w:vAlign w:val="center"/>
          </w:tcPr>
          <w:p w14:paraId="18C6243C">
            <w:pPr>
              <w:pStyle w:val="70"/>
              <w:rPr>
                <w:color w:val="000000" w:themeColor="text1"/>
                <w14:textFill>
                  <w14:solidFill>
                    <w14:schemeClr w14:val="tx1"/>
                  </w14:solidFill>
                </w14:textFill>
              </w:rPr>
            </w:pPr>
            <w:r>
              <w:rPr>
                <w:color w:val="000000" w:themeColor="text1"/>
                <w14:textFill>
                  <w14:solidFill>
                    <w14:schemeClr w14:val="tx1"/>
                  </w14:solidFill>
                </w14:textFill>
              </w:rPr>
              <w:t>敏感目标名称</w:t>
            </w:r>
          </w:p>
        </w:tc>
        <w:tc>
          <w:tcPr>
            <w:tcW w:w="2049" w:type="dxa"/>
            <w:vAlign w:val="center"/>
          </w:tcPr>
          <w:p w14:paraId="5F632D07">
            <w:pPr>
              <w:pStyle w:val="7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方位</w:t>
            </w:r>
          </w:p>
        </w:tc>
        <w:tc>
          <w:tcPr>
            <w:tcW w:w="2304" w:type="dxa"/>
            <w:gridSpan w:val="2"/>
            <w:vAlign w:val="center"/>
          </w:tcPr>
          <w:p w14:paraId="0B0ED78A">
            <w:pPr>
              <w:pStyle w:val="70"/>
              <w:rPr>
                <w:color w:val="000000" w:themeColor="text1"/>
                <w14:textFill>
                  <w14:solidFill>
                    <w14:schemeClr w14:val="tx1"/>
                  </w14:solidFill>
                </w14:textFill>
              </w:rPr>
            </w:pPr>
            <w:r>
              <w:rPr>
                <w:color w:val="000000" w:themeColor="text1"/>
                <w14:textFill>
                  <w14:solidFill>
                    <w14:schemeClr w14:val="tx1"/>
                  </w14:solidFill>
                </w14:textFill>
              </w:rPr>
              <w:t>与排放点</w:t>
            </w:r>
            <w:r>
              <w:rPr>
                <w:rFonts w:hint="eastAsia"/>
                <w:color w:val="000000" w:themeColor="text1"/>
                <w:lang w:val="en-US" w:eastAsia="zh-CN"/>
                <w14:textFill>
                  <w14:solidFill>
                    <w14:schemeClr w14:val="tx1"/>
                  </w14:solidFill>
                </w14:textFill>
              </w:rPr>
              <w:t>最近</w:t>
            </w:r>
            <w:r>
              <w:rPr>
                <w:color w:val="000000" w:themeColor="text1"/>
                <w14:textFill>
                  <w14:solidFill>
                    <w14:schemeClr w14:val="tx1"/>
                  </w14:solidFill>
                </w14:textFill>
              </w:rPr>
              <w:t>距离/</w:t>
            </w:r>
            <w:r>
              <w:rPr>
                <w:rFonts w:hint="eastAsia"/>
                <w:color w:val="000000" w:themeColor="text1"/>
                <w:lang w:val="en-US" w:eastAsia="zh-CN"/>
                <w14:textFill>
                  <w14:solidFill>
                    <w14:schemeClr w14:val="tx1"/>
                  </w14:solidFill>
                </w14:textFill>
              </w:rPr>
              <w:t>k</w:t>
            </w:r>
            <w:r>
              <w:rPr>
                <w:color w:val="000000" w:themeColor="text1"/>
                <w14:textFill>
                  <w14:solidFill>
                    <w14:schemeClr w14:val="tx1"/>
                  </w14:solidFill>
                </w14:textFill>
              </w:rPr>
              <w:t>m</w:t>
            </w:r>
          </w:p>
        </w:tc>
      </w:tr>
      <w:tr w14:paraId="562CD5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3776BA7D">
            <w:pPr>
              <w:pStyle w:val="70"/>
              <w:rPr>
                <w:color w:val="000000" w:themeColor="text1"/>
                <w14:textFill>
                  <w14:solidFill>
                    <w14:schemeClr w14:val="tx1"/>
                  </w14:solidFill>
                </w14:textFill>
              </w:rPr>
            </w:pPr>
          </w:p>
        </w:tc>
        <w:tc>
          <w:tcPr>
            <w:tcW w:w="470" w:type="dxa"/>
            <w:vAlign w:val="center"/>
          </w:tcPr>
          <w:p w14:paraId="5FE1D409">
            <w:pPr>
              <w:pStyle w:val="70"/>
              <w:ind w:firstLine="0" w:firstLineChars="0"/>
              <w:rPr>
                <w:rFonts w:hint="eastAsia" w:eastAsia="宋体"/>
                <w:color w:val="000000" w:themeColor="text1"/>
                <w:lang w:eastAsia="zh-CN"/>
                <w14:textFill>
                  <w14:solidFill>
                    <w14:schemeClr w14:val="tx1"/>
                  </w14:solidFill>
                </w14:textFill>
              </w:rPr>
            </w:pPr>
            <w:r>
              <w:rPr>
                <w:color w:val="000000" w:themeColor="text1"/>
                <w14:textFill>
                  <w14:solidFill>
                    <w14:schemeClr w14:val="tx1"/>
                  </w14:solidFill>
                </w14:textFill>
              </w:rPr>
              <w:t>1</w:t>
            </w:r>
          </w:p>
        </w:tc>
        <w:tc>
          <w:tcPr>
            <w:tcW w:w="2928" w:type="dxa"/>
            <w:gridSpan w:val="2"/>
            <w:vAlign w:val="center"/>
          </w:tcPr>
          <w:p w14:paraId="7774A103">
            <w:pPr>
              <w:pStyle w:val="70"/>
              <w:ind w:firstLine="0" w:firstLineChars="0"/>
              <w:rPr>
                <w:rFonts w:hint="default"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广西茅尾海红树林自治区级自然保护区</w:t>
            </w:r>
          </w:p>
        </w:tc>
        <w:tc>
          <w:tcPr>
            <w:tcW w:w="2049" w:type="dxa"/>
            <w:vAlign w:val="center"/>
          </w:tcPr>
          <w:p w14:paraId="06B93130">
            <w:pPr>
              <w:pStyle w:val="7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w:t>
            </w:r>
          </w:p>
        </w:tc>
        <w:tc>
          <w:tcPr>
            <w:tcW w:w="2304" w:type="dxa"/>
            <w:gridSpan w:val="2"/>
            <w:vAlign w:val="center"/>
          </w:tcPr>
          <w:p w14:paraId="2CCC1180">
            <w:pPr>
              <w:pStyle w:val="7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3.8</w:t>
            </w:r>
          </w:p>
        </w:tc>
      </w:tr>
      <w:tr w14:paraId="5E0CF0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66DDCAA1">
            <w:pPr>
              <w:pStyle w:val="70"/>
              <w:rPr>
                <w:color w:val="000000" w:themeColor="text1"/>
                <w14:textFill>
                  <w14:solidFill>
                    <w14:schemeClr w14:val="tx1"/>
                  </w14:solidFill>
                </w14:textFill>
              </w:rPr>
            </w:pPr>
          </w:p>
        </w:tc>
        <w:tc>
          <w:tcPr>
            <w:tcW w:w="470" w:type="dxa"/>
            <w:vAlign w:val="center"/>
          </w:tcPr>
          <w:p w14:paraId="741B7BB3">
            <w:pPr>
              <w:pStyle w:val="70"/>
              <w:ind w:firstLine="0" w:firstLineChars="0"/>
              <w:rPr>
                <w:rFonts w:hint="eastAsia"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2</w:t>
            </w:r>
          </w:p>
        </w:tc>
        <w:tc>
          <w:tcPr>
            <w:tcW w:w="2928" w:type="dxa"/>
            <w:gridSpan w:val="2"/>
            <w:vAlign w:val="center"/>
          </w:tcPr>
          <w:p w14:paraId="6CD41ACA">
            <w:pPr>
              <w:pStyle w:val="70"/>
              <w:ind w:firstLine="0" w:firstLineChars="0"/>
              <w:rPr>
                <w:rFonts w:hint="default"/>
                <w:color w:val="000000" w:themeColor="text1"/>
                <w:lang w:val="en-US"/>
                <w14:textFill>
                  <w14:solidFill>
                    <w14:schemeClr w14:val="tx1"/>
                  </w14:solidFill>
                </w14:textFill>
              </w:rPr>
            </w:pPr>
            <w:r>
              <w:rPr>
                <w:color w:val="000000" w:themeColor="text1"/>
                <w14:textFill>
                  <w14:solidFill>
                    <w14:schemeClr w14:val="tx1"/>
                  </w14:solidFill>
                </w14:textFill>
              </w:rPr>
              <w:t>钦州港青菜头南浅海滩涂养殖区</w:t>
            </w:r>
          </w:p>
        </w:tc>
        <w:tc>
          <w:tcPr>
            <w:tcW w:w="2049" w:type="dxa"/>
            <w:vAlign w:val="center"/>
          </w:tcPr>
          <w:p w14:paraId="6CDC4638">
            <w:pPr>
              <w:pStyle w:val="7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S</w:t>
            </w:r>
          </w:p>
        </w:tc>
        <w:tc>
          <w:tcPr>
            <w:tcW w:w="2304" w:type="dxa"/>
            <w:gridSpan w:val="2"/>
            <w:vAlign w:val="center"/>
          </w:tcPr>
          <w:p w14:paraId="49680639">
            <w:pPr>
              <w:pStyle w:val="7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5.9</w:t>
            </w:r>
          </w:p>
        </w:tc>
      </w:tr>
      <w:tr w14:paraId="2BF9A4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28DB83FD">
            <w:pPr>
              <w:pStyle w:val="70"/>
              <w:rPr>
                <w:color w:val="000000" w:themeColor="text1"/>
                <w14:textFill>
                  <w14:solidFill>
                    <w14:schemeClr w14:val="tx1"/>
                  </w14:solidFill>
                </w14:textFill>
              </w:rPr>
            </w:pPr>
          </w:p>
        </w:tc>
        <w:tc>
          <w:tcPr>
            <w:tcW w:w="470" w:type="dxa"/>
            <w:vAlign w:val="center"/>
          </w:tcPr>
          <w:p w14:paraId="7B7E0C8A">
            <w:pPr>
              <w:pStyle w:val="70"/>
              <w:ind w:firstLine="0" w:firstLineChars="0"/>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t>3</w:t>
            </w:r>
          </w:p>
        </w:tc>
        <w:tc>
          <w:tcPr>
            <w:tcW w:w="2928" w:type="dxa"/>
            <w:gridSpan w:val="2"/>
            <w:vAlign w:val="center"/>
          </w:tcPr>
          <w:p w14:paraId="742B6BEA">
            <w:pPr>
              <w:pStyle w:val="70"/>
              <w:ind w:firstLine="0" w:firstLineChars="0"/>
              <w:rPr>
                <w:rFonts w:hint="eastAsia"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红树林集中分布斑块</w:t>
            </w:r>
          </w:p>
        </w:tc>
        <w:tc>
          <w:tcPr>
            <w:tcW w:w="2049" w:type="dxa"/>
            <w:vAlign w:val="center"/>
          </w:tcPr>
          <w:p w14:paraId="6DCECCE4">
            <w:pPr>
              <w:pStyle w:val="7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N</w:t>
            </w:r>
          </w:p>
        </w:tc>
        <w:tc>
          <w:tcPr>
            <w:tcW w:w="2304" w:type="dxa"/>
            <w:gridSpan w:val="2"/>
            <w:vAlign w:val="center"/>
          </w:tcPr>
          <w:p w14:paraId="434B80ED">
            <w:pPr>
              <w:pStyle w:val="7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3.8</w:t>
            </w:r>
          </w:p>
        </w:tc>
      </w:tr>
      <w:tr w14:paraId="1BC72E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02C912C3">
            <w:pPr>
              <w:pStyle w:val="70"/>
              <w:rPr>
                <w:color w:val="000000" w:themeColor="text1"/>
                <w14:textFill>
                  <w14:solidFill>
                    <w14:schemeClr w14:val="tx1"/>
                  </w14:solidFill>
                </w14:textFill>
              </w:rPr>
            </w:pPr>
          </w:p>
        </w:tc>
        <w:tc>
          <w:tcPr>
            <w:tcW w:w="470" w:type="dxa"/>
            <w:vAlign w:val="center"/>
          </w:tcPr>
          <w:p w14:paraId="22A2C460">
            <w:pPr>
              <w:pStyle w:val="70"/>
              <w:ind w:firstLine="0" w:firstLineChars="0"/>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t>4</w:t>
            </w:r>
          </w:p>
        </w:tc>
        <w:tc>
          <w:tcPr>
            <w:tcW w:w="2928" w:type="dxa"/>
            <w:gridSpan w:val="2"/>
            <w:vAlign w:val="center"/>
          </w:tcPr>
          <w:p w14:paraId="634DB5D3">
            <w:pPr>
              <w:pStyle w:val="70"/>
              <w:ind w:firstLine="0" w:firstLineChars="0"/>
              <w:rPr>
                <w:rFonts w:hint="eastAsia"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蚝排养殖区</w:t>
            </w:r>
          </w:p>
        </w:tc>
        <w:tc>
          <w:tcPr>
            <w:tcW w:w="2049" w:type="dxa"/>
            <w:vAlign w:val="center"/>
          </w:tcPr>
          <w:p w14:paraId="65EB4B51">
            <w:pPr>
              <w:pStyle w:val="7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E</w:t>
            </w:r>
          </w:p>
        </w:tc>
        <w:tc>
          <w:tcPr>
            <w:tcW w:w="2304" w:type="dxa"/>
            <w:gridSpan w:val="2"/>
            <w:vAlign w:val="center"/>
          </w:tcPr>
          <w:p w14:paraId="2ED1F9E7">
            <w:pPr>
              <w:pStyle w:val="7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3.6</w:t>
            </w:r>
          </w:p>
        </w:tc>
      </w:tr>
      <w:tr w14:paraId="3EEB32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1F17A02C">
            <w:pPr>
              <w:pStyle w:val="70"/>
              <w:rPr>
                <w:color w:val="000000" w:themeColor="text1"/>
                <w14:textFill>
                  <w14:solidFill>
                    <w14:schemeClr w14:val="tx1"/>
                  </w14:solidFill>
                </w14:textFill>
              </w:rPr>
            </w:pPr>
          </w:p>
        </w:tc>
        <w:tc>
          <w:tcPr>
            <w:tcW w:w="470" w:type="dxa"/>
            <w:vAlign w:val="center"/>
          </w:tcPr>
          <w:p w14:paraId="1D434D8B">
            <w:pPr>
              <w:pStyle w:val="7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w:t>
            </w:r>
          </w:p>
        </w:tc>
        <w:tc>
          <w:tcPr>
            <w:tcW w:w="2928" w:type="dxa"/>
            <w:gridSpan w:val="2"/>
            <w:vAlign w:val="center"/>
          </w:tcPr>
          <w:p w14:paraId="347BA9E5">
            <w:pPr>
              <w:pStyle w:val="7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北部湾二长棘鲷长毛对虾国家级种质资源保护区（实验区）</w:t>
            </w:r>
          </w:p>
        </w:tc>
        <w:tc>
          <w:tcPr>
            <w:tcW w:w="2049" w:type="dxa"/>
            <w:vAlign w:val="center"/>
          </w:tcPr>
          <w:p w14:paraId="3ACB5203">
            <w:pPr>
              <w:pStyle w:val="7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S</w:t>
            </w:r>
          </w:p>
        </w:tc>
        <w:tc>
          <w:tcPr>
            <w:tcW w:w="2304" w:type="dxa"/>
            <w:gridSpan w:val="2"/>
            <w:vAlign w:val="center"/>
          </w:tcPr>
          <w:p w14:paraId="02EF3FE4">
            <w:pPr>
              <w:pStyle w:val="7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19</w:t>
            </w:r>
          </w:p>
        </w:tc>
      </w:tr>
      <w:tr w14:paraId="1F5B63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5CAFD869">
            <w:pPr>
              <w:pStyle w:val="70"/>
              <w:rPr>
                <w:color w:val="000000" w:themeColor="text1"/>
                <w14:textFill>
                  <w14:solidFill>
                    <w14:schemeClr w14:val="tx1"/>
                  </w14:solidFill>
                </w14:textFill>
              </w:rPr>
            </w:pPr>
          </w:p>
        </w:tc>
        <w:tc>
          <w:tcPr>
            <w:tcW w:w="6709" w:type="dxa"/>
            <w:gridSpan w:val="5"/>
            <w:vAlign w:val="center"/>
          </w:tcPr>
          <w:p w14:paraId="6D0AC1F7">
            <w:pPr>
              <w:pStyle w:val="70"/>
              <w:rPr>
                <w:color w:val="000000" w:themeColor="text1"/>
                <w14:textFill>
                  <w14:solidFill>
                    <w14:schemeClr w14:val="tx1"/>
                  </w14:solidFill>
                </w14:textFill>
              </w:rPr>
            </w:pPr>
            <w:r>
              <w:rPr>
                <w:color w:val="000000" w:themeColor="text1"/>
                <w14:textFill>
                  <w14:solidFill>
                    <w14:schemeClr w14:val="tx1"/>
                  </w14:solidFill>
                </w14:textFill>
              </w:rPr>
              <w:t>地表水环境敏感程度E值</w:t>
            </w:r>
          </w:p>
        </w:tc>
        <w:tc>
          <w:tcPr>
            <w:tcW w:w="1042" w:type="dxa"/>
            <w:vAlign w:val="center"/>
          </w:tcPr>
          <w:p w14:paraId="2B4CE4E2">
            <w:pPr>
              <w:pStyle w:val="70"/>
              <w:rPr>
                <w:color w:val="000000" w:themeColor="text1"/>
                <w14:textFill>
                  <w14:solidFill>
                    <w14:schemeClr w14:val="tx1"/>
                  </w14:solidFill>
                </w14:textFill>
              </w:rPr>
            </w:pPr>
            <w:r>
              <w:rPr>
                <w:color w:val="000000" w:themeColor="text1"/>
                <w14:textFill>
                  <w14:solidFill>
                    <w14:schemeClr w14:val="tx1"/>
                  </w14:solidFill>
                </w14:textFill>
              </w:rPr>
              <w:t>E2</w:t>
            </w:r>
          </w:p>
        </w:tc>
      </w:tr>
    </w:tbl>
    <w:p w14:paraId="3EA79C3A">
      <w:pPr>
        <w:ind w:firstLine="480"/>
        <w:rPr>
          <w:color w:val="000000" w:themeColor="text1"/>
          <w14:textFill>
            <w14:solidFill>
              <w14:schemeClr w14:val="tx1"/>
            </w14:solidFill>
          </w14:textFill>
        </w:rPr>
      </w:pPr>
    </w:p>
    <w:p w14:paraId="2523D8F0">
      <w:pPr>
        <w:ind w:firstLine="480"/>
        <w:rPr>
          <w:color w:val="000000" w:themeColor="text1"/>
          <w14:textFill>
            <w14:solidFill>
              <w14:schemeClr w14:val="tx1"/>
            </w14:solidFill>
          </w14:textFill>
        </w:rPr>
        <w:sectPr>
          <w:headerReference r:id="rId14" w:type="default"/>
          <w:footerReference r:id="rId15" w:type="default"/>
          <w:pgSz w:w="11906" w:h="16838"/>
          <w:pgMar w:top="1417" w:right="1417" w:bottom="1417" w:left="1417" w:header="851" w:footer="680" w:gutter="0"/>
          <w:pgBorders>
            <w:top w:val="none" w:sz="0" w:space="0"/>
            <w:left w:val="none" w:sz="0" w:space="0"/>
            <w:bottom w:val="none" w:sz="0" w:space="0"/>
            <w:right w:val="none" w:sz="0" w:space="0"/>
          </w:pgBorders>
          <w:pgNumType w:fmt="numberInDash" w:start="1"/>
          <w:cols w:space="720" w:num="1"/>
        </w:sectPr>
      </w:pPr>
    </w:p>
    <w:p w14:paraId="5A7653B3">
      <w:pPr>
        <w:pStyle w:val="3"/>
        <w:rPr>
          <w:color w:val="000000" w:themeColor="text1"/>
          <w14:textFill>
            <w14:solidFill>
              <w14:schemeClr w14:val="tx1"/>
            </w14:solidFill>
          </w14:textFill>
        </w:rPr>
      </w:pPr>
      <w:bookmarkStart w:id="178" w:name="_Toc216620352"/>
      <w:r>
        <w:rPr>
          <w:color w:val="000000" w:themeColor="text1"/>
          <w14:textFill>
            <w14:solidFill>
              <w14:schemeClr w14:val="tx1"/>
            </w14:solidFill>
          </w14:textFill>
        </w:rPr>
        <w:t>建设项目概况与工程分析</w:t>
      </w:r>
      <w:bookmarkEnd w:id="178"/>
    </w:p>
    <w:p w14:paraId="7EA9A898">
      <w:pPr>
        <w:pStyle w:val="5"/>
        <w:rPr>
          <w:color w:val="000000" w:themeColor="text1"/>
          <w14:textFill>
            <w14:solidFill>
              <w14:schemeClr w14:val="tx1"/>
            </w14:solidFill>
          </w14:textFill>
        </w:rPr>
      </w:pPr>
      <w:bookmarkStart w:id="179" w:name="_Toc216620353"/>
      <w:r>
        <w:rPr>
          <w:color w:val="000000" w:themeColor="text1"/>
          <w14:textFill>
            <w14:solidFill>
              <w14:schemeClr w14:val="tx1"/>
            </w14:solidFill>
          </w14:textFill>
        </w:rPr>
        <w:t>建设项目概况</w:t>
      </w:r>
      <w:bookmarkEnd w:id="179"/>
    </w:p>
    <w:p w14:paraId="29771EC2">
      <w:pPr>
        <w:pStyle w:val="4"/>
        <w:rPr>
          <w:color w:val="000000" w:themeColor="text1"/>
          <w:u w:val="single"/>
          <w14:textFill>
            <w14:solidFill>
              <w14:schemeClr w14:val="tx1"/>
            </w14:solidFill>
          </w14:textFill>
        </w:rPr>
      </w:pPr>
      <w:bookmarkStart w:id="180" w:name="_Toc216103195"/>
      <w:bookmarkStart w:id="181" w:name="_Toc216620354"/>
      <w:bookmarkStart w:id="182" w:name="_Toc135090193"/>
      <w:bookmarkStart w:id="183" w:name="_Toc29131786"/>
      <w:bookmarkStart w:id="184" w:name="_Toc136878442"/>
      <w:bookmarkStart w:id="185" w:name="_Toc26909972"/>
      <w:bookmarkStart w:id="186" w:name="_Toc25436927"/>
      <w:r>
        <w:rPr>
          <w:color w:val="000000" w:themeColor="text1"/>
          <w:u w:val="single"/>
          <w14:textFill>
            <w14:solidFill>
              <w14:schemeClr w14:val="tx1"/>
            </w14:solidFill>
          </w14:textFill>
        </w:rPr>
        <w:t>现有工程概况</w:t>
      </w:r>
      <w:bookmarkEnd w:id="180"/>
      <w:bookmarkEnd w:id="181"/>
    </w:p>
    <w:p w14:paraId="4062799B">
      <w:pPr>
        <w:pStyle w:val="6"/>
        <w:rPr>
          <w:color w:val="000000" w:themeColor="text1"/>
          <w:u w:val="single"/>
          <w14:textFill>
            <w14:solidFill>
              <w14:schemeClr w14:val="tx1"/>
            </w14:solidFill>
          </w14:textFill>
        </w:rPr>
      </w:pPr>
      <w:r>
        <w:rPr>
          <w:color w:val="000000" w:themeColor="text1"/>
          <w:u w:val="single"/>
          <w14:textFill>
            <w14:solidFill>
              <w14:schemeClr w14:val="tx1"/>
            </w14:solidFill>
          </w14:textFill>
        </w:rPr>
        <w:t>现有14号泊位工程前期工作开展情况</w:t>
      </w:r>
    </w:p>
    <w:p w14:paraId="6026E75D">
      <w:pPr>
        <w:autoSpaceDE w:val="0"/>
        <w:autoSpaceDN w:val="0"/>
        <w:ind w:firstLine="480"/>
        <w:jc w:val="left"/>
        <w:rPr>
          <w:color w:val="000000" w:themeColor="text1"/>
          <w14:textFill>
            <w14:solidFill>
              <w14:schemeClr w14:val="tx1"/>
            </w14:solidFill>
          </w14:textFill>
        </w:rPr>
      </w:pPr>
      <w:r>
        <w:rPr>
          <w:rFonts w:hint="eastAsia"/>
          <w:color w:val="000000" w:themeColor="text1"/>
          <w:kern w:val="0"/>
          <w14:textFill>
            <w14:solidFill>
              <w14:schemeClr w14:val="tx1"/>
            </w14:solidFill>
          </w14:textFill>
        </w:rPr>
        <w:t>根据章节“概述”可见，</w:t>
      </w:r>
      <w:r>
        <w:rPr>
          <w:rFonts w:hint="eastAsia"/>
          <w:color w:val="000000" w:themeColor="text1"/>
          <w14:textFill>
            <w14:solidFill>
              <w14:schemeClr w14:val="tx1"/>
            </w14:solidFill>
          </w14:textFill>
        </w:rPr>
        <w:t>14号泊位</w:t>
      </w:r>
      <w:r>
        <w:rPr>
          <w:rFonts w:hint="eastAsia"/>
          <w:color w:val="000000" w:themeColor="text1"/>
          <w:lang w:eastAsia="zh-CN"/>
          <w14:textFill>
            <w14:solidFill>
              <w14:schemeClr w14:val="tx1"/>
            </w14:solidFill>
          </w14:textFill>
        </w:rPr>
        <w:t>工程</w:t>
      </w:r>
      <w:r>
        <w:rPr>
          <w:rFonts w:hint="eastAsia"/>
          <w:color w:val="000000" w:themeColor="text1"/>
          <w14:textFill>
            <w14:solidFill>
              <w14:schemeClr w14:val="tx1"/>
            </w14:solidFill>
          </w14:textFill>
        </w:rPr>
        <w:t>为1个5万吨级液体散货泊位，码头岸线总长度为240m，设计吞吐量276万吨/年，设计年通过能力300万吨/年；货种包括乙二醇、对二甲苯、甲醇、苯、甲苯、粗苯、混二甲苯、叔丁醇、环己烷、环己酮、液氨11种化学品。目前建设了苯、环己酮、粗苯、液氨装卸。</w:t>
      </w:r>
    </w:p>
    <w:p w14:paraId="4A5B4F0E">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陆域部分设置1座20000m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低温液氨储罐，配套建设公用、环保设施（包括管廊工程、BOG压缩机组、高架火炬、消防水罐及泵站、行政办公楼及配电室、应急物资库、危废暂存间、初期雨水池、事故应急池等）。</w:t>
      </w:r>
    </w:p>
    <w:p w14:paraId="328AD142">
      <w:pPr>
        <w:autoSpaceDE w:val="0"/>
        <w:autoSpaceDN w:val="0"/>
        <w:ind w:firstLine="480"/>
        <w:jc w:val="lef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水工部分码头结构采用圆筒墩式平台+引桥方案，码头面高程为6.30m，前沿停泊地底高程-13.70m。前沿布置1个34m×51m作业平台和4个17m×17m的靠船墩（系缆墩）。作业平台与靠船墩（系缆墩）之间的栈桥净跨30.25m，宽6m。作业平台与后方陆域连接设1座引桥，长46m，宽15m。码头前沿停泊水域宽度为65m，底高程-13.7m，回旋水域底高程为-11.3m，回旋水域采用圆形布置，直径为330m。</w:t>
      </w:r>
    </w:p>
    <w:p w14:paraId="01401DA2">
      <w:pPr>
        <w:autoSpaceDE w:val="0"/>
        <w:autoSpaceDN w:val="0"/>
        <w:ind w:firstLine="480"/>
        <w:jc w:val="left"/>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14号泊位码头区域用海面积15120</w:t>
      </w:r>
      <w:r>
        <w:rPr>
          <w:rFonts w:hint="eastAsia"/>
          <w:color w:val="000000" w:themeColor="text1"/>
          <w:lang w:val="en-US" w:eastAsia="zh-CN"/>
          <w14:textFill>
            <w14:solidFill>
              <w14:schemeClr w14:val="tx1"/>
            </w14:solidFill>
          </w14:textFill>
        </w:rPr>
        <w:t>m</w:t>
      </w:r>
      <w:r>
        <w:rPr>
          <w:rFonts w:hint="eastAsia"/>
          <w:color w:val="000000" w:themeColor="text1"/>
          <w:vertAlign w:val="superscript"/>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w:t>
      </w:r>
    </w:p>
    <w:p w14:paraId="359F8BA5">
      <w:pPr>
        <w:autoSpaceDE w:val="0"/>
        <w:autoSpaceDN w:val="0"/>
        <w:ind w:firstLine="480"/>
        <w:jc w:val="lef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项目已编制了《广西自贸区逸海港务有限责任公司突发环境事件应急预案》并备案（备案编号：450702-2025-0036-H）</w:t>
      </w:r>
    </w:p>
    <w:p w14:paraId="3AA77B71">
      <w:pPr>
        <w:pStyle w:val="6"/>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现有环境问题情</w:t>
      </w:r>
      <w:r>
        <w:rPr>
          <w:color w:val="000000" w:themeColor="text1"/>
          <w14:textFill>
            <w14:solidFill>
              <w14:schemeClr w14:val="tx1"/>
            </w14:solidFill>
          </w14:textFill>
        </w:rPr>
        <w:t>况</w:t>
      </w:r>
      <w:r>
        <w:rPr>
          <w:rFonts w:hint="eastAsia"/>
          <w:color w:val="000000" w:themeColor="text1"/>
          <w:lang w:val="en-US" w:eastAsia="zh-CN"/>
          <w14:textFill>
            <w14:solidFill>
              <w14:schemeClr w14:val="tx1"/>
            </w14:solidFill>
          </w14:textFill>
        </w:rPr>
        <w:t>及整改措施</w:t>
      </w:r>
    </w:p>
    <w:p w14:paraId="362BF9B2">
      <w:pPr>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根据现场调查以及《钦州港金谷港区金鼓江作业区14号泊位码头（一期工程）竣工环境保护验收调查报告》（2025.11），本项目现有环境问题及整改措施如下。</w:t>
      </w:r>
    </w:p>
    <w:p w14:paraId="6421AED7">
      <w:pPr>
        <w:numPr>
          <w:ilvl w:val="0"/>
          <w:numId w:val="15"/>
        </w:numP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危废</w:t>
      </w:r>
    </w:p>
    <w:p w14:paraId="0A5DE978">
      <w:pPr>
        <w:keepNext w:val="0"/>
        <w:keepLines w:val="0"/>
        <w:pageBreakBefore w:val="0"/>
        <w:widowControl w:val="0"/>
        <w:shd w:val="clear"/>
        <w:kinsoku/>
        <w:wordWrap/>
        <w:overflowPunct w:val="0"/>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olor w:val="000000" w:themeColor="text1"/>
          <w:lang w:val="en-US"/>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项目目前尚未进行过危险废物转运，因此在后续项目运营过程中，</w:t>
      </w:r>
      <w:r>
        <w:rPr>
          <w:rFonts w:hint="default" w:ascii="Times New Roman" w:hAnsi="Times New Roman" w:eastAsia="宋体"/>
          <w:color w:val="000000" w:themeColor="text1"/>
          <w:lang w:val="en-US"/>
          <w14:textFill>
            <w14:solidFill>
              <w14:schemeClr w14:val="tx1"/>
            </w14:solidFill>
          </w14:textFill>
        </w:rPr>
        <w:t>项目危险废物转运前</w:t>
      </w:r>
      <w:r>
        <w:rPr>
          <w:rFonts w:hint="eastAsia" w:ascii="Times New Roman" w:hAnsi="Times New Roman" w:eastAsia="宋体"/>
          <w:color w:val="000000" w:themeColor="text1"/>
          <w:lang w:val="en-US" w:eastAsia="zh-CN"/>
          <w14:textFill>
            <w14:solidFill>
              <w14:schemeClr w14:val="tx1"/>
            </w14:solidFill>
          </w14:textFill>
        </w:rPr>
        <w:t>应按照</w:t>
      </w:r>
      <w:r>
        <w:rPr>
          <w:rFonts w:hint="default" w:ascii="Times New Roman" w:hAnsi="Times New Roman" w:eastAsia="宋体"/>
          <w:color w:val="000000" w:themeColor="text1"/>
          <w:lang w:val="en-US"/>
          <w14:textFill>
            <w14:solidFill>
              <w14:schemeClr w14:val="tx1"/>
            </w14:solidFill>
          </w14:textFill>
        </w:rPr>
        <w:t>《危险废物收集贮存运输技术规范》（HJ2025-2012）、《危险废物转移联单管理办法》要求做好危废产生、厂内转运、暂存台帐，严格执行危废转移联单申报制度。</w:t>
      </w:r>
    </w:p>
    <w:p w14:paraId="618ACF9B">
      <w:pPr>
        <w:keepNext w:val="0"/>
        <w:keepLines w:val="0"/>
        <w:pageBreakBefore w:val="0"/>
        <w:widowControl w:val="0"/>
        <w:shd w:val="clear"/>
        <w:kinsoku/>
        <w:wordWrap/>
        <w:overflowPunct w:val="0"/>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本次环评要求按照《钦州港金谷港区金鼓江作业区14号泊位码头（一期工程）竣工环境保护验收调查报告》（2025.11）意见整改。</w:t>
      </w:r>
    </w:p>
    <w:p w14:paraId="61420AAE">
      <w:pPr>
        <w:numPr>
          <w:ilvl w:val="0"/>
          <w:numId w:val="15"/>
        </w:numP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土壤和地下水</w:t>
      </w:r>
    </w:p>
    <w:p w14:paraId="54A3C343">
      <w:pPr>
        <w:keepNext w:val="0"/>
        <w:keepLines w:val="0"/>
        <w:pageBreakBefore w:val="0"/>
        <w:widowControl w:val="0"/>
        <w:kinsoku/>
        <w:wordWrap/>
        <w:overflowPunct w:val="0"/>
        <w:topLinePunct w:val="0"/>
        <w:autoSpaceDE/>
        <w:autoSpaceDN/>
        <w:bidi w:val="0"/>
        <w:adjustRightInd/>
        <w:snapToGrid/>
        <w:textAlignment w:val="auto"/>
        <w:rPr>
          <w:rFonts w:hint="eastAsia"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eastAsia="宋体"/>
          <w:color w:val="000000" w:themeColor="text1"/>
          <w:lang w:val="en-US" w:eastAsia="zh-CN"/>
          <w14:textFill>
            <w14:solidFill>
              <w14:schemeClr w14:val="tx1"/>
            </w14:solidFill>
          </w14:textFill>
        </w:rPr>
        <w:t>由于目前项目仅设置1座液氨储罐，未进行集中式储罐区建设，不涉及有机物在厂区内的集中式储存，不涉及有机物的垂直入渗影响途径，因此未设置地下水跟踪监测井和土壤跟踪监测点。</w:t>
      </w:r>
    </w:p>
    <w:p w14:paraId="61C60758">
      <w:pPr>
        <w:keepNext w:val="0"/>
        <w:keepLines w:val="0"/>
        <w:pageBreakBefore w:val="0"/>
        <w:widowControl w:val="0"/>
        <w:kinsoku/>
        <w:wordWrap/>
        <w:overflowPunct w:val="0"/>
        <w:topLinePunct w:val="0"/>
        <w:autoSpaceDE/>
        <w:autoSpaceDN/>
        <w:bidi w:val="0"/>
        <w:adjustRightInd/>
        <w:snapToGrid/>
        <w:textAlignment w:val="auto"/>
        <w:rPr>
          <w:rFonts w:hint="eastAsia"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eastAsia="宋体"/>
          <w:color w:val="000000" w:themeColor="text1"/>
          <w:lang w:val="en-US" w:eastAsia="zh-CN"/>
          <w14:textFill>
            <w14:solidFill>
              <w14:schemeClr w14:val="tx1"/>
            </w14:solidFill>
          </w14:textFill>
        </w:rPr>
        <w:t>若项目二期工程投入建设，应按照环评及批复要求，合理设置地下水监测点和土壤监测点，做好地下水污染预警预报以及应急措施。</w:t>
      </w:r>
    </w:p>
    <w:p w14:paraId="15E6C44B">
      <w:pPr>
        <w:keepNext w:val="0"/>
        <w:keepLines w:val="0"/>
        <w:pageBreakBefore w:val="0"/>
        <w:widowControl w:val="0"/>
        <w:kinsoku/>
        <w:wordWrap/>
        <w:overflowPunct w:val="0"/>
        <w:topLinePunct w:val="0"/>
        <w:autoSpaceDE/>
        <w:autoSpaceDN/>
        <w:bidi w:val="0"/>
        <w:adjustRightInd/>
        <w:snapToGrid/>
        <w:textAlignment w:val="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eastAsia="宋体"/>
          <w:color w:val="000000" w:themeColor="text1"/>
          <w:lang w:val="en-US" w:eastAsia="zh-CN"/>
          <w14:textFill>
            <w14:solidFill>
              <w14:schemeClr w14:val="tx1"/>
            </w14:solidFill>
          </w14:textFill>
        </w:rPr>
        <w:t>本项目不涉及土壤和地下水污染，要求</w:t>
      </w:r>
      <w:r>
        <w:rPr>
          <w:rFonts w:hint="eastAsia"/>
          <w:color w:val="000000" w:themeColor="text1"/>
          <w:lang w:val="en-US" w:eastAsia="zh-CN"/>
          <w14:textFill>
            <w14:solidFill>
              <w14:schemeClr w14:val="tx1"/>
            </w14:solidFill>
          </w14:textFill>
        </w:rPr>
        <w:t>严格</w:t>
      </w:r>
      <w:r>
        <w:rPr>
          <w:rFonts w:hint="eastAsia" w:ascii="Times New Roman" w:hAnsi="Times New Roman" w:eastAsia="宋体"/>
          <w:color w:val="000000" w:themeColor="text1"/>
          <w:lang w:val="en-US" w:eastAsia="zh-CN"/>
          <w14:textFill>
            <w14:solidFill>
              <w14:schemeClr w14:val="tx1"/>
            </w14:solidFill>
          </w14:textFill>
        </w:rPr>
        <w:t>按照《钦州港金谷港区金鼓江作业区14号泊位码头（一期工程）竣工环境保护验收调查报告》（2025.11）意见整改。</w:t>
      </w:r>
    </w:p>
    <w:p w14:paraId="32C98766">
      <w:pPr>
        <w:numPr>
          <w:ilvl w:val="0"/>
          <w:numId w:val="15"/>
        </w:numP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生态</w:t>
      </w:r>
    </w:p>
    <w:p w14:paraId="56ECD710">
      <w:pPr>
        <w:bidi w:val="0"/>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eastAsia="宋体"/>
          <w:color w:val="000000" w:themeColor="text1"/>
          <w:lang w:val="en-US" w:eastAsia="zh-CN"/>
          <w14:textFill>
            <w14:solidFill>
              <w14:schemeClr w14:val="tx1"/>
            </w14:solidFill>
          </w14:textFill>
        </w:rPr>
        <w:t>由于项目</w:t>
      </w:r>
      <w:r>
        <w:rPr>
          <w:rFonts w:hint="default" w:ascii="Times New Roman" w:hAnsi="Times New Roman" w:eastAsia="宋体"/>
          <w:color w:val="000000" w:themeColor="text1"/>
          <w:lang w:val="en-US" w:eastAsia="zh-CN"/>
          <w14:textFill>
            <w14:solidFill>
              <w14:schemeClr w14:val="tx1"/>
            </w14:solidFill>
          </w14:textFill>
        </w:rPr>
        <w:t>（水工部分</w:t>
      </w:r>
      <w:r>
        <w:rPr>
          <w:rFonts w:hint="eastAsia" w:ascii="Times New Roman" w:hAnsi="Times New Roman" w:eastAsia="宋体"/>
          <w:color w:val="000000" w:themeColor="text1"/>
          <w:lang w:val="en-US" w:eastAsia="zh-CN"/>
          <w14:textFill>
            <w14:solidFill>
              <w14:schemeClr w14:val="tx1"/>
            </w14:solidFill>
          </w14:textFill>
        </w:rPr>
        <w:t>）</w:t>
      </w:r>
      <w:r>
        <w:rPr>
          <w:rFonts w:hint="default" w:ascii="Times New Roman" w:hAnsi="Times New Roman" w:eastAsia="宋体"/>
          <w:color w:val="000000" w:themeColor="text1"/>
          <w:lang w:val="en-US" w:eastAsia="zh-CN"/>
          <w14:textFill>
            <w14:solidFill>
              <w14:schemeClr w14:val="tx1"/>
            </w14:solidFill>
          </w14:textFill>
        </w:rPr>
        <w:t>渔业资源补偿增殖放流实施方案</w:t>
      </w:r>
      <w:r>
        <w:rPr>
          <w:rFonts w:hint="eastAsia" w:ascii="Times New Roman" w:hAnsi="Times New Roman" w:eastAsia="宋体"/>
          <w:color w:val="000000" w:themeColor="text1"/>
          <w:lang w:val="en-US" w:eastAsia="zh-CN"/>
          <w14:textFill>
            <w14:solidFill>
              <w14:schemeClr w14:val="tx1"/>
            </w14:solidFill>
          </w14:textFill>
        </w:rPr>
        <w:t>尚未批复，同时</w:t>
      </w:r>
      <w:r>
        <w:rPr>
          <w:rFonts w:hint="default" w:ascii="Times New Roman" w:hAnsi="Times New Roman" w:eastAsia="宋体"/>
          <w:color w:val="000000" w:themeColor="text1"/>
          <w:lang w:val="en-US" w:eastAsia="zh-CN"/>
          <w14:textFill>
            <w14:solidFill>
              <w14:schemeClr w14:val="tx1"/>
            </w14:solidFill>
          </w14:textFill>
        </w:rPr>
        <w:t>（</w:t>
      </w:r>
      <w:r>
        <w:rPr>
          <w:rFonts w:hint="eastAsia" w:ascii="Times New Roman" w:hAnsi="Times New Roman" w:eastAsia="宋体"/>
          <w:color w:val="000000" w:themeColor="text1"/>
          <w:lang w:val="en-US" w:eastAsia="zh-CN"/>
          <w14:textFill>
            <w14:solidFill>
              <w14:schemeClr w14:val="tx1"/>
            </w14:solidFill>
          </w14:textFill>
        </w:rPr>
        <w:t>陆域</w:t>
      </w:r>
      <w:r>
        <w:rPr>
          <w:rFonts w:hint="default" w:ascii="Times New Roman" w:hAnsi="Times New Roman" w:eastAsia="宋体"/>
          <w:color w:val="000000" w:themeColor="text1"/>
          <w:lang w:val="en-US" w:eastAsia="zh-CN"/>
          <w14:textFill>
            <w14:solidFill>
              <w14:schemeClr w14:val="tx1"/>
            </w14:solidFill>
          </w14:textFill>
        </w:rPr>
        <w:t>部分</w:t>
      </w:r>
      <w:r>
        <w:rPr>
          <w:rFonts w:hint="eastAsia" w:ascii="Times New Roman" w:hAnsi="Times New Roman" w:eastAsia="宋体"/>
          <w:color w:val="000000" w:themeColor="text1"/>
          <w:lang w:val="en-US" w:eastAsia="zh-CN"/>
          <w14:textFill>
            <w14:solidFill>
              <w14:schemeClr w14:val="tx1"/>
            </w14:solidFill>
          </w14:textFill>
        </w:rPr>
        <w:t>）</w:t>
      </w:r>
      <w:r>
        <w:rPr>
          <w:rFonts w:hint="default" w:ascii="Times New Roman" w:hAnsi="Times New Roman" w:eastAsia="宋体"/>
          <w:color w:val="000000" w:themeColor="text1"/>
          <w:lang w:val="en-US" w:eastAsia="zh-CN"/>
          <w14:textFill>
            <w14:solidFill>
              <w14:schemeClr w14:val="tx1"/>
            </w14:solidFill>
          </w14:textFill>
        </w:rPr>
        <w:t>渔业资源补偿增殖放流实施方案</w:t>
      </w:r>
      <w:r>
        <w:rPr>
          <w:rFonts w:hint="eastAsia" w:ascii="Times New Roman" w:hAnsi="Times New Roman" w:eastAsia="宋体"/>
          <w:color w:val="000000" w:themeColor="text1"/>
          <w:lang w:val="en-US" w:eastAsia="zh-CN"/>
          <w14:textFill>
            <w14:solidFill>
              <w14:schemeClr w14:val="tx1"/>
            </w14:solidFill>
          </w14:textFill>
        </w:rPr>
        <w:t>尚未组织编制、上报，因此本次验收提出如下补救措施与建议：</w:t>
      </w:r>
    </w:p>
    <w:p w14:paraId="30E8C417">
      <w:pPr>
        <w:bidi w:val="0"/>
        <w:rPr>
          <w:rFonts w:hint="eastAsia"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eastAsia="宋体"/>
          <w:color w:val="000000" w:themeColor="text1"/>
          <w:lang w:val="en-US" w:eastAsia="zh-CN"/>
          <w14:textFill>
            <w14:solidFill>
              <w14:schemeClr w14:val="tx1"/>
            </w14:solidFill>
          </w14:textFill>
        </w:rPr>
        <w:t>①项目建设单位应按主管部门批复的增殖放流实施方案要求有序推进渔业资源补偿工作</w:t>
      </w:r>
      <w:r>
        <w:rPr>
          <w:rFonts w:hint="eastAsia" w:ascii="Times New Roman" w:hAnsi="Times New Roman" w:eastAsia="宋体" w:cs="Times New Roman"/>
          <w:color w:val="000000" w:themeColor="text1"/>
          <w:highlight w:val="none"/>
          <w:u w:val="none"/>
          <w:lang w:eastAsia="zh-CN"/>
          <w14:textFill>
            <w14:solidFill>
              <w14:schemeClr w14:val="tx1"/>
            </w14:solidFill>
          </w14:textFill>
        </w:rPr>
        <w:t>。</w:t>
      </w:r>
    </w:p>
    <w:p w14:paraId="0369EB42">
      <w:pPr>
        <w:bidi w:val="0"/>
        <w:rPr>
          <w:rFonts w:hint="eastAsia"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eastAsia="宋体"/>
          <w:color w:val="000000" w:themeColor="text1"/>
          <w:lang w:val="en-US" w:eastAsia="zh-CN"/>
          <w14:textFill>
            <w14:solidFill>
              <w14:schemeClr w14:val="tx1"/>
            </w14:solidFill>
          </w14:textFill>
        </w:rPr>
        <w:t>②在项目二期工程建设阶段，建设单位应同步开展14号泊位（陆域部分）生态补偿方案编制、上报工作，并在获得主管部门批复后按要求组织实施。</w:t>
      </w:r>
    </w:p>
    <w:p w14:paraId="3BA12804">
      <w:pPr>
        <w:bidi w:val="0"/>
        <w:rPr>
          <w:rFonts w:hint="default" w:ascii="Times New Roman" w:hAnsi="Times New Roman"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本次环评不涉及生态补偿，要求严格按照</w:t>
      </w:r>
      <w:r>
        <w:rPr>
          <w:rFonts w:hint="eastAsia" w:ascii="Times New Roman" w:hAnsi="Times New Roman" w:eastAsia="宋体"/>
          <w:color w:val="000000" w:themeColor="text1"/>
          <w:lang w:val="en-US" w:eastAsia="zh-CN"/>
          <w14:textFill>
            <w14:solidFill>
              <w14:schemeClr w14:val="tx1"/>
            </w14:solidFill>
          </w14:textFill>
        </w:rPr>
        <w:t>《钦州港金谷港区金鼓江作业区14号泊位码头（一期工程）竣工环境保护验收调查报告》（2025.11）意见整改。</w:t>
      </w:r>
    </w:p>
    <w:p w14:paraId="7AA158C2">
      <w:pPr>
        <w:numPr>
          <w:ilvl w:val="0"/>
          <w:numId w:val="15"/>
        </w:numP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环境风险</w:t>
      </w:r>
    </w:p>
    <w:p w14:paraId="774FAC13">
      <w:pPr>
        <w:rPr>
          <w:rFonts w:hint="eastAsia" w:ascii="Times New Roman" w:hAnsi="Times New Roman" w:eastAsia="宋体" w:cs="Times New Roman"/>
          <w:color w:val="000000" w:themeColor="text1"/>
          <w:highlight w:val="none"/>
          <w:u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u w:val="none"/>
          <w:lang w:val="en-US" w:eastAsia="zh-CN"/>
          <w14:textFill>
            <w14:solidFill>
              <w14:schemeClr w14:val="tx1"/>
            </w14:solidFill>
          </w14:textFill>
        </w:rPr>
        <w:t>目前项目尚未按照应急预案要求开展过应急演练</w:t>
      </w:r>
      <w:r>
        <w:rPr>
          <w:rFonts w:hint="eastAsia" w:cs="Times New Roman"/>
          <w:color w:val="000000" w:themeColor="text1"/>
          <w:highlight w:val="none"/>
          <w:u w:val="none"/>
          <w:lang w:val="en-US" w:eastAsia="zh-CN"/>
          <w14:textFill>
            <w14:solidFill>
              <w14:schemeClr w14:val="tx1"/>
            </w14:solidFill>
          </w14:textFill>
        </w:rPr>
        <w:t>。</w:t>
      </w:r>
      <w:r>
        <w:rPr>
          <w:rFonts w:hint="eastAsia" w:ascii="Times New Roman" w:hAnsi="Times New Roman" w:eastAsia="宋体" w:cs="Times New Roman"/>
          <w:color w:val="000000" w:themeColor="text1"/>
          <w:highlight w:val="none"/>
          <w:u w:val="none"/>
          <w:lang w:val="en-US" w:eastAsia="zh-CN"/>
          <w14:textFill>
            <w14:solidFill>
              <w14:schemeClr w14:val="tx1"/>
            </w14:solidFill>
          </w14:textFill>
        </w:rPr>
        <w:t>项目在运营期应按照应急预案要求定期开展应急演练，一旦发生环境事故，可及时启动应急预案、采取相应措施。</w:t>
      </w:r>
    </w:p>
    <w:p w14:paraId="72C68A83">
      <w:pPr>
        <w:rPr>
          <w:rFonts w:hint="default" w:ascii="Times New Roman" w:hAnsi="Times New Roman" w:eastAsia="宋体" w:cs="Times New Roman"/>
          <w:color w:val="000000" w:themeColor="text1"/>
          <w:highlight w:val="none"/>
          <w:u w:val="none"/>
          <w:lang w:val="en-US" w:eastAsia="zh-CN"/>
          <w14:textFill>
            <w14:solidFill>
              <w14:schemeClr w14:val="tx1"/>
            </w14:solidFill>
          </w14:textFill>
        </w:rPr>
      </w:pPr>
      <w:r>
        <w:rPr>
          <w:rFonts w:hint="eastAsia" w:cs="Times New Roman"/>
          <w:color w:val="000000" w:themeColor="text1"/>
          <w:highlight w:val="none"/>
          <w:u w:val="none"/>
          <w:lang w:val="en-US" w:eastAsia="zh-CN"/>
          <w14:textFill>
            <w14:solidFill>
              <w14:schemeClr w14:val="tx1"/>
            </w14:solidFill>
          </w14:textFill>
        </w:rPr>
        <w:t>本次环评要求严格按照</w:t>
      </w:r>
      <w:r>
        <w:rPr>
          <w:rFonts w:hint="eastAsia" w:ascii="Times New Roman" w:hAnsi="Times New Roman" w:eastAsia="宋体"/>
          <w:color w:val="000000" w:themeColor="text1"/>
          <w:lang w:val="en-US" w:eastAsia="zh-CN"/>
          <w14:textFill>
            <w14:solidFill>
              <w14:schemeClr w14:val="tx1"/>
            </w14:solidFill>
          </w14:textFill>
        </w:rPr>
        <w:t>《钦州港金谷港区金鼓江作业区14号泊位码头（一期工程）竣工环境保护验收调查报告》（2025.11）意见整改。</w:t>
      </w:r>
    </w:p>
    <w:p w14:paraId="2A7729EC">
      <w:pPr>
        <w:pStyle w:val="6"/>
        <w:rPr>
          <w:color w:val="000000" w:themeColor="text1"/>
          <w14:textFill>
            <w14:solidFill>
              <w14:schemeClr w14:val="tx1"/>
            </w14:solidFill>
          </w14:textFill>
        </w:rPr>
      </w:pPr>
      <w:r>
        <w:rPr>
          <w:color w:val="000000" w:themeColor="text1"/>
          <w14:textFill>
            <w14:solidFill>
              <w14:schemeClr w14:val="tx1"/>
            </w14:solidFill>
          </w14:textFill>
        </w:rPr>
        <w:t>环境影响回顾分析及环保措施落实情况</w:t>
      </w:r>
    </w:p>
    <w:p w14:paraId="66B05C8E">
      <w:pPr>
        <w:autoSpaceDE w:val="0"/>
        <w:autoSpaceDN w:val="0"/>
        <w:ind w:firstLine="480"/>
        <w:jc w:val="left"/>
        <w:rPr>
          <w:color w:val="000000" w:themeColor="text1"/>
          <w14:textFill>
            <w14:solidFill>
              <w14:schemeClr w14:val="tx1"/>
            </w14:solidFill>
          </w14:textFill>
        </w:rPr>
      </w:pPr>
      <w:r>
        <w:rPr>
          <w:color w:val="000000" w:themeColor="text1"/>
          <w:kern w:val="0"/>
          <w14:textFill>
            <w14:solidFill>
              <w14:schemeClr w14:val="tx1"/>
            </w14:solidFill>
          </w14:textFill>
        </w:rPr>
        <w:t>根据《</w:t>
      </w:r>
      <w:r>
        <w:rPr>
          <w:color w:val="000000" w:themeColor="text1"/>
          <w14:textFill>
            <w14:solidFill>
              <w14:schemeClr w14:val="tx1"/>
            </w14:solidFill>
          </w14:textFill>
        </w:rPr>
        <w:t>钦州港金谷港区金鼓江作业区14</w:t>
      </w:r>
      <w:r>
        <w:rPr>
          <w:rFonts w:hint="eastAsia"/>
          <w:color w:val="000000" w:themeColor="text1"/>
          <w14:textFill>
            <w14:solidFill>
              <w14:schemeClr w14:val="tx1"/>
            </w14:solidFill>
          </w14:textFill>
        </w:rPr>
        <w:t>号、15号</w:t>
      </w:r>
      <w:r>
        <w:rPr>
          <w:color w:val="000000" w:themeColor="text1"/>
          <w14:textFill>
            <w14:solidFill>
              <w14:schemeClr w14:val="tx1"/>
            </w14:solidFill>
          </w14:textFill>
        </w:rPr>
        <w:t>泊位</w:t>
      </w:r>
      <w:r>
        <w:rPr>
          <w:rFonts w:hint="eastAsia"/>
          <w:color w:val="000000" w:themeColor="text1"/>
          <w14:textFill>
            <w14:solidFill>
              <w14:schemeClr w14:val="tx1"/>
            </w14:solidFill>
          </w14:textFill>
        </w:rPr>
        <w:t>（重大变动）</w:t>
      </w:r>
      <w:r>
        <w:rPr>
          <w:color w:val="000000" w:themeColor="text1"/>
          <w14:textFill>
            <w14:solidFill>
              <w14:schemeClr w14:val="tx1"/>
            </w14:solidFill>
          </w14:textFill>
        </w:rPr>
        <w:t>工程环境影响报告书</w:t>
      </w:r>
      <w:r>
        <w:rPr>
          <w:color w:val="000000" w:themeColor="text1"/>
          <w:kern w:val="0"/>
          <w14:textFill>
            <w14:solidFill>
              <w14:schemeClr w14:val="tx1"/>
            </w14:solidFill>
          </w14:textFill>
        </w:rPr>
        <w:t>》可知，项目</w:t>
      </w:r>
      <w:r>
        <w:rPr>
          <w:rFonts w:hint="eastAsia"/>
          <w:color w:val="000000" w:themeColor="text1"/>
          <w:kern w:val="0"/>
          <w:lang w:eastAsia="zh-CN"/>
          <w14:textFill>
            <w14:solidFill>
              <w14:schemeClr w14:val="tx1"/>
            </w14:solidFill>
          </w14:textFill>
        </w:rPr>
        <w:t>由</w:t>
      </w:r>
      <w:r>
        <w:rPr>
          <w:rFonts w:hint="eastAsia"/>
          <w:color w:val="000000" w:themeColor="text1"/>
          <w14:textFill>
            <w14:solidFill>
              <w14:schemeClr w14:val="tx1"/>
            </w14:solidFill>
          </w14:textFill>
        </w:rPr>
        <w:t>码头及后方陆域组成。后期实行过程中，泊位、后方陆域均分开实施。</w:t>
      </w:r>
    </w:p>
    <w:p w14:paraId="1CC4F6A8">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现有建设内容：14号泊位码头工程及装卸苯、环己酮、粗苯、液氨设备。对应14号泊位后方的罐区，仅建设了1座20000m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低温液氨储罐，配套建设公用、环保设施（包括管廊工程、BOG压缩机组、高架火炬、消防水罐及泵站、行政办公楼及配电室、应急物资库、危废暂存间、初期雨水池、事故应急池等）。以上内容为钦州港金谷港区金鼓江作业区14号泊位码头（一期工程）。并于2025年12月完成竣工环保验收。</w:t>
      </w:r>
    </w:p>
    <w:p w14:paraId="1CDE4745">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根据《钦州港金谷港区金鼓江作业区14号、15号泊位（重大变动）工程环境影响报告书》，14#泊位废气处理设施为1套冷凝+催化燃烧油气回收装置，处理效率为95%。根据验收报告，项目产生的有组织废气经管道输送至接收单位广西恒逸新材料有限公司（广西恒逸新材料有限公司年产120万吨己内酰胺—聚酰胺产业一体化及配套工程项目）进行处理，工艺采用“RTO蓄热式焚烧炉”，排气筒高35m。</w:t>
      </w:r>
      <w:r>
        <w:rPr>
          <w:rFonts w:hint="eastAsia" w:ascii="宋体" w:hAnsi="宋体"/>
          <w:color w:val="000000" w:themeColor="text1"/>
          <w14:textFill>
            <w14:solidFill>
              <w14:schemeClr w14:val="tx1"/>
            </w14:solidFill>
          </w14:textFill>
        </w:rPr>
        <w:t>根据广西恒逸新材料有限公司委托中国检验认证集团广西有限公司于</w:t>
      </w:r>
      <w:r>
        <w:rPr>
          <w:rFonts w:hint="eastAsia"/>
          <w:color w:val="000000" w:themeColor="text1"/>
          <w14:textFill>
            <w14:solidFill>
              <w14:schemeClr w14:val="tx1"/>
            </w14:solidFill>
          </w14:textFill>
        </w:rPr>
        <w:t>2025</w:t>
      </w:r>
      <w:r>
        <w:rPr>
          <w:rFonts w:hint="eastAsia" w:ascii="宋体" w:hAnsi="宋体"/>
          <w:color w:val="000000" w:themeColor="text1"/>
          <w14:textFill>
            <w14:solidFill>
              <w14:schemeClr w14:val="tx1"/>
            </w14:solidFill>
          </w14:textFill>
        </w:rPr>
        <w:t>年</w:t>
      </w:r>
      <w:r>
        <w:rPr>
          <w:rFonts w:hint="eastAsia"/>
          <w:color w:val="000000" w:themeColor="text1"/>
          <w14:textFill>
            <w14:solidFill>
              <w14:schemeClr w14:val="tx1"/>
            </w14:solidFill>
          </w14:textFill>
        </w:rPr>
        <w:t>11</w:t>
      </w:r>
      <w:r>
        <w:rPr>
          <w:rFonts w:hint="eastAsia" w:ascii="宋体" w:hAnsi="宋体"/>
          <w:color w:val="000000" w:themeColor="text1"/>
          <w14:textFill>
            <w14:solidFill>
              <w14:schemeClr w14:val="tx1"/>
            </w14:solidFill>
          </w14:textFill>
        </w:rPr>
        <w:t>月28日开展采样的</w:t>
      </w:r>
      <w:r>
        <w:rPr>
          <w:rFonts w:hint="eastAsia"/>
          <w:color w:val="000000" w:themeColor="text1"/>
          <w14:textFill>
            <w14:solidFill>
              <w14:schemeClr w14:val="tx1"/>
            </w14:solidFill>
          </w14:textFill>
        </w:rPr>
        <w:t>RTO</w:t>
      </w:r>
      <w:r>
        <w:rPr>
          <w:rFonts w:hint="eastAsia" w:ascii="宋体" w:hAnsi="宋体"/>
          <w:color w:val="000000" w:themeColor="text1"/>
          <w14:textFill>
            <w14:solidFill>
              <w14:schemeClr w14:val="tx1"/>
            </w14:solidFill>
          </w14:textFill>
        </w:rPr>
        <w:t>炉进、排气口监测数据（见附件16、附件17），</w:t>
      </w:r>
      <w:r>
        <w:rPr>
          <w:rFonts w:hint="eastAsia"/>
          <w:color w:val="000000" w:themeColor="text1"/>
          <w14:textFill>
            <w14:solidFill>
              <w14:schemeClr w14:val="tx1"/>
            </w14:solidFill>
          </w14:textFill>
        </w:rPr>
        <w:t>RTO</w:t>
      </w:r>
      <w:r>
        <w:rPr>
          <w:rFonts w:hint="eastAsia" w:ascii="宋体" w:hAnsi="宋体"/>
          <w:color w:val="000000" w:themeColor="text1"/>
          <w14:textFill>
            <w14:solidFill>
              <w14:schemeClr w14:val="tx1"/>
            </w14:solidFill>
          </w14:textFill>
        </w:rPr>
        <w:t>炉进气口非甲烷总烃最大浓度为</w:t>
      </w:r>
      <w:r>
        <w:rPr>
          <w:rFonts w:hint="eastAsia"/>
          <w:color w:val="000000" w:themeColor="text1"/>
          <w14:textFill>
            <w14:solidFill>
              <w14:schemeClr w14:val="tx1"/>
            </w14:solidFill>
          </w14:textFill>
        </w:rPr>
        <w:t>2470mg/m</w:t>
      </w:r>
      <w:r>
        <w:rPr>
          <w:rFonts w:hint="eastAsia"/>
          <w:color w:val="000000" w:themeColor="text1"/>
          <w:vertAlign w:val="superscript"/>
          <w14:textFill>
            <w14:solidFill>
              <w14:schemeClr w14:val="tx1"/>
            </w14:solidFill>
          </w14:textFill>
        </w:rPr>
        <w:t>3</w:t>
      </w:r>
      <w:r>
        <w:rPr>
          <w:rFonts w:hint="eastAsia" w:ascii="宋体" w:hAnsi="宋体"/>
          <w:color w:val="000000" w:themeColor="text1"/>
          <w14:textFill>
            <w14:solidFill>
              <w14:schemeClr w14:val="tx1"/>
            </w14:solidFill>
          </w14:textFill>
        </w:rPr>
        <w:t>，对应时期排气口非甲烷总烃浓度为</w:t>
      </w:r>
      <w:r>
        <w:rPr>
          <w:rFonts w:hint="eastAsia"/>
          <w:color w:val="000000" w:themeColor="text1"/>
          <w14:textFill>
            <w14:solidFill>
              <w14:schemeClr w14:val="tx1"/>
            </w14:solidFill>
          </w14:textFill>
        </w:rPr>
        <w:t>86.4mg/m</w:t>
      </w:r>
      <w:r>
        <w:rPr>
          <w:rFonts w:hint="eastAsia"/>
          <w:color w:val="000000" w:themeColor="text1"/>
          <w:vertAlign w:val="superscript"/>
          <w14:textFill>
            <w14:solidFill>
              <w14:schemeClr w14:val="tx1"/>
            </w14:solidFill>
          </w14:textFill>
        </w:rPr>
        <w:t>3</w:t>
      </w:r>
      <w:r>
        <w:rPr>
          <w:rFonts w:hint="eastAsia" w:ascii="宋体" w:hAnsi="宋体"/>
          <w:color w:val="000000" w:themeColor="text1"/>
          <w14:textFill>
            <w14:solidFill>
              <w14:schemeClr w14:val="tx1"/>
            </w14:solidFill>
          </w14:textFill>
        </w:rPr>
        <w:t>，处理效率为</w:t>
      </w:r>
      <w:r>
        <w:rPr>
          <w:rFonts w:hint="eastAsia"/>
          <w:color w:val="000000" w:themeColor="text1"/>
          <w14:textFill>
            <w14:solidFill>
              <w14:schemeClr w14:val="tx1"/>
            </w14:solidFill>
          </w14:textFill>
        </w:rPr>
        <w:t>95.96%</w:t>
      </w:r>
      <w:r>
        <w:rPr>
          <w:rFonts w:hint="eastAsia" w:ascii="宋体" w:hAnsi="宋体"/>
          <w:color w:val="000000" w:themeColor="text1"/>
          <w14:textFill>
            <w14:solidFill>
              <w14:schemeClr w14:val="tx1"/>
            </w14:solidFill>
          </w14:textFill>
        </w:rPr>
        <w:t>。项目不属于液化码头油气回收等主要环境保护措施弱化或降低的重大变动情形。</w:t>
      </w:r>
    </w:p>
    <w:p w14:paraId="6F73DE84">
      <w:pPr>
        <w:autoSpaceDE w:val="0"/>
        <w:autoSpaceDN w:val="0"/>
        <w:ind w:firstLine="482"/>
        <w:jc w:val="left"/>
        <w:rPr>
          <w:b/>
          <w:color w:val="000000" w:themeColor="text1"/>
          <w:kern w:val="0"/>
          <w14:textFill>
            <w14:solidFill>
              <w14:schemeClr w14:val="tx1"/>
            </w14:solidFill>
          </w14:textFill>
        </w:rPr>
      </w:pPr>
      <w:r>
        <w:rPr>
          <w:rFonts w:hint="eastAsia"/>
          <w:b/>
          <w:color w:val="000000" w:themeColor="text1"/>
          <w:kern w:val="0"/>
          <w14:textFill>
            <w14:solidFill>
              <w14:schemeClr w14:val="tx1"/>
            </w14:solidFill>
          </w14:textFill>
        </w:rPr>
        <w:t>1、现有水环境保护措施</w:t>
      </w:r>
    </w:p>
    <w:p w14:paraId="24E6B88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建设有雨、污分流制排水系统。</w:t>
      </w:r>
      <w:r>
        <w:rPr>
          <w:color w:val="000000" w:themeColor="text1"/>
          <w14:textFill>
            <w14:solidFill>
              <w14:schemeClr w14:val="tx1"/>
            </w14:solidFill>
          </w14:textFill>
        </w:rPr>
        <w:t>生产期产生的废水主要为船舶生活污水及含油污水、生活污水、冲洗废水、初期雨水。</w:t>
      </w:r>
    </w:p>
    <w:p w14:paraId="21F1372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到港</w:t>
      </w:r>
      <w:r>
        <w:rPr>
          <w:color w:val="000000" w:themeColor="text1"/>
          <w14:textFill>
            <w14:solidFill>
              <w14:schemeClr w14:val="tx1"/>
            </w14:solidFill>
          </w14:textFill>
        </w:rPr>
        <w:t>船舶污水由资质单位接收处置；码头不设置污水处理设施，采取分区收集初期雨水方式，在码头泊位装卸区四周设置</w:t>
      </w:r>
      <w:r>
        <w:rPr>
          <w:rFonts w:hint="eastAsia"/>
          <w:color w:val="000000" w:themeColor="text1"/>
          <w14:textFill>
            <w14:solidFill>
              <w14:schemeClr w14:val="tx1"/>
            </w14:solidFill>
          </w14:textFill>
        </w:rPr>
        <w:t>围堰（长宽高：29.5m×13.3m×0.2m，有效容积78m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围堰</w:t>
      </w:r>
      <w:r>
        <w:rPr>
          <w:color w:val="000000" w:themeColor="text1"/>
          <w14:textFill>
            <w14:solidFill>
              <w14:schemeClr w14:val="tx1"/>
            </w14:solidFill>
          </w14:textFill>
        </w:rPr>
        <w:t>内设置集污池</w:t>
      </w:r>
      <w:r>
        <w:rPr>
          <w:rFonts w:hint="eastAsia"/>
          <w:color w:val="000000" w:themeColor="text1"/>
          <w14:textFill>
            <w14:solidFill>
              <w14:schemeClr w14:val="tx1"/>
            </w14:solidFill>
          </w14:textFill>
        </w:rPr>
        <w:t>（有效容积2m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，收集初期雨水和地面冲洗废水后进入初期雨水池；</w:t>
      </w:r>
      <w:r>
        <w:rPr>
          <w:rFonts w:hint="eastAsia"/>
          <w:color w:val="000000" w:themeColor="text1"/>
          <w14:textFill>
            <w14:solidFill>
              <w14:schemeClr w14:val="tx1"/>
            </w14:solidFill>
          </w14:textFill>
        </w:rPr>
        <w:t>码头区域</w:t>
      </w:r>
      <w:r>
        <w:rPr>
          <w:color w:val="000000" w:themeColor="text1"/>
          <w14:textFill>
            <w14:solidFill>
              <w14:schemeClr w14:val="tx1"/>
            </w14:solidFill>
          </w14:textFill>
        </w:rPr>
        <w:t>废水通过污水泵与经化粪池处理后的</w:t>
      </w:r>
      <w:r>
        <w:rPr>
          <w:rFonts w:hint="eastAsia"/>
          <w:color w:val="000000" w:themeColor="text1"/>
          <w14:textFill>
            <w14:solidFill>
              <w14:schemeClr w14:val="tx1"/>
            </w14:solidFill>
          </w14:textFill>
        </w:rPr>
        <w:t>陆域区</w:t>
      </w:r>
      <w:r>
        <w:rPr>
          <w:color w:val="000000" w:themeColor="text1"/>
          <w14:textFill>
            <w14:solidFill>
              <w14:schemeClr w14:val="tx1"/>
            </w14:solidFill>
          </w14:textFill>
        </w:rPr>
        <w:t>生活污水，一起排入污水管后进入恒逸污水处理厂处理。降雨后期地面洁净雨水经阀门切换至雨水排水管网，排至海域。</w:t>
      </w:r>
    </w:p>
    <w:p w14:paraId="541A6D7F">
      <w:pPr>
        <w:autoSpaceDE w:val="0"/>
        <w:autoSpaceDN w:val="0"/>
        <w:ind w:firstLine="480"/>
        <w:jc w:val="left"/>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广西恒逸污水处理厂采用“分质预处理+生化处理+深度处理+中水回用”的污水处理工艺，部分出水回用至生产工艺，部分出水进行深海排放。</w:t>
      </w:r>
    </w:p>
    <w:tbl>
      <w:tblPr>
        <w:tblStyle w:val="44"/>
        <w:tblW w:w="955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76"/>
        <w:gridCol w:w="4776"/>
      </w:tblGrid>
      <w:tr w14:paraId="52D33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56" w:hRule="atLeast"/>
          <w:jc w:val="center"/>
        </w:trPr>
        <w:tc>
          <w:tcPr>
            <w:tcW w:w="4776" w:type="dxa"/>
          </w:tcPr>
          <w:p w14:paraId="67FF86CC">
            <w:pPr>
              <w:spacing w:line="240" w:lineRule="auto"/>
              <w:ind w:firstLine="0" w:firstLineChars="0"/>
              <w:jc w:val="center"/>
              <w:rPr>
                <w:color w:val="000000" w:themeColor="text1"/>
                <w:sz w:val="21"/>
                <w14:textFill>
                  <w14:solidFill>
                    <w14:schemeClr w14:val="tx1"/>
                  </w14:solidFill>
                </w14:textFill>
              </w:rPr>
            </w:pPr>
            <w:r>
              <w:rPr>
                <w:color w:val="000000" w:themeColor="text1"/>
                <w14:textFill>
                  <w14:solidFill>
                    <w14:schemeClr w14:val="tx1"/>
                  </w14:solidFill>
                </w14:textFill>
              </w:rPr>
              <w:drawing>
                <wp:inline distT="0" distB="0" distL="114300" distR="114300">
                  <wp:extent cx="2879725" cy="2159635"/>
                  <wp:effectExtent l="0" t="0" r="15875" b="1206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50"/>
                          <a:stretch>
                            <a:fillRect/>
                          </a:stretch>
                        </pic:blipFill>
                        <pic:spPr>
                          <a:xfrm>
                            <a:off x="0" y="0"/>
                            <a:ext cx="2879725" cy="2159635"/>
                          </a:xfrm>
                          <a:prstGeom prst="rect">
                            <a:avLst/>
                          </a:prstGeom>
                          <a:noFill/>
                          <a:ln>
                            <a:noFill/>
                          </a:ln>
                        </pic:spPr>
                      </pic:pic>
                    </a:graphicData>
                  </a:graphic>
                </wp:inline>
              </w:drawing>
            </w:r>
          </w:p>
        </w:tc>
        <w:tc>
          <w:tcPr>
            <w:tcW w:w="4776" w:type="dxa"/>
          </w:tcPr>
          <w:p w14:paraId="66B98F41">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drawing>
                <wp:inline distT="0" distB="0" distL="114300" distR="114300">
                  <wp:extent cx="2879725" cy="2159635"/>
                  <wp:effectExtent l="0" t="0" r="15875" b="12065"/>
                  <wp:docPr id="19" name="图片 19" descr="e43f1d0f78b354c14859f1d37da5cf27-550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e43f1d0f78b354c14859f1d37da5cf27-5504375"/>
                          <pic:cNvPicPr>
                            <a:picLocks noChangeAspect="1"/>
                          </pic:cNvPicPr>
                        </pic:nvPicPr>
                        <pic:blipFill>
                          <a:blip r:embed="rId51"/>
                          <a:stretch>
                            <a:fillRect/>
                          </a:stretch>
                        </pic:blipFill>
                        <pic:spPr>
                          <a:xfrm>
                            <a:off x="0" y="0"/>
                            <a:ext cx="2879725" cy="2159635"/>
                          </a:xfrm>
                          <a:prstGeom prst="rect">
                            <a:avLst/>
                          </a:prstGeom>
                        </pic:spPr>
                      </pic:pic>
                    </a:graphicData>
                  </a:graphic>
                </wp:inline>
              </w:drawing>
            </w:r>
          </w:p>
          <w:p w14:paraId="1926CBE9">
            <w:pPr>
              <w:pStyle w:val="14"/>
              <w:rPr>
                <w:color w:val="000000" w:themeColor="text1"/>
                <w14:textFill>
                  <w14:solidFill>
                    <w14:schemeClr w14:val="tx1"/>
                  </w14:solidFill>
                </w14:textFill>
              </w:rPr>
            </w:pPr>
          </w:p>
        </w:tc>
      </w:tr>
      <w:tr w14:paraId="431AC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6" w:type="dxa"/>
          </w:tcPr>
          <w:p w14:paraId="3E362FCA">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广西恒逸污水处理厂设备操作系统</w:t>
            </w:r>
          </w:p>
        </w:tc>
        <w:tc>
          <w:tcPr>
            <w:tcW w:w="4776" w:type="dxa"/>
          </w:tcPr>
          <w:p w14:paraId="58AF4026">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污水输送管道系统</w:t>
            </w:r>
          </w:p>
        </w:tc>
      </w:tr>
    </w:tbl>
    <w:p w14:paraId="4F301754">
      <w:pPr>
        <w:pStyle w:val="3"/>
        <w:numPr>
          <w:ilvl w:val="0"/>
          <w:numId w:val="0"/>
        </w:numPr>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图</w:t>
      </w:r>
      <w:r>
        <w:rPr>
          <w:rFonts w:hint="eastAsia"/>
          <w:color w:val="000000" w:themeColor="text1"/>
          <w:sz w:val="24"/>
          <w:szCs w:val="24"/>
          <w14:textFill>
            <w14:solidFill>
              <w14:schemeClr w14:val="tx1"/>
            </w14:solidFill>
          </w14:textFill>
        </w:rPr>
        <w:t>2.1-1项目依托工程</w:t>
      </w:r>
      <w:r>
        <w:rPr>
          <w:color w:val="000000" w:themeColor="text1"/>
          <w:sz w:val="24"/>
          <w:szCs w:val="24"/>
          <w14:textFill>
            <w14:solidFill>
              <w14:schemeClr w14:val="tx1"/>
            </w14:solidFill>
          </w14:textFill>
        </w:rPr>
        <w:t>污水</w:t>
      </w:r>
      <w:r>
        <w:rPr>
          <w:rFonts w:hint="eastAsia"/>
          <w:color w:val="000000" w:themeColor="text1"/>
          <w:sz w:val="24"/>
          <w:szCs w:val="24"/>
          <w14:textFill>
            <w14:solidFill>
              <w14:schemeClr w14:val="tx1"/>
            </w14:solidFill>
          </w14:textFill>
        </w:rPr>
        <w:t>处理措施现场情况</w:t>
      </w:r>
      <w:r>
        <w:rPr>
          <w:color w:val="000000" w:themeColor="text1"/>
          <w:sz w:val="24"/>
          <w:szCs w:val="24"/>
          <w14:textFill>
            <w14:solidFill>
              <w14:schemeClr w14:val="tx1"/>
            </w14:solidFill>
          </w14:textFill>
        </w:rPr>
        <w:t>图</w:t>
      </w:r>
    </w:p>
    <w:p w14:paraId="580F4B51">
      <w:pPr>
        <w:autoSpaceDE w:val="0"/>
        <w:autoSpaceDN w:val="0"/>
        <w:ind w:firstLine="482"/>
        <w:jc w:val="left"/>
        <w:rPr>
          <w:b/>
          <w:color w:val="000000" w:themeColor="text1"/>
          <w:kern w:val="0"/>
          <w14:textFill>
            <w14:solidFill>
              <w14:schemeClr w14:val="tx1"/>
            </w14:solidFill>
          </w14:textFill>
        </w:rPr>
      </w:pPr>
      <w:r>
        <w:rPr>
          <w:rFonts w:hint="eastAsia"/>
          <w:b/>
          <w:color w:val="000000" w:themeColor="text1"/>
          <w:kern w:val="0"/>
          <w14:textFill>
            <w14:solidFill>
              <w14:schemeClr w14:val="tx1"/>
            </w14:solidFill>
          </w14:textFill>
        </w:rPr>
        <w:t>2、现有大气环境保护措施</w:t>
      </w:r>
    </w:p>
    <w:p w14:paraId="399EF6D9">
      <w:pPr>
        <w:autoSpaceDE w:val="0"/>
        <w:autoSpaceDN w:val="0"/>
        <w:ind w:firstLine="480"/>
        <w:jc w:val="left"/>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项目产生的有组织废气经管道输送至接收单位广西恒逸新材料有限公司（广西恒逸新材料有限公司年产120万吨己内酰胺—聚酰胺产业一体化及配套工程项目）进行处理，工艺采用“RTO蓄热式焚烧炉”，排气筒高35m。</w:t>
      </w:r>
    </w:p>
    <w:p w14:paraId="31316BB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验收调查报告》：</w:t>
      </w:r>
    </w:p>
    <w:p w14:paraId="0F2F7B12">
      <w:pPr>
        <w:autoSpaceDE w:val="0"/>
        <w:autoSpaceDN w:val="0"/>
        <w:ind w:firstLine="480"/>
        <w:jc w:val="left"/>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广西恒逸新材料有限公司年产120万吨己内酰胺—聚酰胺产业一体化及配套工程项目（重大变动）环境影响报告书》及其于2025年6月12日获得钦州市生态环境局批复（中马园审批环〔2025〕9号），该项目对有机废气采用“RTO蓄热式焚烧炉”工艺进行处理，单台RTO炉废气处理能力增加至100000Nm</w:t>
      </w:r>
      <w:r>
        <w:rPr>
          <w:rFonts w:hint="eastAsia"/>
          <w:color w:val="000000" w:themeColor="text1"/>
          <w:kern w:val="0"/>
          <w:vertAlign w:val="superscript"/>
          <w14:textFill>
            <w14:solidFill>
              <w14:schemeClr w14:val="tx1"/>
            </w14:solidFill>
          </w14:textFill>
        </w:rPr>
        <w:t>3</w:t>
      </w:r>
      <w:r>
        <w:rPr>
          <w:rFonts w:hint="eastAsia"/>
          <w:color w:val="000000" w:themeColor="text1"/>
          <w:kern w:val="0"/>
          <w14:textFill>
            <w14:solidFill>
              <w14:schemeClr w14:val="tx1"/>
            </w14:solidFill>
          </w14:textFill>
        </w:rPr>
        <w:t>/h。经了解，该项目一期工程已开始运营，广西恒逸新材料有限公司已同意将本项目废气收集处理，本项目实际设置3台尾气输送风机、总风量2500Nm</w:t>
      </w:r>
      <w:r>
        <w:rPr>
          <w:rFonts w:hint="eastAsia"/>
          <w:color w:val="000000" w:themeColor="text1"/>
          <w:kern w:val="0"/>
          <w:vertAlign w:val="superscript"/>
          <w14:textFill>
            <w14:solidFill>
              <w14:schemeClr w14:val="tx1"/>
            </w14:solidFill>
          </w14:textFill>
        </w:rPr>
        <w:t>3</w:t>
      </w:r>
      <w:r>
        <w:rPr>
          <w:rFonts w:hint="eastAsia"/>
          <w:color w:val="000000" w:themeColor="text1"/>
          <w:kern w:val="0"/>
          <w14:textFill>
            <w14:solidFill>
              <w14:schemeClr w14:val="tx1"/>
            </w14:solidFill>
          </w14:textFill>
        </w:rPr>
        <w:t>/h。根据中国检验认证集团广西有限公司的《广西恒逸新材料有限公司2025年环境委托监测项目（RTO炉排气口DA016）》，RTO炉平均烟气流量为47821m³/h，剩余进风量52179m³/h，本项目仅占一期RTO蓄热式焚烧炉剩余风量的4.79%，不会对其处理工艺造成波动影响。</w:t>
      </w:r>
    </w:p>
    <w:p w14:paraId="7C5D19A1">
      <w:pPr>
        <w:overflowPunct w:val="0"/>
        <w:spacing w:after="160"/>
        <w:ind w:firstLine="480"/>
        <w:rPr>
          <w:color w:val="000000" w:themeColor="text1"/>
          <w:szCs w:val="21"/>
          <w14:textFill>
            <w14:solidFill>
              <w14:schemeClr w14:val="tx1"/>
            </w14:solidFill>
          </w14:textFill>
        </w:rPr>
      </w:pPr>
      <w:r>
        <w:rPr>
          <w:color w:val="000000" w:themeColor="text1"/>
          <w:szCs w:val="21"/>
          <w14:textFill>
            <w14:solidFill>
              <w14:schemeClr w14:val="tx1"/>
            </w14:solidFill>
          </w14:textFill>
        </w:rPr>
        <w:t>依托工程废气采用</w:t>
      </w:r>
      <w:r>
        <w:rPr>
          <w:rFonts w:hint="eastAsia"/>
          <w:color w:val="000000" w:themeColor="text1"/>
          <w:szCs w:val="21"/>
          <w14:textFill>
            <w14:solidFill>
              <w14:schemeClr w14:val="tx1"/>
            </w14:solidFill>
          </w14:textFill>
        </w:rPr>
        <w:t>“RTO蓄热式焚烧炉”</w:t>
      </w:r>
      <w:r>
        <w:rPr>
          <w:color w:val="000000" w:themeColor="text1"/>
          <w:szCs w:val="21"/>
          <w14:textFill>
            <w14:solidFill>
              <w14:schemeClr w14:val="tx1"/>
            </w14:solidFill>
          </w14:textFill>
        </w:rPr>
        <w:t>工艺进行处</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理，</w:t>
      </w:r>
      <w:r>
        <w:rPr>
          <w:rFonts w:hint="eastAsia"/>
          <w:color w:val="000000" w:themeColor="text1"/>
          <w:szCs w:val="21"/>
          <w14:textFill>
            <w14:solidFill>
              <w14:schemeClr w14:val="tx1"/>
            </w14:solidFill>
          </w14:textFill>
        </w:rPr>
        <w:t>该</w:t>
      </w:r>
      <w:r>
        <w:rPr>
          <w:color w:val="000000" w:themeColor="text1"/>
          <w:szCs w:val="21"/>
          <w14:textFill>
            <w14:solidFill>
              <w14:schemeClr w14:val="tx1"/>
            </w14:solidFill>
          </w14:textFill>
        </w:rPr>
        <w:t>为热力焚烧工艺，属于《排污许可证申请与核发技术规范储油库、加油站》（HJ 1118-2020</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、《排污许可证申请与核发技术规范石化工业》（HJ853-2017</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中规定的处理挥发性有机物的可行技术。</w:t>
      </w:r>
    </w:p>
    <w:p w14:paraId="06EC0328">
      <w:pPr>
        <w:overflowPunct w:val="0"/>
        <w:spacing w:after="160"/>
        <w:ind w:firstLine="0" w:firstLineChars="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drawing>
          <wp:inline distT="0" distB="0" distL="114300" distR="114300">
            <wp:extent cx="5400040" cy="1245870"/>
            <wp:effectExtent l="0" t="0" r="10160" b="3810"/>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52"/>
                    <a:stretch>
                      <a:fillRect/>
                    </a:stretch>
                  </pic:blipFill>
                  <pic:spPr>
                    <a:xfrm>
                      <a:off x="0" y="0"/>
                      <a:ext cx="5400040" cy="1245870"/>
                    </a:xfrm>
                    <a:prstGeom prst="rect">
                      <a:avLst/>
                    </a:prstGeom>
                    <a:noFill/>
                    <a:ln>
                      <a:noFill/>
                    </a:ln>
                  </pic:spPr>
                </pic:pic>
              </a:graphicData>
            </a:graphic>
          </wp:inline>
        </w:drawing>
      </w:r>
    </w:p>
    <w:p w14:paraId="420DB86C">
      <w:pPr>
        <w:pStyle w:val="14"/>
        <w:rPr>
          <w:color w:val="000000" w:themeColor="text1"/>
          <w14:textFill>
            <w14:solidFill>
              <w14:schemeClr w14:val="tx1"/>
            </w14:solidFill>
          </w14:textFill>
        </w:rPr>
      </w:pPr>
      <w:r>
        <w:rPr>
          <w:color w:val="000000" w:themeColor="text1"/>
          <w14:textFill>
            <w14:solidFill>
              <w14:schemeClr w14:val="tx1"/>
            </w14:solidFill>
          </w14:textFill>
        </w:rPr>
        <w:t xml:space="preserve">图 </w:t>
      </w:r>
      <w:r>
        <w:rPr>
          <w:rFonts w:hint="eastAsia"/>
          <w:color w:val="000000" w:themeColor="text1"/>
          <w14:textFill>
            <w14:solidFill>
              <w14:schemeClr w14:val="tx1"/>
            </w14:solidFill>
          </w14:textFill>
        </w:rPr>
        <w:t>2.1-2</w:t>
      </w:r>
      <w:r>
        <w:rPr>
          <w:rFonts w:hint="eastAsia"/>
          <w:bCs/>
          <w:color w:val="000000" w:themeColor="text1"/>
          <w:sz w:val="24"/>
          <w:szCs w:val="24"/>
          <w14:textFill>
            <w14:solidFill>
              <w14:schemeClr w14:val="tx1"/>
            </w14:solidFill>
          </w14:textFill>
        </w:rPr>
        <w:t>项目依托工程废气处理工艺流程示意图</w:t>
      </w:r>
    </w:p>
    <w:p w14:paraId="5735AAEE">
      <w:pPr>
        <w:overflowPunct w:val="0"/>
        <w:spacing w:after="160"/>
        <w:ind w:firstLine="0" w:firstLineChars="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drawing>
          <wp:inline distT="0" distB="0" distL="114300" distR="114300">
            <wp:extent cx="5400040" cy="2428875"/>
            <wp:effectExtent l="0" t="0" r="10160" b="9525"/>
            <wp:docPr id="21" name="图片 5" descr="cbb790dda49be904e6a6e8fb5788c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descr="cbb790dda49be904e6a6e8fb5788c92"/>
                    <pic:cNvPicPr>
                      <a:picLocks noChangeAspect="1"/>
                    </pic:cNvPicPr>
                  </pic:nvPicPr>
                  <pic:blipFill>
                    <a:blip r:embed="rId53"/>
                    <a:stretch>
                      <a:fillRect/>
                    </a:stretch>
                  </pic:blipFill>
                  <pic:spPr>
                    <a:xfrm>
                      <a:off x="0" y="0"/>
                      <a:ext cx="5400040" cy="2428875"/>
                    </a:xfrm>
                    <a:prstGeom prst="rect">
                      <a:avLst/>
                    </a:prstGeom>
                    <a:noFill/>
                    <a:ln>
                      <a:noFill/>
                    </a:ln>
                  </pic:spPr>
                </pic:pic>
              </a:graphicData>
            </a:graphic>
          </wp:inline>
        </w:drawing>
      </w:r>
    </w:p>
    <w:p w14:paraId="79901466">
      <w:pPr>
        <w:overflowPunct w:val="0"/>
        <w:spacing w:after="160"/>
        <w:ind w:left="200"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图2.1-3 项目依托工程废气</w:t>
      </w:r>
      <w:r>
        <w:rPr>
          <w:b/>
          <w:color w:val="000000" w:themeColor="text1"/>
          <w:sz w:val="21"/>
          <w:szCs w:val="21"/>
          <w14:textFill>
            <w14:solidFill>
              <w14:schemeClr w14:val="tx1"/>
            </w14:solidFill>
          </w14:textFill>
        </w:rPr>
        <w:t>处理</w:t>
      </w:r>
      <w:r>
        <w:rPr>
          <w:rFonts w:hint="eastAsia"/>
          <w:b/>
          <w:color w:val="000000" w:themeColor="text1"/>
          <w:sz w:val="21"/>
          <w:szCs w:val="21"/>
          <w14:textFill>
            <w14:solidFill>
              <w14:schemeClr w14:val="tx1"/>
            </w14:solidFill>
          </w14:textFill>
        </w:rPr>
        <w:t>装置构造</w:t>
      </w:r>
      <w:r>
        <w:rPr>
          <w:b/>
          <w:color w:val="000000" w:themeColor="text1"/>
          <w:sz w:val="21"/>
          <w:szCs w:val="21"/>
          <w14:textFill>
            <w14:solidFill>
              <w14:schemeClr w14:val="tx1"/>
            </w14:solidFill>
          </w14:textFill>
        </w:rPr>
        <w:t>示意图</w:t>
      </w:r>
    </w:p>
    <w:tbl>
      <w:tblPr>
        <w:tblStyle w:val="187"/>
        <w:tblW w:w="9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3"/>
        <w:gridCol w:w="4644"/>
      </w:tblGrid>
      <w:tr w14:paraId="64DDB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4643" w:type="dxa"/>
          </w:tcPr>
          <w:p w14:paraId="03010D36">
            <w:pPr>
              <w:overflowPunct w:val="0"/>
              <w:spacing w:after="160"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drawing>
                <wp:inline distT="0" distB="0" distL="114300" distR="114300">
                  <wp:extent cx="2783840" cy="2087880"/>
                  <wp:effectExtent l="0" t="0" r="16510" b="7620"/>
                  <wp:docPr id="25" name="图片 25" descr="5ab8e3c95b5ab5a06c8b5ec0d48f67fe-3795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5ab8e3c95b5ab5a06c8b5ec0d48f67fe-3795740"/>
                          <pic:cNvPicPr>
                            <a:picLocks noChangeAspect="1"/>
                          </pic:cNvPicPr>
                        </pic:nvPicPr>
                        <pic:blipFill>
                          <a:blip r:embed="rId54"/>
                          <a:stretch>
                            <a:fillRect/>
                          </a:stretch>
                        </pic:blipFill>
                        <pic:spPr>
                          <a:xfrm>
                            <a:off x="0" y="0"/>
                            <a:ext cx="2783840" cy="2087880"/>
                          </a:xfrm>
                          <a:prstGeom prst="rect">
                            <a:avLst/>
                          </a:prstGeom>
                        </pic:spPr>
                      </pic:pic>
                    </a:graphicData>
                  </a:graphic>
                </wp:inline>
              </w:drawing>
            </w:r>
          </w:p>
        </w:tc>
        <w:tc>
          <w:tcPr>
            <w:tcW w:w="4644" w:type="dxa"/>
          </w:tcPr>
          <w:p w14:paraId="04C84E8F">
            <w:pPr>
              <w:overflowPunct w:val="0"/>
              <w:spacing w:after="160"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drawing>
                <wp:inline distT="0" distB="0" distL="114300" distR="114300">
                  <wp:extent cx="2783840" cy="2087880"/>
                  <wp:effectExtent l="0" t="0" r="16510" b="7620"/>
                  <wp:docPr id="26" name="图片 26" descr="9e34384dead35c1ddaf9305ee29b13b3-381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9e34384dead35c1ddaf9305ee29b13b3-3812760"/>
                          <pic:cNvPicPr>
                            <a:picLocks noChangeAspect="1"/>
                          </pic:cNvPicPr>
                        </pic:nvPicPr>
                        <pic:blipFill>
                          <a:blip r:embed="rId55"/>
                          <a:stretch>
                            <a:fillRect/>
                          </a:stretch>
                        </pic:blipFill>
                        <pic:spPr>
                          <a:xfrm>
                            <a:off x="0" y="0"/>
                            <a:ext cx="2783840" cy="2087880"/>
                          </a:xfrm>
                          <a:prstGeom prst="rect">
                            <a:avLst/>
                          </a:prstGeom>
                        </pic:spPr>
                      </pic:pic>
                    </a:graphicData>
                  </a:graphic>
                </wp:inline>
              </w:drawing>
            </w:r>
          </w:p>
        </w:tc>
      </w:tr>
      <w:tr w14:paraId="2DA39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43" w:type="dxa"/>
          </w:tcPr>
          <w:p w14:paraId="35D691EB">
            <w:pPr>
              <w:overflowPunct w:val="0"/>
              <w:spacing w:after="160"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drawing>
                <wp:inline distT="0" distB="0" distL="114300" distR="114300">
                  <wp:extent cx="2784475" cy="2087880"/>
                  <wp:effectExtent l="0" t="0" r="15875" b="7620"/>
                  <wp:docPr id="35" name="图片 35" descr="508e7ce6347612eb425fac4ef7a45227-3772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508e7ce6347612eb425fac4ef7a45227-3772530"/>
                          <pic:cNvPicPr>
                            <a:picLocks noChangeAspect="1"/>
                          </pic:cNvPicPr>
                        </pic:nvPicPr>
                        <pic:blipFill>
                          <a:blip r:embed="rId56"/>
                          <a:stretch>
                            <a:fillRect/>
                          </a:stretch>
                        </pic:blipFill>
                        <pic:spPr>
                          <a:xfrm>
                            <a:off x="0" y="0"/>
                            <a:ext cx="2784475" cy="2087880"/>
                          </a:xfrm>
                          <a:prstGeom prst="rect">
                            <a:avLst/>
                          </a:prstGeom>
                        </pic:spPr>
                      </pic:pic>
                    </a:graphicData>
                  </a:graphic>
                </wp:inline>
              </w:drawing>
            </w:r>
          </w:p>
        </w:tc>
        <w:tc>
          <w:tcPr>
            <w:tcW w:w="4644" w:type="dxa"/>
          </w:tcPr>
          <w:p w14:paraId="2ABB87BE">
            <w:pPr>
              <w:overflowPunct w:val="0"/>
              <w:spacing w:after="160"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drawing>
                <wp:inline distT="0" distB="0" distL="114300" distR="114300">
                  <wp:extent cx="2784475" cy="2087880"/>
                  <wp:effectExtent l="0" t="0" r="15875" b="7620"/>
                  <wp:docPr id="36" name="图片 36" descr="ba811625f9a932864f9d0691732e8ecb-3334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ba811625f9a932864f9d0691732e8ecb-3334439"/>
                          <pic:cNvPicPr>
                            <a:picLocks noChangeAspect="1"/>
                          </pic:cNvPicPr>
                        </pic:nvPicPr>
                        <pic:blipFill>
                          <a:blip r:embed="rId57"/>
                          <a:stretch>
                            <a:fillRect/>
                          </a:stretch>
                        </pic:blipFill>
                        <pic:spPr>
                          <a:xfrm>
                            <a:off x="0" y="0"/>
                            <a:ext cx="2784475" cy="2087880"/>
                          </a:xfrm>
                          <a:prstGeom prst="rect">
                            <a:avLst/>
                          </a:prstGeom>
                        </pic:spPr>
                      </pic:pic>
                    </a:graphicData>
                  </a:graphic>
                </wp:inline>
              </w:drawing>
            </w:r>
          </w:p>
        </w:tc>
      </w:tr>
    </w:tbl>
    <w:p w14:paraId="1B7DE456">
      <w:pPr>
        <w:overflowPunct w:val="0"/>
        <w:spacing w:after="160"/>
        <w:ind w:left="200" w:firstLine="0" w:firstLineChars="0"/>
        <w:jc w:val="center"/>
        <w:rPr>
          <w:color w:val="000000" w:themeColor="text1"/>
          <w:szCs w:val="21"/>
          <w14:textFill>
            <w14:solidFill>
              <w14:schemeClr w14:val="tx1"/>
            </w14:solidFill>
          </w14:textFill>
        </w:rPr>
      </w:pPr>
      <w:r>
        <w:rPr>
          <w:rFonts w:hint="eastAsia"/>
          <w:b/>
          <w:color w:val="000000" w:themeColor="text1"/>
          <w:sz w:val="21"/>
          <w:szCs w:val="21"/>
          <w14:textFill>
            <w14:solidFill>
              <w14:schemeClr w14:val="tx1"/>
            </w14:solidFill>
          </w14:textFill>
        </w:rPr>
        <w:t>图2.1-4 项目依托工程废气处理措施现场情况</w:t>
      </w:r>
      <w:r>
        <w:rPr>
          <w:b/>
          <w:color w:val="000000" w:themeColor="text1"/>
          <w:sz w:val="21"/>
          <w:szCs w:val="21"/>
          <w14:textFill>
            <w14:solidFill>
              <w14:schemeClr w14:val="tx1"/>
            </w14:solidFill>
          </w14:textFill>
        </w:rPr>
        <w:t>图</w:t>
      </w:r>
    </w:p>
    <w:p w14:paraId="03955902">
      <w:pPr>
        <w:autoSpaceDE w:val="0"/>
        <w:autoSpaceDN w:val="0"/>
        <w:ind w:firstLine="482"/>
        <w:jc w:val="left"/>
        <w:rPr>
          <w:b/>
          <w:color w:val="000000" w:themeColor="text1"/>
          <w:kern w:val="0"/>
          <w14:textFill>
            <w14:solidFill>
              <w14:schemeClr w14:val="tx1"/>
            </w14:solidFill>
          </w14:textFill>
        </w:rPr>
      </w:pPr>
      <w:r>
        <w:rPr>
          <w:rFonts w:hint="eastAsia"/>
          <w:b/>
          <w:color w:val="000000" w:themeColor="text1"/>
          <w:kern w:val="0"/>
          <w14:textFill>
            <w14:solidFill>
              <w14:schemeClr w14:val="tx1"/>
            </w14:solidFill>
          </w14:textFill>
        </w:rPr>
        <w:t>3、现有固废环境保护措施</w:t>
      </w:r>
    </w:p>
    <w:p w14:paraId="488802D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项目单独设置危废暂存间，并配套活性炭吸附装置，废气以无组织形式排放。</w:t>
      </w:r>
    </w:p>
    <w:tbl>
      <w:tblPr>
        <w:tblStyle w:val="188"/>
        <w:tblW w:w="9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3"/>
        <w:gridCol w:w="4644"/>
      </w:tblGrid>
      <w:tr w14:paraId="41326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43" w:type="dxa"/>
          </w:tcPr>
          <w:p w14:paraId="466EEAC4">
            <w:pPr>
              <w:overflowPunct w:val="0"/>
              <w:spacing w:after="160"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drawing>
                <wp:inline distT="0" distB="0" distL="114300" distR="114300">
                  <wp:extent cx="2400300" cy="1800225"/>
                  <wp:effectExtent l="0" t="0" r="0" b="9525"/>
                  <wp:docPr id="37" name="图片 37" descr="IMG_20250915_10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20250915_105646"/>
                          <pic:cNvPicPr>
                            <a:picLocks noChangeAspect="1"/>
                          </pic:cNvPicPr>
                        </pic:nvPicPr>
                        <pic:blipFill>
                          <a:blip r:embed="rId58"/>
                          <a:stretch>
                            <a:fillRect/>
                          </a:stretch>
                        </pic:blipFill>
                        <pic:spPr>
                          <a:xfrm>
                            <a:off x="0" y="0"/>
                            <a:ext cx="2400300" cy="1800225"/>
                          </a:xfrm>
                          <a:prstGeom prst="rect">
                            <a:avLst/>
                          </a:prstGeom>
                        </pic:spPr>
                      </pic:pic>
                    </a:graphicData>
                  </a:graphic>
                </wp:inline>
              </w:drawing>
            </w:r>
          </w:p>
        </w:tc>
        <w:tc>
          <w:tcPr>
            <w:tcW w:w="4644" w:type="dxa"/>
          </w:tcPr>
          <w:p w14:paraId="3C38150C">
            <w:pPr>
              <w:overflowPunct w:val="0"/>
              <w:spacing w:after="160"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drawing>
                <wp:inline distT="0" distB="0" distL="114300" distR="114300">
                  <wp:extent cx="2400300" cy="1800225"/>
                  <wp:effectExtent l="0" t="0" r="0" b="9525"/>
                  <wp:docPr id="41" name="图片 41" descr="IMG_20250915_10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20250915_105600"/>
                          <pic:cNvPicPr>
                            <a:picLocks noChangeAspect="1"/>
                          </pic:cNvPicPr>
                        </pic:nvPicPr>
                        <pic:blipFill>
                          <a:blip r:embed="rId59"/>
                          <a:stretch>
                            <a:fillRect/>
                          </a:stretch>
                        </pic:blipFill>
                        <pic:spPr>
                          <a:xfrm>
                            <a:off x="0" y="0"/>
                            <a:ext cx="2400300" cy="1800225"/>
                          </a:xfrm>
                          <a:prstGeom prst="rect">
                            <a:avLst/>
                          </a:prstGeom>
                        </pic:spPr>
                      </pic:pic>
                    </a:graphicData>
                  </a:graphic>
                </wp:inline>
              </w:drawing>
            </w:r>
          </w:p>
        </w:tc>
      </w:tr>
    </w:tbl>
    <w:p w14:paraId="3B0C2ABF">
      <w:pPr>
        <w:overflowPunct w:val="0"/>
        <w:spacing w:after="160"/>
        <w:ind w:left="200" w:firstLine="0" w:firstLineChars="0"/>
        <w:jc w:val="center"/>
        <w:rPr>
          <w:color w:val="000000" w:themeColor="text1"/>
          <w:szCs w:val="21"/>
          <w14:textFill>
            <w14:solidFill>
              <w14:schemeClr w14:val="tx1"/>
            </w14:solidFill>
          </w14:textFill>
        </w:rPr>
      </w:pPr>
      <w:r>
        <w:rPr>
          <w:rFonts w:hint="eastAsia"/>
          <w:b/>
          <w:color w:val="000000" w:themeColor="text1"/>
          <w:sz w:val="21"/>
          <w:szCs w:val="21"/>
          <w14:textFill>
            <w14:solidFill>
              <w14:schemeClr w14:val="tx1"/>
            </w14:solidFill>
          </w14:textFill>
        </w:rPr>
        <w:t>图2.1-5项目危废暂存间及活性炭吸附装置情况</w:t>
      </w:r>
    </w:p>
    <w:p w14:paraId="5E629C73">
      <w:pPr>
        <w:autoSpaceDE w:val="0"/>
        <w:autoSpaceDN w:val="0"/>
        <w:ind w:firstLine="480"/>
        <w:jc w:val="lef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危废定期交由钦州时昌再生资源有限公司接收处置（危险废物经营许可证编号：GXQZ2024001）。钦州时昌再生资源有限公司经营资质包含HW08、HW49类危险废物，可妥善处理本项目产生的危险废物。</w:t>
      </w:r>
    </w:p>
    <w:p w14:paraId="7CFD8145">
      <w:pPr>
        <w:pStyle w:val="7"/>
        <w:rPr>
          <w:color w:val="000000" w:themeColor="text1"/>
          <w14:textFill>
            <w14:solidFill>
              <w14:schemeClr w14:val="tx1"/>
            </w14:solidFill>
          </w14:textFill>
        </w:rPr>
      </w:pPr>
      <w:r>
        <w:rPr>
          <w:color w:val="000000" w:themeColor="text1"/>
          <w14:textFill>
            <w14:solidFill>
              <w14:schemeClr w14:val="tx1"/>
            </w14:solidFill>
          </w14:textFill>
        </w:rPr>
        <w:t>危废暂存间基本情况</w:t>
      </w:r>
    </w:p>
    <w:p w14:paraId="3A8AA92E">
      <w:pPr>
        <w:spacing w:line="35" w:lineRule="exact"/>
        <w:ind w:firstLine="480"/>
        <w:rPr>
          <w:color w:val="000000" w:themeColor="text1"/>
          <w14:textFill>
            <w14:solidFill>
              <w14:schemeClr w14:val="tx1"/>
            </w14:solidFill>
          </w14:textFill>
        </w:rPr>
      </w:pPr>
    </w:p>
    <w:tbl>
      <w:tblPr>
        <w:tblStyle w:val="72"/>
        <w:tblW w:w="8366" w:type="dxa"/>
        <w:tblInd w:w="12"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957"/>
        <w:gridCol w:w="1242"/>
        <w:gridCol w:w="1022"/>
        <w:gridCol w:w="1361"/>
        <w:gridCol w:w="706"/>
        <w:gridCol w:w="1012"/>
        <w:gridCol w:w="1034"/>
        <w:gridCol w:w="1032"/>
      </w:tblGrid>
      <w:tr w14:paraId="6144E1F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13" w:hRule="atLeast"/>
        </w:trPr>
        <w:tc>
          <w:tcPr>
            <w:tcW w:w="957" w:type="dxa"/>
            <w:vAlign w:val="center"/>
          </w:tcPr>
          <w:p w14:paraId="7DEC542C">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贮存场所</w:t>
            </w:r>
          </w:p>
        </w:tc>
        <w:tc>
          <w:tcPr>
            <w:tcW w:w="1242" w:type="dxa"/>
            <w:vAlign w:val="center"/>
          </w:tcPr>
          <w:p w14:paraId="26B7B453">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危废名称</w:t>
            </w:r>
          </w:p>
        </w:tc>
        <w:tc>
          <w:tcPr>
            <w:tcW w:w="1022" w:type="dxa"/>
            <w:vAlign w:val="center"/>
          </w:tcPr>
          <w:p w14:paraId="38866137">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危险废物类别</w:t>
            </w:r>
          </w:p>
        </w:tc>
        <w:tc>
          <w:tcPr>
            <w:tcW w:w="1361" w:type="dxa"/>
            <w:vAlign w:val="center"/>
          </w:tcPr>
          <w:p w14:paraId="1A5BE270">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危险废物代码</w:t>
            </w:r>
          </w:p>
        </w:tc>
        <w:tc>
          <w:tcPr>
            <w:tcW w:w="706" w:type="dxa"/>
            <w:vAlign w:val="center"/>
          </w:tcPr>
          <w:p w14:paraId="518B04C5">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占地面积</w:t>
            </w:r>
          </w:p>
        </w:tc>
        <w:tc>
          <w:tcPr>
            <w:tcW w:w="1012" w:type="dxa"/>
            <w:vAlign w:val="center"/>
          </w:tcPr>
          <w:p w14:paraId="39131091">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贮存方式</w:t>
            </w:r>
          </w:p>
        </w:tc>
        <w:tc>
          <w:tcPr>
            <w:tcW w:w="1034" w:type="dxa"/>
            <w:vAlign w:val="center"/>
          </w:tcPr>
          <w:p w14:paraId="786105F3">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贮存</w:t>
            </w:r>
            <w:r>
              <w:rPr>
                <w:rFonts w:hint="eastAsia" w:asciiTheme="minorHAnsi" w:hAnsiTheme="minorHAnsi" w:eastAsiaTheme="minorEastAsia" w:cstheme="minorBidi"/>
                <w:b/>
                <w:bCs/>
                <w:color w:val="000000" w:themeColor="text1"/>
                <w:lang w:eastAsia="en-US"/>
                <w14:textFill>
                  <w14:solidFill>
                    <w14:schemeClr w14:val="tx1"/>
                  </w14:solidFill>
                </w14:textFill>
              </w:rPr>
              <w:t>量</w:t>
            </w:r>
          </w:p>
        </w:tc>
        <w:tc>
          <w:tcPr>
            <w:tcW w:w="1032" w:type="dxa"/>
            <w:vAlign w:val="center"/>
          </w:tcPr>
          <w:p w14:paraId="1C2948F9">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贮存周期</w:t>
            </w:r>
          </w:p>
        </w:tc>
      </w:tr>
      <w:tr w14:paraId="7BA4120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09" w:hRule="atLeast"/>
        </w:trPr>
        <w:tc>
          <w:tcPr>
            <w:tcW w:w="957" w:type="dxa"/>
            <w:vAlign w:val="center"/>
          </w:tcPr>
          <w:p w14:paraId="29CE3C33">
            <w:pPr>
              <w:pStyle w:val="70"/>
              <w:autoSpaceDE w:val="0"/>
              <w:autoSpaceDN w:val="0"/>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eastAsia="en-US"/>
                <w14:textFill>
                  <w14:solidFill>
                    <w14:schemeClr w14:val="tx1"/>
                  </w14:solidFill>
                </w14:textFill>
              </w:rPr>
              <w:t>一体化危废暂存间</w:t>
            </w:r>
          </w:p>
        </w:tc>
        <w:tc>
          <w:tcPr>
            <w:tcW w:w="1242" w:type="dxa"/>
            <w:vAlign w:val="center"/>
          </w:tcPr>
          <w:p w14:paraId="288E5E22">
            <w:pPr>
              <w:pStyle w:val="70"/>
              <w:autoSpaceDE w:val="0"/>
              <w:autoSpaceDN w:val="0"/>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eastAsia="en-US"/>
                <w14:textFill>
                  <w14:solidFill>
                    <w14:schemeClr w14:val="tx1"/>
                  </w14:solidFill>
                </w14:textFill>
              </w:rPr>
              <w:t>含油废布及棉纱</w:t>
            </w:r>
          </w:p>
        </w:tc>
        <w:tc>
          <w:tcPr>
            <w:tcW w:w="1022" w:type="dxa"/>
            <w:vAlign w:val="center"/>
          </w:tcPr>
          <w:p w14:paraId="738DEE77">
            <w:pPr>
              <w:pStyle w:val="70"/>
              <w:autoSpaceDE w:val="0"/>
              <w:autoSpaceDN w:val="0"/>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eastAsia="en-US"/>
                <w14:textFill>
                  <w14:solidFill>
                    <w14:schemeClr w14:val="tx1"/>
                  </w14:solidFill>
                </w14:textFill>
              </w:rPr>
              <w:t>HW08</w:t>
            </w:r>
          </w:p>
        </w:tc>
        <w:tc>
          <w:tcPr>
            <w:tcW w:w="1361" w:type="dxa"/>
            <w:vAlign w:val="center"/>
          </w:tcPr>
          <w:p w14:paraId="59816A36">
            <w:pPr>
              <w:pStyle w:val="70"/>
              <w:autoSpaceDE w:val="0"/>
              <w:autoSpaceDN w:val="0"/>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eastAsia="en-US"/>
                <w14:textFill>
                  <w14:solidFill>
                    <w14:schemeClr w14:val="tx1"/>
                  </w14:solidFill>
                </w14:textFill>
              </w:rPr>
              <w:t>900-249-08</w:t>
            </w:r>
          </w:p>
        </w:tc>
        <w:tc>
          <w:tcPr>
            <w:tcW w:w="706" w:type="dxa"/>
            <w:vAlign w:val="center"/>
          </w:tcPr>
          <w:p w14:paraId="675A280D">
            <w:pPr>
              <w:pStyle w:val="70"/>
              <w:autoSpaceDE w:val="0"/>
              <w:autoSpaceDN w:val="0"/>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eastAsia="en-US"/>
                <w14:textFill>
                  <w14:solidFill>
                    <w14:schemeClr w14:val="tx1"/>
                  </w14:solidFill>
                </w14:textFill>
              </w:rPr>
              <w:t>10m</w:t>
            </w:r>
            <w:r>
              <w:rPr>
                <w:rFonts w:hint="default" w:ascii="Times New Roman" w:hAnsi="Times New Roman" w:cs="Times New Roman" w:eastAsiaTheme="minorEastAsia"/>
                <w:color w:val="000000" w:themeColor="text1"/>
                <w:vertAlign w:val="superscript"/>
                <w:lang w:eastAsia="en-US"/>
                <w14:textFill>
                  <w14:solidFill>
                    <w14:schemeClr w14:val="tx1"/>
                  </w14:solidFill>
                </w14:textFill>
              </w:rPr>
              <w:t>2</w:t>
            </w:r>
          </w:p>
        </w:tc>
        <w:tc>
          <w:tcPr>
            <w:tcW w:w="1012" w:type="dxa"/>
            <w:vAlign w:val="center"/>
          </w:tcPr>
          <w:p w14:paraId="5F7EA99C">
            <w:pPr>
              <w:pStyle w:val="70"/>
              <w:autoSpaceDE w:val="0"/>
              <w:autoSpaceDN w:val="0"/>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eastAsia="en-US"/>
                <w14:textFill>
                  <w14:solidFill>
                    <w14:schemeClr w14:val="tx1"/>
                  </w14:solidFill>
                </w14:textFill>
              </w:rPr>
              <w:t>/</w:t>
            </w:r>
          </w:p>
        </w:tc>
        <w:tc>
          <w:tcPr>
            <w:tcW w:w="1034" w:type="dxa"/>
            <w:vAlign w:val="center"/>
          </w:tcPr>
          <w:p w14:paraId="659518B4">
            <w:pPr>
              <w:pStyle w:val="70"/>
              <w:autoSpaceDE w:val="0"/>
              <w:autoSpaceDN w:val="0"/>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eastAsia="en-US"/>
                <w14:textFill>
                  <w14:solidFill>
                    <w14:schemeClr w14:val="tx1"/>
                  </w14:solidFill>
                </w14:textFill>
              </w:rPr>
              <w:t>0.05t/a</w:t>
            </w:r>
          </w:p>
        </w:tc>
        <w:tc>
          <w:tcPr>
            <w:tcW w:w="1032" w:type="dxa"/>
            <w:vAlign w:val="center"/>
          </w:tcPr>
          <w:p w14:paraId="018E632E">
            <w:pPr>
              <w:pStyle w:val="70"/>
              <w:autoSpaceDE w:val="0"/>
              <w:autoSpaceDN w:val="0"/>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eastAsia="en-US"/>
                <w14:textFill>
                  <w14:solidFill>
                    <w14:schemeClr w14:val="tx1"/>
                  </w14:solidFill>
                </w14:textFill>
              </w:rPr>
              <w:t>1个月</w:t>
            </w:r>
          </w:p>
        </w:tc>
      </w:tr>
    </w:tbl>
    <w:p w14:paraId="6A2D4507">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台湾见龙钦州高端聚苯乙烯新材料项目建设情况</w:t>
      </w:r>
    </w:p>
    <w:p w14:paraId="43F46A0B">
      <w:pPr>
        <w:autoSpaceDE w:val="0"/>
        <w:autoSpaceDN w:val="0"/>
        <w:ind w:firstLine="482"/>
        <w:jc w:val="left"/>
        <w:rPr>
          <w:b/>
          <w:color w:val="000000" w:themeColor="text1"/>
          <w:kern w:val="0"/>
          <w14:textFill>
            <w14:solidFill>
              <w14:schemeClr w14:val="tx1"/>
            </w14:solidFill>
          </w14:textFill>
        </w:rPr>
      </w:pPr>
      <w:r>
        <w:rPr>
          <w:rFonts w:hint="eastAsia"/>
          <w:b/>
          <w:color w:val="000000" w:themeColor="text1"/>
          <w:kern w:val="0"/>
          <w14:textFill>
            <w14:solidFill>
              <w14:schemeClr w14:val="tx1"/>
            </w14:solidFill>
          </w14:textFill>
        </w:rPr>
        <w:t>1、基本情况</w:t>
      </w:r>
    </w:p>
    <w:p w14:paraId="67E214CA">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（1）项目名称：台湾见龙钦州高端聚苯乙烯新材料项目；</w:t>
      </w:r>
    </w:p>
    <w:p w14:paraId="3AD7E3DB">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（2）建设单位：广西骅桥新材料有限公司；</w:t>
      </w:r>
    </w:p>
    <w:p w14:paraId="7942151E">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（3）项目性质：新建项目；</w:t>
      </w:r>
    </w:p>
    <w:p w14:paraId="33E13534">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（4）项目代码：2411-450704-04-05-473754；</w:t>
      </w:r>
    </w:p>
    <w:p w14:paraId="2BCBBA86">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（5）建设地点：中国（广西）自由贸易试验区钦州港片区石化产业园区，项目中 心坐标为经度 108°37′18.608″，纬度 21°43′41.899″；</w:t>
      </w:r>
    </w:p>
    <w:p w14:paraId="41D8E41B">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（6）项目投资：总投资 40000 万元；其中环保投资 1236.0 万元，占总投资的3.09%；</w:t>
      </w:r>
    </w:p>
    <w:p w14:paraId="70C98698">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（7）建设内容和规模：项目用地面积约 113 亩，主要建设 4 条 10 万吨/年发泡性聚苯乙烯材料（EPS）生产线及罐区、成品仓库等配套设施。原辅材料主要为苯乙烯。</w:t>
      </w:r>
    </w:p>
    <w:p w14:paraId="29CF4A1E">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（8）劳动定员：项目劳动定员 130 人，厂区内不设置住宿；</w:t>
      </w:r>
    </w:p>
    <w:p w14:paraId="0ADBB20F">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（9）工作制度：年生产天数为 330 天，实行四班三倒制，每班 8 小时，年生产7920h；</w:t>
      </w:r>
    </w:p>
    <w:p w14:paraId="3E04784B">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（10）建设时间：2025 年 4 月~2026 年 4 月；</w:t>
      </w:r>
    </w:p>
    <w:p w14:paraId="7C63D2F1">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（11）项目四至情况：项目东面为钦州市中电投热电联产（已停产）；南面为勒 沟东大街，隔着勒沟东大街为广西钦州澄星化工科技有限公司和广西华谊项目部；西 面为广西雅保锂业有限公司；北面为广西景源新材料有限公司项目用地（ 现为荒 地）。</w:t>
      </w:r>
    </w:p>
    <w:p w14:paraId="36B9813E">
      <w:pPr>
        <w:autoSpaceDE w:val="0"/>
        <w:autoSpaceDN w:val="0"/>
        <w:ind w:firstLine="482"/>
        <w:jc w:val="left"/>
        <w:rPr>
          <w:b/>
          <w:color w:val="000000" w:themeColor="text1"/>
          <w:kern w:val="0"/>
          <w14:textFill>
            <w14:solidFill>
              <w14:schemeClr w14:val="tx1"/>
            </w14:solidFill>
          </w14:textFill>
        </w:rPr>
      </w:pPr>
      <w:r>
        <w:rPr>
          <w:rFonts w:hint="eastAsia"/>
          <w:b/>
          <w:color w:val="000000" w:themeColor="text1"/>
          <w:kern w:val="0"/>
          <w14:textFill>
            <w14:solidFill>
              <w14:schemeClr w14:val="tx1"/>
            </w14:solidFill>
          </w14:textFill>
        </w:rPr>
        <w:t>2、环评批复情况</w:t>
      </w:r>
    </w:p>
    <w:p w14:paraId="5F8C547B">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2025年7月14日，钦州市生态环境局《关于台湾见龙钦州高端聚苯乙烯新材料项目环境影响报告书的批复》（中马园审批环[2025]15号）进行批复。</w:t>
      </w:r>
    </w:p>
    <w:p w14:paraId="7DDA3A11">
      <w:pPr>
        <w:autoSpaceDE w:val="0"/>
        <w:autoSpaceDN w:val="0"/>
        <w:ind w:firstLine="482"/>
        <w:jc w:val="left"/>
        <w:rPr>
          <w:b/>
          <w:color w:val="000000" w:themeColor="text1"/>
          <w:kern w:val="0"/>
          <w14:textFill>
            <w14:solidFill>
              <w14:schemeClr w14:val="tx1"/>
            </w14:solidFill>
          </w14:textFill>
        </w:rPr>
      </w:pPr>
      <w:r>
        <w:rPr>
          <w:rFonts w:hint="eastAsia"/>
          <w:b/>
          <w:color w:val="000000" w:themeColor="text1"/>
          <w:kern w:val="0"/>
          <w14:textFill>
            <w14:solidFill>
              <w14:schemeClr w14:val="tx1"/>
            </w14:solidFill>
          </w14:textFill>
        </w:rPr>
        <w:t>3、建设情况</w:t>
      </w:r>
    </w:p>
    <w:p w14:paraId="64A0F7D8">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根据广西骅桥新材料有限公司，目前项目正在建设中，主体已经基本建设完成，预计2026年4月调试生产。</w:t>
      </w:r>
    </w:p>
    <w:p w14:paraId="414E44CA">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欧德年产 30 万吨生物柴油生产线项目</w:t>
      </w:r>
    </w:p>
    <w:p w14:paraId="33D519E6">
      <w:pPr>
        <w:autoSpaceDE w:val="0"/>
        <w:autoSpaceDN w:val="0"/>
        <w:ind w:firstLine="482"/>
        <w:jc w:val="left"/>
        <w:rPr>
          <w:b/>
          <w:color w:val="000000" w:themeColor="text1"/>
          <w:kern w:val="0"/>
          <w14:textFill>
            <w14:solidFill>
              <w14:schemeClr w14:val="tx1"/>
            </w14:solidFill>
          </w14:textFill>
        </w:rPr>
      </w:pPr>
      <w:r>
        <w:rPr>
          <w:rFonts w:hint="eastAsia"/>
          <w:b/>
          <w:color w:val="000000" w:themeColor="text1"/>
          <w:kern w:val="0"/>
          <w14:textFill>
            <w14:solidFill>
              <w14:schemeClr w14:val="tx1"/>
            </w14:solidFill>
          </w14:textFill>
        </w:rPr>
        <w:t>1、基本情况</w:t>
      </w:r>
    </w:p>
    <w:p w14:paraId="1B9E1878">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（1）项目名称：欧德年产 30 万吨生物柴油生产线项目</w:t>
      </w:r>
    </w:p>
    <w:p w14:paraId="4594F05C">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（2）建设单位：广西自贸区丰之力新能源有限公司</w:t>
      </w:r>
    </w:p>
    <w:p w14:paraId="032FC593">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（3）用地面积：33333.34m</w:t>
      </w:r>
      <w:r>
        <w:rPr>
          <w:rFonts w:hint="eastAsia"/>
          <w:color w:val="000000" w:themeColor="text1"/>
          <w:vertAlign w:val="superscript"/>
          <w14:textFill>
            <w14:solidFill>
              <w14:schemeClr w14:val="tx1"/>
            </w14:solidFill>
          </w14:textFill>
        </w:rPr>
        <w:t>2</w:t>
      </w:r>
    </w:p>
    <w:p w14:paraId="24AC6BD1">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（4）建设性质：新建</w:t>
      </w:r>
    </w:p>
    <w:p w14:paraId="13529236">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（5）总投资：12500 万元</w:t>
      </w:r>
    </w:p>
    <w:p w14:paraId="32E32FB6">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（6）建设周期：计划在 2025 年 9 月开工建设，于 2026 年 9 月投产，施工期为 12个月。</w:t>
      </w:r>
    </w:p>
    <w:p w14:paraId="59AF351A">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（7）建设地点：位于中国（广西）自由贸易试验区钦州港片区钦州市石化产业园 临海大道西面、勒沟东大街北面，地理中心坐标为东经 108.624033°，北纬 21.730996°。</w:t>
      </w:r>
    </w:p>
    <w:p w14:paraId="0080AFEB">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（8）建设内容及规模：主要建设 1 条生物柴油生产线、1 条工业级混合油生产线 和 1 根 1.79km 的生物柴油及工业级混合油管道，配套建设给排水等辅助工程，年产 30 万吨生物柴油、10 万吨工业级混合油、1.5 万吨精甘油和 1.2 万吨重质脂肪酸。</w:t>
      </w:r>
    </w:p>
    <w:p w14:paraId="7D4FE466">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（9）生物柴油及工业级混合油管道：管径为 DN250，管材为 Q235B，设计流量为 352m3/h，设计压力为 0.5MPa，设计温度为 50℃，设计长度为 1.79km，起点位于项目 厂区西南角储罐区，终点位于金鼓江作业区 14 号泊位公共管廊，其中 0~0.03km 位于厂 区内，0.03~1.79km 位于园区公共管廊，管道位于管廊的第三层管架，为地上式管道， 管道沿园区公共管廊设置，主要用于主产品生物柴油和工业级混合油的输送，两者采用 同一根管道输送。</w:t>
      </w:r>
    </w:p>
    <w:p w14:paraId="3D08618E">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（10）周边环境状况：用地已平整，临时办公场所已建，地块东面为空地和临海大 道，南面为空地和中电投北部湾（广西）热电有限公司（已停产），西面为林地和空地， 北面为海沟。</w:t>
      </w:r>
    </w:p>
    <w:p w14:paraId="7FC237A1">
      <w:pPr>
        <w:autoSpaceDE w:val="0"/>
        <w:autoSpaceDN w:val="0"/>
        <w:ind w:firstLine="482"/>
        <w:jc w:val="left"/>
        <w:rPr>
          <w:b/>
          <w:color w:val="000000" w:themeColor="text1"/>
          <w:kern w:val="0"/>
          <w14:textFill>
            <w14:solidFill>
              <w14:schemeClr w14:val="tx1"/>
            </w14:solidFill>
          </w14:textFill>
        </w:rPr>
      </w:pPr>
      <w:r>
        <w:rPr>
          <w:rFonts w:hint="eastAsia"/>
          <w:b/>
          <w:color w:val="000000" w:themeColor="text1"/>
          <w:kern w:val="0"/>
          <w14:textFill>
            <w14:solidFill>
              <w14:schemeClr w14:val="tx1"/>
            </w14:solidFill>
          </w14:textFill>
        </w:rPr>
        <w:t>2、环评批复情况</w:t>
      </w:r>
    </w:p>
    <w:p w14:paraId="4776857E">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2025年7月14日，中国一马来西亚钦州产业园区行政审批局《关于欧德年产30万吨生物柴油生产线项目环境影响报告书的批复》（中马园审批环[2025]33号）进行批复。</w:t>
      </w:r>
    </w:p>
    <w:p w14:paraId="3734A642">
      <w:pPr>
        <w:autoSpaceDE w:val="0"/>
        <w:autoSpaceDN w:val="0"/>
        <w:ind w:firstLine="482"/>
        <w:jc w:val="left"/>
        <w:rPr>
          <w:b/>
          <w:color w:val="000000" w:themeColor="text1"/>
          <w:kern w:val="0"/>
          <w14:textFill>
            <w14:solidFill>
              <w14:schemeClr w14:val="tx1"/>
            </w14:solidFill>
          </w14:textFill>
        </w:rPr>
      </w:pPr>
      <w:r>
        <w:rPr>
          <w:rFonts w:hint="eastAsia"/>
          <w:b/>
          <w:color w:val="000000" w:themeColor="text1"/>
          <w:kern w:val="0"/>
          <w14:textFill>
            <w14:solidFill>
              <w14:schemeClr w14:val="tx1"/>
            </w14:solidFill>
          </w14:textFill>
        </w:rPr>
        <w:t>3、建设情况</w:t>
      </w:r>
    </w:p>
    <w:p w14:paraId="0F3687EC">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根据广西自贸区丰之力新能源有限公司，目前项目正在建设中，主体已经基本建设完成，预计2026年6月调试生产。</w:t>
      </w:r>
    </w:p>
    <w:p w14:paraId="751D5D70">
      <w:pPr>
        <w:pStyle w:val="4"/>
        <w:rPr>
          <w:color w:val="000000" w:themeColor="text1"/>
          <w14:textFill>
            <w14:solidFill>
              <w14:schemeClr w14:val="tx1"/>
            </w14:solidFill>
          </w14:textFill>
        </w:rPr>
      </w:pPr>
      <w:bookmarkStart w:id="187" w:name="_Toc216620355"/>
      <w:bookmarkStart w:id="188" w:name="_Toc216103196"/>
      <w:r>
        <w:rPr>
          <w:color w:val="000000" w:themeColor="text1"/>
          <w14:textFill>
            <w14:solidFill>
              <w14:schemeClr w14:val="tx1"/>
            </w14:solidFill>
          </w14:textFill>
        </w:rPr>
        <w:t>基本情况</w:t>
      </w:r>
      <w:bookmarkEnd w:id="182"/>
      <w:bookmarkEnd w:id="183"/>
      <w:bookmarkEnd w:id="184"/>
      <w:bookmarkEnd w:id="185"/>
      <w:bookmarkEnd w:id="187"/>
      <w:bookmarkEnd w:id="188"/>
    </w:p>
    <w:p w14:paraId="45224E92">
      <w:pPr>
        <w:tabs>
          <w:tab w:val="left" w:pos="5812"/>
        </w:tabs>
        <w:ind w:firstLine="480"/>
        <w:rPr>
          <w:color w:val="000000" w:themeColor="text1"/>
          <w14:textFill>
            <w14:solidFill>
              <w14:schemeClr w14:val="tx1"/>
            </w14:solidFill>
          </w14:textFill>
        </w:rPr>
      </w:pPr>
      <w:r>
        <w:rPr>
          <w:color w:val="000000" w:themeColor="text1"/>
          <w14:textFill>
            <w14:solidFill>
              <w14:schemeClr w14:val="tx1"/>
            </w14:solidFill>
          </w14:textFill>
        </w:rPr>
        <w:t>（1）项目名称：</w:t>
      </w:r>
      <w:r>
        <w:rPr>
          <w:rFonts w:hint="eastAsia"/>
          <w:color w:val="000000" w:themeColor="text1"/>
          <w14:textFill>
            <w14:solidFill>
              <w14:schemeClr w14:val="tx1"/>
            </w14:solidFill>
          </w14:textFill>
        </w:rPr>
        <w:t>北部湾港钦州港域金谷港区金鼓江作业区14号泊位扩建工程（新增液硫、苯乙烯等装卸设施）</w:t>
      </w:r>
    </w:p>
    <w:p w14:paraId="0C641F79">
      <w:pPr>
        <w:ind w:firstLine="480"/>
        <w:rPr>
          <w:color w:val="000000" w:themeColor="text1"/>
          <w14:textFill>
            <w14:solidFill>
              <w14:schemeClr w14:val="tx1"/>
            </w14:solidFill>
          </w14:textFill>
        </w:rPr>
      </w:pPr>
      <w:r>
        <w:rPr>
          <w:color w:val="000000" w:themeColor="text1"/>
          <w14:textFill>
            <w14:solidFill>
              <w14:schemeClr w14:val="tx1"/>
            </w14:solidFill>
          </w14:textFill>
        </w:rPr>
        <w:t>（2）建设单位：</w:t>
      </w:r>
      <w:r>
        <w:rPr>
          <w:rFonts w:hint="eastAsia"/>
          <w:color w:val="000000" w:themeColor="text1"/>
          <w14:textFill>
            <w14:solidFill>
              <w14:schemeClr w14:val="tx1"/>
            </w14:solidFill>
          </w14:textFill>
        </w:rPr>
        <w:t>广西自贸区逸海港务有限责任公司</w:t>
      </w:r>
    </w:p>
    <w:p w14:paraId="4FDAB0E6">
      <w:pPr>
        <w:ind w:firstLine="480"/>
        <w:rPr>
          <w:color w:val="000000" w:themeColor="text1"/>
          <w14:textFill>
            <w14:solidFill>
              <w14:schemeClr w14:val="tx1"/>
            </w14:solidFill>
          </w14:textFill>
        </w:rPr>
      </w:pPr>
      <w:r>
        <w:rPr>
          <w:color w:val="000000" w:themeColor="text1"/>
          <w14:textFill>
            <w14:solidFill>
              <w14:schemeClr w14:val="tx1"/>
            </w14:solidFill>
          </w14:textFill>
        </w:rPr>
        <w:t>（3）建设地点：本工程建设地点位于钦州港金鼓江西岸，距金鼓江航道口门约3km，北端与金鼓江作业区13#泊位相邻，南端与金鼓江作业区15#泊位相邻，对岸为大榄坪作业区。</w:t>
      </w:r>
    </w:p>
    <w:p w14:paraId="2D0F79D7">
      <w:pPr>
        <w:ind w:firstLine="480"/>
        <w:rPr>
          <w:color w:val="000000" w:themeColor="text1"/>
          <w14:textFill>
            <w14:solidFill>
              <w14:schemeClr w14:val="tx1"/>
            </w14:solidFill>
          </w14:textFill>
        </w:rPr>
      </w:pPr>
      <w:r>
        <w:rPr>
          <w:color w:val="000000" w:themeColor="text1"/>
          <w14:textFill>
            <w14:solidFill>
              <w14:schemeClr w14:val="tx1"/>
            </w14:solidFill>
          </w14:textFill>
        </w:rPr>
        <w:t>（4）建设性质：</w:t>
      </w:r>
      <w:r>
        <w:rPr>
          <w:rFonts w:hint="eastAsia"/>
          <w:color w:val="000000" w:themeColor="text1"/>
          <w14:textFill>
            <w14:solidFill>
              <w14:schemeClr w14:val="tx1"/>
            </w14:solidFill>
          </w14:textFill>
        </w:rPr>
        <w:t>扩</w:t>
      </w:r>
      <w:r>
        <w:rPr>
          <w:color w:val="000000" w:themeColor="text1"/>
          <w14:textFill>
            <w14:solidFill>
              <w14:schemeClr w14:val="tx1"/>
            </w14:solidFill>
          </w14:textFill>
        </w:rPr>
        <w:t>建</w:t>
      </w:r>
    </w:p>
    <w:p w14:paraId="0728AE0E">
      <w:pPr>
        <w:autoSpaceDE w:val="0"/>
        <w:autoSpaceDN w:val="0"/>
        <w:ind w:firstLine="480"/>
        <w:jc w:val="left"/>
        <w:rPr>
          <w:color w:val="000000" w:themeColor="text1"/>
          <w:u w:val="single"/>
          <w14:textFill>
            <w14:solidFill>
              <w14:schemeClr w14:val="tx1"/>
            </w14:solidFill>
          </w14:textFill>
        </w:rPr>
      </w:pPr>
      <w:r>
        <w:rPr>
          <w:color w:val="000000" w:themeColor="text1"/>
          <w14:textFill>
            <w14:solidFill>
              <w14:schemeClr w14:val="tx1"/>
            </w14:solidFill>
          </w14:textFill>
        </w:rPr>
        <w:t>（5）建设规模：</w:t>
      </w:r>
      <w:r>
        <w:rPr>
          <w:rFonts w:hint="eastAsia" w:ascii="宋体" w:hAnsi="宋体"/>
          <w:color w:val="000000" w:themeColor="text1"/>
          <w:u w:val="single"/>
          <w14:textFill>
            <w14:solidFill>
              <w14:schemeClr w14:val="tx1"/>
            </w14:solidFill>
          </w14:textFill>
        </w:rPr>
        <w:t>新增苯乙烯利用现有装卸臂进行装卸，均为卸船后经管道至后方</w:t>
      </w:r>
      <w:r>
        <w:rPr>
          <w:rFonts w:hint="eastAsia"/>
          <w:color w:val="000000" w:themeColor="text1"/>
          <w:u w:val="single"/>
          <w14:textFill>
            <w14:solidFill>
              <w14:schemeClr w14:val="tx1"/>
            </w14:solidFill>
          </w14:textFill>
        </w:rPr>
        <w:t>台湾见龙钦州高端聚苯乙烯新材料项目</w:t>
      </w:r>
      <w:r>
        <w:rPr>
          <w:rFonts w:hint="eastAsia" w:ascii="宋体" w:hAnsi="宋体"/>
          <w:color w:val="000000" w:themeColor="text1"/>
          <w:u w:val="single"/>
          <w14:textFill>
            <w14:solidFill>
              <w14:schemeClr w14:val="tx1"/>
            </w14:solidFill>
          </w14:textFill>
        </w:rPr>
        <w:t>厂区。</w:t>
      </w:r>
      <w:r>
        <w:rPr>
          <w:rFonts w:hint="eastAsia"/>
          <w:color w:val="000000" w:themeColor="text1"/>
          <w:u w:val="single"/>
          <w14:textFill>
            <w14:solidFill>
              <w14:schemeClr w14:val="tx1"/>
            </w14:solidFill>
          </w14:textFill>
        </w:rPr>
        <w:t>棕榈酸化油、脂肪酸混合物由</w:t>
      </w:r>
      <w:r>
        <w:rPr>
          <w:rFonts w:hint="eastAsia" w:ascii="宋体" w:hAnsi="宋体"/>
          <w:color w:val="000000" w:themeColor="text1"/>
          <w:u w:val="single"/>
          <w14:textFill>
            <w14:solidFill>
              <w14:schemeClr w14:val="tx1"/>
            </w14:solidFill>
          </w14:textFill>
        </w:rPr>
        <w:t>新建装卸臂</w:t>
      </w:r>
      <w:r>
        <w:rPr>
          <w:rFonts w:hint="eastAsia"/>
          <w:color w:val="000000" w:themeColor="text1"/>
          <w:u w:val="single"/>
          <w14:textFill>
            <w14:solidFill>
              <w14:schemeClr w14:val="tx1"/>
            </w14:solidFill>
          </w14:textFill>
        </w:rPr>
        <w:t>卸船至后方欧德年产 30 万吨生物柴油生产线项目厂区。</w:t>
      </w:r>
      <w:r>
        <w:rPr>
          <w:rFonts w:hint="eastAsia" w:ascii="宋体" w:hAnsi="宋体"/>
          <w:color w:val="000000" w:themeColor="text1"/>
          <w:u w:val="single"/>
          <w14:textFill>
            <w14:solidFill>
              <w14:schemeClr w14:val="tx1"/>
            </w14:solidFill>
          </w14:textFill>
        </w:rPr>
        <w:t>裂解C9、工业级混合油、脂肪酸甲酯、纯生物柴油、航空煤油由后方厂区及公共管廊至码头管廊后至新建装卸臂进行装船。液硫、碱液、发烟硫酸、硫酸经卸船经管道至后方陆域罐区（新增罐区环境影响评价报告同步进行</w:t>
      </w:r>
      <w:r>
        <w:rPr>
          <w:rFonts w:hint="eastAsia" w:ascii="宋体" w:hAnsi="宋体"/>
          <w:color w:val="000000" w:themeColor="text1"/>
          <w:u w:val="single"/>
          <w:lang w:val="en-US" w:eastAsia="zh-CN"/>
          <w14:textFill>
            <w14:solidFill>
              <w14:schemeClr w14:val="tx1"/>
            </w14:solidFill>
          </w14:textFill>
        </w:rPr>
        <w:t>中</w:t>
      </w:r>
      <w:r>
        <w:rPr>
          <w:rFonts w:hint="eastAsia" w:ascii="宋体" w:hAnsi="宋体"/>
          <w:color w:val="000000" w:themeColor="text1"/>
          <w:u w:val="single"/>
          <w14:textFill>
            <w14:solidFill>
              <w14:schemeClr w14:val="tx1"/>
            </w14:solidFill>
          </w14:textFill>
        </w:rPr>
        <w:t>）。根管道建设内容</w:t>
      </w:r>
      <w:r>
        <w:rPr>
          <w:rFonts w:hint="eastAsia"/>
          <w:color w:val="000000" w:themeColor="text1"/>
          <w:u w:val="single"/>
          <w14:textFill>
            <w14:solidFill>
              <w14:schemeClr w14:val="tx1"/>
            </w14:solidFill>
          </w14:textFill>
        </w:rPr>
        <w:t>见表2.2-2。</w:t>
      </w:r>
    </w:p>
    <w:p w14:paraId="3AE64D4A">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新增吞吐货运量84万吨/年，方案同时调整了原来的装卸量，具体见概述“表1”，调整后码头251万吨/年。满足设计吞吐量276万吨/年、设计年通过能力300万吨/年的要求</w:t>
      </w:r>
    </w:p>
    <w:p w14:paraId="29493450">
      <w:pPr>
        <w:ind w:firstLine="480"/>
        <w:rPr>
          <w:color w:val="000000" w:themeColor="text1"/>
          <w14:textFill>
            <w14:solidFill>
              <w14:schemeClr w14:val="tx1"/>
            </w14:solidFill>
          </w14:textFill>
        </w:rPr>
      </w:pPr>
      <w:r>
        <w:rPr>
          <w:color w:val="000000" w:themeColor="text1"/>
          <w14:textFill>
            <w14:solidFill>
              <w14:schemeClr w14:val="tx1"/>
            </w14:solidFill>
          </w14:textFill>
        </w:rPr>
        <w:t>（6）建设内容：</w:t>
      </w:r>
      <w:r>
        <w:rPr>
          <w:color w:val="000000" w:themeColor="text1"/>
          <w:szCs w:val="28"/>
          <w14:textFill>
            <w14:solidFill>
              <w14:schemeClr w14:val="tx1"/>
            </w14:solidFill>
          </w14:textFill>
        </w:rPr>
        <w:t>装卸臂、管道工程等。</w:t>
      </w:r>
    </w:p>
    <w:p w14:paraId="30384BE7">
      <w:pPr>
        <w:ind w:firstLine="480"/>
        <w:rPr>
          <w:color w:val="000000" w:themeColor="text1"/>
          <w14:textFill>
            <w14:solidFill>
              <w14:schemeClr w14:val="tx1"/>
            </w14:solidFill>
          </w14:textFill>
        </w:rPr>
      </w:pPr>
      <w:r>
        <w:rPr>
          <w:color w:val="000000" w:themeColor="text1"/>
          <w14:textFill>
            <w14:solidFill>
              <w14:schemeClr w14:val="tx1"/>
            </w14:solidFill>
          </w14:textFill>
        </w:rPr>
        <w:t>（7）工作制度：依托现有。</w:t>
      </w:r>
    </w:p>
    <w:p w14:paraId="2EDA5CA9">
      <w:pPr>
        <w:ind w:firstLine="480"/>
        <w:rPr>
          <w:color w:val="000000" w:themeColor="text1"/>
          <w14:textFill>
            <w14:solidFill>
              <w14:schemeClr w14:val="tx1"/>
            </w14:solidFill>
          </w14:textFill>
        </w:rPr>
      </w:pPr>
      <w:r>
        <w:rPr>
          <w:color w:val="000000" w:themeColor="text1"/>
          <w14:textFill>
            <w14:solidFill>
              <w14:schemeClr w14:val="tx1"/>
            </w14:solidFill>
          </w14:textFill>
        </w:rPr>
        <w:t>（8）施工计划：预计工期</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个月。</w:t>
      </w:r>
    </w:p>
    <w:p w14:paraId="6E04E9EC">
      <w:pPr>
        <w:ind w:firstLine="480"/>
        <w:rPr>
          <w:color w:val="000000" w:themeColor="text1"/>
          <w14:textFill>
            <w14:solidFill>
              <w14:schemeClr w14:val="tx1"/>
            </w14:solidFill>
          </w14:textFill>
        </w:rPr>
      </w:pPr>
      <w:r>
        <w:rPr>
          <w:color w:val="000000" w:themeColor="text1"/>
          <w14:textFill>
            <w14:solidFill>
              <w14:schemeClr w14:val="tx1"/>
            </w14:solidFill>
          </w14:textFill>
        </w:rPr>
        <w:t>（9）项目总投资：</w:t>
      </w:r>
      <w:r>
        <w:rPr>
          <w:rFonts w:hint="eastAsia"/>
          <w:color w:val="000000" w:themeColor="text1"/>
          <w14:textFill>
            <w14:solidFill>
              <w14:schemeClr w14:val="tx1"/>
            </w14:solidFill>
          </w14:textFill>
        </w:rPr>
        <w:t>750</w:t>
      </w:r>
      <w:r>
        <w:rPr>
          <w:color w:val="000000" w:themeColor="text1"/>
          <w14:textFill>
            <w14:solidFill>
              <w14:schemeClr w14:val="tx1"/>
            </w14:solidFill>
          </w14:textFill>
        </w:rPr>
        <w:t>万元。</w:t>
      </w:r>
    </w:p>
    <w:p w14:paraId="47366C5F">
      <w:pPr>
        <w:pStyle w:val="7"/>
        <w:rPr>
          <w:color w:val="000000" w:themeColor="text1"/>
          <w14:textFill>
            <w14:solidFill>
              <w14:schemeClr w14:val="tx1"/>
            </w14:solidFill>
          </w14:textFill>
        </w:rPr>
      </w:pPr>
      <w:r>
        <w:rPr>
          <w:color w:val="000000" w:themeColor="text1"/>
          <w14:textFill>
            <w14:solidFill>
              <w14:schemeClr w14:val="tx1"/>
            </w14:solidFill>
          </w14:textFill>
        </w:rPr>
        <w:t>本项目工程组成表</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10"/>
        <w:gridCol w:w="568"/>
        <w:gridCol w:w="568"/>
        <w:gridCol w:w="1134"/>
        <w:gridCol w:w="6362"/>
      </w:tblGrid>
      <w:tr w14:paraId="0B0A20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0" w:hRule="atLeast"/>
          <w:tblHeader/>
          <w:jc w:val="center"/>
        </w:trPr>
        <w:tc>
          <w:tcPr>
            <w:tcW w:w="2680" w:type="dxa"/>
            <w:gridSpan w:val="4"/>
            <w:tcMar>
              <w:left w:w="0" w:type="dxa"/>
              <w:right w:w="0" w:type="dxa"/>
            </w:tcMar>
            <w:vAlign w:val="center"/>
          </w:tcPr>
          <w:p w14:paraId="35832B3C">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项目组成</w:t>
            </w:r>
          </w:p>
        </w:tc>
        <w:tc>
          <w:tcPr>
            <w:tcW w:w="6362" w:type="dxa"/>
            <w:tcMar>
              <w:left w:w="0" w:type="dxa"/>
              <w:right w:w="0" w:type="dxa"/>
            </w:tcMar>
            <w:vAlign w:val="center"/>
          </w:tcPr>
          <w:p w14:paraId="585103A0">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主要建设内容</w:t>
            </w:r>
          </w:p>
        </w:tc>
      </w:tr>
      <w:tr w14:paraId="612482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restart"/>
            <w:tcMar>
              <w:left w:w="0" w:type="dxa"/>
              <w:right w:w="0" w:type="dxa"/>
            </w:tcMar>
            <w:vAlign w:val="center"/>
          </w:tcPr>
          <w:p w14:paraId="789D477A">
            <w:pPr>
              <w:pStyle w:val="70"/>
              <w:rPr>
                <w:color w:val="000000" w:themeColor="text1"/>
                <w14:textFill>
                  <w14:solidFill>
                    <w14:schemeClr w14:val="tx1"/>
                  </w14:solidFill>
                </w14:textFill>
              </w:rPr>
            </w:pPr>
            <w:r>
              <w:rPr>
                <w:color w:val="000000" w:themeColor="text1"/>
                <w14:textFill>
                  <w14:solidFill>
                    <w14:schemeClr w14:val="tx1"/>
                  </w14:solidFill>
                </w14:textFill>
              </w:rPr>
              <w:t>码头工程</w:t>
            </w:r>
          </w:p>
        </w:tc>
        <w:tc>
          <w:tcPr>
            <w:tcW w:w="568" w:type="dxa"/>
            <w:vMerge w:val="restart"/>
            <w:tcMar>
              <w:left w:w="0" w:type="dxa"/>
              <w:right w:w="0" w:type="dxa"/>
            </w:tcMar>
            <w:vAlign w:val="center"/>
          </w:tcPr>
          <w:p w14:paraId="2734E883">
            <w:pPr>
              <w:pStyle w:val="70"/>
              <w:rPr>
                <w:color w:val="000000" w:themeColor="text1"/>
                <w14:textFill>
                  <w14:solidFill>
                    <w14:schemeClr w14:val="tx1"/>
                  </w14:solidFill>
                </w14:textFill>
              </w:rPr>
            </w:pPr>
            <w:r>
              <w:rPr>
                <w:color w:val="000000" w:themeColor="text1"/>
                <w14:textFill>
                  <w14:solidFill>
                    <w14:schemeClr w14:val="tx1"/>
                  </w14:solidFill>
                </w14:textFill>
              </w:rPr>
              <w:t>主体工程</w:t>
            </w:r>
          </w:p>
        </w:tc>
        <w:tc>
          <w:tcPr>
            <w:tcW w:w="568" w:type="dxa"/>
            <w:vMerge w:val="restart"/>
            <w:tcMar>
              <w:left w:w="0" w:type="dxa"/>
              <w:right w:w="0" w:type="dxa"/>
            </w:tcMar>
            <w:vAlign w:val="center"/>
          </w:tcPr>
          <w:p w14:paraId="424497A5">
            <w:pPr>
              <w:pStyle w:val="70"/>
              <w:rPr>
                <w:color w:val="000000" w:themeColor="text1"/>
                <w14:textFill>
                  <w14:solidFill>
                    <w14:schemeClr w14:val="tx1"/>
                  </w14:solidFill>
                </w14:textFill>
              </w:rPr>
            </w:pPr>
            <w:r>
              <w:rPr>
                <w:color w:val="000000" w:themeColor="text1"/>
                <w14:textFill>
                  <w14:solidFill>
                    <w14:schemeClr w14:val="tx1"/>
                  </w14:solidFill>
                </w14:textFill>
              </w:rPr>
              <w:t>水工建筑</w:t>
            </w:r>
          </w:p>
        </w:tc>
        <w:tc>
          <w:tcPr>
            <w:tcW w:w="1134" w:type="dxa"/>
            <w:tcMar>
              <w:left w:w="0" w:type="dxa"/>
              <w:right w:w="0" w:type="dxa"/>
            </w:tcMar>
            <w:vAlign w:val="center"/>
          </w:tcPr>
          <w:p w14:paraId="495F9E3C">
            <w:pPr>
              <w:pStyle w:val="70"/>
              <w:rPr>
                <w:color w:val="000000" w:themeColor="text1"/>
                <w14:textFill>
                  <w14:solidFill>
                    <w14:schemeClr w14:val="tx1"/>
                  </w14:solidFill>
                </w14:textFill>
              </w:rPr>
            </w:pPr>
            <w:r>
              <w:rPr>
                <w:color w:val="000000" w:themeColor="text1"/>
                <w14:textFill>
                  <w14:solidFill>
                    <w14:schemeClr w14:val="tx1"/>
                  </w14:solidFill>
                </w14:textFill>
              </w:rPr>
              <w:t>建筑物种类</w:t>
            </w:r>
          </w:p>
        </w:tc>
        <w:tc>
          <w:tcPr>
            <w:tcW w:w="6362" w:type="dxa"/>
            <w:tcMar>
              <w:left w:w="0" w:type="dxa"/>
              <w:right w:w="0" w:type="dxa"/>
            </w:tcMar>
            <w:vAlign w:val="center"/>
          </w:tcPr>
          <w:p w14:paraId="4F298F9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无施工内容</w:t>
            </w:r>
          </w:p>
        </w:tc>
      </w:tr>
      <w:tr w14:paraId="367A71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6AA63EC7">
            <w:pPr>
              <w:pStyle w:val="70"/>
              <w:rPr>
                <w:color w:val="000000" w:themeColor="text1"/>
                <w14:textFill>
                  <w14:solidFill>
                    <w14:schemeClr w14:val="tx1"/>
                  </w14:solidFill>
                </w14:textFill>
              </w:rPr>
            </w:pPr>
          </w:p>
        </w:tc>
        <w:tc>
          <w:tcPr>
            <w:tcW w:w="568" w:type="dxa"/>
            <w:vMerge w:val="continue"/>
            <w:tcMar>
              <w:left w:w="0" w:type="dxa"/>
              <w:right w:w="0" w:type="dxa"/>
            </w:tcMar>
            <w:vAlign w:val="center"/>
          </w:tcPr>
          <w:p w14:paraId="36F6F0CC">
            <w:pPr>
              <w:pStyle w:val="70"/>
              <w:rPr>
                <w:color w:val="000000" w:themeColor="text1"/>
                <w14:textFill>
                  <w14:solidFill>
                    <w14:schemeClr w14:val="tx1"/>
                  </w14:solidFill>
                </w14:textFill>
              </w:rPr>
            </w:pPr>
          </w:p>
        </w:tc>
        <w:tc>
          <w:tcPr>
            <w:tcW w:w="568" w:type="dxa"/>
            <w:vMerge w:val="continue"/>
            <w:tcMar>
              <w:left w:w="0" w:type="dxa"/>
              <w:right w:w="0" w:type="dxa"/>
            </w:tcMar>
            <w:vAlign w:val="center"/>
          </w:tcPr>
          <w:p w14:paraId="576E5C22">
            <w:pPr>
              <w:pStyle w:val="70"/>
              <w:rPr>
                <w:color w:val="000000" w:themeColor="text1"/>
                <w14:textFill>
                  <w14:solidFill>
                    <w14:schemeClr w14:val="tx1"/>
                  </w14:solidFill>
                </w14:textFill>
              </w:rPr>
            </w:pPr>
          </w:p>
        </w:tc>
        <w:tc>
          <w:tcPr>
            <w:tcW w:w="1134" w:type="dxa"/>
            <w:tcMar>
              <w:left w:w="0" w:type="dxa"/>
              <w:right w:w="0" w:type="dxa"/>
            </w:tcMar>
            <w:vAlign w:val="center"/>
          </w:tcPr>
          <w:p w14:paraId="51244D5C">
            <w:pPr>
              <w:pStyle w:val="70"/>
              <w:rPr>
                <w:color w:val="000000" w:themeColor="text1"/>
                <w14:textFill>
                  <w14:solidFill>
                    <w14:schemeClr w14:val="tx1"/>
                  </w14:solidFill>
                </w14:textFill>
              </w:rPr>
            </w:pPr>
            <w:r>
              <w:rPr>
                <w:color w:val="000000" w:themeColor="text1"/>
                <w14:textFill>
                  <w14:solidFill>
                    <w14:schemeClr w14:val="tx1"/>
                  </w14:solidFill>
                </w14:textFill>
              </w:rPr>
              <w:t>建筑物结构</w:t>
            </w:r>
          </w:p>
        </w:tc>
        <w:tc>
          <w:tcPr>
            <w:tcW w:w="6362" w:type="dxa"/>
            <w:tcMar>
              <w:left w:w="0" w:type="dxa"/>
              <w:right w:w="0" w:type="dxa"/>
            </w:tcMar>
            <w:vAlign w:val="center"/>
          </w:tcPr>
          <w:p w14:paraId="65B2766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无施工内容</w:t>
            </w:r>
          </w:p>
        </w:tc>
      </w:tr>
      <w:tr w14:paraId="5FC3A6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01271E35">
            <w:pPr>
              <w:pStyle w:val="70"/>
              <w:rPr>
                <w:color w:val="000000" w:themeColor="text1"/>
                <w14:textFill>
                  <w14:solidFill>
                    <w14:schemeClr w14:val="tx1"/>
                  </w14:solidFill>
                </w14:textFill>
              </w:rPr>
            </w:pPr>
          </w:p>
        </w:tc>
        <w:tc>
          <w:tcPr>
            <w:tcW w:w="568" w:type="dxa"/>
            <w:vMerge w:val="continue"/>
            <w:tcMar>
              <w:left w:w="0" w:type="dxa"/>
              <w:right w:w="0" w:type="dxa"/>
            </w:tcMar>
            <w:vAlign w:val="center"/>
          </w:tcPr>
          <w:p w14:paraId="43AC5AD1">
            <w:pPr>
              <w:pStyle w:val="70"/>
              <w:rPr>
                <w:color w:val="000000" w:themeColor="text1"/>
                <w14:textFill>
                  <w14:solidFill>
                    <w14:schemeClr w14:val="tx1"/>
                  </w14:solidFill>
                </w14:textFill>
              </w:rPr>
            </w:pPr>
          </w:p>
        </w:tc>
        <w:tc>
          <w:tcPr>
            <w:tcW w:w="568" w:type="dxa"/>
            <w:vMerge w:val="restart"/>
            <w:tcMar>
              <w:left w:w="0" w:type="dxa"/>
              <w:right w:w="0" w:type="dxa"/>
            </w:tcMar>
            <w:vAlign w:val="center"/>
          </w:tcPr>
          <w:p w14:paraId="21699A9D">
            <w:pPr>
              <w:pStyle w:val="70"/>
              <w:rPr>
                <w:color w:val="000000" w:themeColor="text1"/>
                <w14:textFill>
                  <w14:solidFill>
                    <w14:schemeClr w14:val="tx1"/>
                  </w14:solidFill>
                </w14:textFill>
              </w:rPr>
            </w:pPr>
            <w:r>
              <w:rPr>
                <w:color w:val="000000" w:themeColor="text1"/>
                <w14:textFill>
                  <w14:solidFill>
                    <w14:schemeClr w14:val="tx1"/>
                  </w14:solidFill>
                </w14:textFill>
              </w:rPr>
              <w:t>装卸工艺</w:t>
            </w:r>
          </w:p>
        </w:tc>
        <w:tc>
          <w:tcPr>
            <w:tcW w:w="1134" w:type="dxa"/>
            <w:tcMar>
              <w:left w:w="0" w:type="dxa"/>
              <w:right w:w="0" w:type="dxa"/>
            </w:tcMar>
            <w:vAlign w:val="center"/>
          </w:tcPr>
          <w:p w14:paraId="24152F59">
            <w:pPr>
              <w:pStyle w:val="70"/>
              <w:rPr>
                <w:color w:val="000000" w:themeColor="text1"/>
                <w14:textFill>
                  <w14:solidFill>
                    <w14:schemeClr w14:val="tx1"/>
                  </w14:solidFill>
                </w14:textFill>
              </w:rPr>
            </w:pPr>
            <w:r>
              <w:rPr>
                <w:color w:val="000000" w:themeColor="text1"/>
                <w14:textFill>
                  <w14:solidFill>
                    <w14:schemeClr w14:val="tx1"/>
                  </w14:solidFill>
                </w14:textFill>
              </w:rPr>
              <w:t>货物种类、运量</w:t>
            </w:r>
          </w:p>
        </w:tc>
        <w:tc>
          <w:tcPr>
            <w:tcW w:w="6362" w:type="dxa"/>
            <w:tcMar>
              <w:left w:w="0" w:type="dxa"/>
              <w:right w:w="0" w:type="dxa"/>
            </w:tcMar>
            <w:vAlign w:val="center"/>
          </w:tcPr>
          <w:p w14:paraId="001ED824">
            <w:pPr>
              <w:pStyle w:val="70"/>
              <w:rPr>
                <w:color w:val="000000" w:themeColor="text1"/>
                <w14:textFill>
                  <w14:solidFill>
                    <w14:schemeClr w14:val="tx1"/>
                  </w14:solidFill>
                </w14:textFill>
              </w:rPr>
            </w:pPr>
            <w:r>
              <w:rPr>
                <w:color w:val="000000" w:themeColor="text1"/>
                <w14:textFill>
                  <w14:solidFill>
                    <w14:schemeClr w14:val="tx1"/>
                  </w14:solidFill>
                </w14:textFill>
              </w:rPr>
              <w:t>液体散货见表2.2-1、2.2-2</w:t>
            </w:r>
          </w:p>
        </w:tc>
      </w:tr>
      <w:tr w14:paraId="187CDF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74CD85A0">
            <w:pPr>
              <w:pStyle w:val="70"/>
              <w:rPr>
                <w:color w:val="000000" w:themeColor="text1"/>
                <w14:textFill>
                  <w14:solidFill>
                    <w14:schemeClr w14:val="tx1"/>
                  </w14:solidFill>
                </w14:textFill>
              </w:rPr>
            </w:pPr>
          </w:p>
        </w:tc>
        <w:tc>
          <w:tcPr>
            <w:tcW w:w="568" w:type="dxa"/>
            <w:vMerge w:val="continue"/>
            <w:tcMar>
              <w:left w:w="0" w:type="dxa"/>
              <w:right w:w="0" w:type="dxa"/>
            </w:tcMar>
            <w:vAlign w:val="center"/>
          </w:tcPr>
          <w:p w14:paraId="0D6226E4">
            <w:pPr>
              <w:pStyle w:val="70"/>
              <w:rPr>
                <w:color w:val="000000" w:themeColor="text1"/>
                <w14:textFill>
                  <w14:solidFill>
                    <w14:schemeClr w14:val="tx1"/>
                  </w14:solidFill>
                </w14:textFill>
              </w:rPr>
            </w:pPr>
          </w:p>
        </w:tc>
        <w:tc>
          <w:tcPr>
            <w:tcW w:w="568" w:type="dxa"/>
            <w:vMerge w:val="continue"/>
            <w:tcMar>
              <w:left w:w="0" w:type="dxa"/>
              <w:right w:w="0" w:type="dxa"/>
            </w:tcMar>
            <w:vAlign w:val="center"/>
          </w:tcPr>
          <w:p w14:paraId="51FBD9A4">
            <w:pPr>
              <w:pStyle w:val="70"/>
              <w:rPr>
                <w:color w:val="000000" w:themeColor="text1"/>
                <w14:textFill>
                  <w14:solidFill>
                    <w14:schemeClr w14:val="tx1"/>
                  </w14:solidFill>
                </w14:textFill>
              </w:rPr>
            </w:pPr>
          </w:p>
        </w:tc>
        <w:tc>
          <w:tcPr>
            <w:tcW w:w="1134" w:type="dxa"/>
            <w:tcMar>
              <w:left w:w="0" w:type="dxa"/>
              <w:right w:w="0" w:type="dxa"/>
            </w:tcMar>
            <w:vAlign w:val="center"/>
          </w:tcPr>
          <w:p w14:paraId="6BF9E575">
            <w:pPr>
              <w:pStyle w:val="70"/>
              <w:rPr>
                <w:color w:val="000000" w:themeColor="text1"/>
                <w14:textFill>
                  <w14:solidFill>
                    <w14:schemeClr w14:val="tx1"/>
                  </w14:solidFill>
                </w14:textFill>
              </w:rPr>
            </w:pPr>
            <w:r>
              <w:rPr>
                <w:color w:val="000000" w:themeColor="text1"/>
                <w14:textFill>
                  <w14:solidFill>
                    <w14:schemeClr w14:val="tx1"/>
                  </w14:solidFill>
                </w14:textFill>
              </w:rPr>
              <w:t>工艺流程</w:t>
            </w:r>
          </w:p>
        </w:tc>
        <w:tc>
          <w:tcPr>
            <w:tcW w:w="6362" w:type="dxa"/>
            <w:tcMar>
              <w:left w:w="0" w:type="dxa"/>
              <w:right w:w="0" w:type="dxa"/>
            </w:tcMar>
            <w:vAlign w:val="center"/>
          </w:tcPr>
          <w:p w14:paraId="03602765">
            <w:pPr>
              <w:pStyle w:val="7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新增苯乙烯利用现有装卸臂进行装卸，均为卸船后经管道至后方台湾见龙钦州高端聚苯乙烯新材料项目厂区。棕榈酸化油、脂肪酸混合物由新建装卸臂卸船至后方欧德年产 30 万吨生物柴油生产线项目厂区。裂解C9、工业级混合油、脂肪酸甲酯、纯生物柴油、航空煤油由后方厂区及公共管廊至码头管廊后至新建装卸臂进行装船。液硫、碱液、发烟硫酸、硫酸经卸船经管道至后方陆域罐区（新增罐区环境影响评价报告</w:t>
            </w:r>
            <w:r>
              <w:rPr>
                <w:rFonts w:hint="eastAsia"/>
                <w:color w:val="000000" w:themeColor="text1"/>
                <w:lang w:eastAsia="zh-CN"/>
                <w14:textFill>
                  <w14:solidFill>
                    <w14:schemeClr w14:val="tx1"/>
                  </w14:solidFill>
                </w14:textFill>
              </w:rPr>
              <w:t>同步进行</w:t>
            </w:r>
            <w:r>
              <w:rPr>
                <w:rFonts w:hint="eastAsia"/>
                <w:color w:val="000000" w:themeColor="text1"/>
                <w14:textFill>
                  <w14:solidFill>
                    <w14:schemeClr w14:val="tx1"/>
                  </w14:solidFill>
                </w14:textFill>
              </w:rPr>
              <w:t>）</w:t>
            </w:r>
          </w:p>
        </w:tc>
      </w:tr>
      <w:tr w14:paraId="464122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3A814D1A">
            <w:pPr>
              <w:pStyle w:val="70"/>
              <w:rPr>
                <w:color w:val="000000" w:themeColor="text1"/>
                <w14:textFill>
                  <w14:solidFill>
                    <w14:schemeClr w14:val="tx1"/>
                  </w14:solidFill>
                </w14:textFill>
              </w:rPr>
            </w:pPr>
          </w:p>
        </w:tc>
        <w:tc>
          <w:tcPr>
            <w:tcW w:w="568" w:type="dxa"/>
            <w:vMerge w:val="continue"/>
            <w:tcMar>
              <w:left w:w="0" w:type="dxa"/>
              <w:right w:w="0" w:type="dxa"/>
            </w:tcMar>
            <w:vAlign w:val="center"/>
          </w:tcPr>
          <w:p w14:paraId="054E22AF">
            <w:pPr>
              <w:pStyle w:val="70"/>
              <w:rPr>
                <w:color w:val="000000" w:themeColor="text1"/>
                <w14:textFill>
                  <w14:solidFill>
                    <w14:schemeClr w14:val="tx1"/>
                  </w14:solidFill>
                </w14:textFill>
              </w:rPr>
            </w:pPr>
          </w:p>
        </w:tc>
        <w:tc>
          <w:tcPr>
            <w:tcW w:w="568" w:type="dxa"/>
            <w:vMerge w:val="continue"/>
            <w:tcMar>
              <w:left w:w="0" w:type="dxa"/>
              <w:right w:w="0" w:type="dxa"/>
            </w:tcMar>
            <w:vAlign w:val="center"/>
          </w:tcPr>
          <w:p w14:paraId="3C97BB1E">
            <w:pPr>
              <w:pStyle w:val="70"/>
              <w:rPr>
                <w:color w:val="000000" w:themeColor="text1"/>
                <w14:textFill>
                  <w14:solidFill>
                    <w14:schemeClr w14:val="tx1"/>
                  </w14:solidFill>
                </w14:textFill>
              </w:rPr>
            </w:pPr>
          </w:p>
        </w:tc>
        <w:tc>
          <w:tcPr>
            <w:tcW w:w="1134" w:type="dxa"/>
            <w:tcMar>
              <w:left w:w="0" w:type="dxa"/>
              <w:right w:w="0" w:type="dxa"/>
            </w:tcMar>
            <w:vAlign w:val="center"/>
          </w:tcPr>
          <w:p w14:paraId="789609A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管道</w:t>
            </w:r>
          </w:p>
        </w:tc>
        <w:tc>
          <w:tcPr>
            <w:tcW w:w="6362" w:type="dxa"/>
            <w:tcMar>
              <w:left w:w="0" w:type="dxa"/>
              <w:right w:w="0" w:type="dxa"/>
            </w:tcMar>
            <w:vAlign w:val="center"/>
          </w:tcPr>
          <w:p w14:paraId="6149B59A">
            <w:pPr>
              <w:pStyle w:val="7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详见表2.2-2.</w:t>
            </w:r>
          </w:p>
        </w:tc>
      </w:tr>
      <w:tr w14:paraId="6491A6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3FC0FC4D">
            <w:pPr>
              <w:pStyle w:val="70"/>
              <w:rPr>
                <w:color w:val="000000" w:themeColor="text1"/>
                <w14:textFill>
                  <w14:solidFill>
                    <w14:schemeClr w14:val="tx1"/>
                  </w14:solidFill>
                </w14:textFill>
              </w:rPr>
            </w:pPr>
          </w:p>
        </w:tc>
        <w:tc>
          <w:tcPr>
            <w:tcW w:w="568" w:type="dxa"/>
            <w:tcMar>
              <w:left w:w="0" w:type="dxa"/>
              <w:right w:w="0" w:type="dxa"/>
            </w:tcMar>
            <w:vAlign w:val="center"/>
          </w:tcPr>
          <w:p w14:paraId="2F96B017">
            <w:pPr>
              <w:pStyle w:val="70"/>
              <w:rPr>
                <w:color w:val="000000" w:themeColor="text1"/>
                <w14:textFill>
                  <w14:solidFill>
                    <w14:schemeClr w14:val="tx1"/>
                  </w14:solidFill>
                </w14:textFill>
              </w:rPr>
            </w:pPr>
            <w:r>
              <w:rPr>
                <w:color w:val="000000" w:themeColor="text1"/>
                <w14:textFill>
                  <w14:solidFill>
                    <w14:schemeClr w14:val="tx1"/>
                  </w14:solidFill>
                </w14:textFill>
              </w:rPr>
              <w:t>仓储工程</w:t>
            </w:r>
          </w:p>
        </w:tc>
        <w:tc>
          <w:tcPr>
            <w:tcW w:w="1702" w:type="dxa"/>
            <w:gridSpan w:val="2"/>
            <w:tcMar>
              <w:left w:w="0" w:type="dxa"/>
              <w:right w:w="0" w:type="dxa"/>
            </w:tcMar>
            <w:vAlign w:val="center"/>
          </w:tcPr>
          <w:p w14:paraId="4B2F6211">
            <w:pPr>
              <w:pStyle w:val="70"/>
              <w:rPr>
                <w:color w:val="000000" w:themeColor="text1"/>
                <w14:textFill>
                  <w14:solidFill>
                    <w14:schemeClr w14:val="tx1"/>
                  </w14:solidFill>
                </w14:textFill>
              </w:rPr>
            </w:pPr>
            <w:r>
              <w:rPr>
                <w:color w:val="000000" w:themeColor="text1"/>
                <w14:textFill>
                  <w14:solidFill>
                    <w14:schemeClr w14:val="tx1"/>
                  </w14:solidFill>
                </w14:textFill>
              </w:rPr>
              <w:t>储罐区</w:t>
            </w:r>
          </w:p>
        </w:tc>
        <w:tc>
          <w:tcPr>
            <w:tcW w:w="6362" w:type="dxa"/>
            <w:tcMar>
              <w:left w:w="0" w:type="dxa"/>
              <w:right w:w="0" w:type="dxa"/>
            </w:tcMar>
            <w:vAlign w:val="center"/>
          </w:tcPr>
          <w:p w14:paraId="1F46FF43">
            <w:pPr>
              <w:pStyle w:val="70"/>
              <w:rPr>
                <w:color w:val="000000" w:themeColor="text1"/>
                <w14:textFill>
                  <w14:solidFill>
                    <w14:schemeClr w14:val="tx1"/>
                  </w14:solidFill>
                </w14:textFill>
              </w:rPr>
            </w:pPr>
            <w:r>
              <w:rPr>
                <w:color w:val="000000" w:themeColor="text1"/>
                <w:kern w:val="0"/>
                <w14:textFill>
                  <w14:solidFill>
                    <w14:schemeClr w14:val="tx1"/>
                  </w14:solidFill>
                </w14:textFill>
              </w:rPr>
              <w:t>不设置</w:t>
            </w:r>
          </w:p>
        </w:tc>
      </w:tr>
      <w:tr w14:paraId="2A0C2C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62B4C243">
            <w:pPr>
              <w:pStyle w:val="70"/>
              <w:rPr>
                <w:color w:val="000000" w:themeColor="text1"/>
                <w14:textFill>
                  <w14:solidFill>
                    <w14:schemeClr w14:val="tx1"/>
                  </w14:solidFill>
                </w14:textFill>
              </w:rPr>
            </w:pPr>
          </w:p>
        </w:tc>
        <w:tc>
          <w:tcPr>
            <w:tcW w:w="568" w:type="dxa"/>
            <w:tcMar>
              <w:left w:w="0" w:type="dxa"/>
              <w:right w:w="0" w:type="dxa"/>
            </w:tcMar>
            <w:vAlign w:val="center"/>
          </w:tcPr>
          <w:p w14:paraId="5C0DAA15">
            <w:pPr>
              <w:pStyle w:val="70"/>
              <w:rPr>
                <w:color w:val="000000" w:themeColor="text1"/>
                <w14:textFill>
                  <w14:solidFill>
                    <w14:schemeClr w14:val="tx1"/>
                  </w14:solidFill>
                </w14:textFill>
              </w:rPr>
            </w:pPr>
            <w:r>
              <w:rPr>
                <w:color w:val="000000" w:themeColor="text1"/>
                <w14:textFill>
                  <w14:solidFill>
                    <w14:schemeClr w14:val="tx1"/>
                  </w14:solidFill>
                </w14:textFill>
              </w:rPr>
              <w:t>运输</w:t>
            </w:r>
          </w:p>
        </w:tc>
        <w:tc>
          <w:tcPr>
            <w:tcW w:w="1702" w:type="dxa"/>
            <w:gridSpan w:val="2"/>
            <w:tcMar>
              <w:left w:w="0" w:type="dxa"/>
              <w:right w:w="0" w:type="dxa"/>
            </w:tcMar>
            <w:vAlign w:val="center"/>
          </w:tcPr>
          <w:p w14:paraId="60313DCC">
            <w:pPr>
              <w:pStyle w:val="70"/>
              <w:rPr>
                <w:color w:val="000000" w:themeColor="text1"/>
                <w14:textFill>
                  <w14:solidFill>
                    <w14:schemeClr w14:val="tx1"/>
                  </w14:solidFill>
                </w14:textFill>
              </w:rPr>
            </w:pPr>
            <w:r>
              <w:rPr>
                <w:color w:val="000000" w:themeColor="text1"/>
                <w14:textFill>
                  <w14:solidFill>
                    <w14:schemeClr w14:val="tx1"/>
                  </w14:solidFill>
                </w14:textFill>
              </w:rPr>
              <w:t>船型</w:t>
            </w:r>
          </w:p>
        </w:tc>
        <w:tc>
          <w:tcPr>
            <w:tcW w:w="6362" w:type="dxa"/>
            <w:tcMar>
              <w:left w:w="0" w:type="dxa"/>
              <w:right w:w="0" w:type="dxa"/>
            </w:tcMar>
            <w:vAlign w:val="center"/>
          </w:tcPr>
          <w:p w14:paraId="48AC62F6">
            <w:pPr>
              <w:pStyle w:val="70"/>
              <w:rPr>
                <w:color w:val="000000" w:themeColor="text1"/>
                <w14:textFill>
                  <w14:solidFill>
                    <w14:schemeClr w14:val="tx1"/>
                  </w14:solidFill>
                </w14:textFill>
              </w:rPr>
            </w:pPr>
            <w:r>
              <w:rPr>
                <w:color w:val="000000" w:themeColor="text1"/>
                <w14:textFill>
                  <w14:solidFill>
                    <w14:schemeClr w14:val="tx1"/>
                  </w14:solidFill>
                </w14:textFill>
              </w:rPr>
              <w:t>详见表2.2-3</w:t>
            </w:r>
          </w:p>
        </w:tc>
      </w:tr>
      <w:tr w14:paraId="2AC52A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56A38708">
            <w:pPr>
              <w:pStyle w:val="70"/>
              <w:rPr>
                <w:color w:val="000000" w:themeColor="text1"/>
                <w14:textFill>
                  <w14:solidFill>
                    <w14:schemeClr w14:val="tx1"/>
                  </w14:solidFill>
                </w14:textFill>
              </w:rPr>
            </w:pPr>
          </w:p>
        </w:tc>
        <w:tc>
          <w:tcPr>
            <w:tcW w:w="568" w:type="dxa"/>
            <w:vMerge w:val="restart"/>
            <w:tcMar>
              <w:left w:w="0" w:type="dxa"/>
              <w:right w:w="0" w:type="dxa"/>
            </w:tcMar>
            <w:vAlign w:val="center"/>
          </w:tcPr>
          <w:p w14:paraId="78E75DB0">
            <w:pPr>
              <w:pStyle w:val="70"/>
              <w:rPr>
                <w:color w:val="000000" w:themeColor="text1"/>
                <w14:textFill>
                  <w14:solidFill>
                    <w14:schemeClr w14:val="tx1"/>
                  </w14:solidFill>
                </w14:textFill>
              </w:rPr>
            </w:pPr>
            <w:r>
              <w:rPr>
                <w:color w:val="000000" w:themeColor="text1"/>
                <w14:textFill>
                  <w14:solidFill>
                    <w14:schemeClr w14:val="tx1"/>
                  </w14:solidFill>
                </w14:textFill>
              </w:rPr>
              <w:t>配套工程</w:t>
            </w:r>
          </w:p>
        </w:tc>
        <w:tc>
          <w:tcPr>
            <w:tcW w:w="1702" w:type="dxa"/>
            <w:gridSpan w:val="2"/>
            <w:tcMar>
              <w:left w:w="0" w:type="dxa"/>
              <w:right w:w="0" w:type="dxa"/>
            </w:tcMar>
            <w:vAlign w:val="center"/>
          </w:tcPr>
          <w:p w14:paraId="1791EB90">
            <w:pPr>
              <w:pStyle w:val="70"/>
              <w:rPr>
                <w:color w:val="000000" w:themeColor="text1"/>
                <w14:textFill>
                  <w14:solidFill>
                    <w14:schemeClr w14:val="tx1"/>
                  </w14:solidFill>
                </w14:textFill>
              </w:rPr>
            </w:pPr>
            <w:r>
              <w:rPr>
                <w:color w:val="000000" w:themeColor="text1"/>
                <w14:textFill>
                  <w14:solidFill>
                    <w14:schemeClr w14:val="tx1"/>
                  </w14:solidFill>
                </w14:textFill>
              </w:rPr>
              <w:t>给水</w:t>
            </w:r>
          </w:p>
        </w:tc>
        <w:tc>
          <w:tcPr>
            <w:tcW w:w="6362" w:type="dxa"/>
            <w:tcMar>
              <w:left w:w="0" w:type="dxa"/>
              <w:right w:w="0" w:type="dxa"/>
            </w:tcMar>
            <w:vAlign w:val="center"/>
          </w:tcPr>
          <w:p w14:paraId="379181BB">
            <w:pPr>
              <w:pStyle w:val="70"/>
              <w:rPr>
                <w:color w:val="000000" w:themeColor="text1"/>
                <w14:textFill>
                  <w14:solidFill>
                    <w14:schemeClr w14:val="tx1"/>
                  </w14:solidFill>
                </w14:textFill>
              </w:rPr>
            </w:pPr>
            <w:r>
              <w:rPr>
                <w:color w:val="000000" w:themeColor="text1"/>
                <w14:textFill>
                  <w14:solidFill>
                    <w14:schemeClr w14:val="tx1"/>
                  </w14:solidFill>
                </w14:textFill>
              </w:rPr>
              <w:t>由开发区自来水管网引入</w:t>
            </w:r>
          </w:p>
        </w:tc>
      </w:tr>
      <w:tr w14:paraId="485DAA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0E7D0562">
            <w:pPr>
              <w:pStyle w:val="70"/>
              <w:rPr>
                <w:color w:val="000000" w:themeColor="text1"/>
                <w14:textFill>
                  <w14:solidFill>
                    <w14:schemeClr w14:val="tx1"/>
                  </w14:solidFill>
                </w14:textFill>
              </w:rPr>
            </w:pPr>
          </w:p>
        </w:tc>
        <w:tc>
          <w:tcPr>
            <w:tcW w:w="568" w:type="dxa"/>
            <w:vMerge w:val="continue"/>
            <w:tcMar>
              <w:left w:w="0" w:type="dxa"/>
              <w:right w:w="0" w:type="dxa"/>
            </w:tcMar>
            <w:vAlign w:val="center"/>
          </w:tcPr>
          <w:p w14:paraId="02DB7ECD">
            <w:pPr>
              <w:pStyle w:val="70"/>
              <w:rPr>
                <w:color w:val="000000" w:themeColor="text1"/>
                <w14:textFill>
                  <w14:solidFill>
                    <w14:schemeClr w14:val="tx1"/>
                  </w14:solidFill>
                </w14:textFill>
              </w:rPr>
            </w:pPr>
          </w:p>
        </w:tc>
        <w:tc>
          <w:tcPr>
            <w:tcW w:w="1702" w:type="dxa"/>
            <w:gridSpan w:val="2"/>
            <w:tcMar>
              <w:left w:w="0" w:type="dxa"/>
              <w:right w:w="0" w:type="dxa"/>
            </w:tcMar>
            <w:vAlign w:val="center"/>
          </w:tcPr>
          <w:p w14:paraId="3EC9AEB3">
            <w:pPr>
              <w:pStyle w:val="70"/>
              <w:rPr>
                <w:color w:val="000000" w:themeColor="text1"/>
                <w14:textFill>
                  <w14:solidFill>
                    <w14:schemeClr w14:val="tx1"/>
                  </w14:solidFill>
                </w14:textFill>
              </w:rPr>
            </w:pPr>
            <w:r>
              <w:rPr>
                <w:color w:val="000000" w:themeColor="text1"/>
                <w14:textFill>
                  <w14:solidFill>
                    <w14:schemeClr w14:val="tx1"/>
                  </w14:solidFill>
                </w14:textFill>
              </w:rPr>
              <w:t>排水</w:t>
            </w:r>
          </w:p>
        </w:tc>
        <w:tc>
          <w:tcPr>
            <w:tcW w:w="6362" w:type="dxa"/>
            <w:tcMar>
              <w:left w:w="0" w:type="dxa"/>
              <w:right w:w="0" w:type="dxa"/>
            </w:tcMar>
            <w:vAlign w:val="center"/>
          </w:tcPr>
          <w:p w14:paraId="051A8262">
            <w:pPr>
              <w:pStyle w:val="70"/>
              <w:rPr>
                <w:color w:val="000000" w:themeColor="text1"/>
                <w14:textFill>
                  <w14:solidFill>
                    <w14:schemeClr w14:val="tx1"/>
                  </w14:solidFill>
                </w14:textFill>
              </w:rPr>
            </w:pPr>
            <w:r>
              <w:rPr>
                <w:color w:val="000000" w:themeColor="text1"/>
                <w14:textFill>
                  <w14:solidFill>
                    <w14:schemeClr w14:val="tx1"/>
                  </w14:solidFill>
                </w14:textFill>
              </w:rPr>
              <w:t>项目产生的污水经收集后排入恒逸污水处理厂集中处理达标后排海</w:t>
            </w:r>
          </w:p>
        </w:tc>
      </w:tr>
      <w:tr w14:paraId="19011D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393ABF6E">
            <w:pPr>
              <w:pStyle w:val="70"/>
              <w:rPr>
                <w:color w:val="000000" w:themeColor="text1"/>
                <w14:textFill>
                  <w14:solidFill>
                    <w14:schemeClr w14:val="tx1"/>
                  </w14:solidFill>
                </w14:textFill>
              </w:rPr>
            </w:pPr>
          </w:p>
        </w:tc>
        <w:tc>
          <w:tcPr>
            <w:tcW w:w="568" w:type="dxa"/>
            <w:vMerge w:val="continue"/>
            <w:tcMar>
              <w:left w:w="0" w:type="dxa"/>
              <w:right w:w="0" w:type="dxa"/>
            </w:tcMar>
            <w:vAlign w:val="center"/>
          </w:tcPr>
          <w:p w14:paraId="188C0CEB">
            <w:pPr>
              <w:pStyle w:val="70"/>
              <w:rPr>
                <w:color w:val="000000" w:themeColor="text1"/>
                <w14:textFill>
                  <w14:solidFill>
                    <w14:schemeClr w14:val="tx1"/>
                  </w14:solidFill>
                </w14:textFill>
              </w:rPr>
            </w:pPr>
          </w:p>
        </w:tc>
        <w:tc>
          <w:tcPr>
            <w:tcW w:w="1702" w:type="dxa"/>
            <w:gridSpan w:val="2"/>
            <w:tcMar>
              <w:left w:w="0" w:type="dxa"/>
              <w:right w:w="0" w:type="dxa"/>
            </w:tcMar>
            <w:vAlign w:val="center"/>
          </w:tcPr>
          <w:p w14:paraId="2E9203D6">
            <w:pPr>
              <w:pStyle w:val="70"/>
              <w:rPr>
                <w:color w:val="000000" w:themeColor="text1"/>
                <w14:textFill>
                  <w14:solidFill>
                    <w14:schemeClr w14:val="tx1"/>
                  </w14:solidFill>
                </w14:textFill>
              </w:rPr>
            </w:pPr>
            <w:r>
              <w:rPr>
                <w:color w:val="000000" w:themeColor="text1"/>
                <w14:textFill>
                  <w14:solidFill>
                    <w14:schemeClr w14:val="tx1"/>
                  </w14:solidFill>
                </w14:textFill>
              </w:rPr>
              <w:t>供电</w:t>
            </w:r>
          </w:p>
        </w:tc>
        <w:tc>
          <w:tcPr>
            <w:tcW w:w="6362" w:type="dxa"/>
            <w:tcMar>
              <w:left w:w="0" w:type="dxa"/>
              <w:right w:w="0" w:type="dxa"/>
            </w:tcMar>
            <w:vAlign w:val="center"/>
          </w:tcPr>
          <w:p w14:paraId="0F5B0543">
            <w:pPr>
              <w:pStyle w:val="70"/>
              <w:rPr>
                <w:color w:val="000000" w:themeColor="text1"/>
                <w14:textFill>
                  <w14:solidFill>
                    <w14:schemeClr w14:val="tx1"/>
                  </w14:solidFill>
                </w14:textFill>
              </w:rPr>
            </w:pPr>
            <w:r>
              <w:rPr>
                <w:color w:val="000000" w:themeColor="text1"/>
                <w14:textFill>
                  <w14:solidFill>
                    <w14:schemeClr w14:val="tx1"/>
                  </w14:solidFill>
                </w14:textFill>
              </w:rPr>
              <w:t>由园区变电站提供</w:t>
            </w:r>
          </w:p>
        </w:tc>
      </w:tr>
      <w:tr w14:paraId="6E60BE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01008DEB">
            <w:pPr>
              <w:pStyle w:val="70"/>
              <w:rPr>
                <w:color w:val="000000" w:themeColor="text1"/>
                <w14:textFill>
                  <w14:solidFill>
                    <w14:schemeClr w14:val="tx1"/>
                  </w14:solidFill>
                </w14:textFill>
              </w:rPr>
            </w:pPr>
          </w:p>
        </w:tc>
        <w:tc>
          <w:tcPr>
            <w:tcW w:w="568" w:type="dxa"/>
            <w:vMerge w:val="continue"/>
            <w:tcMar>
              <w:left w:w="0" w:type="dxa"/>
              <w:right w:w="0" w:type="dxa"/>
            </w:tcMar>
            <w:vAlign w:val="center"/>
          </w:tcPr>
          <w:p w14:paraId="77E9C5F7">
            <w:pPr>
              <w:pStyle w:val="70"/>
              <w:rPr>
                <w:color w:val="000000" w:themeColor="text1"/>
                <w14:textFill>
                  <w14:solidFill>
                    <w14:schemeClr w14:val="tx1"/>
                  </w14:solidFill>
                </w14:textFill>
              </w:rPr>
            </w:pPr>
          </w:p>
        </w:tc>
        <w:tc>
          <w:tcPr>
            <w:tcW w:w="1702" w:type="dxa"/>
            <w:gridSpan w:val="2"/>
            <w:tcMar>
              <w:left w:w="0" w:type="dxa"/>
              <w:right w:w="0" w:type="dxa"/>
            </w:tcMar>
            <w:vAlign w:val="center"/>
          </w:tcPr>
          <w:p w14:paraId="58B372FE">
            <w:pPr>
              <w:pStyle w:val="70"/>
              <w:rPr>
                <w:color w:val="000000" w:themeColor="text1"/>
                <w14:textFill>
                  <w14:solidFill>
                    <w14:schemeClr w14:val="tx1"/>
                  </w14:solidFill>
                </w14:textFill>
              </w:rPr>
            </w:pPr>
            <w:r>
              <w:rPr>
                <w:color w:val="000000" w:themeColor="text1"/>
                <w14:textFill>
                  <w14:solidFill>
                    <w14:schemeClr w14:val="tx1"/>
                  </w14:solidFill>
                </w14:textFill>
              </w:rPr>
              <w:t>消防</w:t>
            </w:r>
          </w:p>
        </w:tc>
        <w:tc>
          <w:tcPr>
            <w:tcW w:w="6362" w:type="dxa"/>
            <w:tcMar>
              <w:left w:w="0" w:type="dxa"/>
              <w:right w:w="0" w:type="dxa"/>
            </w:tcMar>
            <w:vAlign w:val="center"/>
          </w:tcPr>
          <w:p w14:paraId="7923E37A">
            <w:pPr>
              <w:pStyle w:val="70"/>
              <w:rPr>
                <w:color w:val="000000" w:themeColor="text1"/>
                <w14:textFill>
                  <w14:solidFill>
                    <w14:schemeClr w14:val="tx1"/>
                  </w14:solidFill>
                </w14:textFill>
              </w:rPr>
            </w:pPr>
            <w:r>
              <w:rPr>
                <w:color w:val="000000" w:themeColor="text1"/>
                <w14:textFill>
                  <w14:solidFill>
                    <w14:schemeClr w14:val="tx1"/>
                  </w14:solidFill>
                </w14:textFill>
              </w:rPr>
              <w:t>码头设有消防系统，消防采用膜泡沫灭火剂和水结合的方式</w:t>
            </w:r>
          </w:p>
        </w:tc>
      </w:tr>
      <w:tr w14:paraId="6DA92E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3BC9123A">
            <w:pPr>
              <w:pStyle w:val="70"/>
              <w:rPr>
                <w:color w:val="000000" w:themeColor="text1"/>
                <w14:textFill>
                  <w14:solidFill>
                    <w14:schemeClr w14:val="tx1"/>
                  </w14:solidFill>
                </w14:textFill>
              </w:rPr>
            </w:pPr>
          </w:p>
        </w:tc>
        <w:tc>
          <w:tcPr>
            <w:tcW w:w="568" w:type="dxa"/>
            <w:vMerge w:val="restart"/>
            <w:tcMar>
              <w:left w:w="0" w:type="dxa"/>
              <w:right w:w="0" w:type="dxa"/>
            </w:tcMar>
            <w:vAlign w:val="center"/>
          </w:tcPr>
          <w:p w14:paraId="1E013E5D">
            <w:pPr>
              <w:pStyle w:val="70"/>
              <w:rPr>
                <w:color w:val="000000" w:themeColor="text1"/>
                <w14:textFill>
                  <w14:solidFill>
                    <w14:schemeClr w14:val="tx1"/>
                  </w14:solidFill>
                </w14:textFill>
              </w:rPr>
            </w:pPr>
            <w:r>
              <w:rPr>
                <w:color w:val="000000" w:themeColor="text1"/>
                <w14:textFill>
                  <w14:solidFill>
                    <w14:schemeClr w14:val="tx1"/>
                  </w14:solidFill>
                </w14:textFill>
              </w:rPr>
              <w:t>环保工程</w:t>
            </w:r>
          </w:p>
        </w:tc>
        <w:tc>
          <w:tcPr>
            <w:tcW w:w="1702" w:type="dxa"/>
            <w:gridSpan w:val="2"/>
            <w:tcMar>
              <w:left w:w="0" w:type="dxa"/>
              <w:right w:w="0" w:type="dxa"/>
            </w:tcMar>
            <w:vAlign w:val="center"/>
          </w:tcPr>
          <w:p w14:paraId="1A33214E">
            <w:pPr>
              <w:pStyle w:val="70"/>
              <w:rPr>
                <w:color w:val="000000" w:themeColor="text1"/>
                <w14:textFill>
                  <w14:solidFill>
                    <w14:schemeClr w14:val="tx1"/>
                  </w14:solidFill>
                </w14:textFill>
              </w:rPr>
            </w:pPr>
            <w:r>
              <w:rPr>
                <w:color w:val="000000" w:themeColor="text1"/>
                <w14:textFill>
                  <w14:solidFill>
                    <w14:schemeClr w14:val="tx1"/>
                  </w14:solidFill>
                </w14:textFill>
              </w:rPr>
              <w:t>废气处理措施</w:t>
            </w:r>
          </w:p>
        </w:tc>
        <w:tc>
          <w:tcPr>
            <w:tcW w:w="6362" w:type="dxa"/>
            <w:tcMar>
              <w:left w:w="0" w:type="dxa"/>
              <w:right w:w="0" w:type="dxa"/>
            </w:tcMar>
            <w:vAlign w:val="center"/>
          </w:tcPr>
          <w:p w14:paraId="3D2A3833">
            <w:pPr>
              <w:pStyle w:val="70"/>
              <w:rPr>
                <w:color w:val="000000" w:themeColor="text1"/>
                <w14:textFill>
                  <w14:solidFill>
                    <w14:schemeClr w14:val="tx1"/>
                  </w14:solidFill>
                </w14:textFill>
              </w:rPr>
            </w:pPr>
            <w:r>
              <w:rPr>
                <w:rFonts w:hint="eastAsia"/>
                <w:color w:val="000000" w:themeColor="text1"/>
                <w:u w:val="none"/>
                <w:lang w:val="en-US" w:eastAsia="zh-CN"/>
                <w14:textFill>
                  <w14:solidFill>
                    <w14:schemeClr w14:val="tx1"/>
                  </w14:solidFill>
                </w14:textFill>
              </w:rPr>
              <w:t>苯乙烯依托台湾见龙</w:t>
            </w:r>
            <w:r>
              <w:rPr>
                <w:rFonts w:hint="eastAsia"/>
                <w:color w:val="000000" w:themeColor="text1"/>
                <w:u w:val="none"/>
                <w14:textFill>
                  <w14:solidFill>
                    <w14:schemeClr w14:val="tx1"/>
                  </w14:solidFill>
                </w14:textFill>
              </w:rPr>
              <w:t>钦州高端聚苯乙烯新材料项目</w:t>
            </w:r>
            <w:r>
              <w:rPr>
                <w:rFonts w:hint="eastAsia"/>
                <w:color w:val="000000" w:themeColor="text1"/>
                <w:u w:val="none"/>
                <w:lang w:val="en-US" w:eastAsia="zh-CN"/>
                <w14:textFill>
                  <w14:solidFill>
                    <w14:schemeClr w14:val="tx1"/>
                  </w14:solidFill>
                </w14:textFill>
              </w:rPr>
              <w:t>RTO装置处理；棕榈酸化油、脂肪酸混合物依托</w:t>
            </w:r>
            <w:r>
              <w:rPr>
                <w:rFonts w:hint="eastAsia"/>
                <w:color w:val="000000" w:themeColor="text1"/>
                <w:u w:val="none"/>
                <w14:textFill>
                  <w14:solidFill>
                    <w14:schemeClr w14:val="tx1"/>
                  </w14:solidFill>
                </w14:textFill>
              </w:rPr>
              <w:t>欧德年产 30 万吨生物柴油生产线项目</w:t>
            </w:r>
            <w:r>
              <w:rPr>
                <w:rFonts w:hint="eastAsia"/>
                <w:color w:val="000000" w:themeColor="text1"/>
                <w:u w:val="none"/>
                <w:lang w:val="en-US" w:eastAsia="zh-CN"/>
                <w14:textFill>
                  <w14:solidFill>
                    <w14:schemeClr w14:val="tx1"/>
                  </w14:solidFill>
                </w14:textFill>
              </w:rPr>
              <w:t>RCO催化燃烧装置处理；</w:t>
            </w:r>
            <w:r>
              <w:rPr>
                <w:rFonts w:hint="eastAsia"/>
                <w:color w:val="000000" w:themeColor="text1"/>
                <w:u w:val="none"/>
                <w14:textFill>
                  <w14:solidFill>
                    <w14:schemeClr w14:val="tx1"/>
                  </w14:solidFill>
                </w14:textFill>
              </w:rPr>
              <w:t>裂解C9、工业级混合油、脂肪酸甲酯、纯生物柴油、航空煤油</w:t>
            </w:r>
            <w:r>
              <w:rPr>
                <w:rFonts w:hint="eastAsia"/>
                <w:color w:val="000000" w:themeColor="text1"/>
                <w:u w:val="none"/>
                <w:lang w:val="en-US" w:eastAsia="zh-CN"/>
                <w14:textFill>
                  <w14:solidFill>
                    <w14:schemeClr w14:val="tx1"/>
                  </w14:solidFill>
                </w14:textFill>
              </w:rPr>
              <w:t>依托</w:t>
            </w:r>
            <w:r>
              <w:rPr>
                <w:rFonts w:hint="eastAsia"/>
                <w:color w:val="000000" w:themeColor="text1"/>
                <w:u w:val="none"/>
                <w14:textFill>
                  <w14:solidFill>
                    <w14:schemeClr w14:val="tx1"/>
                  </w14:solidFill>
                </w14:textFill>
              </w:rPr>
              <w:t>广西恒逸新材料有限公司RTO蓄热式焚烧炉</w:t>
            </w:r>
            <w:r>
              <w:rPr>
                <w:rFonts w:hint="eastAsia"/>
                <w:color w:val="000000" w:themeColor="text1"/>
                <w:u w:val="none"/>
                <w:lang w:val="en-US" w:eastAsia="zh-CN"/>
                <w14:textFill>
                  <w14:solidFill>
                    <w14:schemeClr w14:val="tx1"/>
                  </w14:solidFill>
                </w14:textFill>
              </w:rPr>
              <w:t>处理；液硫、液碱、发烟硫酸、硫酸依托后方罐区环保措施处理。</w:t>
            </w:r>
          </w:p>
        </w:tc>
      </w:tr>
      <w:tr w14:paraId="488837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363C04D9">
            <w:pPr>
              <w:pStyle w:val="70"/>
              <w:rPr>
                <w:color w:val="000000" w:themeColor="text1"/>
                <w14:textFill>
                  <w14:solidFill>
                    <w14:schemeClr w14:val="tx1"/>
                  </w14:solidFill>
                </w14:textFill>
              </w:rPr>
            </w:pPr>
          </w:p>
        </w:tc>
        <w:tc>
          <w:tcPr>
            <w:tcW w:w="568" w:type="dxa"/>
            <w:vMerge w:val="continue"/>
            <w:tcMar>
              <w:left w:w="0" w:type="dxa"/>
              <w:right w:w="0" w:type="dxa"/>
            </w:tcMar>
            <w:vAlign w:val="center"/>
          </w:tcPr>
          <w:p w14:paraId="25E06779">
            <w:pPr>
              <w:pStyle w:val="70"/>
              <w:rPr>
                <w:color w:val="000000" w:themeColor="text1"/>
                <w14:textFill>
                  <w14:solidFill>
                    <w14:schemeClr w14:val="tx1"/>
                  </w14:solidFill>
                </w14:textFill>
              </w:rPr>
            </w:pPr>
          </w:p>
        </w:tc>
        <w:tc>
          <w:tcPr>
            <w:tcW w:w="1702" w:type="dxa"/>
            <w:gridSpan w:val="2"/>
            <w:tcMar>
              <w:left w:w="0" w:type="dxa"/>
              <w:right w:w="0" w:type="dxa"/>
            </w:tcMar>
            <w:vAlign w:val="center"/>
          </w:tcPr>
          <w:p w14:paraId="7A7C6A3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危废暂存设施</w:t>
            </w:r>
          </w:p>
        </w:tc>
        <w:tc>
          <w:tcPr>
            <w:tcW w:w="6362" w:type="dxa"/>
            <w:tcMar>
              <w:left w:w="0" w:type="dxa"/>
              <w:right w:w="0" w:type="dxa"/>
            </w:tcMar>
            <w:vAlign w:val="center"/>
          </w:tcPr>
          <w:p w14:paraId="55C3748F">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依托现有一体化危废暂存间，危废定期委托有资质单位处置</w:t>
            </w:r>
          </w:p>
        </w:tc>
      </w:tr>
      <w:tr w14:paraId="664107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3AB8AF1A">
            <w:pPr>
              <w:pStyle w:val="70"/>
              <w:rPr>
                <w:color w:val="000000" w:themeColor="text1"/>
                <w14:textFill>
                  <w14:solidFill>
                    <w14:schemeClr w14:val="tx1"/>
                  </w14:solidFill>
                </w14:textFill>
              </w:rPr>
            </w:pPr>
          </w:p>
        </w:tc>
        <w:tc>
          <w:tcPr>
            <w:tcW w:w="568" w:type="dxa"/>
            <w:vMerge w:val="continue"/>
            <w:tcMar>
              <w:left w:w="0" w:type="dxa"/>
              <w:right w:w="0" w:type="dxa"/>
            </w:tcMar>
            <w:vAlign w:val="center"/>
          </w:tcPr>
          <w:p w14:paraId="3BF07901">
            <w:pPr>
              <w:pStyle w:val="70"/>
              <w:rPr>
                <w:color w:val="000000" w:themeColor="text1"/>
                <w14:textFill>
                  <w14:solidFill>
                    <w14:schemeClr w14:val="tx1"/>
                  </w14:solidFill>
                </w14:textFill>
              </w:rPr>
            </w:pPr>
          </w:p>
        </w:tc>
        <w:tc>
          <w:tcPr>
            <w:tcW w:w="1702" w:type="dxa"/>
            <w:gridSpan w:val="2"/>
            <w:tcMar>
              <w:left w:w="0" w:type="dxa"/>
              <w:right w:w="0" w:type="dxa"/>
            </w:tcMar>
            <w:vAlign w:val="center"/>
          </w:tcPr>
          <w:p w14:paraId="5B96530F">
            <w:pPr>
              <w:pStyle w:val="70"/>
              <w:rPr>
                <w:color w:val="000000" w:themeColor="text1"/>
                <w14:textFill>
                  <w14:solidFill>
                    <w14:schemeClr w14:val="tx1"/>
                  </w14:solidFill>
                </w14:textFill>
              </w:rPr>
            </w:pPr>
            <w:r>
              <w:rPr>
                <w:color w:val="000000" w:themeColor="text1"/>
                <w14:textFill>
                  <w14:solidFill>
                    <w14:schemeClr w14:val="tx1"/>
                  </w14:solidFill>
                </w14:textFill>
              </w:rPr>
              <w:t>环境风险防范措施</w:t>
            </w:r>
          </w:p>
        </w:tc>
        <w:tc>
          <w:tcPr>
            <w:tcW w:w="6362" w:type="dxa"/>
            <w:tcMar>
              <w:left w:w="0" w:type="dxa"/>
              <w:right w:w="0" w:type="dxa"/>
            </w:tcMar>
            <w:vAlign w:val="center"/>
          </w:tcPr>
          <w:p w14:paraId="6C545F78">
            <w:pPr>
              <w:pStyle w:val="70"/>
              <w:rPr>
                <w:color w:val="000000" w:themeColor="text1"/>
                <w14:textFill>
                  <w14:solidFill>
                    <w14:schemeClr w14:val="tx1"/>
                  </w14:solidFill>
                </w14:textFill>
              </w:rPr>
            </w:pPr>
            <w:r>
              <w:rPr>
                <w:color w:val="000000" w:themeColor="text1"/>
                <w14:textFill>
                  <w14:solidFill>
                    <w14:schemeClr w14:val="tx1"/>
                  </w14:solidFill>
                </w14:textFill>
              </w:rPr>
              <w:t>在码头操作区域设围堰，在管廊紧急切断阀组下方设置收集坎，在码头设置有毒及可燃气体监测仪，每隔一定距离设置火灾报警按钮，码头前方装卸平台上设置一体化防爆摄像机，在后方库区消防控制室设置监视器。</w:t>
            </w:r>
          </w:p>
        </w:tc>
      </w:tr>
      <w:bookmarkEnd w:id="186"/>
    </w:tbl>
    <w:p w14:paraId="4EB7213D">
      <w:pPr>
        <w:pStyle w:val="5"/>
        <w:rPr>
          <w:color w:val="000000" w:themeColor="text1"/>
          <w14:textFill>
            <w14:solidFill>
              <w14:schemeClr w14:val="tx1"/>
            </w14:solidFill>
          </w14:textFill>
        </w:rPr>
      </w:pPr>
      <w:bookmarkStart w:id="189" w:name="_Toc216620356"/>
      <w:r>
        <w:rPr>
          <w:color w:val="000000" w:themeColor="text1"/>
          <w14:textFill>
            <w14:solidFill>
              <w14:schemeClr w14:val="tx1"/>
            </w14:solidFill>
          </w14:textFill>
        </w:rPr>
        <w:t>工程建设方案</w:t>
      </w:r>
      <w:bookmarkEnd w:id="189"/>
    </w:p>
    <w:p w14:paraId="1C6DD163">
      <w:pPr>
        <w:pStyle w:val="4"/>
        <w:rPr>
          <w:color w:val="000000" w:themeColor="text1"/>
          <w14:textFill>
            <w14:solidFill>
              <w14:schemeClr w14:val="tx1"/>
            </w14:solidFill>
          </w14:textFill>
        </w:rPr>
      </w:pPr>
      <w:bookmarkStart w:id="190" w:name="_Toc135090196"/>
      <w:bookmarkStart w:id="191" w:name="_Toc136878445"/>
      <w:bookmarkStart w:id="192" w:name="_Toc216620357"/>
      <w:bookmarkStart w:id="193" w:name="_Toc216103198"/>
      <w:r>
        <w:rPr>
          <w:color w:val="000000" w:themeColor="text1"/>
          <w14:textFill>
            <w14:solidFill>
              <w14:schemeClr w14:val="tx1"/>
            </w14:solidFill>
          </w14:textFill>
        </w:rPr>
        <w:t>主要设计参数</w:t>
      </w:r>
      <w:bookmarkEnd w:id="190"/>
      <w:bookmarkEnd w:id="191"/>
      <w:bookmarkEnd w:id="192"/>
      <w:bookmarkEnd w:id="193"/>
    </w:p>
    <w:p w14:paraId="2467A83A">
      <w:pPr>
        <w:pStyle w:val="6"/>
        <w:rPr>
          <w:color w:val="000000" w:themeColor="text1"/>
          <w14:textFill>
            <w14:solidFill>
              <w14:schemeClr w14:val="tx1"/>
            </w14:solidFill>
          </w14:textFill>
        </w:rPr>
      </w:pPr>
      <w:r>
        <w:rPr>
          <w:color w:val="000000" w:themeColor="text1"/>
          <w14:textFill>
            <w14:solidFill>
              <w14:schemeClr w14:val="tx1"/>
            </w14:solidFill>
          </w14:textFill>
        </w:rPr>
        <w:t>货种吞吐量</w:t>
      </w:r>
    </w:p>
    <w:p w14:paraId="31C69991">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新增吞吐货运量84万吨/年</w:t>
      </w:r>
      <w:r>
        <w:rPr>
          <w:color w:val="000000" w:themeColor="text1"/>
          <w:u w:val="single"/>
          <w14:textFill>
            <w14:solidFill>
              <w14:schemeClr w14:val="tx1"/>
            </w14:solidFill>
          </w14:textFill>
        </w:rPr>
        <w:t>。货物吞吐量见表2.2-1。</w:t>
      </w:r>
    </w:p>
    <w:p w14:paraId="284DB2C0">
      <w:pPr>
        <w:pStyle w:val="7"/>
        <w:tabs>
          <w:tab w:val="left" w:pos="2127"/>
          <w:tab w:val="left" w:pos="2411"/>
        </w:tabs>
        <w:rPr>
          <w:color w:val="000000" w:themeColor="text1"/>
          <w:u w:val="single"/>
          <w14:textFill>
            <w14:solidFill>
              <w14:schemeClr w14:val="tx1"/>
            </w14:solidFill>
          </w14:textFill>
        </w:rPr>
      </w:pPr>
      <w:r>
        <w:rPr>
          <w:color w:val="000000" w:themeColor="text1"/>
          <w:u w:val="single"/>
          <w14:textFill>
            <w14:solidFill>
              <w14:schemeClr w14:val="tx1"/>
            </w14:solidFill>
          </w14:textFill>
        </w:rPr>
        <w:t>14#泊位</w:t>
      </w:r>
      <w:r>
        <w:rPr>
          <w:rFonts w:hint="eastAsia"/>
          <w:color w:val="000000" w:themeColor="text1"/>
          <w:u w:val="single"/>
          <w14:textFill>
            <w14:solidFill>
              <w14:schemeClr w14:val="tx1"/>
            </w14:solidFill>
          </w14:textFill>
        </w:rPr>
        <w:t>新增</w:t>
      </w:r>
      <w:r>
        <w:rPr>
          <w:color w:val="000000" w:themeColor="text1"/>
          <w:u w:val="single"/>
          <w14:textFill>
            <w14:solidFill>
              <w14:schemeClr w14:val="tx1"/>
            </w14:solidFill>
          </w14:textFill>
        </w:rPr>
        <w:t>设计货物年吞吐量一览表</w:t>
      </w:r>
    </w:p>
    <w:tbl>
      <w:tblPr>
        <w:tblStyle w:val="43"/>
        <w:tblW w:w="499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1" w:type="dxa"/>
          <w:bottom w:w="0" w:type="dxa"/>
          <w:right w:w="51" w:type="dxa"/>
        </w:tblCellMar>
      </w:tblPr>
      <w:tblGrid>
        <w:gridCol w:w="546"/>
        <w:gridCol w:w="1828"/>
        <w:gridCol w:w="1004"/>
        <w:gridCol w:w="1004"/>
        <w:gridCol w:w="792"/>
        <w:gridCol w:w="1261"/>
        <w:gridCol w:w="1101"/>
        <w:gridCol w:w="864"/>
      </w:tblGrid>
      <w:tr w14:paraId="57C46A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tblHeader/>
          <w:jc w:val="center"/>
        </w:trPr>
        <w:tc>
          <w:tcPr>
            <w:tcW w:w="325" w:type="pct"/>
            <w:vAlign w:val="center"/>
          </w:tcPr>
          <w:p w14:paraId="18FF988B">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194" w:name="_Toc216103199"/>
            <w:bookmarkStart w:id="195" w:name="_Toc21072"/>
            <w:bookmarkStart w:id="196" w:name="_Toc216620358"/>
            <w:r>
              <w:rPr>
                <w:b/>
                <w:color w:val="000000" w:themeColor="text1"/>
                <w:sz w:val="21"/>
                <w:szCs w:val="20"/>
                <w14:textFill>
                  <w14:solidFill>
                    <w14:schemeClr w14:val="tx1"/>
                  </w14:solidFill>
                </w14:textFill>
              </w:rPr>
              <w:t>序号</w:t>
            </w:r>
            <w:bookmarkEnd w:id="194"/>
            <w:bookmarkEnd w:id="195"/>
            <w:bookmarkEnd w:id="196"/>
          </w:p>
        </w:tc>
        <w:tc>
          <w:tcPr>
            <w:tcW w:w="1087" w:type="pct"/>
            <w:vAlign w:val="center"/>
          </w:tcPr>
          <w:p w14:paraId="22B72AC6">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197" w:name="_Toc2223"/>
            <w:bookmarkStart w:id="198" w:name="_Toc216103200"/>
            <w:bookmarkStart w:id="199" w:name="_Toc216620359"/>
            <w:r>
              <w:rPr>
                <w:b/>
                <w:color w:val="000000" w:themeColor="text1"/>
                <w:sz w:val="21"/>
                <w:szCs w:val="20"/>
                <w14:textFill>
                  <w14:solidFill>
                    <w14:schemeClr w14:val="tx1"/>
                  </w14:solidFill>
                </w14:textFill>
              </w:rPr>
              <w:t>货种名称</w:t>
            </w:r>
            <w:bookmarkEnd w:id="197"/>
            <w:bookmarkEnd w:id="198"/>
            <w:bookmarkEnd w:id="199"/>
          </w:p>
        </w:tc>
        <w:tc>
          <w:tcPr>
            <w:tcW w:w="597" w:type="pct"/>
            <w:vAlign w:val="center"/>
          </w:tcPr>
          <w:p w14:paraId="54430A55">
            <w:pPr>
              <w:adjustRightInd w:val="0"/>
              <w:snapToGrid w:val="0"/>
              <w:spacing w:line="240" w:lineRule="auto"/>
              <w:ind w:firstLine="0" w:firstLineChars="0"/>
              <w:jc w:val="center"/>
              <w:outlineLvl w:val="0"/>
              <w:rPr>
                <w:rFonts w:hint="eastAsia" w:eastAsia="宋体"/>
                <w:b/>
                <w:color w:val="000000" w:themeColor="text1"/>
                <w:sz w:val="21"/>
                <w:szCs w:val="20"/>
                <w:lang w:val="en-US" w:eastAsia="zh-CN"/>
                <w14:textFill>
                  <w14:solidFill>
                    <w14:schemeClr w14:val="tx1"/>
                  </w14:solidFill>
                </w14:textFill>
              </w:rPr>
            </w:pPr>
            <w:bookmarkStart w:id="200" w:name="_Toc216103201"/>
            <w:bookmarkStart w:id="201" w:name="_Toc216620360"/>
            <w:bookmarkStart w:id="202" w:name="_Toc15499"/>
            <w:r>
              <w:rPr>
                <w:rFonts w:hint="eastAsia"/>
                <w:b/>
                <w:color w:val="000000" w:themeColor="text1"/>
                <w:sz w:val="21"/>
                <w:szCs w:val="20"/>
                <w:lang w:val="en-US" w:eastAsia="zh-CN"/>
                <w14:textFill>
                  <w14:solidFill>
                    <w14:schemeClr w14:val="tx1"/>
                  </w14:solidFill>
                </w14:textFill>
              </w:rPr>
              <w:t>类别</w:t>
            </w:r>
          </w:p>
        </w:tc>
        <w:tc>
          <w:tcPr>
            <w:tcW w:w="597" w:type="pct"/>
            <w:vAlign w:val="center"/>
          </w:tcPr>
          <w:p w14:paraId="01E511C2">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r>
              <w:rPr>
                <w:b/>
                <w:color w:val="000000" w:themeColor="text1"/>
                <w:sz w:val="21"/>
                <w:szCs w:val="20"/>
                <w14:textFill>
                  <w14:solidFill>
                    <w14:schemeClr w14:val="tx1"/>
                  </w14:solidFill>
                </w14:textFill>
              </w:rPr>
              <w:t>运输量</w:t>
            </w:r>
            <w:bookmarkEnd w:id="200"/>
            <w:bookmarkEnd w:id="201"/>
            <w:bookmarkEnd w:id="202"/>
          </w:p>
          <w:p w14:paraId="76CCA1A5">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203" w:name="_Toc216620361"/>
            <w:bookmarkStart w:id="204" w:name="_Toc27773"/>
            <w:bookmarkStart w:id="205" w:name="_Toc216103202"/>
            <w:r>
              <w:rPr>
                <w:rFonts w:hint="eastAsia"/>
                <w:b/>
                <w:color w:val="000000" w:themeColor="text1"/>
                <w:sz w:val="21"/>
                <w:szCs w:val="20"/>
                <w14:textFill>
                  <w14:solidFill>
                    <w14:schemeClr w14:val="tx1"/>
                  </w14:solidFill>
                </w14:textFill>
              </w:rPr>
              <w:t>（</w:t>
            </w:r>
            <w:r>
              <w:rPr>
                <w:b/>
                <w:color w:val="000000" w:themeColor="text1"/>
                <w:sz w:val="21"/>
                <w:szCs w:val="20"/>
                <w14:textFill>
                  <w14:solidFill>
                    <w14:schemeClr w14:val="tx1"/>
                  </w14:solidFill>
                </w14:textFill>
              </w:rPr>
              <w:t>万吨/年）</w:t>
            </w:r>
            <w:bookmarkEnd w:id="203"/>
            <w:bookmarkEnd w:id="204"/>
            <w:bookmarkEnd w:id="205"/>
          </w:p>
        </w:tc>
        <w:tc>
          <w:tcPr>
            <w:tcW w:w="471" w:type="pct"/>
            <w:vAlign w:val="center"/>
          </w:tcPr>
          <w:p w14:paraId="288EF61F">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206" w:name="_Toc216103203"/>
            <w:bookmarkStart w:id="207" w:name="_Toc18635"/>
            <w:bookmarkStart w:id="208" w:name="_Toc216620362"/>
            <w:r>
              <w:rPr>
                <w:b/>
                <w:color w:val="000000" w:themeColor="text1"/>
                <w:sz w:val="21"/>
                <w:szCs w:val="20"/>
                <w14:textFill>
                  <w14:solidFill>
                    <w14:schemeClr w14:val="tx1"/>
                  </w14:solidFill>
                </w14:textFill>
              </w:rPr>
              <w:t>装船/卸船</w:t>
            </w:r>
            <w:bookmarkEnd w:id="206"/>
            <w:bookmarkEnd w:id="207"/>
            <w:bookmarkEnd w:id="208"/>
          </w:p>
        </w:tc>
        <w:tc>
          <w:tcPr>
            <w:tcW w:w="750" w:type="pct"/>
            <w:vAlign w:val="center"/>
          </w:tcPr>
          <w:p w14:paraId="69DEAAC3">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209" w:name="_Toc26946"/>
            <w:bookmarkStart w:id="210" w:name="_Toc216620364"/>
            <w:bookmarkStart w:id="211" w:name="_Toc216103205"/>
            <w:r>
              <w:rPr>
                <w:b/>
                <w:color w:val="000000" w:themeColor="text1"/>
                <w:sz w:val="21"/>
                <w:szCs w:val="20"/>
                <w14:textFill>
                  <w14:solidFill>
                    <w14:schemeClr w14:val="tx1"/>
                  </w14:solidFill>
                </w14:textFill>
              </w:rPr>
              <w:t>装卸船方式</w:t>
            </w:r>
            <w:bookmarkEnd w:id="209"/>
            <w:bookmarkEnd w:id="210"/>
            <w:bookmarkEnd w:id="211"/>
          </w:p>
        </w:tc>
        <w:tc>
          <w:tcPr>
            <w:tcW w:w="655" w:type="pct"/>
            <w:vAlign w:val="center"/>
          </w:tcPr>
          <w:p w14:paraId="43CB5C02">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212" w:name="_Toc10786"/>
            <w:bookmarkStart w:id="213" w:name="_Toc216103206"/>
            <w:bookmarkStart w:id="214" w:name="_Toc216620365"/>
            <w:r>
              <w:rPr>
                <w:b/>
                <w:color w:val="000000" w:themeColor="text1"/>
                <w:sz w:val="21"/>
                <w:szCs w:val="20"/>
                <w14:textFill>
                  <w14:solidFill>
                    <w14:schemeClr w14:val="tx1"/>
                  </w14:solidFill>
                </w14:textFill>
              </w:rPr>
              <w:t>是否设码</w:t>
            </w:r>
            <w:bookmarkEnd w:id="212"/>
            <w:bookmarkStart w:id="215" w:name="_Toc13753"/>
            <w:r>
              <w:rPr>
                <w:b/>
                <w:color w:val="000000" w:themeColor="text1"/>
                <w:sz w:val="21"/>
                <w:szCs w:val="20"/>
                <w14:textFill>
                  <w14:solidFill>
                    <w14:schemeClr w14:val="tx1"/>
                  </w14:solidFill>
                </w14:textFill>
              </w:rPr>
              <w:t>头罐区储</w:t>
            </w:r>
            <w:bookmarkEnd w:id="215"/>
            <w:bookmarkStart w:id="216" w:name="_Toc14142"/>
            <w:r>
              <w:rPr>
                <w:b/>
                <w:color w:val="000000" w:themeColor="text1"/>
                <w:sz w:val="21"/>
                <w:szCs w:val="20"/>
                <w14:textFill>
                  <w14:solidFill>
                    <w14:schemeClr w14:val="tx1"/>
                  </w14:solidFill>
                </w14:textFill>
              </w:rPr>
              <w:t>罐</w:t>
            </w:r>
            <w:bookmarkEnd w:id="213"/>
            <w:bookmarkEnd w:id="214"/>
            <w:bookmarkEnd w:id="216"/>
          </w:p>
        </w:tc>
        <w:tc>
          <w:tcPr>
            <w:tcW w:w="514" w:type="pct"/>
            <w:vAlign w:val="center"/>
          </w:tcPr>
          <w:p w14:paraId="1B9445E0">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217" w:name="_Toc22784"/>
            <w:bookmarkStart w:id="218" w:name="_Toc216103207"/>
            <w:bookmarkStart w:id="219" w:name="_Toc216620366"/>
            <w:r>
              <w:rPr>
                <w:b/>
                <w:color w:val="000000" w:themeColor="text1"/>
                <w:sz w:val="21"/>
                <w:szCs w:val="20"/>
                <w14:textFill>
                  <w14:solidFill>
                    <w14:schemeClr w14:val="tx1"/>
                  </w14:solidFill>
                </w14:textFill>
              </w:rPr>
              <w:t>是否装汽</w:t>
            </w:r>
            <w:bookmarkEnd w:id="217"/>
            <w:bookmarkStart w:id="220" w:name="_Toc1852"/>
            <w:r>
              <w:rPr>
                <w:b/>
                <w:color w:val="000000" w:themeColor="text1"/>
                <w:sz w:val="21"/>
                <w:szCs w:val="20"/>
                <w14:textFill>
                  <w14:solidFill>
                    <w14:schemeClr w14:val="tx1"/>
                  </w14:solidFill>
                </w14:textFill>
              </w:rPr>
              <w:t>车</w:t>
            </w:r>
            <w:bookmarkEnd w:id="218"/>
            <w:bookmarkEnd w:id="219"/>
            <w:bookmarkEnd w:id="220"/>
          </w:p>
        </w:tc>
      </w:tr>
      <w:tr w14:paraId="4D7CA9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25" w:type="pct"/>
            <w:vAlign w:val="center"/>
          </w:tcPr>
          <w:p w14:paraId="7C297C93">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21" w:name="_Toc216103208"/>
            <w:bookmarkStart w:id="222" w:name="_Toc216620367"/>
            <w:r>
              <w:rPr>
                <w:rFonts w:hint="eastAsia"/>
                <w:color w:val="000000" w:themeColor="text1"/>
                <w:sz w:val="21"/>
                <w:szCs w:val="20"/>
                <w14:textFill>
                  <w14:solidFill>
                    <w14:schemeClr w14:val="tx1"/>
                  </w14:solidFill>
                </w14:textFill>
              </w:rPr>
              <w:t>1</w:t>
            </w:r>
            <w:bookmarkEnd w:id="221"/>
            <w:bookmarkEnd w:id="222"/>
          </w:p>
        </w:tc>
        <w:tc>
          <w:tcPr>
            <w:tcW w:w="1087" w:type="pct"/>
            <w:vAlign w:val="center"/>
          </w:tcPr>
          <w:p w14:paraId="3C11E2DE">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裂解C9</w:t>
            </w:r>
          </w:p>
        </w:tc>
        <w:tc>
          <w:tcPr>
            <w:tcW w:w="597" w:type="pct"/>
            <w:vAlign w:val="center"/>
          </w:tcPr>
          <w:p w14:paraId="5E751321">
            <w:pPr>
              <w:pStyle w:val="73"/>
              <w:spacing w:line="240" w:lineRule="exact"/>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第3类</w:t>
            </w:r>
          </w:p>
        </w:tc>
        <w:tc>
          <w:tcPr>
            <w:tcW w:w="597" w:type="pct"/>
            <w:vAlign w:val="center"/>
          </w:tcPr>
          <w:p w14:paraId="2DCE8646">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471" w:type="pct"/>
            <w:vAlign w:val="center"/>
          </w:tcPr>
          <w:p w14:paraId="4FC7C850">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卸船</w:t>
            </w:r>
          </w:p>
        </w:tc>
        <w:tc>
          <w:tcPr>
            <w:tcW w:w="750" w:type="pct"/>
            <w:vMerge w:val="restart"/>
            <w:vAlign w:val="center"/>
          </w:tcPr>
          <w:p w14:paraId="7F3B3FFD">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23" w:name="_Toc216620380"/>
            <w:bookmarkStart w:id="224" w:name="_Toc216103221"/>
            <w:r>
              <w:rPr>
                <w:color w:val="000000" w:themeColor="text1"/>
                <w:sz w:val="21"/>
                <w:szCs w:val="20"/>
                <w14:textFill>
                  <w14:solidFill>
                    <w14:schemeClr w14:val="tx1"/>
                  </w14:solidFill>
                </w14:textFill>
              </w:rPr>
              <w:t>装卸臂</w:t>
            </w:r>
            <w:bookmarkEnd w:id="223"/>
            <w:bookmarkEnd w:id="224"/>
          </w:p>
        </w:tc>
        <w:tc>
          <w:tcPr>
            <w:tcW w:w="655" w:type="pct"/>
            <w:vAlign w:val="center"/>
          </w:tcPr>
          <w:p w14:paraId="27246195">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514" w:type="pct"/>
            <w:vAlign w:val="center"/>
          </w:tcPr>
          <w:p w14:paraId="708275E2">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r>
      <w:tr w14:paraId="6E5E02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25" w:type="pct"/>
            <w:vAlign w:val="center"/>
          </w:tcPr>
          <w:p w14:paraId="20472EF5">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25" w:name="_Toc216103216"/>
            <w:bookmarkStart w:id="226" w:name="_Toc216620375"/>
            <w:r>
              <w:rPr>
                <w:rFonts w:hint="eastAsia"/>
                <w:color w:val="000000" w:themeColor="text1"/>
                <w:sz w:val="21"/>
                <w:szCs w:val="20"/>
                <w14:textFill>
                  <w14:solidFill>
                    <w14:schemeClr w14:val="tx1"/>
                  </w14:solidFill>
                </w14:textFill>
              </w:rPr>
              <w:t>2</w:t>
            </w:r>
            <w:bookmarkEnd w:id="225"/>
            <w:bookmarkEnd w:id="226"/>
          </w:p>
        </w:tc>
        <w:tc>
          <w:tcPr>
            <w:tcW w:w="1087" w:type="pct"/>
            <w:vAlign w:val="center"/>
          </w:tcPr>
          <w:p w14:paraId="077A54FB">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棕榈酸化油</w:t>
            </w:r>
          </w:p>
        </w:tc>
        <w:tc>
          <w:tcPr>
            <w:tcW w:w="597" w:type="pct"/>
            <w:vAlign w:val="center"/>
          </w:tcPr>
          <w:p w14:paraId="295F6C52">
            <w:pPr>
              <w:pStyle w:val="73"/>
              <w:spacing w:line="240" w:lineRule="exact"/>
              <w:rPr>
                <w:rFonts w:hint="eastAsia"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第3类</w:t>
            </w:r>
          </w:p>
        </w:tc>
        <w:tc>
          <w:tcPr>
            <w:tcW w:w="597" w:type="pct"/>
            <w:vAlign w:val="center"/>
          </w:tcPr>
          <w:p w14:paraId="1F85D67A">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3</w:t>
            </w:r>
          </w:p>
        </w:tc>
        <w:tc>
          <w:tcPr>
            <w:tcW w:w="471" w:type="pct"/>
            <w:vAlign w:val="center"/>
          </w:tcPr>
          <w:p w14:paraId="62B68B1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卸船</w:t>
            </w:r>
          </w:p>
        </w:tc>
        <w:tc>
          <w:tcPr>
            <w:tcW w:w="750" w:type="pct"/>
            <w:vMerge w:val="continue"/>
            <w:vAlign w:val="center"/>
          </w:tcPr>
          <w:p w14:paraId="14F168A6">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p>
        </w:tc>
        <w:tc>
          <w:tcPr>
            <w:tcW w:w="655" w:type="pct"/>
            <w:vAlign w:val="center"/>
          </w:tcPr>
          <w:p w14:paraId="52A4E471">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514" w:type="pct"/>
            <w:vAlign w:val="center"/>
          </w:tcPr>
          <w:p w14:paraId="00A97929">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r>
      <w:tr w14:paraId="34A242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25" w:type="pct"/>
            <w:vAlign w:val="center"/>
          </w:tcPr>
          <w:p w14:paraId="5336D036">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27" w:name="_Toc216103224"/>
            <w:bookmarkStart w:id="228" w:name="_Toc216620383"/>
            <w:r>
              <w:rPr>
                <w:rFonts w:hint="eastAsia"/>
                <w:color w:val="000000" w:themeColor="text1"/>
                <w:sz w:val="21"/>
                <w:szCs w:val="20"/>
                <w14:textFill>
                  <w14:solidFill>
                    <w14:schemeClr w14:val="tx1"/>
                  </w14:solidFill>
                </w14:textFill>
              </w:rPr>
              <w:t>3</w:t>
            </w:r>
            <w:bookmarkEnd w:id="227"/>
            <w:bookmarkEnd w:id="228"/>
          </w:p>
        </w:tc>
        <w:tc>
          <w:tcPr>
            <w:tcW w:w="1087" w:type="pct"/>
            <w:vAlign w:val="center"/>
          </w:tcPr>
          <w:p w14:paraId="0F9431B3">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脂肪酸甲酯</w:t>
            </w:r>
          </w:p>
        </w:tc>
        <w:tc>
          <w:tcPr>
            <w:tcW w:w="597" w:type="pct"/>
            <w:vAlign w:val="center"/>
          </w:tcPr>
          <w:p w14:paraId="25E0F337">
            <w:pPr>
              <w:pStyle w:val="73"/>
              <w:spacing w:line="240" w:lineRule="exact"/>
              <w:rPr>
                <w:rFonts w:hint="eastAsia"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第3类</w:t>
            </w:r>
          </w:p>
        </w:tc>
        <w:tc>
          <w:tcPr>
            <w:tcW w:w="597" w:type="pct"/>
            <w:vAlign w:val="center"/>
          </w:tcPr>
          <w:p w14:paraId="09D3C3CD">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3</w:t>
            </w:r>
          </w:p>
        </w:tc>
        <w:tc>
          <w:tcPr>
            <w:tcW w:w="471" w:type="pct"/>
            <w:vAlign w:val="center"/>
          </w:tcPr>
          <w:p w14:paraId="21239D93">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卸船</w:t>
            </w:r>
          </w:p>
        </w:tc>
        <w:tc>
          <w:tcPr>
            <w:tcW w:w="750" w:type="pct"/>
            <w:vMerge w:val="continue"/>
            <w:vAlign w:val="center"/>
          </w:tcPr>
          <w:p w14:paraId="4745CA90">
            <w:pPr>
              <w:adjustRightInd w:val="0"/>
              <w:snapToGrid w:val="0"/>
              <w:spacing w:line="240" w:lineRule="auto"/>
              <w:ind w:firstLine="420"/>
              <w:jc w:val="center"/>
              <w:outlineLvl w:val="0"/>
              <w:rPr>
                <w:color w:val="000000" w:themeColor="text1"/>
                <w:sz w:val="21"/>
                <w:szCs w:val="20"/>
                <w14:textFill>
                  <w14:solidFill>
                    <w14:schemeClr w14:val="tx1"/>
                  </w14:solidFill>
                </w14:textFill>
              </w:rPr>
            </w:pPr>
          </w:p>
        </w:tc>
        <w:tc>
          <w:tcPr>
            <w:tcW w:w="655" w:type="pct"/>
            <w:vAlign w:val="center"/>
          </w:tcPr>
          <w:p w14:paraId="16AD7DE7">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514" w:type="pct"/>
            <w:vAlign w:val="center"/>
          </w:tcPr>
          <w:p w14:paraId="74847D3E">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r>
      <w:tr w14:paraId="63937E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25" w:type="pct"/>
            <w:vAlign w:val="center"/>
          </w:tcPr>
          <w:p w14:paraId="6BFC967C">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29" w:name="_Toc216620390"/>
            <w:bookmarkStart w:id="230" w:name="_Toc216103231"/>
            <w:r>
              <w:rPr>
                <w:rFonts w:hint="eastAsia"/>
                <w:color w:val="000000" w:themeColor="text1"/>
                <w:sz w:val="21"/>
                <w:szCs w:val="20"/>
                <w14:textFill>
                  <w14:solidFill>
                    <w14:schemeClr w14:val="tx1"/>
                  </w14:solidFill>
                </w14:textFill>
              </w:rPr>
              <w:t>4</w:t>
            </w:r>
            <w:bookmarkEnd w:id="229"/>
            <w:bookmarkEnd w:id="230"/>
          </w:p>
        </w:tc>
        <w:tc>
          <w:tcPr>
            <w:tcW w:w="1087" w:type="pct"/>
            <w:vAlign w:val="center"/>
          </w:tcPr>
          <w:p w14:paraId="0C226010">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脂肪酸混合物</w:t>
            </w:r>
          </w:p>
        </w:tc>
        <w:tc>
          <w:tcPr>
            <w:tcW w:w="597" w:type="pct"/>
            <w:vAlign w:val="center"/>
          </w:tcPr>
          <w:p w14:paraId="327111D2">
            <w:pPr>
              <w:pStyle w:val="73"/>
              <w:spacing w:line="240" w:lineRule="exact"/>
              <w:rPr>
                <w:rFonts w:hint="eastAsia"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第3类</w:t>
            </w:r>
          </w:p>
        </w:tc>
        <w:tc>
          <w:tcPr>
            <w:tcW w:w="597" w:type="pct"/>
            <w:vAlign w:val="center"/>
          </w:tcPr>
          <w:p w14:paraId="358BBA5A">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471" w:type="pct"/>
            <w:vAlign w:val="center"/>
          </w:tcPr>
          <w:p w14:paraId="4160035D">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卸船</w:t>
            </w:r>
          </w:p>
        </w:tc>
        <w:tc>
          <w:tcPr>
            <w:tcW w:w="750" w:type="pct"/>
            <w:vMerge w:val="continue"/>
            <w:vAlign w:val="center"/>
          </w:tcPr>
          <w:p w14:paraId="609F2F57">
            <w:pPr>
              <w:adjustRightInd w:val="0"/>
              <w:snapToGrid w:val="0"/>
              <w:spacing w:line="240" w:lineRule="auto"/>
              <w:ind w:firstLine="420"/>
              <w:jc w:val="center"/>
              <w:outlineLvl w:val="0"/>
              <w:rPr>
                <w:color w:val="000000" w:themeColor="text1"/>
                <w:sz w:val="21"/>
                <w:szCs w:val="20"/>
                <w14:textFill>
                  <w14:solidFill>
                    <w14:schemeClr w14:val="tx1"/>
                  </w14:solidFill>
                </w14:textFill>
              </w:rPr>
            </w:pPr>
          </w:p>
        </w:tc>
        <w:tc>
          <w:tcPr>
            <w:tcW w:w="655" w:type="pct"/>
            <w:vAlign w:val="center"/>
          </w:tcPr>
          <w:p w14:paraId="51AAA736">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514" w:type="pct"/>
            <w:vAlign w:val="center"/>
          </w:tcPr>
          <w:p w14:paraId="3AEE8B6B">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r>
      <w:tr w14:paraId="07578B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25" w:type="pct"/>
            <w:vAlign w:val="center"/>
          </w:tcPr>
          <w:p w14:paraId="6D5E760B">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31" w:name="_Toc216103238"/>
            <w:bookmarkStart w:id="232" w:name="_Toc216620397"/>
            <w:r>
              <w:rPr>
                <w:rFonts w:hint="eastAsia"/>
                <w:color w:val="000000" w:themeColor="text1"/>
                <w:sz w:val="21"/>
                <w:szCs w:val="20"/>
                <w14:textFill>
                  <w14:solidFill>
                    <w14:schemeClr w14:val="tx1"/>
                  </w14:solidFill>
                </w14:textFill>
              </w:rPr>
              <w:t>5</w:t>
            </w:r>
            <w:bookmarkEnd w:id="231"/>
            <w:bookmarkEnd w:id="232"/>
          </w:p>
        </w:tc>
        <w:tc>
          <w:tcPr>
            <w:tcW w:w="1087" w:type="pct"/>
            <w:vAlign w:val="center"/>
          </w:tcPr>
          <w:p w14:paraId="4327C7D5">
            <w:pPr>
              <w:pStyle w:val="73"/>
              <w:spacing w:line="240" w:lineRule="exact"/>
              <w:rPr>
                <w:rFonts w:eastAsia="宋体"/>
                <w:color w:val="000000" w:themeColor="text1"/>
                <w:sz w:val="21"/>
                <w:szCs w:val="20"/>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工业级混合油</w:t>
            </w:r>
          </w:p>
        </w:tc>
        <w:tc>
          <w:tcPr>
            <w:tcW w:w="597" w:type="pct"/>
            <w:vAlign w:val="center"/>
          </w:tcPr>
          <w:p w14:paraId="4D627E37">
            <w:pPr>
              <w:pStyle w:val="73"/>
              <w:spacing w:line="240" w:lineRule="exact"/>
              <w:rPr>
                <w:rFonts w:hint="eastAsia"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第3类</w:t>
            </w:r>
          </w:p>
        </w:tc>
        <w:tc>
          <w:tcPr>
            <w:tcW w:w="597" w:type="pct"/>
            <w:vAlign w:val="center"/>
          </w:tcPr>
          <w:p w14:paraId="5EF2A9F0">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471" w:type="pct"/>
            <w:vAlign w:val="center"/>
          </w:tcPr>
          <w:p w14:paraId="6CD14B9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卸船</w:t>
            </w:r>
          </w:p>
        </w:tc>
        <w:tc>
          <w:tcPr>
            <w:tcW w:w="750" w:type="pct"/>
            <w:vMerge w:val="continue"/>
            <w:vAlign w:val="center"/>
          </w:tcPr>
          <w:p w14:paraId="67E6DCF6">
            <w:pPr>
              <w:adjustRightInd w:val="0"/>
              <w:snapToGrid w:val="0"/>
              <w:spacing w:line="240" w:lineRule="auto"/>
              <w:ind w:firstLine="420"/>
              <w:jc w:val="center"/>
              <w:outlineLvl w:val="0"/>
              <w:rPr>
                <w:color w:val="000000" w:themeColor="text1"/>
                <w:sz w:val="21"/>
                <w:szCs w:val="20"/>
                <w14:textFill>
                  <w14:solidFill>
                    <w14:schemeClr w14:val="tx1"/>
                  </w14:solidFill>
                </w14:textFill>
              </w:rPr>
            </w:pPr>
          </w:p>
        </w:tc>
        <w:tc>
          <w:tcPr>
            <w:tcW w:w="655" w:type="pct"/>
            <w:vAlign w:val="center"/>
          </w:tcPr>
          <w:p w14:paraId="7AEF1B15">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514" w:type="pct"/>
            <w:vAlign w:val="center"/>
          </w:tcPr>
          <w:p w14:paraId="53E0524D">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r>
      <w:tr w14:paraId="1B8F8C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25" w:type="pct"/>
            <w:vAlign w:val="center"/>
          </w:tcPr>
          <w:p w14:paraId="666AE43A">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33" w:name="_Toc216103245"/>
            <w:bookmarkStart w:id="234" w:name="_Toc216620404"/>
            <w:r>
              <w:rPr>
                <w:rFonts w:hint="eastAsia"/>
                <w:color w:val="000000" w:themeColor="text1"/>
                <w:sz w:val="21"/>
                <w:szCs w:val="20"/>
                <w14:textFill>
                  <w14:solidFill>
                    <w14:schemeClr w14:val="tx1"/>
                  </w14:solidFill>
                </w14:textFill>
              </w:rPr>
              <w:t>6</w:t>
            </w:r>
            <w:bookmarkEnd w:id="233"/>
            <w:bookmarkEnd w:id="234"/>
          </w:p>
        </w:tc>
        <w:tc>
          <w:tcPr>
            <w:tcW w:w="1087" w:type="pct"/>
            <w:vAlign w:val="center"/>
          </w:tcPr>
          <w:p w14:paraId="5A0C81FC">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纯生物柴油</w:t>
            </w:r>
          </w:p>
        </w:tc>
        <w:tc>
          <w:tcPr>
            <w:tcW w:w="597" w:type="pct"/>
            <w:vAlign w:val="center"/>
          </w:tcPr>
          <w:p w14:paraId="2921EFE1">
            <w:pPr>
              <w:pStyle w:val="73"/>
              <w:spacing w:line="240" w:lineRule="exact"/>
              <w:rPr>
                <w:rFonts w:hint="eastAsia"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第3类</w:t>
            </w:r>
          </w:p>
        </w:tc>
        <w:tc>
          <w:tcPr>
            <w:tcW w:w="597" w:type="pct"/>
            <w:vAlign w:val="center"/>
          </w:tcPr>
          <w:p w14:paraId="5741F2EF">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3</w:t>
            </w:r>
          </w:p>
        </w:tc>
        <w:tc>
          <w:tcPr>
            <w:tcW w:w="471" w:type="pct"/>
            <w:vAlign w:val="center"/>
          </w:tcPr>
          <w:p w14:paraId="1A950BC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装船</w:t>
            </w:r>
          </w:p>
        </w:tc>
        <w:tc>
          <w:tcPr>
            <w:tcW w:w="750" w:type="pct"/>
            <w:vMerge w:val="continue"/>
            <w:vAlign w:val="center"/>
          </w:tcPr>
          <w:p w14:paraId="79DEF63B">
            <w:pPr>
              <w:adjustRightInd w:val="0"/>
              <w:snapToGrid w:val="0"/>
              <w:spacing w:line="240" w:lineRule="auto"/>
              <w:ind w:firstLine="420"/>
              <w:jc w:val="center"/>
              <w:outlineLvl w:val="0"/>
              <w:rPr>
                <w:color w:val="000000" w:themeColor="text1"/>
                <w:sz w:val="21"/>
                <w:szCs w:val="20"/>
                <w14:textFill>
                  <w14:solidFill>
                    <w14:schemeClr w14:val="tx1"/>
                  </w14:solidFill>
                </w14:textFill>
              </w:rPr>
            </w:pPr>
          </w:p>
        </w:tc>
        <w:tc>
          <w:tcPr>
            <w:tcW w:w="655" w:type="pct"/>
            <w:vAlign w:val="center"/>
          </w:tcPr>
          <w:p w14:paraId="1C9FC433">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514" w:type="pct"/>
            <w:vAlign w:val="center"/>
          </w:tcPr>
          <w:p w14:paraId="422DFF86">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r>
      <w:tr w14:paraId="4558BB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25" w:type="pct"/>
            <w:vAlign w:val="center"/>
          </w:tcPr>
          <w:p w14:paraId="2DC35171">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35" w:name="_Toc216620411"/>
            <w:bookmarkStart w:id="236" w:name="_Toc216103252"/>
            <w:r>
              <w:rPr>
                <w:rFonts w:hint="eastAsia"/>
                <w:color w:val="000000" w:themeColor="text1"/>
                <w:sz w:val="21"/>
                <w:szCs w:val="20"/>
                <w14:textFill>
                  <w14:solidFill>
                    <w14:schemeClr w14:val="tx1"/>
                  </w14:solidFill>
                </w14:textFill>
              </w:rPr>
              <w:t>7</w:t>
            </w:r>
            <w:bookmarkEnd w:id="235"/>
            <w:bookmarkEnd w:id="236"/>
          </w:p>
        </w:tc>
        <w:tc>
          <w:tcPr>
            <w:tcW w:w="1087" w:type="pct"/>
            <w:vAlign w:val="center"/>
          </w:tcPr>
          <w:p w14:paraId="791F9A1D">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航空煤油</w:t>
            </w:r>
          </w:p>
        </w:tc>
        <w:tc>
          <w:tcPr>
            <w:tcW w:w="597" w:type="pct"/>
            <w:vAlign w:val="center"/>
          </w:tcPr>
          <w:p w14:paraId="3FED65B6">
            <w:pPr>
              <w:pStyle w:val="73"/>
              <w:spacing w:line="240" w:lineRule="exact"/>
              <w:rPr>
                <w:rFonts w:hint="eastAsia"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第3类</w:t>
            </w:r>
          </w:p>
        </w:tc>
        <w:tc>
          <w:tcPr>
            <w:tcW w:w="597" w:type="pct"/>
            <w:vAlign w:val="center"/>
          </w:tcPr>
          <w:p w14:paraId="5F8F24B2">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471" w:type="pct"/>
            <w:vAlign w:val="center"/>
          </w:tcPr>
          <w:p w14:paraId="1E96BE3C">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装船</w:t>
            </w:r>
          </w:p>
        </w:tc>
        <w:tc>
          <w:tcPr>
            <w:tcW w:w="750" w:type="pct"/>
            <w:vMerge w:val="continue"/>
            <w:tcBorders>
              <w:bottom w:val="single" w:color="auto" w:sz="4" w:space="0"/>
            </w:tcBorders>
            <w:vAlign w:val="center"/>
          </w:tcPr>
          <w:p w14:paraId="7C78A7A4">
            <w:pPr>
              <w:adjustRightInd w:val="0"/>
              <w:snapToGrid w:val="0"/>
              <w:spacing w:line="240" w:lineRule="auto"/>
              <w:ind w:firstLine="420"/>
              <w:jc w:val="center"/>
              <w:outlineLvl w:val="0"/>
              <w:rPr>
                <w:color w:val="000000" w:themeColor="text1"/>
                <w:sz w:val="21"/>
                <w:szCs w:val="20"/>
                <w14:textFill>
                  <w14:solidFill>
                    <w14:schemeClr w14:val="tx1"/>
                  </w14:solidFill>
                </w14:textFill>
              </w:rPr>
            </w:pPr>
          </w:p>
        </w:tc>
        <w:tc>
          <w:tcPr>
            <w:tcW w:w="655" w:type="pct"/>
            <w:tcBorders>
              <w:bottom w:val="single" w:color="auto" w:sz="4" w:space="0"/>
            </w:tcBorders>
            <w:vAlign w:val="center"/>
          </w:tcPr>
          <w:p w14:paraId="66C721A1">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514" w:type="pct"/>
            <w:vAlign w:val="center"/>
          </w:tcPr>
          <w:p w14:paraId="21CFC580">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r>
      <w:tr w14:paraId="2132F6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25" w:type="pct"/>
            <w:vAlign w:val="center"/>
          </w:tcPr>
          <w:p w14:paraId="0DF35409">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37" w:name="_Toc216620418"/>
            <w:bookmarkStart w:id="238" w:name="_Toc216103259"/>
            <w:r>
              <w:rPr>
                <w:rFonts w:hint="eastAsia"/>
                <w:color w:val="000000" w:themeColor="text1"/>
                <w:sz w:val="21"/>
                <w:szCs w:val="20"/>
                <w14:textFill>
                  <w14:solidFill>
                    <w14:schemeClr w14:val="tx1"/>
                  </w14:solidFill>
                </w14:textFill>
              </w:rPr>
              <w:t>8</w:t>
            </w:r>
            <w:bookmarkEnd w:id="237"/>
            <w:bookmarkEnd w:id="238"/>
          </w:p>
        </w:tc>
        <w:tc>
          <w:tcPr>
            <w:tcW w:w="1087" w:type="pct"/>
            <w:vAlign w:val="center"/>
          </w:tcPr>
          <w:p w14:paraId="2D5B2EB1">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苯乙烯</w:t>
            </w:r>
          </w:p>
        </w:tc>
        <w:tc>
          <w:tcPr>
            <w:tcW w:w="597" w:type="pct"/>
            <w:vAlign w:val="center"/>
          </w:tcPr>
          <w:p w14:paraId="09B91A51">
            <w:pPr>
              <w:pStyle w:val="73"/>
              <w:spacing w:line="240" w:lineRule="exact"/>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第3类</w:t>
            </w:r>
          </w:p>
        </w:tc>
        <w:tc>
          <w:tcPr>
            <w:tcW w:w="597" w:type="pct"/>
            <w:vAlign w:val="center"/>
          </w:tcPr>
          <w:p w14:paraId="055C58F9">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27</w:t>
            </w:r>
          </w:p>
        </w:tc>
        <w:tc>
          <w:tcPr>
            <w:tcW w:w="471" w:type="pct"/>
            <w:vAlign w:val="center"/>
          </w:tcPr>
          <w:p w14:paraId="461A732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卸船</w:t>
            </w:r>
          </w:p>
        </w:tc>
        <w:tc>
          <w:tcPr>
            <w:tcW w:w="750" w:type="pct"/>
            <w:tcBorders>
              <w:top w:val="single" w:color="auto" w:sz="4" w:space="0"/>
            </w:tcBorders>
            <w:vAlign w:val="center"/>
          </w:tcPr>
          <w:p w14:paraId="13BE1F5F">
            <w:pPr>
              <w:adjustRightInd w:val="0"/>
              <w:snapToGrid w:val="0"/>
              <w:spacing w:line="240" w:lineRule="auto"/>
              <w:ind w:firstLine="0" w:firstLineChars="0"/>
              <w:outlineLvl w:val="0"/>
              <w:rPr>
                <w:color w:val="000000" w:themeColor="text1"/>
                <w:sz w:val="21"/>
                <w:szCs w:val="20"/>
                <w14:textFill>
                  <w14:solidFill>
                    <w14:schemeClr w14:val="tx1"/>
                  </w14:solidFill>
                </w14:textFill>
              </w:rPr>
            </w:pPr>
            <w:r>
              <w:rPr>
                <w:color w:val="000000" w:themeColor="text1"/>
                <w:sz w:val="21"/>
                <w:szCs w:val="20"/>
                <w14:textFill>
                  <w14:solidFill>
                    <w14:schemeClr w14:val="tx1"/>
                  </w14:solidFill>
                </w14:textFill>
              </w:rPr>
              <w:t>装卸臂（利旧）</w:t>
            </w:r>
          </w:p>
        </w:tc>
        <w:tc>
          <w:tcPr>
            <w:tcW w:w="655" w:type="pct"/>
            <w:tcBorders>
              <w:top w:val="single" w:color="auto" w:sz="4" w:space="0"/>
            </w:tcBorders>
            <w:vAlign w:val="center"/>
          </w:tcPr>
          <w:p w14:paraId="0C76BB1E">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514" w:type="pct"/>
            <w:vAlign w:val="center"/>
          </w:tcPr>
          <w:p w14:paraId="18F1B3B5">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r>
      <w:tr w14:paraId="7820BF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25" w:type="pct"/>
            <w:vAlign w:val="center"/>
          </w:tcPr>
          <w:p w14:paraId="3A9C5B76">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39" w:name="_Toc216620425"/>
            <w:bookmarkStart w:id="240" w:name="_Toc216103266"/>
            <w:r>
              <w:rPr>
                <w:rFonts w:hint="eastAsia"/>
                <w:color w:val="000000" w:themeColor="text1"/>
                <w:sz w:val="21"/>
                <w:szCs w:val="20"/>
                <w14:textFill>
                  <w14:solidFill>
                    <w14:schemeClr w14:val="tx1"/>
                  </w14:solidFill>
                </w14:textFill>
              </w:rPr>
              <w:t>9</w:t>
            </w:r>
            <w:bookmarkEnd w:id="239"/>
            <w:bookmarkEnd w:id="240"/>
          </w:p>
        </w:tc>
        <w:tc>
          <w:tcPr>
            <w:tcW w:w="1087" w:type="pct"/>
            <w:vAlign w:val="center"/>
          </w:tcPr>
          <w:p w14:paraId="409257D9">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液硫</w:t>
            </w:r>
          </w:p>
        </w:tc>
        <w:tc>
          <w:tcPr>
            <w:tcW w:w="597" w:type="pct"/>
            <w:vAlign w:val="center"/>
          </w:tcPr>
          <w:p w14:paraId="0A45F176">
            <w:pPr>
              <w:pStyle w:val="73"/>
              <w:spacing w:line="240" w:lineRule="exact"/>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第4类</w:t>
            </w:r>
          </w:p>
        </w:tc>
        <w:tc>
          <w:tcPr>
            <w:tcW w:w="597" w:type="pct"/>
            <w:vAlign w:val="center"/>
          </w:tcPr>
          <w:p w14:paraId="1D875E2D">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24</w:t>
            </w:r>
          </w:p>
        </w:tc>
        <w:tc>
          <w:tcPr>
            <w:tcW w:w="471" w:type="pct"/>
            <w:vAlign w:val="center"/>
          </w:tcPr>
          <w:p w14:paraId="1B3855D6">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卸</w:t>
            </w:r>
          </w:p>
        </w:tc>
        <w:tc>
          <w:tcPr>
            <w:tcW w:w="750" w:type="pct"/>
            <w:vAlign w:val="center"/>
          </w:tcPr>
          <w:p w14:paraId="3967FBC3">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r>
              <w:rPr>
                <w:color w:val="000000" w:themeColor="text1"/>
                <w:sz w:val="21"/>
                <w:szCs w:val="20"/>
                <w14:textFill>
                  <w14:solidFill>
                    <w14:schemeClr w14:val="tx1"/>
                  </w14:solidFill>
                </w14:textFill>
              </w:rPr>
              <w:t>金属软管</w:t>
            </w:r>
          </w:p>
        </w:tc>
        <w:tc>
          <w:tcPr>
            <w:tcW w:w="655" w:type="pct"/>
            <w:vAlign w:val="center"/>
          </w:tcPr>
          <w:p w14:paraId="3BDEF5D7">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514" w:type="pct"/>
            <w:vAlign w:val="center"/>
          </w:tcPr>
          <w:p w14:paraId="43C8704C">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r>
      <w:tr w14:paraId="4AA53E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25" w:type="pct"/>
            <w:vAlign w:val="center"/>
          </w:tcPr>
          <w:p w14:paraId="2EDEC6DA">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41" w:name="_Toc216620432"/>
            <w:bookmarkStart w:id="242" w:name="_Toc216103273"/>
            <w:r>
              <w:rPr>
                <w:rFonts w:hint="eastAsia"/>
                <w:color w:val="000000" w:themeColor="text1"/>
                <w:sz w:val="21"/>
                <w:szCs w:val="20"/>
                <w14:textFill>
                  <w14:solidFill>
                    <w14:schemeClr w14:val="tx1"/>
                  </w14:solidFill>
                </w14:textFill>
              </w:rPr>
              <w:t>1</w:t>
            </w:r>
            <w:r>
              <w:rPr>
                <w:color w:val="000000" w:themeColor="text1"/>
                <w:sz w:val="21"/>
                <w:szCs w:val="20"/>
                <w14:textFill>
                  <w14:solidFill>
                    <w14:schemeClr w14:val="tx1"/>
                  </w14:solidFill>
                </w14:textFill>
              </w:rPr>
              <w:t>0</w:t>
            </w:r>
            <w:bookmarkEnd w:id="241"/>
            <w:bookmarkEnd w:id="242"/>
          </w:p>
        </w:tc>
        <w:tc>
          <w:tcPr>
            <w:tcW w:w="1087" w:type="pct"/>
            <w:vAlign w:val="center"/>
          </w:tcPr>
          <w:p w14:paraId="2F959578">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发烟硫酸</w:t>
            </w:r>
          </w:p>
        </w:tc>
        <w:tc>
          <w:tcPr>
            <w:tcW w:w="597" w:type="pct"/>
            <w:vAlign w:val="center"/>
          </w:tcPr>
          <w:p w14:paraId="12F78DB3">
            <w:pPr>
              <w:pStyle w:val="73"/>
              <w:spacing w:line="240" w:lineRule="exact"/>
              <w:rPr>
                <w:rFonts w:hint="eastAsia"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第8类</w:t>
            </w:r>
          </w:p>
        </w:tc>
        <w:tc>
          <w:tcPr>
            <w:tcW w:w="597" w:type="pct"/>
            <w:vAlign w:val="center"/>
          </w:tcPr>
          <w:p w14:paraId="64CA59A3">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471" w:type="pct"/>
            <w:vAlign w:val="center"/>
          </w:tcPr>
          <w:p w14:paraId="12879E67">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卸</w:t>
            </w:r>
          </w:p>
        </w:tc>
        <w:tc>
          <w:tcPr>
            <w:tcW w:w="750" w:type="pct"/>
            <w:vAlign w:val="center"/>
          </w:tcPr>
          <w:p w14:paraId="078420DF">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43" w:name="_Toc216620437"/>
            <w:bookmarkStart w:id="244" w:name="_Toc216103278"/>
            <w:r>
              <w:rPr>
                <w:color w:val="000000" w:themeColor="text1"/>
                <w:sz w:val="21"/>
                <w:szCs w:val="20"/>
                <w14:textFill>
                  <w14:solidFill>
                    <w14:schemeClr w14:val="tx1"/>
                  </w14:solidFill>
                </w14:textFill>
              </w:rPr>
              <w:t>金属软管</w:t>
            </w:r>
            <w:bookmarkEnd w:id="243"/>
            <w:bookmarkEnd w:id="244"/>
          </w:p>
        </w:tc>
        <w:tc>
          <w:tcPr>
            <w:tcW w:w="655" w:type="pct"/>
            <w:vAlign w:val="center"/>
          </w:tcPr>
          <w:p w14:paraId="6B1E9A48">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514" w:type="pct"/>
            <w:vAlign w:val="center"/>
          </w:tcPr>
          <w:p w14:paraId="4169DEA6">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r>
      <w:tr w14:paraId="0B7E67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25" w:type="pct"/>
            <w:vAlign w:val="center"/>
          </w:tcPr>
          <w:p w14:paraId="4293D001">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45" w:name="_Toc216620440"/>
            <w:bookmarkStart w:id="246" w:name="_Toc216103281"/>
            <w:r>
              <w:rPr>
                <w:rFonts w:hint="eastAsia"/>
                <w:color w:val="000000" w:themeColor="text1"/>
                <w:sz w:val="21"/>
                <w:szCs w:val="20"/>
                <w14:textFill>
                  <w14:solidFill>
                    <w14:schemeClr w14:val="tx1"/>
                  </w14:solidFill>
                </w14:textFill>
              </w:rPr>
              <w:t>1</w:t>
            </w:r>
            <w:r>
              <w:rPr>
                <w:color w:val="000000" w:themeColor="text1"/>
                <w:sz w:val="21"/>
                <w:szCs w:val="20"/>
                <w14:textFill>
                  <w14:solidFill>
                    <w14:schemeClr w14:val="tx1"/>
                  </w14:solidFill>
                </w14:textFill>
              </w:rPr>
              <w:t>1</w:t>
            </w:r>
            <w:bookmarkEnd w:id="245"/>
            <w:bookmarkEnd w:id="246"/>
          </w:p>
        </w:tc>
        <w:tc>
          <w:tcPr>
            <w:tcW w:w="1087" w:type="pct"/>
            <w:vAlign w:val="center"/>
          </w:tcPr>
          <w:p w14:paraId="300085B1">
            <w:pPr>
              <w:pStyle w:val="73"/>
              <w:spacing w:line="240" w:lineRule="exact"/>
              <w:rPr>
                <w:rFonts w:eastAsia="宋体"/>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硫酸</w:t>
            </w:r>
          </w:p>
        </w:tc>
        <w:tc>
          <w:tcPr>
            <w:tcW w:w="597" w:type="pct"/>
            <w:vAlign w:val="center"/>
          </w:tcPr>
          <w:p w14:paraId="53FF1792">
            <w:pPr>
              <w:pStyle w:val="73"/>
              <w:spacing w:line="240" w:lineRule="exact"/>
              <w:rPr>
                <w:rFonts w:hint="eastAsia"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第8类</w:t>
            </w:r>
          </w:p>
        </w:tc>
        <w:tc>
          <w:tcPr>
            <w:tcW w:w="597" w:type="pct"/>
            <w:vAlign w:val="center"/>
          </w:tcPr>
          <w:p w14:paraId="6A0EB9FD">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471" w:type="pct"/>
            <w:vAlign w:val="center"/>
          </w:tcPr>
          <w:p w14:paraId="53CA8B53">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卸</w:t>
            </w:r>
          </w:p>
        </w:tc>
        <w:tc>
          <w:tcPr>
            <w:tcW w:w="750" w:type="pct"/>
            <w:vAlign w:val="center"/>
          </w:tcPr>
          <w:p w14:paraId="2174CEC8">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47" w:name="_Toc216620445"/>
            <w:bookmarkStart w:id="248" w:name="_Toc216103286"/>
            <w:r>
              <w:rPr>
                <w:color w:val="000000" w:themeColor="text1"/>
                <w:sz w:val="21"/>
                <w:szCs w:val="20"/>
                <w14:textFill>
                  <w14:solidFill>
                    <w14:schemeClr w14:val="tx1"/>
                  </w14:solidFill>
                </w14:textFill>
              </w:rPr>
              <w:t>金属软管</w:t>
            </w:r>
            <w:bookmarkEnd w:id="247"/>
            <w:bookmarkEnd w:id="248"/>
          </w:p>
        </w:tc>
        <w:tc>
          <w:tcPr>
            <w:tcW w:w="655" w:type="pct"/>
            <w:vAlign w:val="center"/>
          </w:tcPr>
          <w:p w14:paraId="4E52AE36">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514" w:type="pct"/>
            <w:vAlign w:val="center"/>
          </w:tcPr>
          <w:p w14:paraId="54E315D3">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r>
      <w:tr w14:paraId="0CBE82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25" w:type="pct"/>
            <w:vAlign w:val="center"/>
          </w:tcPr>
          <w:p w14:paraId="5798F877">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49" w:name="_Toc216103289"/>
            <w:bookmarkStart w:id="250" w:name="_Toc216620448"/>
            <w:r>
              <w:rPr>
                <w:rFonts w:hint="eastAsia"/>
                <w:color w:val="000000" w:themeColor="text1"/>
                <w:sz w:val="21"/>
                <w:szCs w:val="20"/>
                <w14:textFill>
                  <w14:solidFill>
                    <w14:schemeClr w14:val="tx1"/>
                  </w14:solidFill>
                </w14:textFill>
              </w:rPr>
              <w:t>1</w:t>
            </w:r>
            <w:r>
              <w:rPr>
                <w:color w:val="000000" w:themeColor="text1"/>
                <w:sz w:val="21"/>
                <w:szCs w:val="20"/>
                <w14:textFill>
                  <w14:solidFill>
                    <w14:schemeClr w14:val="tx1"/>
                  </w14:solidFill>
                </w14:textFill>
              </w:rPr>
              <w:t>2</w:t>
            </w:r>
            <w:bookmarkEnd w:id="249"/>
            <w:bookmarkEnd w:id="250"/>
          </w:p>
        </w:tc>
        <w:tc>
          <w:tcPr>
            <w:tcW w:w="1087" w:type="pct"/>
            <w:vAlign w:val="center"/>
          </w:tcPr>
          <w:p w14:paraId="0A6ED72E">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液碱</w:t>
            </w:r>
          </w:p>
        </w:tc>
        <w:tc>
          <w:tcPr>
            <w:tcW w:w="597" w:type="pct"/>
            <w:vAlign w:val="center"/>
          </w:tcPr>
          <w:p w14:paraId="4FF7A04C">
            <w:pPr>
              <w:pStyle w:val="73"/>
              <w:spacing w:line="240" w:lineRule="exact"/>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第8类</w:t>
            </w:r>
          </w:p>
        </w:tc>
        <w:tc>
          <w:tcPr>
            <w:tcW w:w="597" w:type="pct"/>
            <w:vAlign w:val="center"/>
          </w:tcPr>
          <w:p w14:paraId="3C5ADD79">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12</w:t>
            </w:r>
          </w:p>
        </w:tc>
        <w:tc>
          <w:tcPr>
            <w:tcW w:w="471" w:type="pct"/>
            <w:vAlign w:val="center"/>
          </w:tcPr>
          <w:p w14:paraId="713511A4">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卸</w:t>
            </w:r>
          </w:p>
        </w:tc>
        <w:tc>
          <w:tcPr>
            <w:tcW w:w="750" w:type="pct"/>
            <w:vAlign w:val="center"/>
          </w:tcPr>
          <w:p w14:paraId="34B0E8C6">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51" w:name="_Toc216620453"/>
            <w:bookmarkStart w:id="252" w:name="_Toc216103294"/>
            <w:r>
              <w:rPr>
                <w:color w:val="000000" w:themeColor="text1"/>
                <w:sz w:val="21"/>
                <w:szCs w:val="20"/>
                <w14:textFill>
                  <w14:solidFill>
                    <w14:schemeClr w14:val="tx1"/>
                  </w14:solidFill>
                </w14:textFill>
              </w:rPr>
              <w:t>金属软管</w:t>
            </w:r>
            <w:bookmarkEnd w:id="251"/>
            <w:bookmarkEnd w:id="252"/>
          </w:p>
        </w:tc>
        <w:tc>
          <w:tcPr>
            <w:tcW w:w="655" w:type="pct"/>
            <w:vAlign w:val="center"/>
          </w:tcPr>
          <w:p w14:paraId="3C95CE5A">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514" w:type="pct"/>
            <w:vAlign w:val="center"/>
          </w:tcPr>
          <w:p w14:paraId="7D6E355D">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r>
    </w:tbl>
    <w:p w14:paraId="0EEF53A3">
      <w:pPr>
        <w:ind w:firstLine="480"/>
        <w:rPr>
          <w:rFonts w:hint="eastAsia"/>
          <w:b/>
          <w:bCs/>
          <w:color w:val="000000" w:themeColor="text1"/>
          <w:sz w:val="18"/>
          <w:szCs w:val="18"/>
          <w:u w:val="single"/>
          <w14:textFill>
            <w14:solidFill>
              <w14:schemeClr w14:val="tx1"/>
            </w14:solidFill>
          </w14:textFill>
        </w:rPr>
      </w:pPr>
      <w:r>
        <w:rPr>
          <w:rFonts w:hint="eastAsia"/>
          <w:b/>
          <w:bCs/>
          <w:color w:val="000000" w:themeColor="text1"/>
          <w:sz w:val="18"/>
          <w:szCs w:val="18"/>
          <w:u w:val="single"/>
          <w14:textFill>
            <w14:solidFill>
              <w14:schemeClr w14:val="tx1"/>
            </w14:solidFill>
          </w14:textFill>
        </w:rPr>
        <w:t>注:第1类:爆炸品;第2类:压缩气体;第3类:易燃液体;第4类:易燃固体;第5类:氧化物有机过氧化物</w:t>
      </w:r>
      <w:r>
        <w:rPr>
          <w:rFonts w:hint="eastAsia"/>
          <w:b/>
          <w:bCs/>
          <w:color w:val="000000" w:themeColor="text1"/>
          <w:sz w:val="18"/>
          <w:szCs w:val="18"/>
          <w:u w:val="single"/>
          <w:lang w:eastAsia="zh-CN"/>
          <w14:textFill>
            <w14:solidFill>
              <w14:schemeClr w14:val="tx1"/>
            </w14:solidFill>
          </w14:textFill>
        </w:rPr>
        <w:t>；</w:t>
      </w:r>
      <w:r>
        <w:rPr>
          <w:rFonts w:hint="eastAsia"/>
          <w:b/>
          <w:bCs/>
          <w:color w:val="000000" w:themeColor="text1"/>
          <w:sz w:val="18"/>
          <w:szCs w:val="18"/>
          <w:u w:val="single"/>
          <w14:textFill>
            <w14:solidFill>
              <w14:schemeClr w14:val="tx1"/>
            </w14:solidFill>
          </w14:textFill>
        </w:rPr>
        <w:t>第6类:有毒物质</w:t>
      </w:r>
      <w:r>
        <w:rPr>
          <w:rFonts w:hint="eastAsia"/>
          <w:b/>
          <w:bCs/>
          <w:color w:val="000000" w:themeColor="text1"/>
          <w:sz w:val="18"/>
          <w:szCs w:val="18"/>
          <w:u w:val="single"/>
          <w:lang w:eastAsia="zh-CN"/>
          <w14:textFill>
            <w14:solidFill>
              <w14:schemeClr w14:val="tx1"/>
            </w14:solidFill>
          </w14:textFill>
        </w:rPr>
        <w:t>；</w:t>
      </w:r>
      <w:r>
        <w:rPr>
          <w:rFonts w:hint="eastAsia"/>
          <w:b/>
          <w:bCs/>
          <w:color w:val="000000" w:themeColor="text1"/>
          <w:sz w:val="18"/>
          <w:szCs w:val="18"/>
          <w:u w:val="single"/>
          <w14:textFill>
            <w14:solidFill>
              <w14:schemeClr w14:val="tx1"/>
            </w14:solidFill>
          </w14:textFill>
        </w:rPr>
        <w:t>第7类:放射性物质</w:t>
      </w:r>
      <w:r>
        <w:rPr>
          <w:rFonts w:hint="eastAsia"/>
          <w:b/>
          <w:bCs/>
          <w:color w:val="000000" w:themeColor="text1"/>
          <w:sz w:val="18"/>
          <w:szCs w:val="18"/>
          <w:u w:val="single"/>
          <w:lang w:eastAsia="zh-CN"/>
          <w14:textFill>
            <w14:solidFill>
              <w14:schemeClr w14:val="tx1"/>
            </w14:solidFill>
          </w14:textFill>
        </w:rPr>
        <w:t>；</w:t>
      </w:r>
      <w:r>
        <w:rPr>
          <w:rFonts w:hint="eastAsia"/>
          <w:b/>
          <w:bCs/>
          <w:color w:val="000000" w:themeColor="text1"/>
          <w:sz w:val="18"/>
          <w:szCs w:val="18"/>
          <w:u w:val="single"/>
          <w14:textFill>
            <w14:solidFill>
              <w14:schemeClr w14:val="tx1"/>
            </w14:solidFill>
          </w14:textFill>
        </w:rPr>
        <w:t>第8类:腐品</w:t>
      </w:r>
      <w:r>
        <w:rPr>
          <w:rFonts w:hint="eastAsia"/>
          <w:b/>
          <w:bCs/>
          <w:color w:val="000000" w:themeColor="text1"/>
          <w:sz w:val="18"/>
          <w:szCs w:val="18"/>
          <w:u w:val="single"/>
          <w:lang w:eastAsia="zh-CN"/>
          <w14:textFill>
            <w14:solidFill>
              <w14:schemeClr w14:val="tx1"/>
            </w14:solidFill>
          </w14:textFill>
        </w:rPr>
        <w:t>；</w:t>
      </w:r>
      <w:r>
        <w:rPr>
          <w:rFonts w:hint="eastAsia"/>
          <w:b/>
          <w:bCs/>
          <w:color w:val="000000" w:themeColor="text1"/>
          <w:sz w:val="18"/>
          <w:szCs w:val="18"/>
          <w:u w:val="single"/>
          <w14:textFill>
            <w14:solidFill>
              <w14:schemeClr w14:val="tx1"/>
            </w14:solidFill>
          </w14:textFill>
        </w:rPr>
        <w:t>第9类:杂项</w:t>
      </w:r>
    </w:p>
    <w:p w14:paraId="1D6E8163">
      <w:pPr>
        <w:pStyle w:val="6"/>
        <w:tabs>
          <w:tab w:val="left" w:pos="561"/>
        </w:tabs>
        <w:rPr>
          <w:color w:val="000000" w:themeColor="text1"/>
          <w14:textFill>
            <w14:solidFill>
              <w14:schemeClr w14:val="tx1"/>
            </w14:solidFill>
          </w14:textFill>
        </w:rPr>
      </w:pPr>
      <w:r>
        <w:rPr>
          <w:rFonts w:hint="eastAsia"/>
          <w:color w:val="000000" w:themeColor="text1"/>
          <w14:textFill>
            <w14:solidFill>
              <w14:schemeClr w14:val="tx1"/>
            </w14:solidFill>
          </w14:textFill>
        </w:rPr>
        <w:t>设计管道尺寸</w:t>
      </w:r>
    </w:p>
    <w:p w14:paraId="1FB63BD7">
      <w:pPr>
        <w:pStyle w:val="7"/>
        <w:tabs>
          <w:tab w:val="left" w:pos="2127"/>
          <w:tab w:val="left" w:pos="2411"/>
        </w:tabs>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管道设计</w:t>
      </w:r>
      <w:r>
        <w:rPr>
          <w:color w:val="000000" w:themeColor="text1"/>
          <w:u w:val="single"/>
          <w14:textFill>
            <w14:solidFill>
              <w14:schemeClr w14:val="tx1"/>
            </w14:solidFill>
          </w14:textFill>
        </w:rPr>
        <w:t>一览表</w:t>
      </w:r>
    </w:p>
    <w:tbl>
      <w:tblPr>
        <w:tblStyle w:val="43"/>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1" w:type="dxa"/>
          <w:bottom w:w="0" w:type="dxa"/>
          <w:right w:w="51" w:type="dxa"/>
        </w:tblCellMar>
      </w:tblPr>
      <w:tblGrid>
        <w:gridCol w:w="598"/>
        <w:gridCol w:w="1568"/>
        <w:gridCol w:w="874"/>
        <w:gridCol w:w="1131"/>
        <w:gridCol w:w="988"/>
        <w:gridCol w:w="2280"/>
        <w:gridCol w:w="966"/>
      </w:tblGrid>
      <w:tr w14:paraId="6E751B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tblHeader/>
          <w:jc w:val="center"/>
        </w:trPr>
        <w:tc>
          <w:tcPr>
            <w:tcW w:w="356" w:type="pct"/>
            <w:vAlign w:val="center"/>
          </w:tcPr>
          <w:p w14:paraId="07F03C89">
            <w:pPr>
              <w:adjustRightInd w:val="0"/>
              <w:snapToGrid w:val="0"/>
              <w:spacing w:line="240" w:lineRule="auto"/>
              <w:ind w:firstLine="0" w:firstLineChars="0"/>
              <w:jc w:val="center"/>
              <w:outlineLvl w:val="0"/>
              <w:rPr>
                <w:b/>
                <w:color w:val="000000" w:themeColor="text1"/>
                <w:sz w:val="21"/>
                <w:szCs w:val="20"/>
                <w:u w:val="single"/>
                <w14:textFill>
                  <w14:solidFill>
                    <w14:schemeClr w14:val="tx1"/>
                  </w14:solidFill>
                </w14:textFill>
              </w:rPr>
            </w:pPr>
            <w:r>
              <w:rPr>
                <w:b/>
                <w:color w:val="000000" w:themeColor="text1"/>
                <w:sz w:val="21"/>
                <w:szCs w:val="20"/>
                <w:u w:val="single"/>
                <w14:textFill>
                  <w14:solidFill>
                    <w14:schemeClr w14:val="tx1"/>
                  </w14:solidFill>
                </w14:textFill>
              </w:rPr>
              <w:t>序号</w:t>
            </w:r>
          </w:p>
        </w:tc>
        <w:tc>
          <w:tcPr>
            <w:tcW w:w="933" w:type="pct"/>
            <w:vAlign w:val="center"/>
          </w:tcPr>
          <w:p w14:paraId="3EB44D2E">
            <w:pPr>
              <w:adjustRightInd w:val="0"/>
              <w:snapToGrid w:val="0"/>
              <w:spacing w:line="240" w:lineRule="auto"/>
              <w:ind w:firstLine="0" w:firstLineChars="0"/>
              <w:jc w:val="center"/>
              <w:outlineLvl w:val="0"/>
              <w:rPr>
                <w:b/>
                <w:color w:val="000000" w:themeColor="text1"/>
                <w:sz w:val="21"/>
                <w:szCs w:val="20"/>
                <w:u w:val="single"/>
                <w14:textFill>
                  <w14:solidFill>
                    <w14:schemeClr w14:val="tx1"/>
                  </w14:solidFill>
                </w14:textFill>
              </w:rPr>
            </w:pPr>
            <w:r>
              <w:rPr>
                <w:b/>
                <w:color w:val="000000" w:themeColor="text1"/>
                <w:sz w:val="21"/>
                <w:szCs w:val="20"/>
                <w:u w:val="single"/>
                <w14:textFill>
                  <w14:solidFill>
                    <w14:schemeClr w14:val="tx1"/>
                  </w14:solidFill>
                </w14:textFill>
              </w:rPr>
              <w:t>管道号</w:t>
            </w:r>
          </w:p>
        </w:tc>
        <w:tc>
          <w:tcPr>
            <w:tcW w:w="520" w:type="pct"/>
            <w:vAlign w:val="center"/>
          </w:tcPr>
          <w:p w14:paraId="57732A0D">
            <w:pPr>
              <w:adjustRightInd w:val="0"/>
              <w:snapToGrid w:val="0"/>
              <w:spacing w:line="240" w:lineRule="auto"/>
              <w:ind w:firstLine="0" w:firstLineChars="0"/>
              <w:jc w:val="center"/>
              <w:outlineLvl w:val="0"/>
              <w:rPr>
                <w:b/>
                <w:color w:val="000000" w:themeColor="text1"/>
                <w:sz w:val="21"/>
                <w:szCs w:val="20"/>
                <w:u w:val="single"/>
                <w14:textFill>
                  <w14:solidFill>
                    <w14:schemeClr w14:val="tx1"/>
                  </w14:solidFill>
                </w14:textFill>
              </w:rPr>
            </w:pPr>
            <w:r>
              <w:rPr>
                <w:b/>
                <w:color w:val="000000" w:themeColor="text1"/>
                <w:sz w:val="21"/>
                <w:szCs w:val="20"/>
                <w:u w:val="single"/>
                <w14:textFill>
                  <w14:solidFill>
                    <w14:schemeClr w14:val="tx1"/>
                  </w14:solidFill>
                </w14:textFill>
              </w:rPr>
              <w:t>公称直径（mm）</w:t>
            </w:r>
          </w:p>
        </w:tc>
        <w:tc>
          <w:tcPr>
            <w:tcW w:w="673" w:type="pct"/>
            <w:vAlign w:val="center"/>
          </w:tcPr>
          <w:p w14:paraId="5F0881D2">
            <w:pPr>
              <w:adjustRightInd w:val="0"/>
              <w:snapToGrid w:val="0"/>
              <w:spacing w:line="240" w:lineRule="auto"/>
              <w:ind w:firstLine="0" w:firstLineChars="0"/>
              <w:jc w:val="center"/>
              <w:outlineLvl w:val="0"/>
              <w:rPr>
                <w:b/>
                <w:color w:val="000000" w:themeColor="text1"/>
                <w:sz w:val="21"/>
                <w:szCs w:val="20"/>
                <w:u w:val="single"/>
                <w14:textFill>
                  <w14:solidFill>
                    <w14:schemeClr w14:val="tx1"/>
                  </w14:solidFill>
                </w14:textFill>
              </w:rPr>
            </w:pPr>
            <w:r>
              <w:rPr>
                <w:b/>
                <w:color w:val="000000" w:themeColor="text1"/>
                <w:sz w:val="21"/>
                <w:szCs w:val="20"/>
                <w:u w:val="single"/>
                <w14:textFill>
                  <w14:solidFill>
                    <w14:schemeClr w14:val="tx1"/>
                  </w14:solidFill>
                </w14:textFill>
              </w:rPr>
              <w:t>来向</w:t>
            </w:r>
          </w:p>
        </w:tc>
        <w:tc>
          <w:tcPr>
            <w:tcW w:w="588" w:type="pct"/>
            <w:vAlign w:val="center"/>
          </w:tcPr>
          <w:p w14:paraId="21530647">
            <w:pPr>
              <w:adjustRightInd w:val="0"/>
              <w:snapToGrid w:val="0"/>
              <w:spacing w:line="240" w:lineRule="auto"/>
              <w:ind w:firstLine="0" w:firstLineChars="0"/>
              <w:jc w:val="center"/>
              <w:outlineLvl w:val="0"/>
              <w:rPr>
                <w:b/>
                <w:color w:val="000000" w:themeColor="text1"/>
                <w:sz w:val="21"/>
                <w:szCs w:val="20"/>
                <w:u w:val="single"/>
                <w14:textFill>
                  <w14:solidFill>
                    <w14:schemeClr w14:val="tx1"/>
                  </w14:solidFill>
                </w14:textFill>
              </w:rPr>
            </w:pPr>
            <w:r>
              <w:rPr>
                <w:b/>
                <w:color w:val="000000" w:themeColor="text1"/>
                <w:sz w:val="21"/>
                <w:szCs w:val="20"/>
                <w:u w:val="single"/>
                <w14:textFill>
                  <w14:solidFill>
                    <w14:schemeClr w14:val="tx1"/>
                  </w14:solidFill>
                </w14:textFill>
              </w:rPr>
              <w:t>长度（米）</w:t>
            </w:r>
          </w:p>
        </w:tc>
        <w:tc>
          <w:tcPr>
            <w:tcW w:w="1356" w:type="pct"/>
            <w:vAlign w:val="center"/>
          </w:tcPr>
          <w:p w14:paraId="2C1C5F46">
            <w:pPr>
              <w:adjustRightInd w:val="0"/>
              <w:snapToGrid w:val="0"/>
              <w:spacing w:line="240" w:lineRule="auto"/>
              <w:ind w:firstLine="0" w:firstLineChars="0"/>
              <w:jc w:val="center"/>
              <w:outlineLvl w:val="0"/>
              <w:rPr>
                <w:b/>
                <w:color w:val="000000" w:themeColor="text1"/>
                <w:sz w:val="21"/>
                <w:szCs w:val="20"/>
                <w:u w:val="single"/>
                <w14:textFill>
                  <w14:solidFill>
                    <w14:schemeClr w14:val="tx1"/>
                  </w14:solidFill>
                </w14:textFill>
              </w:rPr>
            </w:pPr>
            <w:r>
              <w:rPr>
                <w:b/>
                <w:color w:val="000000" w:themeColor="text1"/>
                <w:sz w:val="21"/>
                <w:szCs w:val="20"/>
                <w:u w:val="single"/>
                <w14:textFill>
                  <w14:solidFill>
                    <w14:schemeClr w14:val="tx1"/>
                  </w14:solidFill>
                </w14:textFill>
              </w:rPr>
              <w:t>物料名称</w:t>
            </w:r>
          </w:p>
        </w:tc>
        <w:tc>
          <w:tcPr>
            <w:tcW w:w="574" w:type="pct"/>
            <w:vAlign w:val="center"/>
          </w:tcPr>
          <w:p w14:paraId="28F0D7E5">
            <w:pPr>
              <w:adjustRightInd w:val="0"/>
              <w:snapToGrid w:val="0"/>
              <w:spacing w:line="240" w:lineRule="auto"/>
              <w:ind w:firstLine="0" w:firstLineChars="0"/>
              <w:jc w:val="center"/>
              <w:outlineLvl w:val="0"/>
              <w:rPr>
                <w:b/>
                <w:color w:val="000000" w:themeColor="text1"/>
                <w:sz w:val="21"/>
                <w:szCs w:val="20"/>
                <w:u w:val="single"/>
                <w14:textFill>
                  <w14:solidFill>
                    <w14:schemeClr w14:val="tx1"/>
                  </w14:solidFill>
                </w14:textFill>
              </w:rPr>
            </w:pPr>
            <w:r>
              <w:rPr>
                <w:b/>
                <w:color w:val="000000" w:themeColor="text1"/>
                <w:sz w:val="21"/>
                <w:szCs w:val="20"/>
                <w:u w:val="single"/>
                <w14:textFill>
                  <w14:solidFill>
                    <w14:schemeClr w14:val="tx1"/>
                  </w14:solidFill>
                </w14:textFill>
              </w:rPr>
              <w:t>温度</w:t>
            </w:r>
            <w:r>
              <w:rPr>
                <w:rFonts w:hint="eastAsia"/>
                <w:b/>
                <w:color w:val="000000" w:themeColor="text1"/>
                <w:sz w:val="21"/>
                <w:szCs w:val="20"/>
                <w:u w:val="single"/>
                <w14:textFill>
                  <w14:solidFill>
                    <w14:schemeClr w14:val="tx1"/>
                  </w14:solidFill>
                </w14:textFill>
              </w:rPr>
              <w:t>（℃）</w:t>
            </w:r>
          </w:p>
        </w:tc>
      </w:tr>
      <w:tr w14:paraId="16D3C0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56" w:type="pct"/>
            <w:vAlign w:val="center"/>
          </w:tcPr>
          <w:p w14:paraId="28AE241F">
            <w:pPr>
              <w:adjustRightInd w:val="0"/>
              <w:snapToGrid w:val="0"/>
              <w:spacing w:line="240" w:lineRule="auto"/>
              <w:ind w:firstLine="0" w:firstLineChars="0"/>
              <w:jc w:val="center"/>
              <w:outlineLvl w:val="0"/>
              <w:rPr>
                <w:color w:val="000000" w:themeColor="text1"/>
                <w:sz w:val="21"/>
                <w:szCs w:val="20"/>
                <w:u w:val="single"/>
                <w14:textFill>
                  <w14:solidFill>
                    <w14:schemeClr w14:val="tx1"/>
                  </w14:solidFill>
                </w14:textFill>
              </w:rPr>
            </w:pPr>
            <w:r>
              <w:rPr>
                <w:color w:val="000000" w:themeColor="text1"/>
                <w:sz w:val="21"/>
                <w:szCs w:val="20"/>
                <w:u w:val="single"/>
                <w14:textFill>
                  <w14:solidFill>
                    <w14:schemeClr w14:val="tx1"/>
                  </w14:solidFill>
                </w14:textFill>
              </w:rPr>
              <w:t>1</w:t>
            </w:r>
          </w:p>
        </w:tc>
        <w:tc>
          <w:tcPr>
            <w:tcW w:w="933" w:type="pct"/>
            <w:vAlign w:val="center"/>
          </w:tcPr>
          <w:p w14:paraId="1BB64166">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CAL10201</w:t>
            </w:r>
          </w:p>
        </w:tc>
        <w:tc>
          <w:tcPr>
            <w:tcW w:w="520" w:type="pct"/>
            <w:vAlign w:val="center"/>
          </w:tcPr>
          <w:p w14:paraId="613B586C">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200</w:t>
            </w:r>
          </w:p>
        </w:tc>
        <w:tc>
          <w:tcPr>
            <w:tcW w:w="673" w:type="pct"/>
            <w:vAlign w:val="center"/>
          </w:tcPr>
          <w:p w14:paraId="618BC7D9">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船舶</w:t>
            </w:r>
          </w:p>
        </w:tc>
        <w:tc>
          <w:tcPr>
            <w:tcW w:w="588" w:type="pct"/>
            <w:vAlign w:val="center"/>
          </w:tcPr>
          <w:p w14:paraId="367C1DD9">
            <w:pPr>
              <w:adjustRightInd w:val="0"/>
              <w:snapToGrid w:val="0"/>
              <w:spacing w:line="240" w:lineRule="auto"/>
              <w:ind w:firstLine="0" w:firstLineChars="0"/>
              <w:jc w:val="center"/>
              <w:outlineLvl w:val="0"/>
              <w:rPr>
                <w:color w:val="000000" w:themeColor="text1"/>
                <w:sz w:val="21"/>
                <w:szCs w:val="20"/>
                <w:u w:val="single"/>
                <w14:textFill>
                  <w14:solidFill>
                    <w14:schemeClr w14:val="tx1"/>
                  </w14:solidFill>
                </w14:textFill>
              </w:rPr>
            </w:pPr>
            <w:r>
              <w:rPr>
                <w:color w:val="000000" w:themeColor="text1"/>
                <w:sz w:val="21"/>
                <w:szCs w:val="20"/>
                <w:u w:val="single"/>
                <w14:textFill>
                  <w14:solidFill>
                    <w14:schemeClr w14:val="tx1"/>
                  </w14:solidFill>
                </w14:textFill>
              </w:rPr>
              <w:t>约</w:t>
            </w:r>
            <w:r>
              <w:rPr>
                <w:rFonts w:hint="eastAsia"/>
                <w:color w:val="000000" w:themeColor="text1"/>
                <w:sz w:val="21"/>
                <w:szCs w:val="20"/>
                <w:u w:val="single"/>
                <w14:textFill>
                  <w14:solidFill>
                    <w14:schemeClr w14:val="tx1"/>
                  </w14:solidFill>
                </w14:textFill>
              </w:rPr>
              <w:t>100</w:t>
            </w:r>
          </w:p>
        </w:tc>
        <w:tc>
          <w:tcPr>
            <w:tcW w:w="1356" w:type="pct"/>
            <w:vAlign w:val="center"/>
          </w:tcPr>
          <w:p w14:paraId="76B6810A">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液碱</w:t>
            </w:r>
          </w:p>
        </w:tc>
        <w:tc>
          <w:tcPr>
            <w:tcW w:w="574" w:type="pct"/>
            <w:vAlign w:val="center"/>
          </w:tcPr>
          <w:p w14:paraId="3BF98745">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30</w:t>
            </w:r>
          </w:p>
        </w:tc>
      </w:tr>
      <w:tr w14:paraId="31AEFA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56" w:type="pct"/>
            <w:vAlign w:val="center"/>
          </w:tcPr>
          <w:p w14:paraId="09235DA8">
            <w:pPr>
              <w:adjustRightInd w:val="0"/>
              <w:snapToGrid w:val="0"/>
              <w:spacing w:line="240" w:lineRule="auto"/>
              <w:ind w:firstLine="0" w:firstLineChars="0"/>
              <w:jc w:val="center"/>
              <w:outlineLvl w:val="0"/>
              <w:rPr>
                <w:color w:val="000000" w:themeColor="text1"/>
                <w:sz w:val="21"/>
                <w:szCs w:val="20"/>
                <w:u w:val="single"/>
                <w14:textFill>
                  <w14:solidFill>
                    <w14:schemeClr w14:val="tx1"/>
                  </w14:solidFill>
                </w14:textFill>
              </w:rPr>
            </w:pPr>
            <w:r>
              <w:rPr>
                <w:rFonts w:hint="eastAsia"/>
                <w:color w:val="000000" w:themeColor="text1"/>
                <w:sz w:val="21"/>
                <w:szCs w:val="20"/>
                <w:u w:val="single"/>
                <w14:textFill>
                  <w14:solidFill>
                    <w14:schemeClr w14:val="tx1"/>
                  </w14:solidFill>
                </w14:textFill>
              </w:rPr>
              <w:t>2</w:t>
            </w:r>
          </w:p>
        </w:tc>
        <w:tc>
          <w:tcPr>
            <w:tcW w:w="933" w:type="pct"/>
            <w:vAlign w:val="center"/>
          </w:tcPr>
          <w:p w14:paraId="1FB1B2EA">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CAL1020</w:t>
            </w:r>
            <w:r>
              <w:rPr>
                <w:rFonts w:hint="eastAsia" w:eastAsia="宋体"/>
                <w:color w:val="000000" w:themeColor="text1"/>
                <w:sz w:val="21"/>
                <w:szCs w:val="20"/>
                <w:u w:val="single"/>
                <w:lang w:val="en-US"/>
                <w14:textFill>
                  <w14:solidFill>
                    <w14:schemeClr w14:val="tx1"/>
                  </w14:solidFill>
                </w14:textFill>
              </w:rPr>
              <w:t>2</w:t>
            </w:r>
          </w:p>
        </w:tc>
        <w:tc>
          <w:tcPr>
            <w:tcW w:w="520" w:type="pct"/>
            <w:vAlign w:val="center"/>
          </w:tcPr>
          <w:p w14:paraId="57910AF5">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200</w:t>
            </w:r>
          </w:p>
        </w:tc>
        <w:tc>
          <w:tcPr>
            <w:tcW w:w="673" w:type="pct"/>
            <w:vAlign w:val="center"/>
          </w:tcPr>
          <w:p w14:paraId="1B798068">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船舶</w:t>
            </w:r>
          </w:p>
        </w:tc>
        <w:tc>
          <w:tcPr>
            <w:tcW w:w="588" w:type="pct"/>
            <w:vAlign w:val="center"/>
          </w:tcPr>
          <w:p w14:paraId="4C088BE8">
            <w:pPr>
              <w:adjustRightInd w:val="0"/>
              <w:snapToGrid w:val="0"/>
              <w:spacing w:line="240" w:lineRule="auto"/>
              <w:ind w:firstLine="0" w:firstLineChars="0"/>
              <w:jc w:val="center"/>
              <w:outlineLvl w:val="0"/>
              <w:rPr>
                <w:color w:val="000000" w:themeColor="text1"/>
                <w:sz w:val="21"/>
                <w:szCs w:val="20"/>
                <w:u w:val="single"/>
                <w14:textFill>
                  <w14:solidFill>
                    <w14:schemeClr w14:val="tx1"/>
                  </w14:solidFill>
                </w14:textFill>
              </w:rPr>
            </w:pPr>
            <w:r>
              <w:rPr>
                <w:color w:val="000000" w:themeColor="text1"/>
                <w:sz w:val="21"/>
                <w:szCs w:val="20"/>
                <w:u w:val="single"/>
                <w14:textFill>
                  <w14:solidFill>
                    <w14:schemeClr w14:val="tx1"/>
                  </w14:solidFill>
                </w14:textFill>
              </w:rPr>
              <w:t>约</w:t>
            </w:r>
            <w:r>
              <w:rPr>
                <w:rFonts w:hint="eastAsia"/>
                <w:color w:val="000000" w:themeColor="text1"/>
                <w:sz w:val="21"/>
                <w:szCs w:val="20"/>
                <w:u w:val="single"/>
                <w14:textFill>
                  <w14:solidFill>
                    <w14:schemeClr w14:val="tx1"/>
                  </w14:solidFill>
                </w14:textFill>
              </w:rPr>
              <w:t>100</w:t>
            </w:r>
          </w:p>
        </w:tc>
        <w:tc>
          <w:tcPr>
            <w:tcW w:w="1356" w:type="pct"/>
            <w:vAlign w:val="center"/>
          </w:tcPr>
          <w:p w14:paraId="4CE6B6C1">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液硫</w:t>
            </w:r>
          </w:p>
        </w:tc>
        <w:tc>
          <w:tcPr>
            <w:tcW w:w="574" w:type="pct"/>
            <w:vAlign w:val="center"/>
          </w:tcPr>
          <w:p w14:paraId="221B09E6">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135-145</w:t>
            </w:r>
          </w:p>
        </w:tc>
      </w:tr>
      <w:tr w14:paraId="69F49F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56" w:type="pct"/>
            <w:vAlign w:val="center"/>
          </w:tcPr>
          <w:p w14:paraId="401F8118">
            <w:pPr>
              <w:adjustRightInd w:val="0"/>
              <w:snapToGrid w:val="0"/>
              <w:spacing w:line="240" w:lineRule="auto"/>
              <w:ind w:firstLine="0" w:firstLineChars="0"/>
              <w:jc w:val="center"/>
              <w:outlineLvl w:val="0"/>
              <w:rPr>
                <w:color w:val="000000" w:themeColor="text1"/>
                <w:sz w:val="21"/>
                <w:szCs w:val="20"/>
                <w:u w:val="single"/>
                <w14:textFill>
                  <w14:solidFill>
                    <w14:schemeClr w14:val="tx1"/>
                  </w14:solidFill>
                </w14:textFill>
              </w:rPr>
            </w:pPr>
            <w:r>
              <w:rPr>
                <w:rFonts w:hint="eastAsia"/>
                <w:color w:val="000000" w:themeColor="text1"/>
                <w:sz w:val="21"/>
                <w:szCs w:val="20"/>
                <w:u w:val="single"/>
                <w14:textFill>
                  <w14:solidFill>
                    <w14:schemeClr w14:val="tx1"/>
                  </w14:solidFill>
                </w14:textFill>
              </w:rPr>
              <w:t>3</w:t>
            </w:r>
          </w:p>
        </w:tc>
        <w:tc>
          <w:tcPr>
            <w:tcW w:w="933" w:type="pct"/>
            <w:vAlign w:val="center"/>
          </w:tcPr>
          <w:p w14:paraId="254E4640">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CAL1020</w:t>
            </w:r>
            <w:r>
              <w:rPr>
                <w:rFonts w:hint="eastAsia" w:eastAsia="宋体"/>
                <w:color w:val="000000" w:themeColor="text1"/>
                <w:sz w:val="21"/>
                <w:szCs w:val="20"/>
                <w:u w:val="single"/>
                <w:lang w:val="en-US"/>
                <w14:textFill>
                  <w14:solidFill>
                    <w14:schemeClr w14:val="tx1"/>
                  </w14:solidFill>
                </w14:textFill>
              </w:rPr>
              <w:t>3</w:t>
            </w:r>
          </w:p>
        </w:tc>
        <w:tc>
          <w:tcPr>
            <w:tcW w:w="520" w:type="pct"/>
            <w:vAlign w:val="center"/>
          </w:tcPr>
          <w:p w14:paraId="4FF16D73">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200</w:t>
            </w:r>
          </w:p>
        </w:tc>
        <w:tc>
          <w:tcPr>
            <w:tcW w:w="673" w:type="pct"/>
            <w:vAlign w:val="center"/>
          </w:tcPr>
          <w:p w14:paraId="5F1AE023">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船舶</w:t>
            </w:r>
          </w:p>
        </w:tc>
        <w:tc>
          <w:tcPr>
            <w:tcW w:w="588" w:type="pct"/>
            <w:vAlign w:val="center"/>
          </w:tcPr>
          <w:p w14:paraId="715D094E">
            <w:pPr>
              <w:adjustRightInd w:val="0"/>
              <w:snapToGrid w:val="0"/>
              <w:spacing w:line="240" w:lineRule="auto"/>
              <w:ind w:firstLine="0" w:firstLineChars="0"/>
              <w:jc w:val="center"/>
              <w:outlineLvl w:val="0"/>
              <w:rPr>
                <w:color w:val="000000" w:themeColor="text1"/>
                <w:sz w:val="21"/>
                <w:szCs w:val="20"/>
                <w:u w:val="single"/>
                <w14:textFill>
                  <w14:solidFill>
                    <w14:schemeClr w14:val="tx1"/>
                  </w14:solidFill>
                </w14:textFill>
              </w:rPr>
            </w:pPr>
            <w:r>
              <w:rPr>
                <w:color w:val="000000" w:themeColor="text1"/>
                <w:sz w:val="21"/>
                <w:szCs w:val="20"/>
                <w:u w:val="single"/>
                <w14:textFill>
                  <w14:solidFill>
                    <w14:schemeClr w14:val="tx1"/>
                  </w14:solidFill>
                </w14:textFill>
              </w:rPr>
              <w:t>约</w:t>
            </w:r>
            <w:r>
              <w:rPr>
                <w:rFonts w:hint="eastAsia"/>
                <w:color w:val="000000" w:themeColor="text1"/>
                <w:sz w:val="21"/>
                <w:szCs w:val="20"/>
                <w:u w:val="single"/>
                <w14:textFill>
                  <w14:solidFill>
                    <w14:schemeClr w14:val="tx1"/>
                  </w14:solidFill>
                </w14:textFill>
              </w:rPr>
              <w:t>100</w:t>
            </w:r>
          </w:p>
        </w:tc>
        <w:tc>
          <w:tcPr>
            <w:tcW w:w="1356" w:type="pct"/>
            <w:vAlign w:val="center"/>
          </w:tcPr>
          <w:p w14:paraId="76E7925E">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发烟硫酸、硫酸共用</w:t>
            </w:r>
          </w:p>
        </w:tc>
        <w:tc>
          <w:tcPr>
            <w:tcW w:w="574" w:type="pct"/>
            <w:vAlign w:val="center"/>
          </w:tcPr>
          <w:p w14:paraId="61E52903">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30</w:t>
            </w:r>
          </w:p>
        </w:tc>
      </w:tr>
      <w:tr w14:paraId="14A945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56" w:type="pct"/>
            <w:vAlign w:val="center"/>
          </w:tcPr>
          <w:p w14:paraId="5B15879F">
            <w:pPr>
              <w:adjustRightInd w:val="0"/>
              <w:snapToGrid w:val="0"/>
              <w:spacing w:line="240" w:lineRule="auto"/>
              <w:ind w:firstLine="0" w:firstLineChars="0"/>
              <w:jc w:val="center"/>
              <w:outlineLvl w:val="0"/>
              <w:rPr>
                <w:color w:val="000000" w:themeColor="text1"/>
                <w:sz w:val="21"/>
                <w:szCs w:val="20"/>
                <w:u w:val="single"/>
                <w14:textFill>
                  <w14:solidFill>
                    <w14:schemeClr w14:val="tx1"/>
                  </w14:solidFill>
                </w14:textFill>
              </w:rPr>
            </w:pPr>
            <w:r>
              <w:rPr>
                <w:rFonts w:hint="eastAsia"/>
                <w:color w:val="000000" w:themeColor="text1"/>
                <w:sz w:val="21"/>
                <w:szCs w:val="20"/>
                <w:u w:val="single"/>
                <w14:textFill>
                  <w14:solidFill>
                    <w14:schemeClr w14:val="tx1"/>
                  </w14:solidFill>
                </w14:textFill>
              </w:rPr>
              <w:t>4</w:t>
            </w:r>
          </w:p>
        </w:tc>
        <w:tc>
          <w:tcPr>
            <w:tcW w:w="933" w:type="pct"/>
            <w:vAlign w:val="center"/>
          </w:tcPr>
          <w:p w14:paraId="53537274">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OIL10201</w:t>
            </w:r>
          </w:p>
        </w:tc>
        <w:tc>
          <w:tcPr>
            <w:tcW w:w="520" w:type="pct"/>
            <w:vAlign w:val="center"/>
          </w:tcPr>
          <w:p w14:paraId="18A09530">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400</w:t>
            </w:r>
          </w:p>
        </w:tc>
        <w:tc>
          <w:tcPr>
            <w:tcW w:w="673" w:type="pct"/>
            <w:vAlign w:val="center"/>
          </w:tcPr>
          <w:p w14:paraId="7D1EA711">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船舶、厂区</w:t>
            </w:r>
          </w:p>
        </w:tc>
        <w:tc>
          <w:tcPr>
            <w:tcW w:w="588" w:type="pct"/>
            <w:vAlign w:val="center"/>
          </w:tcPr>
          <w:p w14:paraId="002E21E8">
            <w:pPr>
              <w:adjustRightInd w:val="0"/>
              <w:snapToGrid w:val="0"/>
              <w:spacing w:line="240" w:lineRule="auto"/>
              <w:ind w:firstLine="0" w:firstLineChars="0"/>
              <w:jc w:val="center"/>
              <w:outlineLvl w:val="0"/>
              <w:rPr>
                <w:color w:val="000000" w:themeColor="text1"/>
                <w:sz w:val="21"/>
                <w:szCs w:val="20"/>
                <w:u w:val="single"/>
                <w14:textFill>
                  <w14:solidFill>
                    <w14:schemeClr w14:val="tx1"/>
                  </w14:solidFill>
                </w14:textFill>
              </w:rPr>
            </w:pPr>
            <w:r>
              <w:rPr>
                <w:color w:val="000000" w:themeColor="text1"/>
                <w:sz w:val="21"/>
                <w:szCs w:val="20"/>
                <w:u w:val="single"/>
                <w14:textFill>
                  <w14:solidFill>
                    <w14:schemeClr w14:val="tx1"/>
                  </w14:solidFill>
                </w14:textFill>
              </w:rPr>
              <w:t>约</w:t>
            </w:r>
            <w:r>
              <w:rPr>
                <w:rFonts w:hint="eastAsia"/>
                <w:color w:val="000000" w:themeColor="text1"/>
                <w:sz w:val="21"/>
                <w:szCs w:val="20"/>
                <w:u w:val="single"/>
                <w14:textFill>
                  <w14:solidFill>
                    <w14:schemeClr w14:val="tx1"/>
                  </w14:solidFill>
                </w14:textFill>
              </w:rPr>
              <w:t>100</w:t>
            </w:r>
          </w:p>
        </w:tc>
        <w:tc>
          <w:tcPr>
            <w:tcW w:w="1356" w:type="pct"/>
            <w:vAlign w:val="center"/>
          </w:tcPr>
          <w:p w14:paraId="34B34BDB">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裂解C9、棕榈酸化油、脂肪酸甲酯、脂肪酸混合物、工业级混合油、纯生物柴油、航空煤油共用</w:t>
            </w:r>
          </w:p>
        </w:tc>
        <w:tc>
          <w:tcPr>
            <w:tcW w:w="574" w:type="pct"/>
            <w:vAlign w:val="center"/>
          </w:tcPr>
          <w:p w14:paraId="594A9263">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常温</w:t>
            </w:r>
          </w:p>
        </w:tc>
      </w:tr>
      <w:tr w14:paraId="38C9C7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56" w:type="pct"/>
            <w:vAlign w:val="center"/>
          </w:tcPr>
          <w:p w14:paraId="3BCE7235">
            <w:pPr>
              <w:adjustRightInd w:val="0"/>
              <w:snapToGrid w:val="0"/>
              <w:spacing w:line="240" w:lineRule="auto"/>
              <w:ind w:firstLine="0" w:firstLineChars="0"/>
              <w:jc w:val="center"/>
              <w:outlineLvl w:val="0"/>
              <w:rPr>
                <w:color w:val="000000" w:themeColor="text1"/>
                <w:sz w:val="21"/>
                <w:szCs w:val="20"/>
                <w:u w:val="single"/>
                <w14:textFill>
                  <w14:solidFill>
                    <w14:schemeClr w14:val="tx1"/>
                  </w14:solidFill>
                </w14:textFill>
              </w:rPr>
            </w:pPr>
            <w:r>
              <w:rPr>
                <w:rFonts w:hint="eastAsia"/>
                <w:color w:val="000000" w:themeColor="text1"/>
                <w:sz w:val="21"/>
                <w:szCs w:val="20"/>
                <w:u w:val="single"/>
                <w14:textFill>
                  <w14:solidFill>
                    <w14:schemeClr w14:val="tx1"/>
                  </w14:solidFill>
                </w14:textFill>
              </w:rPr>
              <w:t>5</w:t>
            </w:r>
          </w:p>
        </w:tc>
        <w:tc>
          <w:tcPr>
            <w:tcW w:w="933" w:type="pct"/>
            <w:vAlign w:val="center"/>
          </w:tcPr>
          <w:p w14:paraId="015ECE6A">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PL10207</w:t>
            </w:r>
          </w:p>
        </w:tc>
        <w:tc>
          <w:tcPr>
            <w:tcW w:w="520" w:type="pct"/>
            <w:vAlign w:val="center"/>
          </w:tcPr>
          <w:p w14:paraId="1278C493">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200</w:t>
            </w:r>
          </w:p>
        </w:tc>
        <w:tc>
          <w:tcPr>
            <w:tcW w:w="673" w:type="pct"/>
            <w:vAlign w:val="center"/>
          </w:tcPr>
          <w:p w14:paraId="7C963D52">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船舶</w:t>
            </w:r>
          </w:p>
        </w:tc>
        <w:tc>
          <w:tcPr>
            <w:tcW w:w="588" w:type="pct"/>
            <w:vAlign w:val="center"/>
          </w:tcPr>
          <w:p w14:paraId="13F06ACD">
            <w:pPr>
              <w:pStyle w:val="73"/>
              <w:spacing w:line="240" w:lineRule="exact"/>
              <w:rPr>
                <w:rFonts w:eastAsia="宋体"/>
                <w:color w:val="000000" w:themeColor="text1"/>
                <w:sz w:val="21"/>
                <w:szCs w:val="20"/>
                <w:u w:val="single"/>
                <w:lang w:val="en-US"/>
                <w14:textFill>
                  <w14:solidFill>
                    <w14:schemeClr w14:val="tx1"/>
                  </w14:solidFill>
                </w14:textFill>
              </w:rPr>
            </w:pPr>
            <w:r>
              <w:rPr>
                <w:color w:val="000000" w:themeColor="text1"/>
                <w:sz w:val="21"/>
                <w:szCs w:val="20"/>
                <w:u w:val="single"/>
                <w14:textFill>
                  <w14:solidFill>
                    <w14:schemeClr w14:val="tx1"/>
                  </w14:solidFill>
                </w14:textFill>
              </w:rPr>
              <w:t>约</w:t>
            </w:r>
            <w:r>
              <w:rPr>
                <w:rFonts w:hint="eastAsia"/>
                <w:color w:val="000000" w:themeColor="text1"/>
                <w:sz w:val="21"/>
                <w:szCs w:val="20"/>
                <w:u w:val="single"/>
                <w14:textFill>
                  <w14:solidFill>
                    <w14:schemeClr w14:val="tx1"/>
                  </w14:solidFill>
                </w14:textFill>
              </w:rPr>
              <w:t>100</w:t>
            </w:r>
          </w:p>
        </w:tc>
        <w:tc>
          <w:tcPr>
            <w:tcW w:w="1356" w:type="pct"/>
            <w:vAlign w:val="center"/>
          </w:tcPr>
          <w:p w14:paraId="5175D987">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苯乙烯（利旧，利用现有苯的）</w:t>
            </w:r>
          </w:p>
        </w:tc>
        <w:tc>
          <w:tcPr>
            <w:tcW w:w="574" w:type="pct"/>
            <w:vAlign w:val="center"/>
          </w:tcPr>
          <w:p w14:paraId="2394A5D2">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常温</w:t>
            </w:r>
          </w:p>
        </w:tc>
      </w:tr>
      <w:tr w14:paraId="4349B2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56" w:type="pct"/>
            <w:vAlign w:val="center"/>
          </w:tcPr>
          <w:p w14:paraId="06444BDD">
            <w:pPr>
              <w:adjustRightInd w:val="0"/>
              <w:snapToGrid w:val="0"/>
              <w:spacing w:line="240" w:lineRule="auto"/>
              <w:ind w:firstLine="0" w:firstLineChars="0"/>
              <w:jc w:val="center"/>
              <w:outlineLvl w:val="0"/>
              <w:rPr>
                <w:color w:val="000000" w:themeColor="text1"/>
                <w:sz w:val="21"/>
                <w:szCs w:val="20"/>
                <w:u w:val="single"/>
                <w14:textFill>
                  <w14:solidFill>
                    <w14:schemeClr w14:val="tx1"/>
                  </w14:solidFill>
                </w14:textFill>
              </w:rPr>
            </w:pPr>
            <w:r>
              <w:rPr>
                <w:rFonts w:hint="eastAsia"/>
                <w:color w:val="000000" w:themeColor="text1"/>
                <w:sz w:val="21"/>
                <w:szCs w:val="20"/>
                <w:u w:val="single"/>
                <w14:textFill>
                  <w14:solidFill>
                    <w14:schemeClr w14:val="tx1"/>
                  </w14:solidFill>
                </w14:textFill>
              </w:rPr>
              <w:t>6</w:t>
            </w:r>
          </w:p>
        </w:tc>
        <w:tc>
          <w:tcPr>
            <w:tcW w:w="933" w:type="pct"/>
            <w:vAlign w:val="center"/>
          </w:tcPr>
          <w:p w14:paraId="1C034DC8">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VG10204</w:t>
            </w:r>
          </w:p>
        </w:tc>
        <w:tc>
          <w:tcPr>
            <w:tcW w:w="520" w:type="pct"/>
            <w:vAlign w:val="center"/>
          </w:tcPr>
          <w:p w14:paraId="7C14A9D2">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150</w:t>
            </w:r>
          </w:p>
        </w:tc>
        <w:tc>
          <w:tcPr>
            <w:tcW w:w="673" w:type="pct"/>
            <w:vAlign w:val="center"/>
          </w:tcPr>
          <w:p w14:paraId="07365688">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L-505</w:t>
            </w:r>
          </w:p>
        </w:tc>
        <w:tc>
          <w:tcPr>
            <w:tcW w:w="588" w:type="pct"/>
            <w:vAlign w:val="center"/>
          </w:tcPr>
          <w:p w14:paraId="749E626C">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X-501</w:t>
            </w:r>
          </w:p>
        </w:tc>
        <w:tc>
          <w:tcPr>
            <w:tcW w:w="1356" w:type="pct"/>
            <w:vAlign w:val="center"/>
          </w:tcPr>
          <w:p w14:paraId="7770884B">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尾气（油品）</w:t>
            </w:r>
          </w:p>
          <w:p w14:paraId="2ECA2E42">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依托现有</w:t>
            </w:r>
          </w:p>
        </w:tc>
        <w:tc>
          <w:tcPr>
            <w:tcW w:w="574" w:type="pct"/>
            <w:vAlign w:val="center"/>
          </w:tcPr>
          <w:p w14:paraId="7DF7F386">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30</w:t>
            </w:r>
          </w:p>
        </w:tc>
      </w:tr>
    </w:tbl>
    <w:p w14:paraId="0562110A">
      <w:pPr>
        <w:pStyle w:val="6"/>
        <w:tabs>
          <w:tab w:val="left" w:pos="561"/>
        </w:tabs>
        <w:rPr>
          <w:color w:val="000000" w:themeColor="text1"/>
          <w14:textFill>
            <w14:solidFill>
              <w14:schemeClr w14:val="tx1"/>
            </w14:solidFill>
          </w14:textFill>
        </w:rPr>
      </w:pPr>
      <w:r>
        <w:rPr>
          <w:color w:val="000000" w:themeColor="text1"/>
          <w14:textFill>
            <w14:solidFill>
              <w14:schemeClr w14:val="tx1"/>
            </w14:solidFill>
          </w14:textFill>
        </w:rPr>
        <w:t>设计船型尺度</w:t>
      </w:r>
    </w:p>
    <w:p w14:paraId="545253EF">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本项目设计代表船型</w:t>
      </w:r>
      <w:r>
        <w:rPr>
          <w:rFonts w:hint="eastAsia"/>
          <w:color w:val="000000" w:themeColor="text1"/>
          <w14:textFill>
            <w14:solidFill>
              <w14:schemeClr w14:val="tx1"/>
            </w14:solidFill>
          </w14:textFill>
        </w:rPr>
        <w:t>跟原有项目一致，主要</w:t>
      </w:r>
      <w:r>
        <w:rPr>
          <w:color w:val="000000" w:themeColor="text1"/>
          <w14:textFill>
            <w14:solidFill>
              <w14:schemeClr w14:val="tx1"/>
            </w14:solidFill>
          </w14:textFill>
        </w:rPr>
        <w:t>为10000DWT化学品船、5000DWT化学品船、3000DWT化学品船。</w:t>
      </w:r>
    </w:p>
    <w:p w14:paraId="035E031D">
      <w:pPr>
        <w:pStyle w:val="7"/>
        <w:rPr>
          <w:color w:val="000000" w:themeColor="text1"/>
          <w14:textFill>
            <w14:solidFill>
              <w14:schemeClr w14:val="tx1"/>
            </w14:solidFill>
          </w14:textFill>
        </w:rPr>
      </w:pPr>
      <w:r>
        <w:rPr>
          <w:color w:val="000000" w:themeColor="text1"/>
          <w14:textFill>
            <w14:solidFill>
              <w14:schemeClr w14:val="tx1"/>
            </w14:solidFill>
          </w14:textFill>
        </w:rPr>
        <w:t xml:space="preserve">  设计代表船型尺度表     单位：m</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78"/>
        <w:gridCol w:w="1079"/>
        <w:gridCol w:w="1379"/>
        <w:gridCol w:w="1379"/>
        <w:gridCol w:w="1382"/>
        <w:gridCol w:w="1379"/>
      </w:tblGrid>
      <w:tr w14:paraId="67E3E6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678" w:type="dxa"/>
            <w:vMerge w:val="restart"/>
            <w:vAlign w:val="center"/>
          </w:tcPr>
          <w:p w14:paraId="726238B0">
            <w:pPr>
              <w:spacing w:line="240" w:lineRule="exac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船舶吨级GT</w:t>
            </w:r>
          </w:p>
        </w:tc>
        <w:tc>
          <w:tcPr>
            <w:tcW w:w="5219" w:type="dxa"/>
            <w:gridSpan w:val="4"/>
            <w:vAlign w:val="center"/>
          </w:tcPr>
          <w:p w14:paraId="78165E85">
            <w:pPr>
              <w:spacing w:line="240" w:lineRule="exac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设计船型尺度（m）</w:t>
            </w:r>
          </w:p>
        </w:tc>
        <w:tc>
          <w:tcPr>
            <w:tcW w:w="1379" w:type="dxa"/>
            <w:vMerge w:val="restart"/>
            <w:vAlign w:val="center"/>
          </w:tcPr>
          <w:p w14:paraId="03EB4C99">
            <w:pPr>
              <w:spacing w:line="240" w:lineRule="exac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备注</w:t>
            </w:r>
          </w:p>
        </w:tc>
      </w:tr>
      <w:tr w14:paraId="61BF41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678" w:type="dxa"/>
            <w:vMerge w:val="continue"/>
            <w:vAlign w:val="center"/>
          </w:tcPr>
          <w:p w14:paraId="50E0A3C6">
            <w:pPr>
              <w:spacing w:line="240" w:lineRule="exact"/>
              <w:ind w:firstLine="0" w:firstLineChars="0"/>
              <w:jc w:val="center"/>
              <w:rPr>
                <w:color w:val="000000" w:themeColor="text1"/>
                <w:sz w:val="21"/>
                <w:szCs w:val="21"/>
                <w14:textFill>
                  <w14:solidFill>
                    <w14:schemeClr w14:val="tx1"/>
                  </w14:solidFill>
                </w14:textFill>
              </w:rPr>
            </w:pPr>
          </w:p>
        </w:tc>
        <w:tc>
          <w:tcPr>
            <w:tcW w:w="1079" w:type="dxa"/>
            <w:vAlign w:val="center"/>
          </w:tcPr>
          <w:p w14:paraId="694C3ED9">
            <w:pPr>
              <w:spacing w:line="240" w:lineRule="exac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总长L</w:t>
            </w:r>
          </w:p>
        </w:tc>
        <w:tc>
          <w:tcPr>
            <w:tcW w:w="1379" w:type="dxa"/>
            <w:vAlign w:val="center"/>
          </w:tcPr>
          <w:p w14:paraId="11A1778C">
            <w:pPr>
              <w:spacing w:line="240" w:lineRule="exac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型宽B</w:t>
            </w:r>
          </w:p>
        </w:tc>
        <w:tc>
          <w:tcPr>
            <w:tcW w:w="1379" w:type="dxa"/>
            <w:vAlign w:val="center"/>
          </w:tcPr>
          <w:p w14:paraId="0EAE52C1">
            <w:pPr>
              <w:spacing w:line="240" w:lineRule="exac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型深H</w:t>
            </w:r>
          </w:p>
        </w:tc>
        <w:tc>
          <w:tcPr>
            <w:tcW w:w="1382" w:type="dxa"/>
            <w:vAlign w:val="center"/>
          </w:tcPr>
          <w:p w14:paraId="67B88D36">
            <w:pPr>
              <w:spacing w:line="240" w:lineRule="exac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满载吃水T</w:t>
            </w:r>
          </w:p>
        </w:tc>
        <w:tc>
          <w:tcPr>
            <w:tcW w:w="1379" w:type="dxa"/>
            <w:vMerge w:val="continue"/>
            <w:vAlign w:val="center"/>
          </w:tcPr>
          <w:p w14:paraId="1B63FC03">
            <w:pPr>
              <w:spacing w:line="240" w:lineRule="exact"/>
              <w:ind w:firstLine="0" w:firstLineChars="0"/>
              <w:jc w:val="center"/>
              <w:rPr>
                <w:color w:val="000000" w:themeColor="text1"/>
                <w:sz w:val="21"/>
                <w:szCs w:val="21"/>
                <w14:textFill>
                  <w14:solidFill>
                    <w14:schemeClr w14:val="tx1"/>
                  </w14:solidFill>
                </w14:textFill>
              </w:rPr>
            </w:pPr>
          </w:p>
        </w:tc>
      </w:tr>
      <w:tr w14:paraId="2C2684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678" w:type="dxa"/>
            <w:vAlign w:val="center"/>
          </w:tcPr>
          <w:p w14:paraId="308BDE76">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10000化学品船</w:t>
            </w:r>
          </w:p>
        </w:tc>
        <w:tc>
          <w:tcPr>
            <w:tcW w:w="1079" w:type="dxa"/>
            <w:vAlign w:val="center"/>
          </w:tcPr>
          <w:p w14:paraId="1DC5D825">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127</w:t>
            </w:r>
          </w:p>
        </w:tc>
        <w:tc>
          <w:tcPr>
            <w:tcW w:w="1379" w:type="dxa"/>
            <w:vAlign w:val="center"/>
          </w:tcPr>
          <w:p w14:paraId="151963B4">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w:t>
            </w:r>
          </w:p>
        </w:tc>
        <w:tc>
          <w:tcPr>
            <w:tcW w:w="1379" w:type="dxa"/>
            <w:vAlign w:val="center"/>
          </w:tcPr>
          <w:p w14:paraId="00DEE9B6">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w:t>
            </w:r>
          </w:p>
        </w:tc>
        <w:tc>
          <w:tcPr>
            <w:tcW w:w="1382" w:type="dxa"/>
            <w:vAlign w:val="center"/>
          </w:tcPr>
          <w:p w14:paraId="4E5072AB">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8.4</w:t>
            </w:r>
          </w:p>
        </w:tc>
        <w:tc>
          <w:tcPr>
            <w:tcW w:w="1379" w:type="dxa"/>
            <w:vAlign w:val="center"/>
          </w:tcPr>
          <w:p w14:paraId="36BDA7FE">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兼顾船型</w:t>
            </w:r>
          </w:p>
        </w:tc>
      </w:tr>
      <w:tr w14:paraId="55495C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678" w:type="dxa"/>
            <w:vAlign w:val="center"/>
          </w:tcPr>
          <w:p w14:paraId="464ED6F7">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5000化学品船</w:t>
            </w:r>
          </w:p>
        </w:tc>
        <w:tc>
          <w:tcPr>
            <w:tcW w:w="1079" w:type="dxa"/>
            <w:vAlign w:val="center"/>
          </w:tcPr>
          <w:p w14:paraId="30212751">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114</w:t>
            </w:r>
          </w:p>
        </w:tc>
        <w:tc>
          <w:tcPr>
            <w:tcW w:w="1379" w:type="dxa"/>
            <w:vAlign w:val="center"/>
          </w:tcPr>
          <w:p w14:paraId="3671D702">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17.6</w:t>
            </w:r>
          </w:p>
        </w:tc>
        <w:tc>
          <w:tcPr>
            <w:tcW w:w="1379" w:type="dxa"/>
            <w:vAlign w:val="center"/>
          </w:tcPr>
          <w:p w14:paraId="0F68C098">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8.8</w:t>
            </w:r>
          </w:p>
        </w:tc>
        <w:tc>
          <w:tcPr>
            <w:tcW w:w="1382" w:type="dxa"/>
            <w:vAlign w:val="center"/>
          </w:tcPr>
          <w:p w14:paraId="49B30041">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w:t>
            </w:r>
          </w:p>
        </w:tc>
        <w:tc>
          <w:tcPr>
            <w:tcW w:w="1379" w:type="dxa"/>
            <w:vAlign w:val="center"/>
          </w:tcPr>
          <w:p w14:paraId="2946E55C">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兼顾船型</w:t>
            </w:r>
          </w:p>
        </w:tc>
      </w:tr>
      <w:tr w14:paraId="5D9039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678" w:type="dxa"/>
            <w:vAlign w:val="center"/>
          </w:tcPr>
          <w:p w14:paraId="1C51F863">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3000化学品船</w:t>
            </w:r>
          </w:p>
        </w:tc>
        <w:tc>
          <w:tcPr>
            <w:tcW w:w="1079" w:type="dxa"/>
            <w:vAlign w:val="center"/>
          </w:tcPr>
          <w:p w14:paraId="1487127E">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99</w:t>
            </w:r>
          </w:p>
        </w:tc>
        <w:tc>
          <w:tcPr>
            <w:tcW w:w="1379" w:type="dxa"/>
            <w:vAlign w:val="center"/>
          </w:tcPr>
          <w:p w14:paraId="5E232D8A">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14.6</w:t>
            </w:r>
          </w:p>
        </w:tc>
        <w:tc>
          <w:tcPr>
            <w:tcW w:w="1379" w:type="dxa"/>
            <w:vAlign w:val="center"/>
          </w:tcPr>
          <w:p w14:paraId="5AD9823A">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7.6</w:t>
            </w:r>
          </w:p>
        </w:tc>
        <w:tc>
          <w:tcPr>
            <w:tcW w:w="1382" w:type="dxa"/>
            <w:vAlign w:val="center"/>
          </w:tcPr>
          <w:p w14:paraId="165D4EE2">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6.0</w:t>
            </w:r>
          </w:p>
        </w:tc>
        <w:tc>
          <w:tcPr>
            <w:tcW w:w="1379" w:type="dxa"/>
            <w:vAlign w:val="center"/>
          </w:tcPr>
          <w:p w14:paraId="2503D462">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兼顾船型</w:t>
            </w:r>
          </w:p>
        </w:tc>
      </w:tr>
    </w:tbl>
    <w:p w14:paraId="46A122E9">
      <w:pPr>
        <w:pStyle w:val="6"/>
        <w:tabs>
          <w:tab w:val="left" w:pos="561"/>
        </w:tabs>
        <w:ind w:left="141"/>
        <w:rPr>
          <w:color w:val="000000" w:themeColor="text1"/>
          <w14:textFill>
            <w14:solidFill>
              <w14:schemeClr w14:val="tx1"/>
            </w14:solidFill>
          </w14:textFill>
        </w:rPr>
      </w:pPr>
      <w:r>
        <w:rPr>
          <w:color w:val="000000" w:themeColor="text1"/>
          <w14:textFill>
            <w14:solidFill>
              <w14:schemeClr w14:val="tx1"/>
            </w14:solidFill>
          </w14:textFill>
        </w:rPr>
        <w:t>设计尺寸</w:t>
      </w:r>
    </w:p>
    <w:p w14:paraId="4DCA1C2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依托现有1</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号泊位</w:t>
      </w:r>
      <w:r>
        <w:rPr>
          <w:color w:val="000000" w:themeColor="text1"/>
          <w14:textFill>
            <w14:solidFill>
              <w14:schemeClr w14:val="tx1"/>
            </w14:solidFill>
          </w14:textFill>
        </w:rPr>
        <w:t>。</w:t>
      </w:r>
    </w:p>
    <w:p w14:paraId="2C776B94">
      <w:pPr>
        <w:pStyle w:val="6"/>
        <w:tabs>
          <w:tab w:val="left" w:pos="561"/>
        </w:tabs>
        <w:ind w:left="141"/>
        <w:rPr>
          <w:color w:val="000000" w:themeColor="text1"/>
          <w14:textFill>
            <w14:solidFill>
              <w14:schemeClr w14:val="tx1"/>
            </w14:solidFill>
          </w14:textFill>
        </w:rPr>
      </w:pPr>
      <w:r>
        <w:rPr>
          <w:color w:val="000000" w:themeColor="text1"/>
          <w14:textFill>
            <w14:solidFill>
              <w14:schemeClr w14:val="tx1"/>
            </w14:solidFill>
          </w14:textFill>
        </w:rPr>
        <w:t>航道和锚地</w:t>
      </w:r>
    </w:p>
    <w:p w14:paraId="532C52E5">
      <w:pPr>
        <w:ind w:firstLine="480"/>
        <w:rPr>
          <w:color w:val="000000" w:themeColor="text1"/>
          <w14:textFill>
            <w14:solidFill>
              <w14:schemeClr w14:val="tx1"/>
            </w14:solidFill>
          </w14:textFill>
        </w:rPr>
      </w:pPr>
      <w:r>
        <w:rPr>
          <w:color w:val="000000" w:themeColor="text1"/>
          <w14:textFill>
            <w14:solidFill>
              <w14:schemeClr w14:val="tx1"/>
            </w14:solidFill>
          </w14:textFill>
        </w:rPr>
        <w:t>（1）航道</w:t>
      </w:r>
    </w:p>
    <w:p w14:paraId="5D8644C1">
      <w:pPr>
        <w:ind w:firstLine="480"/>
        <w:rPr>
          <w:color w:val="000000" w:themeColor="text1"/>
          <w14:textFill>
            <w14:solidFill>
              <w14:schemeClr w14:val="tx1"/>
            </w14:solidFill>
          </w14:textFill>
        </w:rPr>
      </w:pPr>
      <w:r>
        <w:rPr>
          <w:color w:val="000000" w:themeColor="text1"/>
          <w14:textFill>
            <w14:solidFill>
              <w14:schemeClr w14:val="tx1"/>
            </w14:solidFill>
          </w14:textFill>
        </w:rPr>
        <w:t>钦州湾内的金鼓江航道工程亦已建成，为0.5～5万吨级单向航道，全长6.201km。其中，5万吨级航段长4.879km，通航宽度140.4m，底高程-11.3m；1万吨级航段长0.322km，通航宽度80.8m，底高程-6.6m；5000吨级航段长1.0km，通航宽度75.8m，底高程-5.2m；乘潮保证率90%。</w:t>
      </w:r>
    </w:p>
    <w:p w14:paraId="763AC365">
      <w:pPr>
        <w:ind w:firstLine="480"/>
        <w:rPr>
          <w:color w:val="000000" w:themeColor="text1"/>
          <w14:textFill>
            <w14:solidFill>
              <w14:schemeClr w14:val="tx1"/>
            </w14:solidFill>
          </w14:textFill>
        </w:rPr>
      </w:pPr>
      <w:r>
        <w:rPr>
          <w:color w:val="000000" w:themeColor="text1"/>
          <w14:textFill>
            <w14:solidFill>
              <w14:schemeClr w14:val="tx1"/>
            </w14:solidFill>
          </w14:textFill>
        </w:rPr>
        <w:t>钦州湾东航道外海至三墩西作业区30万吨级油码头段规划为30万吨级单向航道，通航宽度320m，设计底高程-21.7m；三墩西作业区30万吨级油码头南侧向东北至三墩港区北港池段规划为20万吨级单向航道，通航宽度270m，设计底高程-17.8m；外海至大榄坪南作业区9号泊位段规划为20万吨级双向航道，通航宽度460～526m，设计底高程-16.3m，满足20万吨级集装箱船双向通航；大榄坪南作业区8号泊位至1号泊位段规划为10万吨级双向航道，通航宽度360m，设计底高程-15.2m，满足10万吨级集装箱船双向通航；鹰岭作业区至樟木环作业区段规划为10万吨级单向航道、5万吨级双向航道，通航宽度240m，设计底高程-11.6～-14.3m。</w:t>
      </w:r>
    </w:p>
    <w:p w14:paraId="334712E9">
      <w:pPr>
        <w:ind w:firstLine="480"/>
        <w:rPr>
          <w:color w:val="000000" w:themeColor="text1"/>
          <w14:textFill>
            <w14:solidFill>
              <w14:schemeClr w14:val="tx1"/>
            </w14:solidFill>
          </w14:textFill>
        </w:rPr>
      </w:pPr>
      <w:r>
        <w:rPr>
          <w:color w:val="000000" w:themeColor="text1"/>
          <w14:textFill>
            <w14:solidFill>
              <w14:schemeClr w14:val="tx1"/>
            </w14:solidFill>
          </w14:textFill>
        </w:rPr>
        <w:t>（2）锚地</w:t>
      </w:r>
    </w:p>
    <w:p w14:paraId="200A900F">
      <w:pPr>
        <w:ind w:firstLine="480"/>
        <w:rPr>
          <w:color w:val="000000" w:themeColor="text1"/>
          <w14:textFill>
            <w14:solidFill>
              <w14:schemeClr w14:val="tx1"/>
            </w14:solidFill>
          </w14:textFill>
        </w:rPr>
      </w:pPr>
      <w:r>
        <w:rPr>
          <w:color w:val="000000" w:themeColor="text1"/>
          <w14:textFill>
            <w14:solidFill>
              <w14:schemeClr w14:val="tx1"/>
            </w14:solidFill>
          </w14:textFill>
        </w:rPr>
        <w:t>根据《钦州港总体规划（2035年）》，钦州港规划12 个港外锚地、4 个港内锚地和1 个应急锚地。本次项目2万吨级及以下船舶拟使用外3#锚地锚泊，3~5万吨级船舶使用外7#锚地锚泊。</w:t>
      </w:r>
    </w:p>
    <w:p w14:paraId="16EEDDC5">
      <w:pPr>
        <w:pStyle w:val="4"/>
        <w:rPr>
          <w:color w:val="000000" w:themeColor="text1"/>
          <w14:textFill>
            <w14:solidFill>
              <w14:schemeClr w14:val="tx1"/>
            </w14:solidFill>
          </w14:textFill>
        </w:rPr>
      </w:pPr>
      <w:bookmarkStart w:id="253" w:name="_Toc216620456"/>
      <w:bookmarkStart w:id="254" w:name="_Toc29131789"/>
      <w:bookmarkStart w:id="255" w:name="_Toc25436929"/>
      <w:bookmarkStart w:id="256" w:name="_Toc135090197"/>
      <w:bookmarkStart w:id="257" w:name="_Toc26909975"/>
      <w:bookmarkStart w:id="258" w:name="_Toc136878446"/>
      <w:bookmarkStart w:id="259" w:name="_Toc216103297"/>
      <w:r>
        <w:rPr>
          <w:color w:val="000000" w:themeColor="text1"/>
          <w14:textFill>
            <w14:solidFill>
              <w14:schemeClr w14:val="tx1"/>
            </w14:solidFill>
          </w14:textFill>
        </w:rPr>
        <w:t>总平面布置</w:t>
      </w:r>
      <w:bookmarkEnd w:id="253"/>
      <w:bookmarkEnd w:id="254"/>
      <w:bookmarkEnd w:id="255"/>
      <w:bookmarkEnd w:id="256"/>
      <w:bookmarkEnd w:id="257"/>
      <w:bookmarkEnd w:id="258"/>
      <w:bookmarkEnd w:id="259"/>
    </w:p>
    <w:p w14:paraId="1D8EBA7A">
      <w:pPr>
        <w:pStyle w:val="6"/>
        <w:tabs>
          <w:tab w:val="left" w:pos="561"/>
        </w:tabs>
        <w:ind w:left="141"/>
        <w:rPr>
          <w:color w:val="000000" w:themeColor="text1"/>
          <w14:textFill>
            <w14:solidFill>
              <w14:schemeClr w14:val="tx1"/>
            </w14:solidFill>
          </w14:textFill>
        </w:rPr>
      </w:pPr>
      <w:r>
        <w:rPr>
          <w:color w:val="000000" w:themeColor="text1"/>
          <w14:textFill>
            <w14:solidFill>
              <w14:schemeClr w14:val="tx1"/>
            </w14:solidFill>
          </w14:textFill>
        </w:rPr>
        <w:t>码头平面布置</w:t>
      </w:r>
    </w:p>
    <w:p w14:paraId="020ED37E">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拟建项目主要是依托现有1</w:t>
      </w:r>
      <w:r>
        <w:rPr>
          <w:color w:val="000000" w:themeColor="text1"/>
          <w:u w:val="single"/>
          <w14:textFill>
            <w14:solidFill>
              <w14:schemeClr w14:val="tx1"/>
            </w14:solidFill>
          </w14:textFill>
        </w:rPr>
        <w:t>4</w:t>
      </w:r>
      <w:r>
        <w:rPr>
          <w:rFonts w:hint="eastAsia"/>
          <w:color w:val="000000" w:themeColor="text1"/>
          <w:u w:val="single"/>
          <w14:textFill>
            <w14:solidFill>
              <w14:schemeClr w14:val="tx1"/>
            </w14:solidFill>
          </w14:textFill>
        </w:rPr>
        <w:t>号泊位，工程主要在现有码头预留装卸臂基础新增油品装卸臂，增加液硫、碱液、发烟硫酸、硫酸卸船软管，以及相应的装卸船管道。不涉及水上建设内容。</w:t>
      </w:r>
    </w:p>
    <w:p w14:paraId="60EB64D9">
      <w:pPr>
        <w:pStyle w:val="6"/>
        <w:tabs>
          <w:tab w:val="left" w:pos="561"/>
        </w:tabs>
        <w:ind w:left="141"/>
        <w:rPr>
          <w:color w:val="000000" w:themeColor="text1"/>
          <w:u w:val="single"/>
          <w14:textFill>
            <w14:solidFill>
              <w14:schemeClr w14:val="tx1"/>
            </w14:solidFill>
          </w14:textFill>
        </w:rPr>
      </w:pPr>
      <w:r>
        <w:rPr>
          <w:color w:val="000000" w:themeColor="text1"/>
          <w:u w:val="single"/>
          <w14:textFill>
            <w14:solidFill>
              <w14:schemeClr w14:val="tx1"/>
            </w14:solidFill>
          </w14:textFill>
        </w:rPr>
        <w:t>水域布置</w:t>
      </w:r>
    </w:p>
    <w:p w14:paraId="5F7CB62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不涉及建设内容</w:t>
      </w:r>
      <w:r>
        <w:rPr>
          <w:color w:val="000000" w:themeColor="text1"/>
          <w14:textFill>
            <w14:solidFill>
              <w14:schemeClr w14:val="tx1"/>
            </w14:solidFill>
          </w14:textFill>
        </w:rPr>
        <w:t>。</w:t>
      </w:r>
    </w:p>
    <w:p w14:paraId="152B6893">
      <w:pPr>
        <w:pStyle w:val="6"/>
        <w:tabs>
          <w:tab w:val="left" w:pos="561"/>
        </w:tabs>
        <w:rPr>
          <w:color w:val="000000" w:themeColor="text1"/>
          <w14:textFill>
            <w14:solidFill>
              <w14:schemeClr w14:val="tx1"/>
            </w14:solidFill>
          </w14:textFill>
        </w:rPr>
      </w:pPr>
      <w:r>
        <w:rPr>
          <w:color w:val="000000" w:themeColor="text1"/>
          <w14:textFill>
            <w14:solidFill>
              <w14:schemeClr w14:val="tx1"/>
            </w14:solidFill>
          </w14:textFill>
        </w:rPr>
        <w:t>陆域布置</w:t>
      </w:r>
    </w:p>
    <w:p w14:paraId="4BFF331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据货种、货量、流向、码头陆域纵深条件，经综合分析，考虑在码头前沿配置装卸臂、软管进行装卸船作业，装卸臂采用物性相同或相类似的物料共用装卸臂方案。水平运输采用管道输送。共用管道的货种，在每根支管上各设2组气动阀，每根干管上设1组气动阀。在非工作时间中，干管处的气动阀为常关，只有在装卸时才将输送该货种的干管处气动阀打开，保证其余干管不被污染。</w:t>
      </w:r>
    </w:p>
    <w:p w14:paraId="06090AD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本次拟在预留基础新增油类装卸臂（L-505，双管装卸臂）用于新增油品类装卸，该装卸臂可适应5000～20000DWT化学品船的接口位置。本次新增一台扫线泵（P-505），用于油类装卸臂（L-505）卸空作业。</w:t>
      </w:r>
    </w:p>
    <w:p w14:paraId="6E00260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苯乙烯利用原有苯装卸臂（L-504）进行卸船作业。苯乙烯、苯利用原有苯扫线泵（P-503）进行卸空作业。</w:t>
      </w:r>
    </w:p>
    <w:p w14:paraId="7AEB8FF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装卸作业完毕后，打开装卸臂顶部的真空阀，外臂内的残液自流到船舱内，内臂和立柱内的残液用扫线泵抽吸到切断阀门后的相应管道内。物料为挥发性有毒介质，禁止进行外臂卸空的操作，当装卸臂全部排空、卸压后方可和船舶脱开。</w:t>
      </w:r>
    </w:p>
    <w:p w14:paraId="461B578A">
      <w:pPr>
        <w:pStyle w:val="4"/>
        <w:rPr>
          <w:color w:val="000000" w:themeColor="text1"/>
          <w14:textFill>
            <w14:solidFill>
              <w14:schemeClr w14:val="tx1"/>
            </w14:solidFill>
          </w14:textFill>
        </w:rPr>
      </w:pPr>
      <w:bookmarkStart w:id="260" w:name="_Toc216103298"/>
      <w:bookmarkStart w:id="261" w:name="_Toc26909977"/>
      <w:bookmarkStart w:id="262" w:name="_Toc29131791"/>
      <w:bookmarkStart w:id="263" w:name="_Toc25436931"/>
      <w:bookmarkStart w:id="264" w:name="_Toc135090198"/>
      <w:bookmarkStart w:id="265" w:name="_Toc136878447"/>
      <w:bookmarkStart w:id="266" w:name="_Toc216620457"/>
      <w:bookmarkStart w:id="267" w:name="_Toc29131790"/>
      <w:bookmarkStart w:id="268" w:name="_Toc25436930"/>
      <w:bookmarkStart w:id="269" w:name="_Toc26909976"/>
      <w:r>
        <w:rPr>
          <w:color w:val="000000" w:themeColor="text1"/>
          <w14:textFill>
            <w14:solidFill>
              <w14:schemeClr w14:val="tx1"/>
            </w14:solidFill>
          </w14:textFill>
        </w:rPr>
        <w:t>装卸工艺</w:t>
      </w:r>
      <w:bookmarkEnd w:id="260"/>
      <w:bookmarkEnd w:id="261"/>
      <w:bookmarkEnd w:id="262"/>
      <w:bookmarkEnd w:id="263"/>
      <w:bookmarkEnd w:id="264"/>
      <w:bookmarkEnd w:id="265"/>
      <w:bookmarkEnd w:id="266"/>
    </w:p>
    <w:p w14:paraId="20EB081E">
      <w:pPr>
        <w:pStyle w:val="6"/>
        <w:tabs>
          <w:tab w:val="left" w:pos="561"/>
        </w:tabs>
        <w:rPr>
          <w:color w:val="000000" w:themeColor="text1"/>
          <w14:textFill>
            <w14:solidFill>
              <w14:schemeClr w14:val="tx1"/>
            </w14:solidFill>
          </w14:textFill>
        </w:rPr>
      </w:pPr>
      <w:r>
        <w:rPr>
          <w:color w:val="000000" w:themeColor="text1"/>
          <w14:textFill>
            <w14:solidFill>
              <w14:schemeClr w14:val="tx1"/>
            </w14:solidFill>
          </w14:textFill>
        </w:rPr>
        <w:t>装卸工艺方案</w:t>
      </w:r>
    </w:p>
    <w:p w14:paraId="60189B7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1）于14号泊位码头，新建一台装卸臂L-506（设备基础已完成施工），设计船型为10000-20000吨级，用于裂解C9、棕榈酸化油、脂肪酸混合物、工业级混合油、脂肪酸甲酯、纯生物柴油、航空煤油的装卸船作业，以上介质共用1根管道作业，设置扫线泵P-506，用于不同介质切换输送前清管。 </w:t>
      </w:r>
    </w:p>
    <w:p w14:paraId="29C66DE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（2）苯乙烯卸船管线，于已建DN200苯管线共用。</w:t>
      </w:r>
    </w:p>
    <w:p w14:paraId="4DAB415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于14号泊位码头，新增液硫卸船设施。液硫采用金属软管从液硫接卸船舶卸船，经本项目液硫管道输送至后方罐区液硫储罐储存。液硫易凝结，所涉及软管、管道均需设置集肤式电伴热，保证液硫温度135~145℃，避免堵塞。</w:t>
      </w:r>
    </w:p>
    <w:p w14:paraId="0D690B4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（4）于14号泊位码头，新增碱液卸船设施。碱液采用金属软管从碱液接卸船舶卸船，经本项目碱液管道输送至后方罐区碱液储罐储存。</w:t>
      </w:r>
    </w:p>
    <w:p w14:paraId="2EEF009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（5）于14号泊位码头，新增发烟硫酸、硫酸卸船设施。发烟硫酸、硫酸采用金属软管从发烟硫酸、硫酸接卸船舶卸船，经本项目发烟硫酸、硫酸管道输送至后方罐区发烟硫酸、硫酸储罐储存。</w:t>
      </w:r>
    </w:p>
    <w:p w14:paraId="309FD660">
      <w:pPr>
        <w:pStyle w:val="6"/>
        <w:tabs>
          <w:tab w:val="left" w:pos="561"/>
        </w:tabs>
        <w:rPr>
          <w:color w:val="000000" w:themeColor="text1"/>
          <w:u w:val="single"/>
          <w14:textFill>
            <w14:solidFill>
              <w14:schemeClr w14:val="tx1"/>
            </w14:solidFill>
          </w14:textFill>
        </w:rPr>
      </w:pPr>
      <w:r>
        <w:rPr>
          <w:color w:val="000000" w:themeColor="text1"/>
          <w:u w:val="single"/>
          <w14:textFill>
            <w14:solidFill>
              <w14:schemeClr w14:val="tx1"/>
            </w14:solidFill>
          </w14:textFill>
        </w:rPr>
        <w:t>装卸工艺流程</w:t>
      </w:r>
    </w:p>
    <w:p w14:paraId="7530CBF5">
      <w:pPr>
        <w:numPr>
          <w:ilvl w:val="0"/>
          <w:numId w:val="16"/>
        </w:num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油品装卸船及输送</w:t>
      </w:r>
    </w:p>
    <w:p w14:paraId="3168FF58">
      <w:pPr>
        <w:ind w:firstLine="48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 1 \* GB3</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①</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棕榈酸化油</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脂肪酸混合物</w:t>
      </w:r>
      <w:r>
        <w:rPr>
          <w:rFonts w:hint="eastAsia"/>
          <w:color w:val="000000" w:themeColor="text1"/>
          <w14:textFill>
            <w14:solidFill>
              <w14:schemeClr w14:val="tx1"/>
            </w14:solidFill>
          </w14:textFill>
        </w:rPr>
        <w:t>：船舶→船内输送泵→装卸臂→紧急切断阀→主管→</w:t>
      </w:r>
      <w:r>
        <w:rPr>
          <w:rFonts w:hint="eastAsia"/>
          <w:color w:val="000000" w:themeColor="text1"/>
          <w:lang w:val="en-US" w:eastAsia="zh-CN"/>
          <w14:textFill>
            <w14:solidFill>
              <w14:schemeClr w14:val="tx1"/>
            </w14:solidFill>
          </w14:textFill>
        </w:rPr>
        <w:t>丰之力储罐</w:t>
      </w:r>
      <w:r>
        <w:rPr>
          <w:rFonts w:hint="eastAsia"/>
          <w:color w:val="000000" w:themeColor="text1"/>
          <w14:textFill>
            <w14:solidFill>
              <w14:schemeClr w14:val="tx1"/>
            </w14:solidFill>
          </w14:textFill>
        </w:rPr>
        <w:t>（依托）。</w:t>
      </w:r>
    </w:p>
    <w:p w14:paraId="2DFD3199">
      <w:pPr>
        <w:ind w:firstLine="48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 2 \* GB3</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②</w:t>
      </w:r>
      <w:r>
        <w:rPr>
          <w:color w:val="000000" w:themeColor="text1"/>
          <w14:textFill>
            <w14:solidFill>
              <w14:schemeClr w14:val="tx1"/>
            </w14:solidFill>
          </w14:textFill>
        </w:rPr>
        <w:fldChar w:fldCharType="end"/>
      </w:r>
      <w:r>
        <w:rPr>
          <w:rFonts w:hint="eastAsia"/>
          <w:color w:val="000000" w:themeColor="text1"/>
          <w:lang w:val="en-US" w:eastAsia="zh-CN"/>
          <w14:textFill>
            <w14:solidFill>
              <w14:schemeClr w14:val="tx1"/>
            </w14:solidFill>
          </w14:textFill>
        </w:rPr>
        <w:t>裂解C9</w:t>
      </w:r>
      <w:r>
        <w:rPr>
          <w:rFonts w:hint="eastAsia"/>
          <w:color w:val="000000" w:themeColor="text1"/>
          <w14:textFill>
            <w14:solidFill>
              <w14:schemeClr w14:val="tx1"/>
            </w14:solidFill>
          </w14:textFill>
        </w:rPr>
        <w:t>：</w:t>
      </w:r>
      <w:r>
        <w:rPr>
          <w:rFonts w:hint="default"/>
          <w:color w:val="000000" w:themeColor="text1"/>
          <w:lang w:val="en-US" w:eastAsia="zh-CN"/>
          <w14:textFill>
            <w14:solidFill>
              <w14:schemeClr w14:val="tx1"/>
            </w14:solidFill>
          </w14:textFill>
        </w:rPr>
        <w:t>后方厂区</w:t>
      </w:r>
      <w:r>
        <w:rPr>
          <w:rFonts w:hint="eastAsia"/>
          <w:color w:val="000000" w:themeColor="text1"/>
          <w:lang w:val="en-US" w:eastAsia="zh-CN"/>
          <w14:textFill>
            <w14:solidFill>
              <w14:schemeClr w14:val="tx1"/>
            </w14:solidFill>
          </w14:textFill>
        </w:rPr>
        <w:t>（中国石油广西石化公司）</w:t>
      </w:r>
      <w:r>
        <w:rPr>
          <w:rFonts w:hint="default"/>
          <w:color w:val="000000" w:themeColor="text1"/>
          <w:lang w:val="en-US" w:eastAsia="zh-CN"/>
          <w14:textFill>
            <w14:solidFill>
              <w14:schemeClr w14:val="tx1"/>
            </w14:solidFill>
          </w14:textFill>
        </w:rPr>
        <w:t>→主管→装卸臂→紧急切断阀→船舶</w:t>
      </w:r>
      <w:r>
        <w:rPr>
          <w:rFonts w:hint="eastAsia"/>
          <w:color w:val="000000" w:themeColor="text1"/>
          <w14:textFill>
            <w14:solidFill>
              <w14:schemeClr w14:val="tx1"/>
            </w14:solidFill>
          </w14:textFill>
        </w:rPr>
        <w:t>。</w:t>
      </w:r>
    </w:p>
    <w:p w14:paraId="20C8D71E">
      <w:pPr>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rFonts w:hint="eastAsia"/>
          <w:color w:val="000000" w:themeColor="text1"/>
          <w:lang w:val="en-US" w:eastAsia="zh-CN"/>
          <w14:textFill>
            <w14:solidFill>
              <w14:schemeClr w14:val="tx1"/>
            </w14:solidFill>
          </w14:textFill>
        </w:rPr>
        <w:t>航空煤油：</w:t>
      </w:r>
      <w:r>
        <w:rPr>
          <w:rFonts w:hint="default"/>
          <w:color w:val="000000" w:themeColor="text1"/>
          <w:lang w:val="en-US" w:eastAsia="zh-CN"/>
          <w14:textFill>
            <w14:solidFill>
              <w14:schemeClr w14:val="tx1"/>
            </w14:solidFill>
          </w14:textFill>
        </w:rPr>
        <w:t>后方厂区</w:t>
      </w:r>
      <w:r>
        <w:rPr>
          <w:rFonts w:hint="eastAsia"/>
          <w:color w:val="000000" w:themeColor="text1"/>
          <w:lang w:val="en-US" w:eastAsia="zh-CN"/>
          <w14:textFill>
            <w14:solidFill>
              <w14:schemeClr w14:val="tx1"/>
            </w14:solidFill>
          </w14:textFill>
        </w:rPr>
        <w:t>（第三方公司）</w:t>
      </w:r>
      <w:r>
        <w:rPr>
          <w:rFonts w:hint="default"/>
          <w:color w:val="000000" w:themeColor="text1"/>
          <w:lang w:val="en-US" w:eastAsia="zh-CN"/>
          <w14:textFill>
            <w14:solidFill>
              <w14:schemeClr w14:val="tx1"/>
            </w14:solidFill>
          </w14:textFill>
        </w:rPr>
        <w:t>→主管→装卸臂→紧急切断阀→船舶</w:t>
      </w:r>
      <w:r>
        <w:rPr>
          <w:rFonts w:hint="eastAsia"/>
          <w:color w:val="000000" w:themeColor="text1"/>
          <w14:textFill>
            <w14:solidFill>
              <w14:schemeClr w14:val="tx1"/>
            </w14:solidFill>
          </w14:textFill>
        </w:rPr>
        <w:t>。</w:t>
      </w:r>
    </w:p>
    <w:p w14:paraId="6A6F62EE">
      <w:pPr>
        <w:ind w:firstLine="48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④</w:t>
      </w:r>
      <w:r>
        <w:rPr>
          <w:rFonts w:hint="eastAsia"/>
          <w:color w:val="000000" w:themeColor="text1"/>
          <w14:textFill>
            <w14:solidFill>
              <w14:schemeClr w14:val="tx1"/>
            </w14:solidFill>
          </w14:textFill>
        </w:rPr>
        <w:t>脂肪酸甲酯、工业级混合油、纯生物柴油</w:t>
      </w:r>
      <w:r>
        <w:rPr>
          <w:rFonts w:hint="eastAsia"/>
          <w:color w:val="000000" w:themeColor="text1"/>
          <w:lang w:eastAsia="zh-CN"/>
          <w14:textFill>
            <w14:solidFill>
              <w14:schemeClr w14:val="tx1"/>
            </w14:solidFill>
          </w14:textFill>
        </w:rPr>
        <w:t>：</w:t>
      </w:r>
      <w:r>
        <w:rPr>
          <w:rFonts w:hint="default"/>
          <w:color w:val="000000" w:themeColor="text1"/>
          <w:lang w:val="en-US" w:eastAsia="zh-CN"/>
          <w14:textFill>
            <w14:solidFill>
              <w14:schemeClr w14:val="tx1"/>
            </w14:solidFill>
          </w14:textFill>
        </w:rPr>
        <w:t>后方厂区</w:t>
      </w:r>
      <w:r>
        <w:rPr>
          <w:rFonts w:hint="eastAsia"/>
          <w:color w:val="000000" w:themeColor="text1"/>
          <w:lang w:val="en-US" w:eastAsia="zh-CN"/>
          <w14:textFill>
            <w14:solidFill>
              <w14:schemeClr w14:val="tx1"/>
            </w14:solidFill>
          </w14:textFill>
        </w:rPr>
        <w:t>（丰之力）</w:t>
      </w:r>
      <w:r>
        <w:rPr>
          <w:rFonts w:hint="default"/>
          <w:color w:val="000000" w:themeColor="text1"/>
          <w:lang w:val="en-US" w:eastAsia="zh-CN"/>
          <w14:textFill>
            <w14:solidFill>
              <w14:schemeClr w14:val="tx1"/>
            </w14:solidFill>
          </w14:textFill>
        </w:rPr>
        <w:t>→主管→装卸臂→紧急切断阀→船舶</w:t>
      </w:r>
      <w:r>
        <w:rPr>
          <w:rFonts w:hint="eastAsia"/>
          <w:color w:val="000000" w:themeColor="text1"/>
          <w14:textFill>
            <w14:solidFill>
              <w14:schemeClr w14:val="tx1"/>
            </w14:solidFill>
          </w14:textFill>
        </w:rPr>
        <w:t>。</w:t>
      </w:r>
    </w:p>
    <w:p w14:paraId="77473361">
      <w:pPr>
        <w:ind w:firstLine="480"/>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苯乙烯接卸船及输送</w:t>
      </w:r>
    </w:p>
    <w:p w14:paraId="1EDB7DC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苯乙烯卸船流程：船舶→船内输送泵→装卸臂→紧急切断阀→主管→台湾见龙钦州高端聚苯乙烯新材料项目（依托）。</w:t>
      </w:r>
    </w:p>
    <w:p w14:paraId="1535119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输送物料切换前须进行清管（清管工艺见2.2.3.3），检测合格后方可更换输送物料。</w:t>
      </w:r>
    </w:p>
    <w:p w14:paraId="40444C8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（3）液硫储运</w:t>
      </w:r>
    </w:p>
    <w:p w14:paraId="23D7C50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流体流程：船舶→船内输送泵→卸船软管→紧急切断阀→主管→后方储罐（恒逸新材料，后方储罐同步进行环评中）。</w:t>
      </w:r>
    </w:p>
    <w:p w14:paraId="0F99DC8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（4）液碱储运</w:t>
      </w:r>
    </w:p>
    <w:p w14:paraId="2CDA424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流体流程：船舶→船内输送泵→卸船软管→紧急切断阀→主管→后方储罐（恒逸新材料，后方储罐同步进行环评中）。</w:t>
      </w:r>
    </w:p>
    <w:p w14:paraId="0AB4A3B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（5）发烟硫酸、硫酸储运</w:t>
      </w:r>
    </w:p>
    <w:p w14:paraId="314EFDC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流体流程：船舶→船内输送泵→卸船软管→紧急切断阀→主管→后方储罐（恒逸新材料，后方储罐同步进行环评中）。</w:t>
      </w:r>
    </w:p>
    <w:p w14:paraId="4E5626A4">
      <w:pPr>
        <w:pStyle w:val="6"/>
        <w:tabs>
          <w:tab w:val="left" w:pos="561"/>
        </w:tabs>
        <w:rPr>
          <w:color w:val="000000" w:themeColor="text1"/>
          <w14:textFill>
            <w14:solidFill>
              <w14:schemeClr w14:val="tx1"/>
            </w14:solidFill>
          </w14:textFill>
        </w:rPr>
      </w:pPr>
      <w:r>
        <w:rPr>
          <w:rFonts w:hint="eastAsia"/>
          <w:color w:val="000000" w:themeColor="text1"/>
          <w14:textFill>
            <w14:solidFill>
              <w14:schemeClr w14:val="tx1"/>
            </w14:solidFill>
          </w14:textFill>
        </w:rPr>
        <w:t>清管</w:t>
      </w:r>
      <w:r>
        <w:rPr>
          <w:color w:val="000000" w:themeColor="text1"/>
          <w14:textFill>
            <w14:solidFill>
              <w14:schemeClr w14:val="tx1"/>
            </w14:solidFill>
          </w14:textFill>
        </w:rPr>
        <w:t>工艺</w:t>
      </w:r>
    </w:p>
    <w:p w14:paraId="5E9F6BE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装卸船作业结束后，将清管器装入清管阀中，使用氮气驱动清管器向下游单位通球作业，从而有效</w:t>
      </w:r>
      <w:r>
        <w:rPr>
          <w:rFonts w:hint="eastAsia"/>
          <w:color w:val="000000" w:themeColor="text1"/>
          <w:lang w:eastAsia="zh-CN"/>
          <w14:textFill>
            <w14:solidFill>
              <w14:schemeClr w14:val="tx1"/>
            </w14:solidFill>
          </w14:textFill>
        </w:rPr>
        <w:t>地</w:t>
      </w:r>
      <w:r>
        <w:rPr>
          <w:rFonts w:hint="eastAsia"/>
          <w:color w:val="000000" w:themeColor="text1"/>
          <w14:textFill>
            <w14:solidFill>
              <w14:schemeClr w14:val="tx1"/>
            </w14:solidFill>
          </w14:textFill>
        </w:rPr>
        <w:t>将管道内物料清空，由下游单位配备收球设备同时负责收球，通球结束后，管道内的氮气封存起到隔绝氧气和保压的作用。</w:t>
      </w:r>
    </w:p>
    <w:p w14:paraId="7C4743CE">
      <w:pPr>
        <w:pStyle w:val="6"/>
        <w:tabs>
          <w:tab w:val="left" w:pos="561"/>
        </w:tabs>
        <w:rPr>
          <w:color w:val="000000" w:themeColor="text1"/>
          <w14:textFill>
            <w14:solidFill>
              <w14:schemeClr w14:val="tx1"/>
            </w14:solidFill>
          </w14:textFill>
        </w:rPr>
      </w:pPr>
      <w:r>
        <w:rPr>
          <w:color w:val="000000" w:themeColor="text1"/>
          <w14:textFill>
            <w14:solidFill>
              <w14:schemeClr w14:val="tx1"/>
            </w14:solidFill>
          </w14:textFill>
        </w:rPr>
        <w:t>装卸设备配置情况</w:t>
      </w:r>
    </w:p>
    <w:p w14:paraId="0925F93A">
      <w:pPr>
        <w:ind w:firstLine="480"/>
        <w:rPr>
          <w:color w:val="000000" w:themeColor="text1"/>
          <w14:textFill>
            <w14:solidFill>
              <w14:schemeClr w14:val="tx1"/>
            </w14:solidFill>
          </w14:textFill>
        </w:rPr>
      </w:pPr>
      <w:r>
        <w:rPr>
          <w:color w:val="000000" w:themeColor="text1"/>
          <w14:textFill>
            <w14:solidFill>
              <w14:schemeClr w14:val="tx1"/>
            </w14:solidFill>
          </w14:textFill>
        </w:rPr>
        <w:t>根据项目装卸工艺及流程，项目14#泊位主要装卸设备表如下：</w:t>
      </w:r>
    </w:p>
    <w:p w14:paraId="403EEFBC">
      <w:pPr>
        <w:pStyle w:val="7"/>
        <w:rPr>
          <w:color w:val="000000" w:themeColor="text1"/>
          <w14:textFill>
            <w14:solidFill>
              <w14:schemeClr w14:val="tx1"/>
            </w14:solidFill>
          </w14:textFill>
        </w:rPr>
      </w:pPr>
      <w:r>
        <w:rPr>
          <w:color w:val="000000" w:themeColor="text1"/>
          <w14:textFill>
            <w14:solidFill>
              <w14:schemeClr w14:val="tx1"/>
            </w14:solidFill>
          </w14:textFill>
        </w:rPr>
        <w:t>14#液体危化品泊位主要设备、材料表</w:t>
      </w:r>
    </w:p>
    <w:tbl>
      <w:tblPr>
        <w:tblStyle w:val="119"/>
        <w:tblW w:w="9007" w:type="dxa"/>
        <w:tblInd w:w="96"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682"/>
        <w:gridCol w:w="1068"/>
        <w:gridCol w:w="4741"/>
        <w:gridCol w:w="709"/>
        <w:gridCol w:w="709"/>
        <w:gridCol w:w="1098"/>
      </w:tblGrid>
      <w:tr w14:paraId="626EB97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blHeader/>
        </w:trPr>
        <w:tc>
          <w:tcPr>
            <w:tcW w:w="682" w:type="dxa"/>
            <w:vAlign w:val="center"/>
          </w:tcPr>
          <w:p w14:paraId="05F969C5">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270" w:name="_Toc9698"/>
            <w:bookmarkStart w:id="271" w:name="_Toc216103299"/>
            <w:bookmarkStart w:id="272" w:name="_Toc216620458"/>
            <w:r>
              <w:rPr>
                <w:b/>
                <w:color w:val="000000" w:themeColor="text1"/>
                <w:sz w:val="21"/>
                <w:szCs w:val="20"/>
                <w14:textFill>
                  <w14:solidFill>
                    <w14:schemeClr w14:val="tx1"/>
                  </w14:solidFill>
                </w14:textFill>
              </w:rPr>
              <w:t>序号</w:t>
            </w:r>
            <w:bookmarkEnd w:id="270"/>
            <w:bookmarkEnd w:id="271"/>
            <w:bookmarkEnd w:id="272"/>
          </w:p>
        </w:tc>
        <w:tc>
          <w:tcPr>
            <w:tcW w:w="1068" w:type="dxa"/>
            <w:vAlign w:val="center"/>
          </w:tcPr>
          <w:p w14:paraId="0EFE7B61">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273" w:name="_Toc216620459"/>
            <w:bookmarkStart w:id="274" w:name="_Toc8913"/>
            <w:bookmarkStart w:id="275" w:name="_Toc216103300"/>
            <w:r>
              <w:rPr>
                <w:b/>
                <w:color w:val="000000" w:themeColor="text1"/>
                <w:sz w:val="21"/>
                <w:szCs w:val="20"/>
                <w14:textFill>
                  <w14:solidFill>
                    <w14:schemeClr w14:val="tx1"/>
                  </w14:solidFill>
                </w14:textFill>
              </w:rPr>
              <w:t>名称</w:t>
            </w:r>
            <w:bookmarkEnd w:id="273"/>
            <w:bookmarkEnd w:id="274"/>
            <w:bookmarkEnd w:id="275"/>
          </w:p>
        </w:tc>
        <w:tc>
          <w:tcPr>
            <w:tcW w:w="4741" w:type="dxa"/>
            <w:vAlign w:val="center"/>
          </w:tcPr>
          <w:p w14:paraId="138C3D65">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276" w:name="_Toc216103301"/>
            <w:bookmarkStart w:id="277" w:name="_Toc22703"/>
            <w:bookmarkStart w:id="278" w:name="_Toc216620460"/>
            <w:r>
              <w:rPr>
                <w:b/>
                <w:color w:val="000000" w:themeColor="text1"/>
                <w:sz w:val="21"/>
                <w:szCs w:val="20"/>
                <w14:textFill>
                  <w14:solidFill>
                    <w14:schemeClr w14:val="tx1"/>
                  </w14:solidFill>
                </w14:textFill>
              </w:rPr>
              <w:t>规格与参数</w:t>
            </w:r>
            <w:bookmarkEnd w:id="276"/>
            <w:bookmarkEnd w:id="277"/>
            <w:bookmarkEnd w:id="278"/>
          </w:p>
        </w:tc>
        <w:tc>
          <w:tcPr>
            <w:tcW w:w="709" w:type="dxa"/>
            <w:vAlign w:val="center"/>
          </w:tcPr>
          <w:p w14:paraId="5D7DFE0D">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279" w:name="_Toc7486"/>
            <w:bookmarkStart w:id="280" w:name="_Toc216103302"/>
            <w:bookmarkStart w:id="281" w:name="_Toc216620461"/>
            <w:r>
              <w:rPr>
                <w:b/>
                <w:color w:val="000000" w:themeColor="text1"/>
                <w:sz w:val="21"/>
                <w:szCs w:val="20"/>
                <w14:textFill>
                  <w14:solidFill>
                    <w14:schemeClr w14:val="tx1"/>
                  </w14:solidFill>
                </w14:textFill>
              </w:rPr>
              <w:t>单位</w:t>
            </w:r>
            <w:bookmarkEnd w:id="279"/>
            <w:bookmarkEnd w:id="280"/>
            <w:bookmarkEnd w:id="281"/>
          </w:p>
        </w:tc>
        <w:tc>
          <w:tcPr>
            <w:tcW w:w="709" w:type="dxa"/>
            <w:vAlign w:val="center"/>
          </w:tcPr>
          <w:p w14:paraId="319A2A10">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282" w:name="_Toc216620462"/>
            <w:bookmarkStart w:id="283" w:name="_Toc6282"/>
            <w:bookmarkStart w:id="284" w:name="_Toc216103303"/>
            <w:r>
              <w:rPr>
                <w:b/>
                <w:color w:val="000000" w:themeColor="text1"/>
                <w:sz w:val="21"/>
                <w:szCs w:val="20"/>
                <w14:textFill>
                  <w14:solidFill>
                    <w14:schemeClr w14:val="tx1"/>
                  </w14:solidFill>
                </w14:textFill>
              </w:rPr>
              <w:t>数量</w:t>
            </w:r>
            <w:bookmarkEnd w:id="282"/>
            <w:bookmarkEnd w:id="283"/>
            <w:bookmarkEnd w:id="284"/>
          </w:p>
        </w:tc>
        <w:tc>
          <w:tcPr>
            <w:tcW w:w="1098" w:type="dxa"/>
            <w:vAlign w:val="center"/>
          </w:tcPr>
          <w:p w14:paraId="35A2866F">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285" w:name="_Toc216620463"/>
            <w:bookmarkStart w:id="286" w:name="_Toc6511"/>
            <w:bookmarkStart w:id="287" w:name="_Toc216103304"/>
            <w:r>
              <w:rPr>
                <w:b/>
                <w:color w:val="000000" w:themeColor="text1"/>
                <w:sz w:val="21"/>
                <w:szCs w:val="20"/>
                <w14:textFill>
                  <w14:solidFill>
                    <w14:schemeClr w14:val="tx1"/>
                  </w14:solidFill>
                </w14:textFill>
              </w:rPr>
              <w:t>备注</w:t>
            </w:r>
            <w:bookmarkEnd w:id="285"/>
            <w:bookmarkEnd w:id="286"/>
            <w:bookmarkEnd w:id="287"/>
          </w:p>
        </w:tc>
      </w:tr>
      <w:tr w14:paraId="614EB67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682" w:type="dxa"/>
            <w:vAlign w:val="center"/>
          </w:tcPr>
          <w:p w14:paraId="2B51CA2C">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88" w:name="_Toc216103305"/>
            <w:bookmarkStart w:id="289" w:name="_Toc5459"/>
            <w:bookmarkStart w:id="290" w:name="_Toc216620464"/>
            <w:r>
              <w:rPr>
                <w:color w:val="000000" w:themeColor="text1"/>
                <w:sz w:val="21"/>
                <w:szCs w:val="20"/>
                <w14:textFill>
                  <w14:solidFill>
                    <w14:schemeClr w14:val="tx1"/>
                  </w14:solidFill>
                </w14:textFill>
              </w:rPr>
              <w:t>1</w:t>
            </w:r>
            <w:bookmarkEnd w:id="288"/>
            <w:bookmarkEnd w:id="289"/>
            <w:bookmarkEnd w:id="290"/>
          </w:p>
        </w:tc>
        <w:tc>
          <w:tcPr>
            <w:tcW w:w="1068" w:type="dxa"/>
            <w:vAlign w:val="center"/>
          </w:tcPr>
          <w:p w14:paraId="77BDAD85">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91" w:name="_Toc216620465"/>
            <w:bookmarkStart w:id="292" w:name="_Toc216103306"/>
            <w:bookmarkStart w:id="293" w:name="_Toc24856"/>
            <w:r>
              <w:rPr>
                <w:color w:val="000000" w:themeColor="text1"/>
                <w:sz w:val="21"/>
                <w:szCs w:val="20"/>
                <w14:textFill>
                  <w14:solidFill>
                    <w14:schemeClr w14:val="tx1"/>
                  </w14:solidFill>
                </w14:textFill>
              </w:rPr>
              <w:t>苯</w:t>
            </w:r>
            <w:r>
              <w:rPr>
                <w:rFonts w:hint="eastAsia"/>
                <w:color w:val="000000" w:themeColor="text1"/>
                <w:sz w:val="21"/>
                <w:szCs w:val="20"/>
                <w14:textFill>
                  <w14:solidFill>
                    <w14:schemeClr w14:val="tx1"/>
                  </w14:solidFill>
                </w14:textFill>
              </w:rPr>
              <w:t>类</w:t>
            </w:r>
            <w:r>
              <w:rPr>
                <w:color w:val="000000" w:themeColor="text1"/>
                <w:sz w:val="21"/>
                <w:szCs w:val="20"/>
                <w14:textFill>
                  <w14:solidFill>
                    <w14:schemeClr w14:val="tx1"/>
                  </w14:solidFill>
                </w14:textFill>
              </w:rPr>
              <w:t>装卸臂</w:t>
            </w:r>
            <w:bookmarkEnd w:id="291"/>
            <w:bookmarkEnd w:id="292"/>
            <w:bookmarkEnd w:id="293"/>
          </w:p>
        </w:tc>
        <w:tc>
          <w:tcPr>
            <w:tcW w:w="4741" w:type="dxa"/>
            <w:vAlign w:val="center"/>
          </w:tcPr>
          <w:p w14:paraId="6E7258C5">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294" w:name="_Toc216103307"/>
            <w:bookmarkStart w:id="295" w:name="_Toc19943"/>
            <w:bookmarkStart w:id="296" w:name="_Toc216620466"/>
            <w:r>
              <w:rPr>
                <w:color w:val="000000" w:themeColor="text1"/>
                <w:sz w:val="21"/>
                <w:szCs w:val="20"/>
                <w14:textFill>
                  <w14:solidFill>
                    <w14:schemeClr w14:val="tx1"/>
                  </w14:solidFill>
                </w14:textFill>
              </w:rPr>
              <w:t>电液动装卸臂DN</w:t>
            </w:r>
            <w:r>
              <w:rPr>
                <w:rFonts w:hint="eastAsia"/>
                <w:color w:val="000000" w:themeColor="text1"/>
                <w:sz w:val="21"/>
                <w:szCs w:val="20"/>
                <w14:textFill>
                  <w14:solidFill>
                    <w14:schemeClr w14:val="tx1"/>
                  </w14:solidFill>
                </w14:textFill>
              </w:rPr>
              <w:t>4</w:t>
            </w:r>
            <w:r>
              <w:rPr>
                <w:color w:val="000000" w:themeColor="text1"/>
                <w:sz w:val="21"/>
                <w:szCs w:val="20"/>
                <w14:textFill>
                  <w14:solidFill>
                    <w14:schemeClr w14:val="tx1"/>
                  </w14:solidFill>
                </w14:textFill>
              </w:rPr>
              <w:t>00</w:t>
            </w:r>
            <w:bookmarkEnd w:id="294"/>
            <w:bookmarkEnd w:id="295"/>
            <w:bookmarkEnd w:id="296"/>
          </w:p>
          <w:p w14:paraId="028031B4">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297" w:name="_Toc11217"/>
            <w:bookmarkStart w:id="298" w:name="_Toc216620467"/>
            <w:bookmarkStart w:id="299" w:name="_Toc216103308"/>
            <w:r>
              <w:rPr>
                <w:color w:val="000000" w:themeColor="text1"/>
                <w:sz w:val="21"/>
                <w:szCs w:val="20"/>
                <w14:textFill>
                  <w14:solidFill>
                    <w14:schemeClr w14:val="tx1"/>
                  </w14:solidFill>
                </w14:textFill>
              </w:rPr>
              <w:t>工作介质</w:t>
            </w:r>
            <w:r>
              <w:rPr>
                <w:rFonts w:hint="eastAsia"/>
                <w:color w:val="000000" w:themeColor="text1"/>
                <w:sz w:val="21"/>
                <w:szCs w:val="20"/>
                <w14:textFill>
                  <w14:solidFill>
                    <w14:schemeClr w14:val="tx1"/>
                  </w14:solidFill>
                </w14:textFill>
              </w:rPr>
              <w:t>：</w:t>
            </w:r>
            <w:r>
              <w:rPr>
                <w:color w:val="000000" w:themeColor="text1"/>
                <w:sz w:val="21"/>
                <w:szCs w:val="20"/>
                <w14:textFill>
                  <w14:solidFill>
                    <w14:schemeClr w14:val="tx1"/>
                  </w14:solidFill>
                </w14:textFill>
              </w:rPr>
              <w:t>苯</w:t>
            </w:r>
            <w:bookmarkEnd w:id="297"/>
            <w:r>
              <w:rPr>
                <w:rFonts w:hint="eastAsia"/>
                <w:color w:val="000000" w:themeColor="text1"/>
                <w:sz w:val="21"/>
                <w:szCs w:val="20"/>
                <w14:textFill>
                  <w14:solidFill>
                    <w14:schemeClr w14:val="tx1"/>
                  </w14:solidFill>
                </w14:textFill>
              </w:rPr>
              <w:t>类</w:t>
            </w:r>
            <w:bookmarkEnd w:id="298"/>
            <w:bookmarkEnd w:id="299"/>
          </w:p>
          <w:p w14:paraId="36ECB54E">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00" w:name="_Toc216103309"/>
            <w:bookmarkStart w:id="301" w:name="_Toc216620468"/>
            <w:bookmarkStart w:id="302" w:name="_Toc9981"/>
            <w:r>
              <w:rPr>
                <w:color w:val="000000" w:themeColor="text1"/>
                <w:sz w:val="21"/>
                <w:szCs w:val="20"/>
                <w14:textFill>
                  <w14:solidFill>
                    <w14:schemeClr w14:val="tx1"/>
                  </w14:solidFill>
                </w14:textFill>
              </w:rPr>
              <w:t>额定流量：1700m</w:t>
            </w:r>
            <w:r>
              <w:rPr>
                <w:color w:val="000000" w:themeColor="text1"/>
                <w:sz w:val="21"/>
                <w:szCs w:val="20"/>
                <w:vertAlign w:val="superscript"/>
                <w14:textFill>
                  <w14:solidFill>
                    <w14:schemeClr w14:val="tx1"/>
                  </w14:solidFill>
                </w14:textFill>
              </w:rPr>
              <w:t>3</w:t>
            </w:r>
            <w:r>
              <w:rPr>
                <w:color w:val="000000" w:themeColor="text1"/>
                <w:sz w:val="21"/>
                <w:szCs w:val="20"/>
                <w14:textFill>
                  <w14:solidFill>
                    <w14:schemeClr w14:val="tx1"/>
                  </w14:solidFill>
                </w14:textFill>
              </w:rPr>
              <w:t>/h。液相通径：DN</w:t>
            </w:r>
            <w:r>
              <w:rPr>
                <w:rFonts w:hint="eastAsia"/>
                <w:color w:val="000000" w:themeColor="text1"/>
                <w:sz w:val="21"/>
                <w:szCs w:val="20"/>
                <w14:textFill>
                  <w14:solidFill>
                    <w14:schemeClr w14:val="tx1"/>
                  </w14:solidFill>
                </w14:textFill>
              </w:rPr>
              <w:t>4</w:t>
            </w:r>
            <w:r>
              <w:rPr>
                <w:color w:val="000000" w:themeColor="text1"/>
                <w:sz w:val="21"/>
                <w:szCs w:val="20"/>
                <w14:textFill>
                  <w14:solidFill>
                    <w14:schemeClr w14:val="tx1"/>
                  </w14:solidFill>
                </w14:textFill>
              </w:rPr>
              <w:t>00</w:t>
            </w:r>
            <w:bookmarkEnd w:id="300"/>
            <w:bookmarkEnd w:id="301"/>
            <w:bookmarkEnd w:id="302"/>
          </w:p>
          <w:p w14:paraId="0034F66E">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03" w:name="_Toc216620469"/>
            <w:bookmarkStart w:id="304" w:name="_Toc12527"/>
            <w:bookmarkStart w:id="305" w:name="_Toc216103310"/>
            <w:r>
              <w:rPr>
                <w:color w:val="000000" w:themeColor="text1"/>
                <w:sz w:val="21"/>
                <w:szCs w:val="20"/>
                <w14:textFill>
                  <w14:solidFill>
                    <w14:schemeClr w14:val="tx1"/>
                  </w14:solidFill>
                </w14:textFill>
              </w:rPr>
              <w:t>工作压力</w:t>
            </w:r>
            <w:r>
              <w:rPr>
                <w:rFonts w:hint="eastAsia"/>
                <w:color w:val="000000" w:themeColor="text1"/>
                <w:sz w:val="21"/>
                <w:szCs w:val="20"/>
                <w14:textFill>
                  <w14:solidFill>
                    <w14:schemeClr w14:val="tx1"/>
                  </w14:solidFill>
                </w14:textFill>
              </w:rPr>
              <w:t>：</w:t>
            </w:r>
            <w:r>
              <w:rPr>
                <w:color w:val="000000" w:themeColor="text1"/>
                <w:sz w:val="21"/>
                <w:szCs w:val="20"/>
                <w14:textFill>
                  <w14:solidFill>
                    <w14:schemeClr w14:val="tx1"/>
                  </w14:solidFill>
                </w14:textFill>
              </w:rPr>
              <w:t>1.2MPa；设计压力</w:t>
            </w:r>
            <w:r>
              <w:rPr>
                <w:rFonts w:hint="eastAsia"/>
                <w:color w:val="000000" w:themeColor="text1"/>
                <w:sz w:val="21"/>
                <w:szCs w:val="20"/>
                <w14:textFill>
                  <w14:solidFill>
                    <w14:schemeClr w14:val="tx1"/>
                  </w14:solidFill>
                </w14:textFill>
              </w:rPr>
              <w:t>：</w:t>
            </w:r>
            <w:r>
              <w:rPr>
                <w:color w:val="000000" w:themeColor="text1"/>
                <w:sz w:val="21"/>
                <w:szCs w:val="20"/>
                <w14:textFill>
                  <w14:solidFill>
                    <w14:schemeClr w14:val="tx1"/>
                  </w14:solidFill>
                </w14:textFill>
              </w:rPr>
              <w:t>1.38MPa</w:t>
            </w:r>
            <w:bookmarkEnd w:id="303"/>
            <w:bookmarkEnd w:id="304"/>
            <w:bookmarkEnd w:id="305"/>
          </w:p>
          <w:p w14:paraId="1D92AAF0">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06" w:name="_Toc216620470"/>
            <w:bookmarkStart w:id="307" w:name="_Toc216103311"/>
            <w:bookmarkStart w:id="308" w:name="_Toc12840"/>
            <w:r>
              <w:rPr>
                <w:color w:val="000000" w:themeColor="text1"/>
                <w:sz w:val="21"/>
                <w:szCs w:val="20"/>
                <w14:textFill>
                  <w14:solidFill>
                    <w14:schemeClr w14:val="tx1"/>
                  </w14:solidFill>
                </w14:textFill>
              </w:rPr>
              <w:t>工作温度</w:t>
            </w:r>
            <w:r>
              <w:rPr>
                <w:rFonts w:hint="eastAsia"/>
                <w:color w:val="000000" w:themeColor="text1"/>
                <w:sz w:val="21"/>
                <w:szCs w:val="20"/>
                <w14:textFill>
                  <w14:solidFill>
                    <w14:schemeClr w14:val="tx1"/>
                  </w14:solidFill>
                </w14:textFill>
              </w:rPr>
              <w:t>：</w:t>
            </w:r>
            <w:r>
              <w:rPr>
                <w:color w:val="000000" w:themeColor="text1"/>
                <w:sz w:val="21"/>
                <w:szCs w:val="20"/>
                <w14:textFill>
                  <w14:solidFill>
                    <w14:schemeClr w14:val="tx1"/>
                  </w14:solidFill>
                </w14:textFill>
              </w:rPr>
              <w:t>常温；设计温度</w:t>
            </w:r>
            <w:r>
              <w:rPr>
                <w:rFonts w:hint="eastAsia"/>
                <w:color w:val="000000" w:themeColor="text1"/>
                <w:sz w:val="21"/>
                <w:szCs w:val="20"/>
                <w14:textFill>
                  <w14:solidFill>
                    <w14:schemeClr w14:val="tx1"/>
                  </w14:solidFill>
                </w14:textFill>
              </w:rPr>
              <w:t>：</w:t>
            </w:r>
            <w:r>
              <w:rPr>
                <w:color w:val="000000" w:themeColor="text1"/>
                <w:sz w:val="21"/>
                <w:szCs w:val="20"/>
                <w14:textFill>
                  <w14:solidFill>
                    <w14:schemeClr w14:val="tx1"/>
                  </w14:solidFill>
                </w14:textFill>
              </w:rPr>
              <w:t>80°C</w:t>
            </w:r>
            <w:bookmarkEnd w:id="306"/>
            <w:bookmarkEnd w:id="307"/>
            <w:bookmarkEnd w:id="308"/>
          </w:p>
          <w:p w14:paraId="7EF12D6E">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09" w:name="_Toc23809"/>
            <w:bookmarkStart w:id="310" w:name="_Toc216620471"/>
            <w:bookmarkStart w:id="311" w:name="_Toc216103312"/>
            <w:r>
              <w:rPr>
                <w:rFonts w:hint="eastAsia"/>
                <w:color w:val="000000" w:themeColor="text1"/>
                <w:sz w:val="21"/>
                <w:szCs w:val="20"/>
                <w:lang w:eastAsia="zh-CN"/>
                <w14:textFill>
                  <w14:solidFill>
                    <w14:schemeClr w14:val="tx1"/>
                  </w14:solidFill>
                </w14:textFill>
              </w:rPr>
              <w:t>配备</w:t>
            </w:r>
            <w:r>
              <w:rPr>
                <w:color w:val="000000" w:themeColor="text1"/>
                <w:sz w:val="21"/>
                <w:szCs w:val="20"/>
                <w14:textFill>
                  <w14:solidFill>
                    <w14:schemeClr w14:val="tx1"/>
                  </w14:solidFill>
                </w14:textFill>
              </w:rPr>
              <w:t>绝缘法兰，并配备紧急脱离系统和声光</w:t>
            </w:r>
            <w:bookmarkEnd w:id="309"/>
            <w:bookmarkEnd w:id="310"/>
            <w:bookmarkEnd w:id="311"/>
          </w:p>
          <w:p w14:paraId="78BB6EAE">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12" w:name="_Toc216103313"/>
            <w:bookmarkStart w:id="313" w:name="_Toc216620472"/>
            <w:bookmarkStart w:id="314" w:name="_Toc28126"/>
            <w:r>
              <w:rPr>
                <w:color w:val="000000" w:themeColor="text1"/>
                <w:sz w:val="21"/>
                <w:szCs w:val="20"/>
                <w14:textFill>
                  <w14:solidFill>
                    <w14:schemeClr w14:val="tx1"/>
                  </w14:solidFill>
                </w14:textFill>
              </w:rPr>
              <w:t>报警系统。</w:t>
            </w:r>
            <w:bookmarkEnd w:id="312"/>
            <w:bookmarkEnd w:id="313"/>
            <w:bookmarkEnd w:id="314"/>
          </w:p>
        </w:tc>
        <w:tc>
          <w:tcPr>
            <w:tcW w:w="709" w:type="dxa"/>
            <w:vAlign w:val="center"/>
          </w:tcPr>
          <w:p w14:paraId="732A628D">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15" w:name="_Toc216620473"/>
            <w:bookmarkStart w:id="316" w:name="_Toc216103314"/>
            <w:bookmarkStart w:id="317" w:name="_Toc28734"/>
            <w:r>
              <w:rPr>
                <w:color w:val="000000" w:themeColor="text1"/>
                <w:sz w:val="21"/>
                <w:szCs w:val="20"/>
                <w14:textFill>
                  <w14:solidFill>
                    <w14:schemeClr w14:val="tx1"/>
                  </w14:solidFill>
                </w14:textFill>
              </w:rPr>
              <w:t>台</w:t>
            </w:r>
            <w:bookmarkEnd w:id="315"/>
            <w:bookmarkEnd w:id="316"/>
            <w:bookmarkEnd w:id="317"/>
          </w:p>
        </w:tc>
        <w:tc>
          <w:tcPr>
            <w:tcW w:w="709" w:type="dxa"/>
            <w:vAlign w:val="center"/>
          </w:tcPr>
          <w:p w14:paraId="49E76778">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18" w:name="_Toc216103315"/>
            <w:bookmarkStart w:id="319" w:name="_Toc20138"/>
            <w:bookmarkStart w:id="320" w:name="_Toc216620474"/>
            <w:r>
              <w:rPr>
                <w:color w:val="000000" w:themeColor="text1"/>
                <w:sz w:val="21"/>
                <w:szCs w:val="20"/>
                <w14:textFill>
                  <w14:solidFill>
                    <w14:schemeClr w14:val="tx1"/>
                  </w14:solidFill>
                </w14:textFill>
              </w:rPr>
              <w:t>1</w:t>
            </w:r>
            <w:bookmarkEnd w:id="318"/>
            <w:bookmarkEnd w:id="319"/>
            <w:bookmarkEnd w:id="320"/>
          </w:p>
        </w:tc>
        <w:tc>
          <w:tcPr>
            <w:tcW w:w="1098" w:type="dxa"/>
            <w:vAlign w:val="center"/>
          </w:tcPr>
          <w:p w14:paraId="6B291F4E">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21" w:name="_Toc216103316"/>
            <w:bookmarkStart w:id="322" w:name="_Toc13679"/>
            <w:bookmarkStart w:id="323" w:name="_Toc216620475"/>
            <w:r>
              <w:rPr>
                <w:color w:val="000000" w:themeColor="text1"/>
                <w:sz w:val="21"/>
                <w:szCs w:val="20"/>
                <w14:textFill>
                  <w14:solidFill>
                    <w14:schemeClr w14:val="tx1"/>
                  </w14:solidFill>
                </w14:textFill>
              </w:rPr>
              <w:t>利旧</w:t>
            </w:r>
            <w:bookmarkEnd w:id="321"/>
            <w:bookmarkEnd w:id="322"/>
            <w:bookmarkEnd w:id="323"/>
          </w:p>
        </w:tc>
      </w:tr>
      <w:tr w14:paraId="3D20F5E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682" w:type="dxa"/>
            <w:vAlign w:val="center"/>
          </w:tcPr>
          <w:p w14:paraId="2EA51767">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24" w:name="_Toc216103317"/>
            <w:bookmarkStart w:id="325" w:name="_Toc216620476"/>
            <w:bookmarkStart w:id="326" w:name="_Toc8948"/>
            <w:r>
              <w:rPr>
                <w:color w:val="000000" w:themeColor="text1"/>
                <w:sz w:val="21"/>
                <w:szCs w:val="20"/>
                <w14:textFill>
                  <w14:solidFill>
                    <w14:schemeClr w14:val="tx1"/>
                  </w14:solidFill>
                </w14:textFill>
              </w:rPr>
              <w:t>2</w:t>
            </w:r>
            <w:bookmarkEnd w:id="324"/>
            <w:bookmarkEnd w:id="325"/>
            <w:bookmarkEnd w:id="326"/>
          </w:p>
        </w:tc>
        <w:tc>
          <w:tcPr>
            <w:tcW w:w="1068" w:type="dxa"/>
            <w:vAlign w:val="center"/>
          </w:tcPr>
          <w:p w14:paraId="435CA5A7">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27" w:name="_Toc216103318"/>
            <w:bookmarkStart w:id="328" w:name="_Toc15639"/>
            <w:bookmarkStart w:id="329" w:name="_Toc216620477"/>
            <w:r>
              <w:rPr>
                <w:color w:val="000000" w:themeColor="text1"/>
                <w:sz w:val="21"/>
                <w:szCs w:val="20"/>
                <w14:textFill>
                  <w14:solidFill>
                    <w14:schemeClr w14:val="tx1"/>
                  </w14:solidFill>
                </w14:textFill>
              </w:rPr>
              <w:t>油类装卸</w:t>
            </w:r>
            <w:bookmarkEnd w:id="327"/>
            <w:bookmarkEnd w:id="328"/>
            <w:bookmarkEnd w:id="329"/>
          </w:p>
          <w:p w14:paraId="180FB284">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30" w:name="_Toc216620478"/>
            <w:bookmarkStart w:id="331" w:name="_Toc11782"/>
            <w:bookmarkStart w:id="332" w:name="_Toc216103319"/>
            <w:r>
              <w:rPr>
                <w:color w:val="000000" w:themeColor="text1"/>
                <w:sz w:val="21"/>
                <w:szCs w:val="20"/>
                <w14:textFill>
                  <w14:solidFill>
                    <w14:schemeClr w14:val="tx1"/>
                  </w14:solidFill>
                </w14:textFill>
              </w:rPr>
              <w:t>臂</w:t>
            </w:r>
            <w:bookmarkEnd w:id="330"/>
            <w:bookmarkEnd w:id="331"/>
            <w:bookmarkEnd w:id="332"/>
          </w:p>
        </w:tc>
        <w:tc>
          <w:tcPr>
            <w:tcW w:w="4741" w:type="dxa"/>
            <w:vAlign w:val="center"/>
          </w:tcPr>
          <w:p w14:paraId="52D89A00">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33" w:name="_Toc216620479"/>
            <w:bookmarkStart w:id="334" w:name="_Toc9958"/>
            <w:bookmarkStart w:id="335" w:name="_Toc216103320"/>
            <w:r>
              <w:rPr>
                <w:color w:val="000000" w:themeColor="text1"/>
                <w:sz w:val="21"/>
                <w:szCs w:val="20"/>
                <w14:textFill>
                  <w14:solidFill>
                    <w14:schemeClr w14:val="tx1"/>
                  </w14:solidFill>
                </w14:textFill>
              </w:rPr>
              <w:t>电液动装卸臂DN</w:t>
            </w:r>
            <w:r>
              <w:rPr>
                <w:rFonts w:hint="eastAsia"/>
                <w:color w:val="000000" w:themeColor="text1"/>
                <w:sz w:val="21"/>
                <w:szCs w:val="20"/>
                <w14:textFill>
                  <w14:solidFill>
                    <w14:schemeClr w14:val="tx1"/>
                  </w14:solidFill>
                </w14:textFill>
              </w:rPr>
              <w:t>2</w:t>
            </w:r>
            <w:r>
              <w:rPr>
                <w:color w:val="000000" w:themeColor="text1"/>
                <w:sz w:val="21"/>
                <w:szCs w:val="20"/>
                <w14:textFill>
                  <w14:solidFill>
                    <w14:schemeClr w14:val="tx1"/>
                  </w14:solidFill>
                </w14:textFill>
              </w:rPr>
              <w:t>00</w:t>
            </w:r>
            <w:bookmarkEnd w:id="333"/>
            <w:bookmarkEnd w:id="334"/>
            <w:bookmarkEnd w:id="335"/>
          </w:p>
          <w:p w14:paraId="41027A53">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36" w:name="_Toc216620480"/>
            <w:bookmarkStart w:id="337" w:name="_Toc31794"/>
            <w:bookmarkStart w:id="338" w:name="_Toc216103321"/>
            <w:r>
              <w:rPr>
                <w:color w:val="000000" w:themeColor="text1"/>
                <w:sz w:val="21"/>
                <w:szCs w:val="20"/>
                <w14:textFill>
                  <w14:solidFill>
                    <w14:schemeClr w14:val="tx1"/>
                  </w14:solidFill>
                </w14:textFill>
              </w:rPr>
              <w:t>工作介质</w:t>
            </w:r>
            <w:r>
              <w:rPr>
                <w:rFonts w:hint="eastAsia"/>
                <w:color w:val="000000" w:themeColor="text1"/>
                <w:sz w:val="21"/>
                <w:szCs w:val="20"/>
                <w14:textFill>
                  <w14:solidFill>
                    <w14:schemeClr w14:val="tx1"/>
                  </w14:solidFill>
                </w14:textFill>
              </w:rPr>
              <w:t>：</w:t>
            </w:r>
            <w:r>
              <w:rPr>
                <w:color w:val="000000" w:themeColor="text1"/>
                <w:sz w:val="21"/>
                <w:szCs w:val="20"/>
                <w14:textFill>
                  <w14:solidFill>
                    <w14:schemeClr w14:val="tx1"/>
                  </w14:solidFill>
                </w14:textFill>
              </w:rPr>
              <w:t>裂解C9、棕榈酸化油、脂肪酸混合物、工业级混合油、脂肪酸甲酯、纯生物柴油、航空煤油</w:t>
            </w:r>
            <w:bookmarkEnd w:id="336"/>
            <w:bookmarkEnd w:id="337"/>
            <w:bookmarkEnd w:id="338"/>
          </w:p>
          <w:p w14:paraId="0166D124">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39" w:name="_Toc5050"/>
            <w:bookmarkStart w:id="340" w:name="_Toc216620481"/>
            <w:bookmarkStart w:id="341" w:name="_Toc216103322"/>
            <w:r>
              <w:rPr>
                <w:color w:val="000000" w:themeColor="text1"/>
                <w:sz w:val="21"/>
                <w:szCs w:val="20"/>
                <w14:textFill>
                  <w14:solidFill>
                    <w14:schemeClr w14:val="tx1"/>
                  </w14:solidFill>
                </w14:textFill>
              </w:rPr>
              <w:t>额定流量：1000m</w:t>
            </w:r>
            <w:r>
              <w:rPr>
                <w:color w:val="000000" w:themeColor="text1"/>
                <w:sz w:val="21"/>
                <w:szCs w:val="20"/>
                <w:vertAlign w:val="superscript"/>
                <w14:textFill>
                  <w14:solidFill>
                    <w14:schemeClr w14:val="tx1"/>
                  </w14:solidFill>
                </w14:textFill>
              </w:rPr>
              <w:t>3</w:t>
            </w:r>
            <w:r>
              <w:rPr>
                <w:color w:val="000000" w:themeColor="text1"/>
                <w:sz w:val="21"/>
                <w:szCs w:val="20"/>
                <w14:textFill>
                  <w14:solidFill>
                    <w14:schemeClr w14:val="tx1"/>
                  </w14:solidFill>
                </w14:textFill>
              </w:rPr>
              <w:t>/h。液相通径：DN</w:t>
            </w:r>
            <w:r>
              <w:rPr>
                <w:rFonts w:hint="eastAsia"/>
                <w:color w:val="000000" w:themeColor="text1"/>
                <w:sz w:val="21"/>
                <w:szCs w:val="20"/>
                <w14:textFill>
                  <w14:solidFill>
                    <w14:schemeClr w14:val="tx1"/>
                  </w14:solidFill>
                </w14:textFill>
              </w:rPr>
              <w:t>3</w:t>
            </w:r>
            <w:r>
              <w:rPr>
                <w:color w:val="000000" w:themeColor="text1"/>
                <w:sz w:val="21"/>
                <w:szCs w:val="20"/>
                <w14:textFill>
                  <w14:solidFill>
                    <w14:schemeClr w14:val="tx1"/>
                  </w14:solidFill>
                </w14:textFill>
              </w:rPr>
              <w:t>00；气相通径：DN150</w:t>
            </w:r>
            <w:bookmarkEnd w:id="339"/>
            <w:bookmarkEnd w:id="340"/>
            <w:bookmarkEnd w:id="341"/>
          </w:p>
          <w:p w14:paraId="19515515">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42" w:name="_Toc216620482"/>
            <w:bookmarkStart w:id="343" w:name="_Toc16717"/>
            <w:bookmarkStart w:id="344" w:name="_Toc216103323"/>
            <w:r>
              <w:rPr>
                <w:color w:val="000000" w:themeColor="text1"/>
                <w:sz w:val="21"/>
                <w:szCs w:val="20"/>
                <w14:textFill>
                  <w14:solidFill>
                    <w14:schemeClr w14:val="tx1"/>
                  </w14:solidFill>
                </w14:textFill>
              </w:rPr>
              <w:t>工作压力</w:t>
            </w:r>
            <w:r>
              <w:rPr>
                <w:rFonts w:hint="eastAsia"/>
                <w:color w:val="000000" w:themeColor="text1"/>
                <w:sz w:val="21"/>
                <w:szCs w:val="20"/>
                <w14:textFill>
                  <w14:solidFill>
                    <w14:schemeClr w14:val="tx1"/>
                  </w14:solidFill>
                </w14:textFill>
              </w:rPr>
              <w:t>：</w:t>
            </w:r>
            <w:r>
              <w:rPr>
                <w:color w:val="000000" w:themeColor="text1"/>
                <w:sz w:val="21"/>
                <w:szCs w:val="20"/>
                <w14:textFill>
                  <w14:solidFill>
                    <w14:schemeClr w14:val="tx1"/>
                  </w14:solidFill>
                </w14:textFill>
              </w:rPr>
              <w:t>1.2MPa；设计压力</w:t>
            </w:r>
            <w:r>
              <w:rPr>
                <w:rFonts w:hint="eastAsia"/>
                <w:color w:val="000000" w:themeColor="text1"/>
                <w:sz w:val="21"/>
                <w:szCs w:val="20"/>
                <w14:textFill>
                  <w14:solidFill>
                    <w14:schemeClr w14:val="tx1"/>
                  </w14:solidFill>
                </w14:textFill>
              </w:rPr>
              <w:t>：</w:t>
            </w:r>
            <w:r>
              <w:rPr>
                <w:color w:val="000000" w:themeColor="text1"/>
                <w:sz w:val="21"/>
                <w:szCs w:val="20"/>
                <w14:textFill>
                  <w14:solidFill>
                    <w14:schemeClr w14:val="tx1"/>
                  </w14:solidFill>
                </w14:textFill>
              </w:rPr>
              <w:t>1.38MPa</w:t>
            </w:r>
            <w:bookmarkEnd w:id="342"/>
            <w:bookmarkEnd w:id="343"/>
            <w:bookmarkEnd w:id="344"/>
          </w:p>
          <w:p w14:paraId="45C27075">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45" w:name="_Toc216103324"/>
            <w:bookmarkStart w:id="346" w:name="_Toc27838"/>
            <w:bookmarkStart w:id="347" w:name="_Toc216620483"/>
            <w:r>
              <w:rPr>
                <w:color w:val="000000" w:themeColor="text1"/>
                <w:sz w:val="21"/>
                <w:szCs w:val="20"/>
                <w14:textFill>
                  <w14:solidFill>
                    <w14:schemeClr w14:val="tx1"/>
                  </w14:solidFill>
                </w14:textFill>
              </w:rPr>
              <w:t>工作温度</w:t>
            </w:r>
            <w:r>
              <w:rPr>
                <w:rFonts w:hint="eastAsia"/>
                <w:color w:val="000000" w:themeColor="text1"/>
                <w:sz w:val="21"/>
                <w:szCs w:val="20"/>
                <w14:textFill>
                  <w14:solidFill>
                    <w14:schemeClr w14:val="tx1"/>
                  </w14:solidFill>
                </w14:textFill>
              </w:rPr>
              <w:t>：</w:t>
            </w:r>
            <w:r>
              <w:rPr>
                <w:color w:val="000000" w:themeColor="text1"/>
                <w:sz w:val="21"/>
                <w:szCs w:val="20"/>
                <w14:textFill>
                  <w14:solidFill>
                    <w14:schemeClr w14:val="tx1"/>
                  </w14:solidFill>
                </w14:textFill>
              </w:rPr>
              <w:t>常温；设计温度</w:t>
            </w:r>
            <w:r>
              <w:rPr>
                <w:rFonts w:hint="eastAsia"/>
                <w:color w:val="000000" w:themeColor="text1"/>
                <w:sz w:val="21"/>
                <w:szCs w:val="20"/>
                <w14:textFill>
                  <w14:solidFill>
                    <w14:schemeClr w14:val="tx1"/>
                  </w14:solidFill>
                </w14:textFill>
              </w:rPr>
              <w:t>：</w:t>
            </w:r>
            <w:r>
              <w:rPr>
                <w:color w:val="000000" w:themeColor="text1"/>
                <w:sz w:val="21"/>
                <w:szCs w:val="20"/>
                <w14:textFill>
                  <w14:solidFill>
                    <w14:schemeClr w14:val="tx1"/>
                  </w14:solidFill>
                </w14:textFill>
              </w:rPr>
              <w:t>80°C</w:t>
            </w:r>
            <w:bookmarkEnd w:id="345"/>
            <w:bookmarkEnd w:id="346"/>
            <w:bookmarkEnd w:id="347"/>
          </w:p>
          <w:p w14:paraId="57644C3F">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48" w:name="_Toc23515"/>
            <w:bookmarkStart w:id="349" w:name="_Toc216620484"/>
            <w:bookmarkStart w:id="350" w:name="_Toc216103325"/>
            <w:r>
              <w:rPr>
                <w:rFonts w:hint="eastAsia"/>
                <w:color w:val="000000" w:themeColor="text1"/>
                <w:sz w:val="21"/>
                <w:szCs w:val="20"/>
                <w:lang w:eastAsia="zh-CN"/>
                <w14:textFill>
                  <w14:solidFill>
                    <w14:schemeClr w14:val="tx1"/>
                  </w14:solidFill>
                </w14:textFill>
              </w:rPr>
              <w:t>配备</w:t>
            </w:r>
            <w:r>
              <w:rPr>
                <w:color w:val="000000" w:themeColor="text1"/>
                <w:sz w:val="21"/>
                <w:szCs w:val="20"/>
                <w14:textFill>
                  <w14:solidFill>
                    <w14:schemeClr w14:val="tx1"/>
                  </w14:solidFill>
                </w14:textFill>
              </w:rPr>
              <w:t>绝缘法兰，并配备紧急脱离系统和声光</w:t>
            </w:r>
            <w:bookmarkEnd w:id="348"/>
            <w:bookmarkEnd w:id="349"/>
            <w:bookmarkEnd w:id="350"/>
            <w:bookmarkStart w:id="351" w:name="_Toc20582"/>
            <w:bookmarkStart w:id="352" w:name="_Toc216103326"/>
            <w:bookmarkStart w:id="353" w:name="_Toc216620485"/>
            <w:r>
              <w:rPr>
                <w:color w:val="000000" w:themeColor="text1"/>
                <w:sz w:val="21"/>
                <w:szCs w:val="20"/>
                <w14:textFill>
                  <w14:solidFill>
                    <w14:schemeClr w14:val="tx1"/>
                  </w14:solidFill>
                </w14:textFill>
              </w:rPr>
              <w:t>报警系统。</w:t>
            </w:r>
            <w:bookmarkEnd w:id="351"/>
            <w:bookmarkEnd w:id="352"/>
            <w:bookmarkEnd w:id="353"/>
          </w:p>
        </w:tc>
        <w:tc>
          <w:tcPr>
            <w:tcW w:w="709" w:type="dxa"/>
            <w:vAlign w:val="center"/>
          </w:tcPr>
          <w:p w14:paraId="6AD89F7E">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54" w:name="_Toc10898"/>
            <w:bookmarkStart w:id="355" w:name="_Toc216103327"/>
            <w:bookmarkStart w:id="356" w:name="_Toc216620486"/>
            <w:r>
              <w:rPr>
                <w:color w:val="000000" w:themeColor="text1"/>
                <w:sz w:val="21"/>
                <w:szCs w:val="20"/>
                <w14:textFill>
                  <w14:solidFill>
                    <w14:schemeClr w14:val="tx1"/>
                  </w14:solidFill>
                </w14:textFill>
              </w:rPr>
              <w:t>台</w:t>
            </w:r>
            <w:bookmarkEnd w:id="354"/>
            <w:bookmarkEnd w:id="355"/>
            <w:bookmarkEnd w:id="356"/>
          </w:p>
        </w:tc>
        <w:tc>
          <w:tcPr>
            <w:tcW w:w="709" w:type="dxa"/>
            <w:vAlign w:val="center"/>
          </w:tcPr>
          <w:p w14:paraId="28307E01">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57" w:name="_Toc216620487"/>
            <w:bookmarkStart w:id="358" w:name="_Toc15444"/>
            <w:bookmarkStart w:id="359" w:name="_Toc216103328"/>
            <w:r>
              <w:rPr>
                <w:color w:val="000000" w:themeColor="text1"/>
                <w:sz w:val="21"/>
                <w:szCs w:val="20"/>
                <w14:textFill>
                  <w14:solidFill>
                    <w14:schemeClr w14:val="tx1"/>
                  </w14:solidFill>
                </w14:textFill>
              </w:rPr>
              <w:t>1</w:t>
            </w:r>
            <w:bookmarkEnd w:id="357"/>
            <w:bookmarkEnd w:id="358"/>
            <w:bookmarkEnd w:id="359"/>
          </w:p>
        </w:tc>
        <w:tc>
          <w:tcPr>
            <w:tcW w:w="1098" w:type="dxa"/>
            <w:vAlign w:val="center"/>
          </w:tcPr>
          <w:p w14:paraId="1F869A4D">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60" w:name="_Toc216620488"/>
            <w:bookmarkStart w:id="361" w:name="_Toc216103329"/>
            <w:bookmarkStart w:id="362" w:name="_Toc3887"/>
            <w:r>
              <w:rPr>
                <w:color w:val="000000" w:themeColor="text1"/>
                <w:sz w:val="21"/>
                <w:szCs w:val="20"/>
                <w14:textFill>
                  <w14:solidFill>
                    <w14:schemeClr w14:val="tx1"/>
                  </w14:solidFill>
                </w14:textFill>
              </w:rPr>
              <w:t>新增</w:t>
            </w:r>
            <w:bookmarkEnd w:id="360"/>
            <w:bookmarkEnd w:id="361"/>
            <w:bookmarkEnd w:id="362"/>
          </w:p>
        </w:tc>
      </w:tr>
      <w:tr w14:paraId="44051A4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682" w:type="dxa"/>
            <w:vAlign w:val="center"/>
          </w:tcPr>
          <w:p w14:paraId="7410820C">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63" w:name="_Toc216103330"/>
            <w:bookmarkStart w:id="364" w:name="_Toc216620489"/>
            <w:bookmarkStart w:id="365" w:name="_Toc879"/>
            <w:r>
              <w:rPr>
                <w:rFonts w:hint="eastAsia"/>
                <w:color w:val="000000" w:themeColor="text1"/>
                <w:sz w:val="21"/>
                <w:szCs w:val="20"/>
                <w14:textFill>
                  <w14:solidFill>
                    <w14:schemeClr w14:val="tx1"/>
                  </w14:solidFill>
                </w14:textFill>
              </w:rPr>
              <w:t>3</w:t>
            </w:r>
            <w:bookmarkEnd w:id="363"/>
            <w:bookmarkEnd w:id="364"/>
            <w:bookmarkEnd w:id="365"/>
          </w:p>
        </w:tc>
        <w:tc>
          <w:tcPr>
            <w:tcW w:w="1068" w:type="dxa"/>
            <w:vAlign w:val="center"/>
          </w:tcPr>
          <w:p w14:paraId="7B92FF7B">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66" w:name="_Toc4265"/>
            <w:bookmarkStart w:id="367" w:name="_Toc216620490"/>
            <w:bookmarkStart w:id="368" w:name="_Toc216103331"/>
            <w:r>
              <w:rPr>
                <w:color w:val="000000" w:themeColor="text1"/>
                <w:sz w:val="21"/>
                <w:szCs w:val="20"/>
                <w14:textFill>
                  <w14:solidFill>
                    <w14:schemeClr w14:val="tx1"/>
                  </w14:solidFill>
                </w14:textFill>
              </w:rPr>
              <w:t>油类扫线泵</w:t>
            </w:r>
            <w:bookmarkEnd w:id="366"/>
            <w:bookmarkEnd w:id="367"/>
            <w:bookmarkEnd w:id="368"/>
          </w:p>
        </w:tc>
        <w:tc>
          <w:tcPr>
            <w:tcW w:w="4741" w:type="dxa"/>
            <w:vAlign w:val="center"/>
          </w:tcPr>
          <w:p w14:paraId="473E191A">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69" w:name="_Toc216103332"/>
            <w:bookmarkStart w:id="370" w:name="_Toc22967"/>
            <w:bookmarkStart w:id="371" w:name="_Toc216620491"/>
            <w:r>
              <w:rPr>
                <w:color w:val="000000" w:themeColor="text1"/>
                <w:sz w:val="21"/>
                <w:szCs w:val="20"/>
                <w14:textFill>
                  <w14:solidFill>
                    <w14:schemeClr w14:val="tx1"/>
                  </w14:solidFill>
                </w14:textFill>
              </w:rPr>
              <w:t>凸轮转子泵</w:t>
            </w:r>
            <w:r>
              <w:rPr>
                <w:rFonts w:hint="eastAsia"/>
                <w:color w:val="000000" w:themeColor="text1"/>
                <w:sz w:val="21"/>
                <w:szCs w:val="20"/>
                <w14:textFill>
                  <w14:solidFill>
                    <w14:schemeClr w14:val="tx1"/>
                  </w14:solidFill>
                </w14:textFill>
              </w:rPr>
              <w:t>Q=</w:t>
            </w:r>
            <w:r>
              <w:rPr>
                <w:color w:val="000000" w:themeColor="text1"/>
                <w:sz w:val="21"/>
                <w:szCs w:val="20"/>
                <w14:textFill>
                  <w14:solidFill>
                    <w14:schemeClr w14:val="tx1"/>
                  </w14:solidFill>
                </w14:textFill>
              </w:rPr>
              <w:t>5.2m3/h，H=60m</w:t>
            </w:r>
            <w:bookmarkEnd w:id="369"/>
            <w:bookmarkEnd w:id="370"/>
            <w:bookmarkEnd w:id="371"/>
          </w:p>
          <w:p w14:paraId="35FFBCA2">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72" w:name="_Toc24649"/>
            <w:bookmarkStart w:id="373" w:name="_Toc216103333"/>
            <w:bookmarkStart w:id="374" w:name="_Toc216620492"/>
            <w:r>
              <w:rPr>
                <w:color w:val="000000" w:themeColor="text1"/>
                <w:sz w:val="21"/>
                <w:szCs w:val="20"/>
                <w14:textFill>
                  <w14:solidFill>
                    <w14:schemeClr w14:val="tx1"/>
                  </w14:solidFill>
                </w14:textFill>
              </w:rPr>
              <w:t>介质：裂解C9、棕榈酸化油、脂肪酸混合物、工业级混合油、脂肪酸甲酯、纯生物柴油、航空煤油</w:t>
            </w:r>
            <w:bookmarkEnd w:id="372"/>
            <w:bookmarkEnd w:id="373"/>
            <w:bookmarkEnd w:id="374"/>
          </w:p>
          <w:p w14:paraId="25FDD7E3">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75" w:name="_Toc216620493"/>
            <w:bookmarkStart w:id="376" w:name="_Toc19345"/>
            <w:bookmarkStart w:id="377" w:name="_Toc216103334"/>
            <w:r>
              <w:rPr>
                <w:color w:val="000000" w:themeColor="text1"/>
                <w:sz w:val="21"/>
                <w:szCs w:val="20"/>
                <w14:textFill>
                  <w14:solidFill>
                    <w14:schemeClr w14:val="tx1"/>
                  </w14:solidFill>
                </w14:textFill>
              </w:rPr>
              <w:t>密度：850</w:t>
            </w:r>
            <w:r>
              <w:rPr>
                <w:rFonts w:hint="eastAsia"/>
                <w:color w:val="000000" w:themeColor="text1"/>
                <w:sz w:val="21"/>
                <w:szCs w:val="20"/>
                <w14:textFill>
                  <w14:solidFill>
                    <w14:schemeClr w14:val="tx1"/>
                  </w14:solidFill>
                </w14:textFill>
              </w:rPr>
              <w:t>～</w:t>
            </w:r>
            <w:r>
              <w:rPr>
                <w:color w:val="000000" w:themeColor="text1"/>
                <w:sz w:val="21"/>
                <w:szCs w:val="20"/>
                <w14:textFill>
                  <w14:solidFill>
                    <w14:schemeClr w14:val="tx1"/>
                  </w14:solidFill>
                </w14:textFill>
              </w:rPr>
              <w:t>1000kg/m3 操作温度：常温</w:t>
            </w:r>
            <w:bookmarkEnd w:id="375"/>
            <w:bookmarkEnd w:id="376"/>
            <w:bookmarkEnd w:id="377"/>
          </w:p>
          <w:p w14:paraId="050B5B3D">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78" w:name="_Toc216103335"/>
            <w:bookmarkStart w:id="379" w:name="_Toc24623"/>
            <w:bookmarkStart w:id="380" w:name="_Toc216620494"/>
            <w:r>
              <w:rPr>
                <w:color w:val="000000" w:themeColor="text1"/>
                <w:sz w:val="21"/>
                <w:szCs w:val="20"/>
                <w14:textFill>
                  <w14:solidFill>
                    <w14:schemeClr w14:val="tx1"/>
                  </w14:solidFill>
                </w14:textFill>
              </w:rPr>
              <w:t>P=7.5kW</w:t>
            </w:r>
            <w:r>
              <w:rPr>
                <w:rFonts w:hint="eastAsia"/>
                <w:color w:val="000000" w:themeColor="text1"/>
                <w:sz w:val="21"/>
                <w:szCs w:val="20"/>
                <w14:textFill>
                  <w14:solidFill>
                    <w14:schemeClr w14:val="tx1"/>
                  </w14:solidFill>
                </w14:textFill>
              </w:rPr>
              <w:t xml:space="preserve">, </w:t>
            </w:r>
            <w:r>
              <w:rPr>
                <w:color w:val="000000" w:themeColor="text1"/>
                <w:sz w:val="21"/>
                <w:szCs w:val="20"/>
                <w14:textFill>
                  <w14:solidFill>
                    <w14:schemeClr w14:val="tx1"/>
                  </w14:solidFill>
                </w14:textFill>
              </w:rPr>
              <w:t>n=1450r/min</w:t>
            </w:r>
            <w:r>
              <w:rPr>
                <w:rFonts w:hint="eastAsia"/>
                <w:color w:val="000000" w:themeColor="text1"/>
                <w:sz w:val="21"/>
                <w:szCs w:val="20"/>
                <w14:textFill>
                  <w14:solidFill>
                    <w14:schemeClr w14:val="tx1"/>
                  </w14:solidFill>
                </w14:textFill>
              </w:rPr>
              <w:t xml:space="preserve">, </w:t>
            </w:r>
            <w:r>
              <w:rPr>
                <w:color w:val="000000" w:themeColor="text1"/>
                <w:sz w:val="21"/>
                <w:szCs w:val="20"/>
                <w14:textFill>
                  <w14:solidFill>
                    <w14:schemeClr w14:val="tx1"/>
                  </w14:solidFill>
                </w14:textFill>
              </w:rPr>
              <w:t>U=380V</w:t>
            </w:r>
            <w:bookmarkEnd w:id="378"/>
            <w:bookmarkEnd w:id="379"/>
            <w:bookmarkEnd w:id="380"/>
          </w:p>
          <w:p w14:paraId="24893D18">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81" w:name="_Toc25764"/>
            <w:bookmarkStart w:id="382" w:name="_Toc216620495"/>
            <w:bookmarkStart w:id="383" w:name="_Toc216103336"/>
            <w:r>
              <w:rPr>
                <w:color w:val="000000" w:themeColor="text1"/>
                <w:sz w:val="21"/>
                <w:szCs w:val="20"/>
                <w14:textFill>
                  <w14:solidFill>
                    <w14:schemeClr w14:val="tx1"/>
                  </w14:solidFill>
                </w14:textFill>
              </w:rPr>
              <w:t>防爆等级</w:t>
            </w:r>
            <w:r>
              <w:rPr>
                <w:rFonts w:hint="eastAsia"/>
                <w:color w:val="000000" w:themeColor="text1"/>
                <w:sz w:val="21"/>
                <w:szCs w:val="20"/>
                <w14:textFill>
                  <w14:solidFill>
                    <w14:schemeClr w14:val="tx1"/>
                  </w14:solidFill>
                </w14:textFill>
              </w:rPr>
              <w:t>：</w:t>
            </w:r>
            <w:r>
              <w:rPr>
                <w:color w:val="000000" w:themeColor="text1"/>
                <w:sz w:val="21"/>
                <w:szCs w:val="20"/>
                <w14:textFill>
                  <w14:solidFill>
                    <w14:schemeClr w14:val="tx1"/>
                  </w14:solidFill>
                </w14:textFill>
              </w:rPr>
              <w:t>dⅡBT4防护等级：IP55</w:t>
            </w:r>
            <w:bookmarkEnd w:id="381"/>
            <w:bookmarkEnd w:id="382"/>
            <w:bookmarkEnd w:id="383"/>
          </w:p>
        </w:tc>
        <w:tc>
          <w:tcPr>
            <w:tcW w:w="709" w:type="dxa"/>
            <w:vAlign w:val="center"/>
          </w:tcPr>
          <w:p w14:paraId="2A3748E4">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84" w:name="_Toc216103337"/>
            <w:bookmarkStart w:id="385" w:name="_Toc32584"/>
            <w:bookmarkStart w:id="386" w:name="_Toc216620496"/>
            <w:r>
              <w:rPr>
                <w:color w:val="000000" w:themeColor="text1"/>
                <w:sz w:val="21"/>
                <w:szCs w:val="20"/>
                <w14:textFill>
                  <w14:solidFill>
                    <w14:schemeClr w14:val="tx1"/>
                  </w14:solidFill>
                </w14:textFill>
              </w:rPr>
              <w:t>台</w:t>
            </w:r>
            <w:bookmarkEnd w:id="384"/>
            <w:bookmarkEnd w:id="385"/>
            <w:bookmarkEnd w:id="386"/>
          </w:p>
        </w:tc>
        <w:tc>
          <w:tcPr>
            <w:tcW w:w="709" w:type="dxa"/>
            <w:vAlign w:val="center"/>
          </w:tcPr>
          <w:p w14:paraId="460D8AC1">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87" w:name="_Toc216620497"/>
            <w:bookmarkStart w:id="388" w:name="_Toc10884"/>
            <w:bookmarkStart w:id="389" w:name="_Toc216103338"/>
            <w:r>
              <w:rPr>
                <w:color w:val="000000" w:themeColor="text1"/>
                <w:sz w:val="21"/>
                <w:szCs w:val="20"/>
                <w14:textFill>
                  <w14:solidFill>
                    <w14:schemeClr w14:val="tx1"/>
                  </w14:solidFill>
                </w14:textFill>
              </w:rPr>
              <w:t>1</w:t>
            </w:r>
            <w:bookmarkEnd w:id="387"/>
            <w:bookmarkEnd w:id="388"/>
            <w:bookmarkEnd w:id="389"/>
          </w:p>
        </w:tc>
        <w:tc>
          <w:tcPr>
            <w:tcW w:w="1098" w:type="dxa"/>
            <w:vAlign w:val="center"/>
          </w:tcPr>
          <w:p w14:paraId="1C261297">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90" w:name="_Toc216620498"/>
            <w:bookmarkStart w:id="391" w:name="_Toc216103339"/>
            <w:bookmarkStart w:id="392" w:name="_Toc7626"/>
            <w:r>
              <w:rPr>
                <w:color w:val="000000" w:themeColor="text1"/>
                <w:sz w:val="21"/>
                <w:szCs w:val="20"/>
                <w14:textFill>
                  <w14:solidFill>
                    <w14:schemeClr w14:val="tx1"/>
                  </w14:solidFill>
                </w14:textFill>
              </w:rPr>
              <w:t>新增</w:t>
            </w:r>
            <w:bookmarkEnd w:id="390"/>
            <w:bookmarkEnd w:id="391"/>
            <w:bookmarkEnd w:id="392"/>
          </w:p>
        </w:tc>
      </w:tr>
      <w:tr w14:paraId="3BA5F52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682" w:type="dxa"/>
            <w:vAlign w:val="center"/>
          </w:tcPr>
          <w:p w14:paraId="1E1AD570">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93" w:name="_Toc216103340"/>
            <w:bookmarkStart w:id="394" w:name="_Toc29109"/>
            <w:bookmarkStart w:id="395" w:name="_Toc216620499"/>
            <w:r>
              <w:rPr>
                <w:rFonts w:hint="eastAsia"/>
                <w:color w:val="000000" w:themeColor="text1"/>
                <w:sz w:val="21"/>
                <w:szCs w:val="20"/>
                <w14:textFill>
                  <w14:solidFill>
                    <w14:schemeClr w14:val="tx1"/>
                  </w14:solidFill>
                </w14:textFill>
              </w:rPr>
              <w:t>4</w:t>
            </w:r>
            <w:bookmarkEnd w:id="393"/>
            <w:bookmarkEnd w:id="394"/>
            <w:bookmarkEnd w:id="395"/>
          </w:p>
        </w:tc>
        <w:tc>
          <w:tcPr>
            <w:tcW w:w="1068" w:type="dxa"/>
            <w:vAlign w:val="center"/>
          </w:tcPr>
          <w:p w14:paraId="6CB6F889">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96" w:name="_Toc216620500"/>
            <w:bookmarkStart w:id="397" w:name="_Toc1709"/>
            <w:bookmarkStart w:id="398" w:name="_Toc216103341"/>
            <w:r>
              <w:rPr>
                <w:color w:val="000000" w:themeColor="text1"/>
                <w:sz w:val="21"/>
                <w:szCs w:val="20"/>
                <w14:textFill>
                  <w14:solidFill>
                    <w14:schemeClr w14:val="tx1"/>
                  </w14:solidFill>
                </w14:textFill>
              </w:rPr>
              <w:t>清管阀（油类）</w:t>
            </w:r>
            <w:bookmarkEnd w:id="396"/>
            <w:bookmarkEnd w:id="397"/>
            <w:bookmarkEnd w:id="398"/>
          </w:p>
        </w:tc>
        <w:tc>
          <w:tcPr>
            <w:tcW w:w="4741" w:type="dxa"/>
            <w:vAlign w:val="center"/>
          </w:tcPr>
          <w:p w14:paraId="68EFFD19">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99" w:name="_Toc2000"/>
            <w:bookmarkStart w:id="400" w:name="_Toc216620501"/>
            <w:bookmarkStart w:id="401" w:name="_Toc216103342"/>
            <w:r>
              <w:rPr>
                <w:color w:val="000000" w:themeColor="text1"/>
                <w:sz w:val="21"/>
                <w:szCs w:val="20"/>
                <w14:textFill>
                  <w14:solidFill>
                    <w14:schemeClr w14:val="tx1"/>
                  </w14:solidFill>
                </w14:textFill>
              </w:rPr>
              <w:t>手动清管阀，规格：DN400 CL150，S型，阀体整体铸造，侧面水平位置装卸清管器。</w:t>
            </w:r>
            <w:bookmarkEnd w:id="399"/>
            <w:bookmarkEnd w:id="400"/>
            <w:bookmarkEnd w:id="401"/>
          </w:p>
          <w:p w14:paraId="1D34ADC6">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402" w:name="_Toc216103343"/>
            <w:bookmarkStart w:id="403" w:name="_Toc216620502"/>
            <w:bookmarkStart w:id="404" w:name="_Toc11698"/>
            <w:r>
              <w:rPr>
                <w:color w:val="000000" w:themeColor="text1"/>
                <w:sz w:val="21"/>
                <w:szCs w:val="20"/>
                <w14:textFill>
                  <w14:solidFill>
                    <w14:schemeClr w14:val="tx1"/>
                  </w14:solidFill>
                </w14:textFill>
              </w:rPr>
              <w:t>介质：裂解C9、棕榈酸化油、脂肪酸混合物、工业级混合油、脂肪酸甲酯、纯生物柴油、航空煤油</w:t>
            </w:r>
            <w:bookmarkEnd w:id="402"/>
            <w:bookmarkEnd w:id="403"/>
            <w:bookmarkEnd w:id="404"/>
          </w:p>
          <w:p w14:paraId="6FF326B5">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405" w:name="_Toc17365"/>
            <w:bookmarkStart w:id="406" w:name="_Toc216103344"/>
            <w:bookmarkStart w:id="407" w:name="_Toc216620503"/>
            <w:r>
              <w:rPr>
                <w:color w:val="000000" w:themeColor="text1"/>
                <w:sz w:val="21"/>
                <w:szCs w:val="20"/>
                <w14:textFill>
                  <w14:solidFill>
                    <w14:schemeClr w14:val="tx1"/>
                  </w14:solidFill>
                </w14:textFill>
              </w:rPr>
              <w:t>操作温度：30-55℃，操作压力：0.6-1.0MPa.G</w:t>
            </w:r>
            <w:bookmarkEnd w:id="405"/>
            <w:bookmarkEnd w:id="406"/>
            <w:bookmarkEnd w:id="407"/>
          </w:p>
          <w:p w14:paraId="79EB7E7B">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408" w:name="_Toc216620504"/>
            <w:bookmarkStart w:id="409" w:name="_Toc7940"/>
            <w:bookmarkStart w:id="410" w:name="_Toc216103345"/>
            <w:r>
              <w:rPr>
                <w:color w:val="000000" w:themeColor="text1"/>
                <w:sz w:val="21"/>
                <w:szCs w:val="20"/>
                <w14:textFill>
                  <w14:solidFill>
                    <w14:schemeClr w14:val="tx1"/>
                  </w14:solidFill>
                </w14:textFill>
              </w:rPr>
              <w:t>设计温度：10-80℃，设计压力：1.2MPa.G</w:t>
            </w:r>
            <w:bookmarkEnd w:id="408"/>
            <w:bookmarkEnd w:id="409"/>
            <w:bookmarkEnd w:id="410"/>
          </w:p>
        </w:tc>
        <w:tc>
          <w:tcPr>
            <w:tcW w:w="709" w:type="dxa"/>
            <w:vAlign w:val="center"/>
          </w:tcPr>
          <w:p w14:paraId="5E50954C">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411" w:name="_Toc216103346"/>
            <w:bookmarkStart w:id="412" w:name="_Toc216620505"/>
            <w:bookmarkStart w:id="413" w:name="_Toc21987"/>
            <w:r>
              <w:rPr>
                <w:color w:val="000000" w:themeColor="text1"/>
                <w:sz w:val="21"/>
                <w:szCs w:val="20"/>
                <w14:textFill>
                  <w14:solidFill>
                    <w14:schemeClr w14:val="tx1"/>
                  </w14:solidFill>
                </w14:textFill>
              </w:rPr>
              <w:t>台</w:t>
            </w:r>
            <w:bookmarkEnd w:id="411"/>
            <w:bookmarkEnd w:id="412"/>
            <w:bookmarkEnd w:id="413"/>
          </w:p>
        </w:tc>
        <w:tc>
          <w:tcPr>
            <w:tcW w:w="709" w:type="dxa"/>
            <w:vAlign w:val="center"/>
          </w:tcPr>
          <w:p w14:paraId="6047FE41">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414" w:name="_Toc216103347"/>
            <w:bookmarkStart w:id="415" w:name="_Toc13425"/>
            <w:bookmarkStart w:id="416" w:name="_Toc216620506"/>
            <w:r>
              <w:rPr>
                <w:color w:val="000000" w:themeColor="text1"/>
                <w:sz w:val="21"/>
                <w:szCs w:val="20"/>
                <w14:textFill>
                  <w14:solidFill>
                    <w14:schemeClr w14:val="tx1"/>
                  </w14:solidFill>
                </w14:textFill>
              </w:rPr>
              <w:t>1</w:t>
            </w:r>
            <w:bookmarkEnd w:id="414"/>
            <w:bookmarkEnd w:id="415"/>
            <w:bookmarkEnd w:id="416"/>
          </w:p>
        </w:tc>
        <w:tc>
          <w:tcPr>
            <w:tcW w:w="1098" w:type="dxa"/>
            <w:vAlign w:val="center"/>
          </w:tcPr>
          <w:p w14:paraId="05B5086D">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417" w:name="_Toc14839"/>
            <w:bookmarkStart w:id="418" w:name="_Toc216103348"/>
            <w:bookmarkStart w:id="419" w:name="_Toc216620507"/>
            <w:r>
              <w:rPr>
                <w:color w:val="000000" w:themeColor="text1"/>
                <w:sz w:val="21"/>
                <w:szCs w:val="20"/>
                <w14:textFill>
                  <w14:solidFill>
                    <w14:schemeClr w14:val="tx1"/>
                  </w14:solidFill>
                </w14:textFill>
              </w:rPr>
              <w:t>新增</w:t>
            </w:r>
            <w:bookmarkEnd w:id="417"/>
            <w:bookmarkEnd w:id="418"/>
            <w:bookmarkEnd w:id="419"/>
          </w:p>
        </w:tc>
      </w:tr>
      <w:tr w14:paraId="6C39736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682" w:type="dxa"/>
            <w:vAlign w:val="center"/>
          </w:tcPr>
          <w:p w14:paraId="078D4230">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420" w:name="_Toc216620508"/>
            <w:bookmarkStart w:id="421" w:name="_Toc1479"/>
            <w:bookmarkStart w:id="422" w:name="_Toc216103349"/>
            <w:r>
              <w:rPr>
                <w:rFonts w:hint="eastAsia"/>
                <w:color w:val="000000" w:themeColor="text1"/>
                <w:sz w:val="21"/>
                <w:szCs w:val="20"/>
                <w14:textFill>
                  <w14:solidFill>
                    <w14:schemeClr w14:val="tx1"/>
                  </w14:solidFill>
                </w14:textFill>
              </w:rPr>
              <w:t>5</w:t>
            </w:r>
            <w:bookmarkEnd w:id="420"/>
            <w:bookmarkEnd w:id="421"/>
            <w:bookmarkEnd w:id="422"/>
          </w:p>
        </w:tc>
        <w:tc>
          <w:tcPr>
            <w:tcW w:w="1068" w:type="dxa"/>
            <w:vAlign w:val="center"/>
          </w:tcPr>
          <w:p w14:paraId="4C8F4DE3">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423" w:name="_Toc216103350"/>
            <w:bookmarkStart w:id="424" w:name="_Toc216620509"/>
            <w:bookmarkStart w:id="425" w:name="_Toc3425"/>
            <w:r>
              <w:rPr>
                <w:color w:val="000000" w:themeColor="text1"/>
                <w:sz w:val="21"/>
                <w:szCs w:val="20"/>
                <w14:textFill>
                  <w14:solidFill>
                    <w14:schemeClr w14:val="tx1"/>
                  </w14:solidFill>
                </w14:textFill>
              </w:rPr>
              <w:t>清管阀</w:t>
            </w:r>
            <w:bookmarkEnd w:id="423"/>
            <w:bookmarkEnd w:id="424"/>
            <w:bookmarkEnd w:id="425"/>
          </w:p>
          <w:p w14:paraId="64C91D6A">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426" w:name="_Toc216620510"/>
            <w:bookmarkStart w:id="427" w:name="_Toc216103351"/>
            <w:bookmarkStart w:id="428" w:name="_Toc29927"/>
            <w:r>
              <w:rPr>
                <w:color w:val="000000" w:themeColor="text1"/>
                <w:sz w:val="21"/>
                <w:szCs w:val="20"/>
                <w14:textFill>
                  <w14:solidFill>
                    <w14:schemeClr w14:val="tx1"/>
                  </w14:solidFill>
                </w14:textFill>
              </w:rPr>
              <w:t>（苯乙烯）</w:t>
            </w:r>
            <w:bookmarkEnd w:id="426"/>
            <w:bookmarkEnd w:id="427"/>
            <w:bookmarkEnd w:id="428"/>
          </w:p>
        </w:tc>
        <w:tc>
          <w:tcPr>
            <w:tcW w:w="4741" w:type="dxa"/>
            <w:vAlign w:val="center"/>
          </w:tcPr>
          <w:p w14:paraId="22D6E8B0">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429" w:name="_Toc17672"/>
            <w:bookmarkStart w:id="430" w:name="_Toc216103352"/>
            <w:bookmarkStart w:id="431" w:name="_Toc216620511"/>
            <w:r>
              <w:rPr>
                <w:color w:val="000000" w:themeColor="text1"/>
                <w:sz w:val="21"/>
                <w:szCs w:val="20"/>
                <w14:textFill>
                  <w14:solidFill>
                    <w14:schemeClr w14:val="tx1"/>
                  </w14:solidFill>
                </w14:textFill>
              </w:rPr>
              <w:t>手动清管阀，规格：DN200 CL150，S型，阀体整体铸造，侧面水平位置装卸清管器。</w:t>
            </w:r>
            <w:bookmarkEnd w:id="429"/>
            <w:bookmarkEnd w:id="430"/>
            <w:bookmarkEnd w:id="431"/>
          </w:p>
          <w:p w14:paraId="70271E0A">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432" w:name="_Toc31615"/>
            <w:bookmarkStart w:id="433" w:name="_Toc216103353"/>
            <w:bookmarkStart w:id="434" w:name="_Toc216620512"/>
            <w:r>
              <w:rPr>
                <w:color w:val="000000" w:themeColor="text1"/>
                <w:sz w:val="21"/>
                <w:szCs w:val="20"/>
                <w14:textFill>
                  <w14:solidFill>
                    <w14:schemeClr w14:val="tx1"/>
                  </w14:solidFill>
                </w14:textFill>
              </w:rPr>
              <w:t>介质：苯、苯乙烯</w:t>
            </w:r>
            <w:bookmarkEnd w:id="432"/>
            <w:bookmarkEnd w:id="433"/>
            <w:bookmarkEnd w:id="434"/>
          </w:p>
          <w:p w14:paraId="45652CEF">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435" w:name="_Toc216620513"/>
            <w:bookmarkStart w:id="436" w:name="_Toc29371"/>
            <w:bookmarkStart w:id="437" w:name="_Toc216103354"/>
            <w:r>
              <w:rPr>
                <w:color w:val="000000" w:themeColor="text1"/>
                <w:sz w:val="21"/>
                <w:szCs w:val="20"/>
                <w14:textFill>
                  <w14:solidFill>
                    <w14:schemeClr w14:val="tx1"/>
                  </w14:solidFill>
                </w14:textFill>
              </w:rPr>
              <w:t>操作温度：-5-50℃，操作压力：0.6-1.2MPa.G</w:t>
            </w:r>
            <w:bookmarkEnd w:id="435"/>
            <w:bookmarkEnd w:id="436"/>
            <w:bookmarkEnd w:id="437"/>
          </w:p>
          <w:p w14:paraId="39FB68F0">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438" w:name="_Toc216103355"/>
            <w:bookmarkStart w:id="439" w:name="_Toc216620514"/>
            <w:bookmarkStart w:id="440" w:name="_Toc20368"/>
            <w:r>
              <w:rPr>
                <w:color w:val="000000" w:themeColor="text1"/>
                <w:sz w:val="21"/>
                <w:szCs w:val="20"/>
                <w14:textFill>
                  <w14:solidFill>
                    <w14:schemeClr w14:val="tx1"/>
                  </w14:solidFill>
                </w14:textFill>
              </w:rPr>
              <w:t>设计温度：-29-100℃，设计压力：1.6MPa.G</w:t>
            </w:r>
            <w:bookmarkEnd w:id="438"/>
            <w:bookmarkEnd w:id="439"/>
            <w:bookmarkEnd w:id="440"/>
          </w:p>
        </w:tc>
        <w:tc>
          <w:tcPr>
            <w:tcW w:w="709" w:type="dxa"/>
            <w:vAlign w:val="center"/>
          </w:tcPr>
          <w:p w14:paraId="4E401464">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441" w:name="_Toc216103356"/>
            <w:bookmarkStart w:id="442" w:name="_Toc216620515"/>
            <w:bookmarkStart w:id="443" w:name="_Toc31265"/>
            <w:r>
              <w:rPr>
                <w:color w:val="000000" w:themeColor="text1"/>
                <w:sz w:val="21"/>
                <w:szCs w:val="20"/>
                <w14:textFill>
                  <w14:solidFill>
                    <w14:schemeClr w14:val="tx1"/>
                  </w14:solidFill>
                </w14:textFill>
              </w:rPr>
              <w:t>台</w:t>
            </w:r>
            <w:bookmarkEnd w:id="441"/>
            <w:bookmarkEnd w:id="442"/>
            <w:bookmarkEnd w:id="443"/>
          </w:p>
        </w:tc>
        <w:tc>
          <w:tcPr>
            <w:tcW w:w="709" w:type="dxa"/>
            <w:vAlign w:val="center"/>
          </w:tcPr>
          <w:p w14:paraId="1442DDCB">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444" w:name="_Toc216103357"/>
            <w:bookmarkStart w:id="445" w:name="_Toc23852"/>
            <w:bookmarkStart w:id="446" w:name="_Toc216620516"/>
            <w:r>
              <w:rPr>
                <w:color w:val="000000" w:themeColor="text1"/>
                <w:sz w:val="21"/>
                <w:szCs w:val="20"/>
                <w14:textFill>
                  <w14:solidFill>
                    <w14:schemeClr w14:val="tx1"/>
                  </w14:solidFill>
                </w14:textFill>
              </w:rPr>
              <w:t>1</w:t>
            </w:r>
            <w:bookmarkEnd w:id="444"/>
            <w:bookmarkEnd w:id="445"/>
            <w:bookmarkEnd w:id="446"/>
          </w:p>
        </w:tc>
        <w:tc>
          <w:tcPr>
            <w:tcW w:w="1098" w:type="dxa"/>
            <w:vAlign w:val="center"/>
          </w:tcPr>
          <w:p w14:paraId="43002B24">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447" w:name="_Toc216620517"/>
            <w:bookmarkStart w:id="448" w:name="_Toc23043"/>
            <w:bookmarkStart w:id="449" w:name="_Toc216103358"/>
            <w:r>
              <w:rPr>
                <w:color w:val="000000" w:themeColor="text1"/>
                <w:sz w:val="21"/>
                <w:szCs w:val="20"/>
                <w14:textFill>
                  <w14:solidFill>
                    <w14:schemeClr w14:val="tx1"/>
                  </w14:solidFill>
                </w14:textFill>
              </w:rPr>
              <w:t>新增</w:t>
            </w:r>
            <w:bookmarkEnd w:id="447"/>
            <w:bookmarkEnd w:id="448"/>
            <w:bookmarkEnd w:id="449"/>
          </w:p>
        </w:tc>
      </w:tr>
    </w:tbl>
    <w:p w14:paraId="10A77357">
      <w:pPr>
        <w:pStyle w:val="4"/>
        <w:rPr>
          <w:color w:val="000000" w:themeColor="text1"/>
          <w14:textFill>
            <w14:solidFill>
              <w14:schemeClr w14:val="tx1"/>
            </w14:solidFill>
          </w14:textFill>
        </w:rPr>
      </w:pPr>
      <w:bookmarkStart w:id="450" w:name="_Toc216620518"/>
      <w:bookmarkStart w:id="451" w:name="_Toc135090199"/>
      <w:bookmarkStart w:id="452" w:name="_Toc136878448"/>
      <w:bookmarkStart w:id="453" w:name="_Toc216103359"/>
      <w:r>
        <w:rPr>
          <w:color w:val="000000" w:themeColor="text1"/>
          <w14:textFill>
            <w14:solidFill>
              <w14:schemeClr w14:val="tx1"/>
            </w14:solidFill>
          </w14:textFill>
        </w:rPr>
        <w:t>水工</w:t>
      </w:r>
      <w:bookmarkEnd w:id="267"/>
      <w:bookmarkEnd w:id="268"/>
      <w:bookmarkEnd w:id="269"/>
      <w:r>
        <w:rPr>
          <w:color w:val="000000" w:themeColor="text1"/>
          <w14:textFill>
            <w14:solidFill>
              <w14:schemeClr w14:val="tx1"/>
            </w14:solidFill>
          </w14:textFill>
        </w:rPr>
        <w:t>结构</w:t>
      </w:r>
      <w:bookmarkEnd w:id="450"/>
      <w:bookmarkEnd w:id="451"/>
      <w:bookmarkEnd w:id="452"/>
      <w:bookmarkEnd w:id="453"/>
    </w:p>
    <w:p w14:paraId="6CEE9C8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本项目码头、引桥、管架、输油臂基础等水工建构筑物均为利旧。新增管道敷设于已建管廊上，荷载均小于设计荷载，因此原设计输油臂基础和管架均无需改造。</w:t>
      </w:r>
    </w:p>
    <w:p w14:paraId="79581596">
      <w:pPr>
        <w:pStyle w:val="4"/>
        <w:rPr>
          <w:color w:val="000000" w:themeColor="text1"/>
          <w14:textFill>
            <w14:solidFill>
              <w14:schemeClr w14:val="tx1"/>
            </w14:solidFill>
          </w14:textFill>
        </w:rPr>
      </w:pPr>
      <w:bookmarkStart w:id="454" w:name="_Toc25436933"/>
      <w:bookmarkStart w:id="455" w:name="_Toc26909979"/>
      <w:bookmarkStart w:id="456" w:name="_Toc216103360"/>
      <w:bookmarkStart w:id="457" w:name="_Toc216620519"/>
      <w:bookmarkStart w:id="458" w:name="_Toc135090200"/>
      <w:bookmarkStart w:id="459" w:name="_Toc29131793"/>
      <w:bookmarkStart w:id="460" w:name="_Toc136878449"/>
      <w:r>
        <w:rPr>
          <w:color w:val="000000" w:themeColor="text1"/>
          <w14:textFill>
            <w14:solidFill>
              <w14:schemeClr w14:val="tx1"/>
            </w14:solidFill>
          </w14:textFill>
        </w:rPr>
        <w:t>陆域工程及道路、罐区</w:t>
      </w:r>
      <w:bookmarkEnd w:id="454"/>
      <w:bookmarkEnd w:id="455"/>
      <w:bookmarkEnd w:id="456"/>
      <w:bookmarkEnd w:id="457"/>
      <w:bookmarkEnd w:id="458"/>
      <w:bookmarkEnd w:id="459"/>
      <w:bookmarkEnd w:id="460"/>
    </w:p>
    <w:p w14:paraId="1331B3ED">
      <w:pPr>
        <w:ind w:firstLine="480"/>
        <w:rPr>
          <w:color w:val="000000" w:themeColor="text1"/>
          <w14:textFill>
            <w14:solidFill>
              <w14:schemeClr w14:val="tx1"/>
            </w14:solidFill>
          </w14:textFill>
        </w:rPr>
      </w:pPr>
      <w:r>
        <w:rPr>
          <w:color w:val="000000" w:themeColor="text1"/>
          <w:lang w:val="zh-CN"/>
          <w14:textFill>
            <w14:solidFill>
              <w14:schemeClr w14:val="tx1"/>
            </w14:solidFill>
          </w14:textFill>
        </w:rPr>
        <w:t>不涉及。</w:t>
      </w:r>
    </w:p>
    <w:p w14:paraId="22889988">
      <w:pPr>
        <w:pStyle w:val="4"/>
        <w:rPr>
          <w:color w:val="000000" w:themeColor="text1"/>
          <w14:textFill>
            <w14:solidFill>
              <w14:schemeClr w14:val="tx1"/>
            </w14:solidFill>
          </w14:textFill>
        </w:rPr>
      </w:pPr>
      <w:bookmarkStart w:id="461" w:name="_Toc216620520"/>
      <w:bookmarkStart w:id="462" w:name="_Toc136878451"/>
      <w:bookmarkStart w:id="463" w:name="_Toc135090202"/>
      <w:bookmarkStart w:id="464" w:name="_Toc25436934"/>
      <w:bookmarkStart w:id="465" w:name="_Toc216103361"/>
      <w:bookmarkStart w:id="466" w:name="_Toc29131794"/>
      <w:bookmarkStart w:id="467" w:name="_Toc26909980"/>
      <w:r>
        <w:rPr>
          <w:color w:val="000000" w:themeColor="text1"/>
          <w14:textFill>
            <w14:solidFill>
              <w14:schemeClr w14:val="tx1"/>
            </w14:solidFill>
          </w14:textFill>
        </w:rPr>
        <w:t>配套工程</w:t>
      </w:r>
      <w:bookmarkEnd w:id="461"/>
      <w:bookmarkEnd w:id="462"/>
      <w:bookmarkEnd w:id="463"/>
      <w:bookmarkEnd w:id="464"/>
      <w:bookmarkEnd w:id="465"/>
      <w:bookmarkEnd w:id="466"/>
      <w:bookmarkEnd w:id="467"/>
    </w:p>
    <w:p w14:paraId="5CDE15FC">
      <w:pPr>
        <w:pStyle w:val="6"/>
        <w:rPr>
          <w:color w:val="000000" w:themeColor="text1"/>
          <w14:textFill>
            <w14:solidFill>
              <w14:schemeClr w14:val="tx1"/>
            </w14:solidFill>
          </w14:textFill>
        </w:rPr>
      </w:pPr>
      <w:r>
        <w:rPr>
          <w:color w:val="000000" w:themeColor="text1"/>
          <w14:textFill>
            <w14:solidFill>
              <w14:schemeClr w14:val="tx1"/>
            </w14:solidFill>
          </w14:textFill>
        </w:rPr>
        <w:t>港区管道</w:t>
      </w:r>
    </w:p>
    <w:p w14:paraId="6CBC18D4">
      <w:pPr>
        <w:ind w:firstLine="480"/>
        <w:rPr>
          <w:color w:val="000000" w:themeColor="text1"/>
          <w14:textFill>
            <w14:solidFill>
              <w14:schemeClr w14:val="tx1"/>
            </w14:solidFill>
          </w14:textFill>
        </w:rPr>
      </w:pPr>
      <w:r>
        <w:rPr>
          <w:color w:val="000000" w:themeColor="text1"/>
          <w14:textFill>
            <w14:solidFill>
              <w14:schemeClr w14:val="tx1"/>
            </w14:solidFill>
          </w14:textFill>
        </w:rPr>
        <w:t>本工程管道运输只在码头库区范围内，对外管道工程由后方厂区根据需求自行建设，管道的走向沿港区内道路边进行敷设，以不影响行车便捷为原则，同时管道应便于控制、操作以及维护或维修等。</w:t>
      </w:r>
    </w:p>
    <w:p w14:paraId="46160523">
      <w:pPr>
        <w:pStyle w:val="6"/>
        <w:rPr>
          <w:color w:val="000000" w:themeColor="text1"/>
          <w14:textFill>
            <w14:solidFill>
              <w14:schemeClr w14:val="tx1"/>
            </w14:solidFill>
          </w14:textFill>
        </w:rPr>
      </w:pPr>
      <w:r>
        <w:rPr>
          <w:color w:val="000000" w:themeColor="text1"/>
          <w14:textFill>
            <w14:solidFill>
              <w14:schemeClr w14:val="tx1"/>
            </w14:solidFill>
          </w14:textFill>
        </w:rPr>
        <w:t>供电、照明</w:t>
      </w:r>
    </w:p>
    <w:p w14:paraId="0301DD2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依托现有工程。</w:t>
      </w:r>
    </w:p>
    <w:p w14:paraId="260D6906">
      <w:pPr>
        <w:pStyle w:val="6"/>
        <w:tabs>
          <w:tab w:val="left" w:pos="561"/>
        </w:tabs>
        <w:ind w:left="141"/>
        <w:rPr>
          <w:color w:val="000000" w:themeColor="text1"/>
          <w14:textFill>
            <w14:solidFill>
              <w14:schemeClr w14:val="tx1"/>
            </w14:solidFill>
          </w14:textFill>
        </w:rPr>
      </w:pPr>
      <w:r>
        <w:rPr>
          <w:color w:val="000000" w:themeColor="text1"/>
          <w14:textFill>
            <w14:solidFill>
              <w14:schemeClr w14:val="tx1"/>
            </w14:solidFill>
          </w14:textFill>
        </w:rPr>
        <w:t>给排水</w:t>
      </w:r>
    </w:p>
    <w:p w14:paraId="33F85C7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依托现有工程。</w:t>
      </w:r>
    </w:p>
    <w:p w14:paraId="573F4DA7">
      <w:pPr>
        <w:pStyle w:val="6"/>
        <w:tabs>
          <w:tab w:val="left" w:pos="561"/>
        </w:tabs>
        <w:ind w:left="141"/>
        <w:rPr>
          <w:color w:val="000000" w:themeColor="text1"/>
          <w14:textFill>
            <w14:solidFill>
              <w14:schemeClr w14:val="tx1"/>
            </w14:solidFill>
          </w14:textFill>
        </w:rPr>
      </w:pPr>
      <w:r>
        <w:rPr>
          <w:color w:val="000000" w:themeColor="text1"/>
          <w14:textFill>
            <w14:solidFill>
              <w14:schemeClr w14:val="tx1"/>
            </w14:solidFill>
          </w14:textFill>
        </w:rPr>
        <w:t>消防</w:t>
      </w:r>
    </w:p>
    <w:p w14:paraId="04A4AA7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依托现有工程。</w:t>
      </w:r>
    </w:p>
    <w:p w14:paraId="38353AF8">
      <w:pPr>
        <w:pStyle w:val="6"/>
        <w:rPr>
          <w:color w:val="000000" w:themeColor="text1"/>
          <w14:textFill>
            <w14:solidFill>
              <w14:schemeClr w14:val="tx1"/>
            </w14:solidFill>
          </w14:textFill>
        </w:rPr>
      </w:pPr>
      <w:r>
        <w:rPr>
          <w:color w:val="000000" w:themeColor="text1"/>
          <w14:textFill>
            <w14:solidFill>
              <w14:schemeClr w14:val="tx1"/>
            </w14:solidFill>
          </w14:textFill>
        </w:rPr>
        <w:t>控制系统</w:t>
      </w:r>
    </w:p>
    <w:p w14:paraId="2FECC69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依托现有工程。</w:t>
      </w:r>
    </w:p>
    <w:p w14:paraId="67E8AB3D">
      <w:pPr>
        <w:pStyle w:val="6"/>
        <w:rPr>
          <w:color w:val="000000" w:themeColor="text1"/>
          <w14:textFill>
            <w14:solidFill>
              <w14:schemeClr w14:val="tx1"/>
            </w14:solidFill>
          </w14:textFill>
        </w:rPr>
      </w:pPr>
      <w:r>
        <w:rPr>
          <w:color w:val="000000" w:themeColor="text1"/>
          <w14:textFill>
            <w14:solidFill>
              <w14:schemeClr w14:val="tx1"/>
            </w14:solidFill>
          </w14:textFill>
        </w:rPr>
        <w:t>生产及辅助建筑物</w:t>
      </w:r>
    </w:p>
    <w:p w14:paraId="2EBC0A1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依托现有工程。</w:t>
      </w:r>
    </w:p>
    <w:p w14:paraId="05AE3168">
      <w:pPr>
        <w:pStyle w:val="5"/>
        <w:rPr>
          <w:color w:val="000000" w:themeColor="text1"/>
          <w14:textFill>
            <w14:solidFill>
              <w14:schemeClr w14:val="tx1"/>
            </w14:solidFill>
          </w14:textFill>
        </w:rPr>
      </w:pPr>
      <w:bookmarkStart w:id="468" w:name="_Toc216620521"/>
      <w:r>
        <w:rPr>
          <w:color w:val="000000" w:themeColor="text1"/>
          <w14:textFill>
            <w14:solidFill>
              <w14:schemeClr w14:val="tx1"/>
            </w14:solidFill>
          </w14:textFill>
        </w:rPr>
        <w:t>工程分析</w:t>
      </w:r>
      <w:bookmarkEnd w:id="468"/>
    </w:p>
    <w:p w14:paraId="1D0B7518">
      <w:pPr>
        <w:pStyle w:val="4"/>
        <w:rPr>
          <w:color w:val="000000" w:themeColor="text1"/>
          <w14:textFill>
            <w14:solidFill>
              <w14:schemeClr w14:val="tx1"/>
            </w14:solidFill>
          </w14:textFill>
        </w:rPr>
      </w:pPr>
      <w:bookmarkStart w:id="469" w:name="_Toc135090208"/>
      <w:bookmarkStart w:id="470" w:name="_Toc136878457"/>
      <w:bookmarkStart w:id="471" w:name="_Toc216103363"/>
      <w:bookmarkStart w:id="472" w:name="_Toc216620522"/>
      <w:bookmarkStart w:id="473" w:name="_Toc25436943"/>
      <w:bookmarkStart w:id="474" w:name="_Toc26909989"/>
      <w:bookmarkStart w:id="475" w:name="_Toc29131803"/>
      <w:r>
        <w:rPr>
          <w:color w:val="000000" w:themeColor="text1"/>
          <w14:textFill>
            <w14:solidFill>
              <w14:schemeClr w14:val="tx1"/>
            </w14:solidFill>
          </w14:textFill>
        </w:rPr>
        <w:t>政策、规划相符性分析</w:t>
      </w:r>
      <w:bookmarkEnd w:id="469"/>
      <w:bookmarkEnd w:id="470"/>
      <w:bookmarkEnd w:id="471"/>
      <w:bookmarkEnd w:id="472"/>
    </w:p>
    <w:p w14:paraId="0F0AC526">
      <w:pPr>
        <w:pStyle w:val="6"/>
        <w:rPr>
          <w:color w:val="000000" w:themeColor="text1"/>
          <w14:textFill>
            <w14:solidFill>
              <w14:schemeClr w14:val="tx1"/>
            </w14:solidFill>
          </w14:textFill>
        </w:rPr>
      </w:pPr>
      <w:r>
        <w:rPr>
          <w:color w:val="000000" w:themeColor="text1"/>
          <w14:textFill>
            <w14:solidFill>
              <w14:schemeClr w14:val="tx1"/>
            </w14:solidFill>
          </w14:textFill>
        </w:rPr>
        <w:t>国家产业政策</w:t>
      </w:r>
    </w:p>
    <w:p w14:paraId="28CD3346">
      <w:pPr>
        <w:ind w:firstLine="480"/>
        <w:rPr>
          <w:color w:val="000000" w:themeColor="text1"/>
          <w14:textFill>
            <w14:solidFill>
              <w14:schemeClr w14:val="tx1"/>
            </w14:solidFill>
          </w14:textFill>
        </w:rPr>
      </w:pPr>
      <w:r>
        <w:rPr>
          <w:color w:val="000000" w:themeColor="text1"/>
          <w14:textFill>
            <w14:solidFill>
              <w14:schemeClr w14:val="tx1"/>
            </w14:solidFill>
          </w14:textFill>
        </w:rPr>
        <w:t>本工程为沿海万吨级以上深水泊位建设，从事</w:t>
      </w:r>
      <w:r>
        <w:rPr>
          <w:color w:val="000000" w:themeColor="text1"/>
          <w:szCs w:val="32"/>
          <w14:textFill>
            <w14:solidFill>
              <w14:schemeClr w14:val="tx1"/>
            </w14:solidFill>
          </w14:textFill>
        </w:rPr>
        <w:t>液体化工品</w:t>
      </w:r>
      <w:r>
        <w:rPr>
          <w:color w:val="000000" w:themeColor="text1"/>
          <w14:textFill>
            <w14:solidFill>
              <w14:schemeClr w14:val="tx1"/>
            </w14:solidFill>
          </w14:textFill>
        </w:rPr>
        <w:t>运输。</w:t>
      </w:r>
    </w:p>
    <w:p w14:paraId="108BBA55">
      <w:pPr>
        <w:ind w:firstLine="480"/>
        <w:rPr>
          <w:color w:val="000000" w:themeColor="text1"/>
          <w14:textFill>
            <w14:solidFill>
              <w14:schemeClr w14:val="tx1"/>
            </w14:solidFill>
          </w14:textFill>
        </w:rPr>
      </w:pPr>
      <w:r>
        <w:rPr>
          <w:color w:val="000000" w:themeColor="text1"/>
          <w14:textFill>
            <w14:solidFill>
              <w14:schemeClr w14:val="tx1"/>
            </w14:solidFill>
          </w14:textFill>
        </w:rPr>
        <w:t>根据《产业结构调整指导目录（20</w:t>
      </w:r>
      <w:r>
        <w:rPr>
          <w:rFonts w:hint="eastAsia"/>
          <w:color w:val="000000" w:themeColor="text1"/>
          <w14:textFill>
            <w14:solidFill>
              <w14:schemeClr w14:val="tx1"/>
            </w14:solidFill>
          </w14:textFill>
        </w:rPr>
        <w:t>24</w:t>
      </w:r>
      <w:r>
        <w:rPr>
          <w:color w:val="000000" w:themeColor="text1"/>
          <w14:textFill>
            <w14:solidFill>
              <w14:schemeClr w14:val="tx1"/>
            </w14:solidFill>
          </w14:textFill>
        </w:rPr>
        <w:t xml:space="preserve">年本）》，本工程属于鼓励类“二十五、水运 </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港口枢纽建设</w:t>
      </w:r>
      <w:r>
        <w:rPr>
          <w:color w:val="000000" w:themeColor="text1"/>
          <w14:textFill>
            <w14:solidFill>
              <w14:schemeClr w14:val="tx1"/>
            </w14:solidFill>
          </w14:textFill>
        </w:rPr>
        <w:t xml:space="preserve">”项目。 </w:t>
      </w:r>
    </w:p>
    <w:p w14:paraId="33042A9E">
      <w:pPr>
        <w:ind w:firstLine="480"/>
        <w:rPr>
          <w:color w:val="000000" w:themeColor="text1"/>
          <w14:textFill>
            <w14:solidFill>
              <w14:schemeClr w14:val="tx1"/>
            </w14:solidFill>
          </w14:textFill>
        </w:rPr>
      </w:pPr>
      <w:r>
        <w:rPr>
          <w:color w:val="000000" w:themeColor="text1"/>
          <w14:textFill>
            <w14:solidFill>
              <w14:schemeClr w14:val="tx1"/>
            </w14:solidFill>
          </w14:textFill>
        </w:rPr>
        <w:t>根据《鼓励外商投资产业目录（2022年版）》，本工程属于其规定的鼓励类项目中“五、交通运输、仓储和邮政业”分类中的“港口公用码头设施的建设、经营”。</w:t>
      </w:r>
    </w:p>
    <w:p w14:paraId="30A93F84">
      <w:pPr>
        <w:ind w:firstLine="480"/>
        <w:rPr>
          <w:color w:val="000000" w:themeColor="text1"/>
          <w14:textFill>
            <w14:solidFill>
              <w14:schemeClr w14:val="tx1"/>
            </w14:solidFill>
          </w14:textFill>
        </w:rPr>
      </w:pPr>
      <w:r>
        <w:rPr>
          <w:color w:val="000000" w:themeColor="text1"/>
          <w14:textFill>
            <w14:solidFill>
              <w14:schemeClr w14:val="tx1"/>
            </w14:solidFill>
          </w14:textFill>
        </w:rPr>
        <w:t>鼓励类主要是对经济社会发展有重要促进作用，有利于节约资源、保护环境、产业结构优化升级，需要采取政策措施予以鼓励和支持的项目。本工程建设期和营运期将分别针对各类污染源采取了有针对性</w:t>
      </w:r>
      <w:r>
        <w:rPr>
          <w:rFonts w:hint="eastAsia"/>
          <w:color w:val="000000" w:themeColor="text1"/>
          <w:lang w:eastAsia="zh-CN"/>
          <w14:textFill>
            <w14:solidFill>
              <w14:schemeClr w14:val="tx1"/>
            </w14:solidFill>
          </w14:textFill>
        </w:rPr>
        <w:t>地</w:t>
      </w:r>
      <w:r>
        <w:rPr>
          <w:color w:val="000000" w:themeColor="text1"/>
          <w14:textFill>
            <w14:solidFill>
              <w14:schemeClr w14:val="tx1"/>
            </w14:solidFill>
          </w14:textFill>
        </w:rPr>
        <w:t>防范措施，能够做到达标排放，符合国家相关的环境保护政策。因此，本工程的建设符合国家产业政策。</w:t>
      </w:r>
    </w:p>
    <w:p w14:paraId="6E95751F">
      <w:pPr>
        <w:pStyle w:val="6"/>
        <w:rPr>
          <w:color w:val="000000" w:themeColor="text1"/>
          <w14:textFill>
            <w14:solidFill>
              <w14:schemeClr w14:val="tx1"/>
            </w14:solidFill>
          </w14:textFill>
        </w:rPr>
      </w:pPr>
      <w:r>
        <w:rPr>
          <w:color w:val="000000" w:themeColor="text1"/>
          <w14:textFill>
            <w14:solidFill>
              <w14:schemeClr w14:val="tx1"/>
            </w14:solidFill>
          </w14:textFill>
        </w:rPr>
        <w:t>与《新污染物治理行动方案》相符性分析</w:t>
      </w:r>
    </w:p>
    <w:p w14:paraId="727C3667">
      <w:pPr>
        <w:ind w:firstLine="48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2025年4月10日</w:t>
      </w:r>
      <w:r>
        <w:rPr>
          <w:rFonts w:hint="eastAsia"/>
          <w:color w:val="000000" w:themeColor="text1"/>
          <w14:textFill>
            <w14:solidFill>
              <w14:schemeClr w14:val="tx1"/>
            </w14:solidFill>
          </w14:textFill>
        </w:rPr>
        <w:t>，为贯彻落实《新污染物治理行动方案》相关要求，加强重点行业涉新污染物建设项目环境影响评价管理，生态环境部发布《关于加强重点行业涉新污染物建设项目环境影响评价工作的意见》（环环评〔2025〕28号）。该意见提出：“重点关注重点管控新污染物清单、有毒有害污染物名录、优先控制化学品名录以及《关于持久性有机污染物的斯德哥尔摩公约》（简称《斯德哥尔摩公约》）附件中已发布环境质量标准、污染物排放标准、环境监测方法标准或其他具有污染治理技术的污染物。重点关注石化、涂料、纺织印染、橡胶、农药、医药等重点行业建设项目，在建设项目环评工作中做好上述新污染物识别，涉及上述新污染物的，执行本意见要求；不涉及新污染物的，无需开展相关工作”。该意见提出了重点管控14种新污染物，分别是：1、全氟辛基磺酸及其盐类和全氟辛基磺酰氟（PFOS类）；2、全氟辛酸及其盐类和相关化合物（PFOA类）；3、十溴二苯醚；4、短链氯化石蜡；5、六氯丁二烯；6、五氯苯酚及其盐类和酯类；7、三氯杀螨醇；8、全氟己基磺酸及其盐类和其相关化合物（PFHxS类）；9、得克隆及其顺式异构体和反式异构体；10、二氯甲烷；11、三氯甲烷；12、壬基酚；13、抗生素；14、10类已淘汰类（六溴环十二烷、氯丹、灭蚁灵、六氯苯、滴滴涕、α-六氯环己烷、β-六氯环己烷、林丹、硫丹原药及其相关异构体、多氯联苯）。</w:t>
      </w:r>
    </w:p>
    <w:p w14:paraId="764C7B61">
      <w:pPr>
        <w:ind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项目新增苯乙烯利用现有笨装卸臂进行装卸，均为卸船后经管道至后方厂区。新增裂解C9、棕榈酸化油、脂肪酸混合物、工业级混合油、脂肪酸甲酯、纯生物柴油、航空煤油新建装卸臂进行装卸，纯生物柴油、航空煤油为后方厂区经管道装船，其余为卸船后经管道至后方厂区。新增液硫、碱液、发烟硫酸（硫酸）经卸船经管道至后方陆域罐区。</w:t>
      </w:r>
    </w:p>
    <w:p w14:paraId="418D32E2">
      <w:pPr>
        <w:ind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不涉及新污染物的产排污情况。但在项目后续推进过程中，仍将持续保持高度警惕，严格按照环保标准与规范开展各项工作，确保项目建设和运营不对周边环境造成新污染物相关的潜在风险与不良影响，切实履行环境保护责任，保障生态环境安全。</w:t>
      </w:r>
    </w:p>
    <w:p w14:paraId="673B249C">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北部湾</w:t>
      </w:r>
      <w:r>
        <w:rPr>
          <w:color w:val="000000" w:themeColor="text1"/>
          <w14:textFill>
            <w14:solidFill>
              <w14:schemeClr w14:val="tx1"/>
            </w14:solidFill>
          </w14:textFill>
        </w:rPr>
        <w:t>港总体规划及规划环评审查意见</w:t>
      </w:r>
    </w:p>
    <w:p w14:paraId="57C3EF35">
      <w:pPr>
        <w:ind w:firstLine="480"/>
        <w:rPr>
          <w:color w:val="000000" w:themeColor="text1"/>
          <w14:textFill>
            <w14:solidFill>
              <w14:schemeClr w14:val="tx1"/>
            </w14:solidFill>
          </w14:textFill>
        </w:rPr>
      </w:pPr>
      <w:r>
        <w:rPr>
          <w:color w:val="000000" w:themeColor="text1"/>
          <w:u w:val="single"/>
          <w14:textFill>
            <w14:solidFill>
              <w14:schemeClr w14:val="tx1"/>
            </w14:solidFill>
          </w14:textFill>
        </w:rPr>
        <w:t>根据《</w:t>
      </w:r>
      <w:r>
        <w:rPr>
          <w:rFonts w:hint="eastAsia"/>
          <w:color w:val="000000" w:themeColor="text1"/>
          <w:u w:val="single"/>
          <w14:textFill>
            <w14:solidFill>
              <w14:schemeClr w14:val="tx1"/>
            </w14:solidFill>
          </w14:textFill>
        </w:rPr>
        <w:t>北部湾</w:t>
      </w:r>
      <w:r>
        <w:rPr>
          <w:color w:val="000000" w:themeColor="text1"/>
          <w:u w:val="single"/>
          <w14:textFill>
            <w14:solidFill>
              <w14:schemeClr w14:val="tx1"/>
            </w14:solidFill>
          </w14:textFill>
        </w:rPr>
        <w:t>港总体规划（2035年）》，金谷港区</w:t>
      </w:r>
      <w:r>
        <w:rPr>
          <w:rFonts w:hint="eastAsia"/>
          <w:color w:val="000000" w:themeColor="text1"/>
          <w:u w:val="single"/>
          <w14:textFill>
            <w14:solidFill>
              <w14:schemeClr w14:val="tx1"/>
            </w14:solidFill>
          </w14:textFill>
        </w:rPr>
        <w:t>主要服务临港产业</w:t>
      </w:r>
      <w:r>
        <w:rPr>
          <w:rFonts w:hint="eastAsia"/>
          <w:color w:val="000000" w:themeColor="text1"/>
          <w:u w:val="single"/>
          <w:lang w:val="en-US" w:eastAsia="zh-CN"/>
          <w14:textFill>
            <w14:solidFill>
              <w14:schemeClr w14:val="tx1"/>
            </w14:solidFill>
          </w14:textFill>
        </w:rPr>
        <w:t>发展</w:t>
      </w:r>
      <w:r>
        <w:rPr>
          <w:rFonts w:hint="eastAsia"/>
          <w:color w:val="000000" w:themeColor="text1"/>
          <w:u w:val="single"/>
          <w14:textFill>
            <w14:solidFill>
              <w14:schemeClr w14:val="tx1"/>
            </w14:solidFill>
          </w14:textFill>
        </w:rPr>
        <w:t>和平陆运河江海联运，以煤炭、粮食、非金属矿石等干散货和油品、液体化工品运输为主</w:t>
      </w:r>
      <w:r>
        <w:rPr>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金鼓江作业区以服务后方临港产业发展为主，以煤炭等干散货和液体散货运输为主。项目所在</w:t>
      </w:r>
      <w:r>
        <w:rPr>
          <w:color w:val="000000" w:themeColor="text1"/>
          <w:u w:val="single"/>
          <w14:textFill>
            <w14:solidFill>
              <w14:schemeClr w14:val="tx1"/>
            </w14:solidFill>
          </w14:textFill>
        </w:rPr>
        <w:t>的14#泊位为《</w:t>
      </w:r>
      <w:r>
        <w:rPr>
          <w:rFonts w:hint="eastAsia"/>
          <w:color w:val="000000" w:themeColor="text1"/>
          <w:u w:val="single"/>
          <w14:textFill>
            <w14:solidFill>
              <w14:schemeClr w14:val="tx1"/>
            </w14:solidFill>
          </w14:textFill>
        </w:rPr>
        <w:t>北部湾</w:t>
      </w:r>
      <w:r>
        <w:rPr>
          <w:color w:val="000000" w:themeColor="text1"/>
          <w:u w:val="single"/>
          <w14:textFill>
            <w14:solidFill>
              <w14:schemeClr w14:val="tx1"/>
            </w14:solidFill>
          </w14:textFill>
        </w:rPr>
        <w:t>港总体规划（2035年）》中金鼓</w:t>
      </w:r>
      <w:r>
        <w:rPr>
          <w:color w:val="000000" w:themeColor="text1"/>
          <w14:textFill>
            <w14:solidFill>
              <w14:schemeClr w14:val="tx1"/>
            </w14:solidFill>
          </w14:textFill>
        </w:rPr>
        <w:t>江作业区规划泊位，货种为液体化学品，岸线利用及水域使用符合《</w:t>
      </w:r>
      <w:r>
        <w:rPr>
          <w:rFonts w:hint="eastAsia"/>
          <w:color w:val="000000" w:themeColor="text1"/>
          <w14:textFill>
            <w14:solidFill>
              <w14:schemeClr w14:val="tx1"/>
            </w14:solidFill>
          </w14:textFill>
        </w:rPr>
        <w:t>北部湾</w:t>
      </w:r>
      <w:r>
        <w:rPr>
          <w:color w:val="000000" w:themeColor="text1"/>
          <w14:textFill>
            <w14:solidFill>
              <w14:schemeClr w14:val="tx1"/>
            </w14:solidFill>
          </w14:textFill>
        </w:rPr>
        <w:t>港总体规划》要求。</w:t>
      </w:r>
    </w:p>
    <w:p w14:paraId="730DF780">
      <w:pPr>
        <w:ind w:firstLine="480"/>
        <w:rPr>
          <w:color w:val="000000" w:themeColor="text1"/>
          <w14:textFill>
            <w14:solidFill>
              <w14:schemeClr w14:val="tx1"/>
            </w14:solidFill>
          </w14:textFill>
        </w:rPr>
      </w:pPr>
      <w:r>
        <w:rPr>
          <w:color w:val="000000" w:themeColor="text1"/>
          <w14:textFill>
            <w14:solidFill>
              <w14:schemeClr w14:val="tx1"/>
            </w14:solidFill>
          </w14:textFill>
        </w:rPr>
        <w:t>根据《</w:t>
      </w:r>
      <w:r>
        <w:rPr>
          <w:rFonts w:hint="eastAsia"/>
          <w:color w:val="000000" w:themeColor="text1"/>
          <w14:textFill>
            <w14:solidFill>
              <w14:schemeClr w14:val="tx1"/>
            </w14:solidFill>
          </w14:textFill>
        </w:rPr>
        <w:t>北部湾</w:t>
      </w:r>
      <w:r>
        <w:rPr>
          <w:color w:val="000000" w:themeColor="text1"/>
          <w14:textFill>
            <w14:solidFill>
              <w14:schemeClr w14:val="tx1"/>
            </w14:solidFill>
          </w14:textFill>
        </w:rPr>
        <w:t>港总体规划（2035年）》规划环评及</w:t>
      </w:r>
      <w:r>
        <w:rPr>
          <w:rFonts w:hint="eastAsia"/>
          <w:color w:val="000000" w:themeColor="text1"/>
          <w14:textFill>
            <w14:solidFill>
              <w14:schemeClr w14:val="tx1"/>
            </w14:solidFill>
          </w14:textFill>
        </w:rPr>
        <w:t>中华人民共和国生态环境部</w:t>
      </w:r>
      <w:r>
        <w:rPr>
          <w:color w:val="000000" w:themeColor="text1"/>
          <w14:textFill>
            <w14:solidFill>
              <w14:schemeClr w14:val="tx1"/>
            </w14:solidFill>
          </w14:textFill>
        </w:rPr>
        <w:t>关于</w:t>
      </w:r>
      <w:r>
        <w:rPr>
          <w:rFonts w:hint="eastAsia"/>
          <w:color w:val="000000" w:themeColor="text1"/>
          <w14:textFill>
            <w14:solidFill>
              <w14:schemeClr w14:val="tx1"/>
            </w14:solidFill>
          </w14:textFill>
        </w:rPr>
        <w:t>《北部湾</w:t>
      </w:r>
      <w:r>
        <w:rPr>
          <w:color w:val="000000" w:themeColor="text1"/>
          <w14:textFill>
            <w14:solidFill>
              <w14:schemeClr w14:val="tx1"/>
            </w14:solidFill>
          </w14:textFill>
        </w:rPr>
        <w:t>港总体规划</w:t>
      </w:r>
      <w:r>
        <w:rPr>
          <w:rFonts w:hint="eastAsia"/>
          <w:color w:val="000000" w:themeColor="text1"/>
          <w14:textFill>
            <w14:solidFill>
              <w14:schemeClr w14:val="tx1"/>
            </w14:solidFill>
          </w14:textFill>
        </w:rPr>
        <w:t>（2035年）》</w:t>
      </w:r>
      <w:r>
        <w:rPr>
          <w:color w:val="000000" w:themeColor="text1"/>
          <w14:textFill>
            <w14:solidFill>
              <w14:schemeClr w14:val="tx1"/>
            </w14:solidFill>
          </w14:textFill>
        </w:rPr>
        <w:t>环境影响报告书</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审查意见（环</w:t>
      </w:r>
      <w:r>
        <w:rPr>
          <w:rFonts w:hint="eastAsia"/>
          <w:color w:val="000000" w:themeColor="text1"/>
          <w14:textFill>
            <w14:solidFill>
              <w14:schemeClr w14:val="tx1"/>
            </w14:solidFill>
          </w14:textFill>
        </w:rPr>
        <w:t>审</w:t>
      </w:r>
      <w:r>
        <w:rPr>
          <w:color w:val="000000" w:themeColor="text1"/>
          <w14:textFill>
            <w14:solidFill>
              <w14:schemeClr w14:val="tx1"/>
            </w14:solidFill>
          </w14:textFill>
        </w:rPr>
        <w:t>〔202</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125</w:t>
      </w:r>
      <w:r>
        <w:rPr>
          <w:color w:val="000000" w:themeColor="text1"/>
          <w14:textFill>
            <w14:solidFill>
              <w14:schemeClr w14:val="tx1"/>
            </w14:solidFill>
          </w14:textFill>
        </w:rPr>
        <w:t>号），</w:t>
      </w: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根据《产业结构调整指导目录（20</w:t>
      </w:r>
      <w:r>
        <w:rPr>
          <w:rFonts w:hint="eastAsia"/>
          <w:color w:val="000000" w:themeColor="text1"/>
          <w14:textFill>
            <w14:solidFill>
              <w14:schemeClr w14:val="tx1"/>
            </w14:solidFill>
          </w14:textFill>
        </w:rPr>
        <w:t>24</w:t>
      </w:r>
      <w:r>
        <w:rPr>
          <w:color w:val="000000" w:themeColor="text1"/>
          <w14:textFill>
            <w14:solidFill>
              <w14:schemeClr w14:val="tx1"/>
            </w14:solidFill>
          </w14:textFill>
        </w:rPr>
        <w:t xml:space="preserve">年本）》，属于鼓励类“二十五、水运 </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港口枢纽建设</w:t>
      </w: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不涉及生态保护红线</w:t>
      </w:r>
      <w:r>
        <w:rPr>
          <w:color w:val="000000" w:themeColor="text1"/>
          <w14:textFill>
            <w14:solidFill>
              <w14:schemeClr w14:val="tx1"/>
            </w14:solidFill>
          </w14:textFill>
        </w:rPr>
        <w:t>，本码头项目货种及吞吐量均经过项目可研论证，在环境保护方面，码头区域设置了尾气处理装置、废水依托后方污水处理厂进行处理后达标排放，其他各污染物均得到妥善处理，本次码头建设是后方园区发展的需要，经本次评价论证，采取各项环保措施后其影响在可接受范围。总体而言，项目与《</w:t>
      </w:r>
      <w:r>
        <w:rPr>
          <w:rFonts w:hint="eastAsia"/>
          <w:color w:val="000000" w:themeColor="text1"/>
          <w14:textFill>
            <w14:solidFill>
              <w14:schemeClr w14:val="tx1"/>
            </w14:solidFill>
          </w14:textFill>
        </w:rPr>
        <w:t>北部湾</w:t>
      </w:r>
      <w:r>
        <w:rPr>
          <w:color w:val="000000" w:themeColor="text1"/>
          <w14:textFill>
            <w14:solidFill>
              <w14:schemeClr w14:val="tx1"/>
            </w14:solidFill>
          </w14:textFill>
        </w:rPr>
        <w:t>港总体规划（2035年）》规划环评及其审查意见是相符的。</w:t>
      </w:r>
    </w:p>
    <w:p w14:paraId="62890709">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与《北部湾港总体规划（2035年）符合性分析》</w:t>
      </w:r>
    </w:p>
    <w:tbl>
      <w:tblPr>
        <w:tblStyle w:val="119"/>
        <w:tblW w:w="5189"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895"/>
        <w:gridCol w:w="6385"/>
        <w:gridCol w:w="1371"/>
      </w:tblGrid>
      <w:tr w14:paraId="2FD985A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blHeader/>
        </w:trPr>
        <w:tc>
          <w:tcPr>
            <w:tcW w:w="4154" w:type="pct"/>
            <w:gridSpan w:val="2"/>
            <w:vAlign w:val="center"/>
          </w:tcPr>
          <w:p w14:paraId="7481BF60">
            <w:pPr>
              <w:adjustRightInd w:val="0"/>
              <w:snapToGrid w:val="0"/>
              <w:spacing w:line="240" w:lineRule="exact"/>
              <w:ind w:firstLine="0" w:firstLineChars="0"/>
              <w:jc w:val="center"/>
              <w:outlineLvl w:val="0"/>
              <w:rPr>
                <w:b/>
                <w:color w:val="000000" w:themeColor="text1"/>
                <w:sz w:val="21"/>
                <w:szCs w:val="20"/>
                <w14:textFill>
                  <w14:solidFill>
                    <w14:schemeClr w14:val="tx1"/>
                  </w14:solidFill>
                </w14:textFill>
              </w:rPr>
            </w:pPr>
            <w:r>
              <w:rPr>
                <w:rFonts w:hint="eastAsia"/>
                <w:b/>
                <w:color w:val="000000" w:themeColor="text1"/>
                <w:sz w:val="21"/>
                <w:szCs w:val="20"/>
                <w14:textFill>
                  <w14:solidFill>
                    <w14:schemeClr w14:val="tx1"/>
                  </w14:solidFill>
                </w14:textFill>
              </w:rPr>
              <w:t>环境准入要求</w:t>
            </w:r>
          </w:p>
        </w:tc>
        <w:tc>
          <w:tcPr>
            <w:tcW w:w="782" w:type="pct"/>
            <w:vAlign w:val="center"/>
          </w:tcPr>
          <w:p w14:paraId="199850B1">
            <w:pPr>
              <w:adjustRightInd w:val="0"/>
              <w:snapToGrid w:val="0"/>
              <w:spacing w:line="240" w:lineRule="exact"/>
              <w:ind w:firstLine="0" w:firstLineChars="0"/>
              <w:jc w:val="center"/>
              <w:outlineLvl w:val="0"/>
              <w:rPr>
                <w:b/>
                <w:color w:val="000000" w:themeColor="text1"/>
                <w:sz w:val="21"/>
                <w:szCs w:val="20"/>
                <w14:textFill>
                  <w14:solidFill>
                    <w14:schemeClr w14:val="tx1"/>
                  </w14:solidFill>
                </w14:textFill>
              </w:rPr>
            </w:pPr>
            <w:r>
              <w:rPr>
                <w:rFonts w:hint="eastAsia"/>
                <w:b/>
                <w:color w:val="000000" w:themeColor="text1"/>
                <w:sz w:val="21"/>
                <w:szCs w:val="20"/>
                <w14:textFill>
                  <w14:solidFill>
                    <w14:schemeClr w14:val="tx1"/>
                  </w14:solidFill>
                </w14:textFill>
              </w:rPr>
              <w:t>相符性分析</w:t>
            </w:r>
          </w:p>
        </w:tc>
      </w:tr>
      <w:tr w14:paraId="5C04B48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511" w:type="pct"/>
            <w:vMerge w:val="restart"/>
            <w:vAlign w:val="center"/>
          </w:tcPr>
          <w:p w14:paraId="1EF903F9">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空间布局约束</w:t>
            </w:r>
          </w:p>
        </w:tc>
        <w:tc>
          <w:tcPr>
            <w:tcW w:w="3643" w:type="pct"/>
            <w:vAlign w:val="center"/>
          </w:tcPr>
          <w:p w14:paraId="643A6C1F">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 xml:space="preserve">①产业准入 </w:t>
            </w:r>
          </w:p>
          <w:p w14:paraId="505502B1">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 xml:space="preserve">北部湾港各港区应禁止发展《产业结构调整指导目录》中淘汰类、限制类水运和造修船工艺项目，主要有：废旧船舶滩涂拆解工艺、船长大于 </w:t>
            </w:r>
            <w:r>
              <w:rPr>
                <w:color w:val="000000" w:themeColor="text1"/>
                <w:sz w:val="21"/>
                <w:szCs w:val="20"/>
                <w14:textFill>
                  <w14:solidFill>
                    <w14:schemeClr w14:val="tx1"/>
                  </w14:solidFill>
                </w14:textFill>
              </w:rPr>
              <w:t xml:space="preserve">90 </w:t>
            </w:r>
            <w:r>
              <w:rPr>
                <w:rFonts w:hint="eastAsia"/>
                <w:color w:val="000000" w:themeColor="text1"/>
                <w:sz w:val="21"/>
                <w:szCs w:val="20"/>
                <w14:textFill>
                  <w14:solidFill>
                    <w14:schemeClr w14:val="tx1"/>
                  </w14:solidFill>
                </w14:textFill>
              </w:rPr>
              <w:t>米的船舶整体建造工艺。</w:t>
            </w:r>
          </w:p>
        </w:tc>
        <w:tc>
          <w:tcPr>
            <w:tcW w:w="782" w:type="pct"/>
            <w:vAlign w:val="center"/>
          </w:tcPr>
          <w:p w14:paraId="23EBD5FB">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本项目属于《产业结构调整指导目录（2024年本）》鼓励类，符合</w:t>
            </w:r>
          </w:p>
        </w:tc>
      </w:tr>
      <w:tr w14:paraId="393C268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511" w:type="pct"/>
            <w:vMerge w:val="continue"/>
            <w:vAlign w:val="center"/>
          </w:tcPr>
          <w:p w14:paraId="4DD1855E">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p>
        </w:tc>
        <w:tc>
          <w:tcPr>
            <w:tcW w:w="3643" w:type="pct"/>
            <w:vAlign w:val="center"/>
          </w:tcPr>
          <w:p w14:paraId="29DD7436">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②污染控制标准</w:t>
            </w:r>
          </w:p>
          <w:p w14:paraId="40CE972F">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油品及液体化工品码头：</w:t>
            </w:r>
            <w:r>
              <w:rPr>
                <w:color w:val="000000" w:themeColor="text1"/>
                <w:sz w:val="21"/>
                <w:szCs w:val="20"/>
                <w14:textFill>
                  <w14:solidFill>
                    <w14:schemeClr w14:val="tx1"/>
                  </w14:solidFill>
                </w14:textFill>
              </w:rPr>
              <w:t>VOCs</w:t>
            </w:r>
            <w:r>
              <w:rPr>
                <w:rFonts w:hint="eastAsia"/>
                <w:color w:val="000000" w:themeColor="text1"/>
                <w:sz w:val="21"/>
                <w:szCs w:val="20"/>
                <w14:textFill>
                  <w14:solidFill>
                    <w14:schemeClr w14:val="tx1"/>
                  </w14:solidFill>
                </w14:textFill>
              </w:rPr>
              <w:t>（大气污染物）；</w:t>
            </w:r>
            <w:r>
              <w:rPr>
                <w:color w:val="000000" w:themeColor="text1"/>
                <w:sz w:val="21"/>
                <w:szCs w:val="20"/>
                <w14:textFill>
                  <w14:solidFill>
                    <w14:schemeClr w14:val="tx1"/>
                  </w14:solidFill>
                </w14:textFill>
              </w:rPr>
              <w:t>COD</w:t>
            </w:r>
            <w:r>
              <w:rPr>
                <w:rFonts w:hint="eastAsia"/>
                <w:color w:val="000000" w:themeColor="text1"/>
                <w:sz w:val="21"/>
                <w:szCs w:val="20"/>
                <w14:textFill>
                  <w14:solidFill>
                    <w14:schemeClr w14:val="tx1"/>
                  </w14:solidFill>
                </w14:textFill>
              </w:rPr>
              <w:t>、石油类（水污染物）。各类码头主要污染物排放浓度应满足表2.3-2，不满足污染控制标准的建设项目禁止开发建设。</w:t>
            </w:r>
          </w:p>
        </w:tc>
        <w:tc>
          <w:tcPr>
            <w:tcW w:w="782" w:type="pct"/>
            <w:vAlign w:val="center"/>
          </w:tcPr>
          <w:p w14:paraId="7BDEDAC1">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本项目VOC</w:t>
            </w:r>
            <w:r>
              <w:rPr>
                <w:rFonts w:hint="eastAsia"/>
                <w:color w:val="000000" w:themeColor="text1"/>
                <w:sz w:val="21"/>
                <w:szCs w:val="20"/>
                <w:vertAlign w:val="subscript"/>
                <w14:textFill>
                  <w14:solidFill>
                    <w14:schemeClr w14:val="tx1"/>
                  </w14:solidFill>
                </w14:textFill>
              </w:rPr>
              <w:t>s</w:t>
            </w:r>
            <w:r>
              <w:rPr>
                <w:rFonts w:hint="eastAsia"/>
                <w:color w:val="000000" w:themeColor="text1"/>
                <w:sz w:val="21"/>
                <w:szCs w:val="20"/>
                <w14:textFill>
                  <w14:solidFill>
                    <w14:schemeClr w14:val="tx1"/>
                  </w14:solidFill>
                </w14:textFill>
              </w:rPr>
              <w:t>排放满足排放标准，不涉及</w:t>
            </w:r>
            <w:r>
              <w:rPr>
                <w:rFonts w:hint="eastAsia"/>
                <w:color w:val="000000" w:themeColor="text1"/>
                <w:sz w:val="21"/>
                <w:szCs w:val="20"/>
                <w:lang w:eastAsia="zh-CN"/>
                <w14:textFill>
                  <w14:solidFill>
                    <w14:schemeClr w14:val="tx1"/>
                  </w14:solidFill>
                </w14:textFill>
              </w:rPr>
              <w:t>水污染物排放</w:t>
            </w:r>
            <w:r>
              <w:rPr>
                <w:rFonts w:hint="eastAsia"/>
                <w:color w:val="000000" w:themeColor="text1"/>
                <w:sz w:val="21"/>
                <w:szCs w:val="20"/>
                <w14:textFill>
                  <w14:solidFill>
                    <w14:schemeClr w14:val="tx1"/>
                  </w14:solidFill>
                </w14:textFill>
              </w:rPr>
              <w:t>，符合。</w:t>
            </w:r>
          </w:p>
        </w:tc>
      </w:tr>
      <w:tr w14:paraId="5C642E2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511" w:type="pct"/>
            <w:vMerge w:val="continue"/>
            <w:vAlign w:val="center"/>
          </w:tcPr>
          <w:p w14:paraId="66D9298C">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p>
        </w:tc>
        <w:tc>
          <w:tcPr>
            <w:tcW w:w="3643" w:type="pct"/>
            <w:vAlign w:val="center"/>
          </w:tcPr>
          <w:p w14:paraId="0AA03DD9">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 xml:space="preserve">③生态保护 </w:t>
            </w:r>
          </w:p>
          <w:p w14:paraId="76BB4BC0">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 xml:space="preserve">在本规划实施过程中，可能影响到广西山口红树林国家级自然保护区、广西合浦儒艮国家级自然保护区、广西涠洲岛自治区级自然保护区、广西茅尾海红树林自治区级自然保护区、广西北仑河口国家级自然保护区、北部湾二长棘 </w:t>
            </w:r>
          </w:p>
          <w:p w14:paraId="7C58E7ED">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鲷长毛对虾国家级水产种质资源保护区，以及现状红树林和中华白海豚、中国鲎、珊瑚礁、海草床等敏感生物的港口、航道及锚地建设项目，应编制专题报告，并取得相关主管部门意见依法办理有关手续。</w:t>
            </w:r>
          </w:p>
        </w:tc>
        <w:tc>
          <w:tcPr>
            <w:tcW w:w="782" w:type="pct"/>
            <w:vAlign w:val="center"/>
          </w:tcPr>
          <w:p w14:paraId="0A730E5D">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本项目不涉及以上保护区，符合。</w:t>
            </w:r>
          </w:p>
        </w:tc>
      </w:tr>
      <w:tr w14:paraId="4BAE998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511" w:type="pct"/>
            <w:vMerge w:val="continue"/>
            <w:vAlign w:val="center"/>
          </w:tcPr>
          <w:p w14:paraId="2FCCCDBB">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p>
        </w:tc>
        <w:tc>
          <w:tcPr>
            <w:tcW w:w="3643" w:type="pct"/>
            <w:vAlign w:val="center"/>
          </w:tcPr>
          <w:p w14:paraId="10084DDF">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④到港船舶</w:t>
            </w:r>
          </w:p>
          <w:p w14:paraId="445B26DC">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I.各港区应禁止淘汰类船舶进港</w:t>
            </w:r>
          </w:p>
          <w:p w14:paraId="7C7EB001">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根据《产业结构调整指导目录》，淘汰类船舶有：采用整体造船法建造的钢制运输船舶；不符合规范的改装船舶和已到报废期限的船舶、单壳油船、挂桨机船。</w:t>
            </w:r>
          </w:p>
          <w:p w14:paraId="551F04E0">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II.船舶污染物排放标准</w:t>
            </w:r>
          </w:p>
          <w:p w14:paraId="1D64E56E">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北部湾港进出港船舶污染物排放应符合《船舶水污染物排放控制标准》（GB3552-2018）要求。此外，进出港船舶应达到 73/78 防污染公约的各项附则的要求；还应符合《沿海海域船舶排污设备铅封管理规定》等我国现行的船舶污染物管理要求。北部湾港位于船舶大气污染物排放控制区，船舶应严格执行《交通运输部关于印发船舶大气污染物排放控制区实施方案的通知》（交海发〔2018〕168号）相应时段管理要求。国际航行船舶其压载水管理</w:t>
            </w:r>
            <w:r>
              <w:rPr>
                <w:rFonts w:hint="eastAsia"/>
                <w:color w:val="000000" w:themeColor="text1"/>
                <w:sz w:val="21"/>
                <w:szCs w:val="20"/>
                <w:lang w:eastAsia="zh-CN"/>
                <w14:textFill>
                  <w14:solidFill>
                    <w14:schemeClr w14:val="tx1"/>
                  </w14:solidFill>
                </w14:textFill>
              </w:rPr>
              <w:t>要求</w:t>
            </w:r>
            <w:r>
              <w:rPr>
                <w:rFonts w:hint="eastAsia"/>
                <w:color w:val="000000" w:themeColor="text1"/>
                <w:sz w:val="21"/>
                <w:szCs w:val="20"/>
                <w14:textFill>
                  <w14:solidFill>
                    <w14:schemeClr w14:val="tx1"/>
                  </w14:solidFill>
                </w14:textFill>
              </w:rPr>
              <w:t>符合我国缔结或加入的有关国际公约及国内有关法律法规的要求，不符合要求船舶禁止入港。</w:t>
            </w:r>
          </w:p>
        </w:tc>
        <w:tc>
          <w:tcPr>
            <w:tcW w:w="782" w:type="pct"/>
            <w:vAlign w:val="center"/>
          </w:tcPr>
          <w:p w14:paraId="603257C1">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本项目到港船舶不属于淘汰类船舶，含油污水由具有相关资质的单位接收处理，到港船舶生活污水由船舶公司委托有资质单位接收处置。符合。</w:t>
            </w:r>
          </w:p>
        </w:tc>
      </w:tr>
      <w:tr w14:paraId="7163005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511" w:type="pct"/>
            <w:vMerge w:val="continue"/>
            <w:vAlign w:val="center"/>
          </w:tcPr>
          <w:p w14:paraId="58BD8918">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p>
        </w:tc>
        <w:tc>
          <w:tcPr>
            <w:tcW w:w="3643" w:type="pct"/>
            <w:vAlign w:val="center"/>
          </w:tcPr>
          <w:p w14:paraId="6DC1EB98">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④货种</w:t>
            </w:r>
          </w:p>
          <w:p w14:paraId="5B4E427B">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北部湾港应禁止运输《产业结构调整指导目录》淘汰类的设备、产品以及原辅材料。</w:t>
            </w:r>
          </w:p>
        </w:tc>
        <w:tc>
          <w:tcPr>
            <w:tcW w:w="782" w:type="pct"/>
            <w:vAlign w:val="center"/>
          </w:tcPr>
          <w:p w14:paraId="20D50BC1">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本项目货种不涉及《产业结构调整指导目录》淘汰类产品。符合</w:t>
            </w:r>
          </w:p>
        </w:tc>
      </w:tr>
      <w:tr w14:paraId="6FE8B3F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511" w:type="pct"/>
            <w:vAlign w:val="center"/>
          </w:tcPr>
          <w:p w14:paraId="4E68E6F1">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环境风险防控</w:t>
            </w:r>
          </w:p>
        </w:tc>
        <w:tc>
          <w:tcPr>
            <w:tcW w:w="3643" w:type="pct"/>
            <w:vAlign w:val="center"/>
          </w:tcPr>
          <w:p w14:paraId="7606032F">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北部湾港液体散货区的危险品堆存区与居住区至少保留 1km 安全距离，以降低环境风险事故风险。各港区需配备必要的导助航等安全保障设施，并加强码头装卸作业的安全管理和防护措施，减少事故隐患。</w:t>
            </w:r>
          </w:p>
        </w:tc>
        <w:tc>
          <w:tcPr>
            <w:tcW w:w="782" w:type="pct"/>
            <w:vAlign w:val="center"/>
          </w:tcPr>
          <w:p w14:paraId="657E1AE6">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本项目不涉及罐区贮存，周边1km内无居民区，符合。</w:t>
            </w:r>
          </w:p>
        </w:tc>
      </w:tr>
      <w:tr w14:paraId="1CB2C60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511" w:type="pct"/>
            <w:vAlign w:val="center"/>
          </w:tcPr>
          <w:p w14:paraId="700713CB">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资源开发效率要求</w:t>
            </w:r>
          </w:p>
        </w:tc>
        <w:tc>
          <w:tcPr>
            <w:tcW w:w="3643" w:type="pct"/>
            <w:vAlign w:val="center"/>
          </w:tcPr>
          <w:p w14:paraId="6E58003D">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严格控制北部湾港各港区尤其是新建港区的开发规模与强度，集约节约利用岸线、土地等资源，合理安排港口开发建设时序，持续提高资源利用效率。严禁各港区建设项目占用自然岸线，确保规划区域自然岸线数量不减少。</w:t>
            </w:r>
          </w:p>
        </w:tc>
        <w:tc>
          <w:tcPr>
            <w:tcW w:w="782" w:type="pct"/>
            <w:vAlign w:val="center"/>
          </w:tcPr>
          <w:p w14:paraId="5FBE4DAA">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本项目利用原有码头设施，不涉及水工建设，不占用自然岸线，符合。</w:t>
            </w:r>
          </w:p>
        </w:tc>
      </w:tr>
    </w:tbl>
    <w:p w14:paraId="4532E9D5">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北部湾港总体规划环境影响评价污染物排放标准</w:t>
      </w:r>
    </w:p>
    <w:tbl>
      <w:tblPr>
        <w:tblStyle w:val="44"/>
        <w:tblW w:w="518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5"/>
        <w:gridCol w:w="1919"/>
        <w:gridCol w:w="1213"/>
        <w:gridCol w:w="4374"/>
      </w:tblGrid>
      <w:tr w14:paraId="637E6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1840" w:type="pct"/>
            <w:gridSpan w:val="2"/>
            <w:tcBorders>
              <w:top w:val="single" w:color="auto" w:sz="12" w:space="0"/>
              <w:left w:val="single" w:color="auto" w:sz="12" w:space="0"/>
            </w:tcBorders>
          </w:tcPr>
          <w:p w14:paraId="4E862440">
            <w:pPr>
              <w:adjustRightInd w:val="0"/>
              <w:snapToGrid w:val="0"/>
              <w:spacing w:line="240" w:lineRule="exact"/>
              <w:ind w:firstLine="0" w:firstLineChars="0"/>
              <w:jc w:val="center"/>
              <w:outlineLvl w:val="0"/>
              <w:rPr>
                <w:b/>
                <w:bCs/>
                <w:color w:val="000000" w:themeColor="text1"/>
                <w:sz w:val="21"/>
                <w:szCs w:val="20"/>
                <w14:textFill>
                  <w14:solidFill>
                    <w14:schemeClr w14:val="tx1"/>
                  </w14:solidFill>
                </w14:textFill>
              </w:rPr>
            </w:pPr>
            <w:r>
              <w:rPr>
                <w:rFonts w:hint="eastAsia"/>
                <w:b/>
                <w:bCs/>
                <w:color w:val="000000" w:themeColor="text1"/>
                <w:sz w:val="21"/>
                <w:szCs w:val="20"/>
                <w14:textFill>
                  <w14:solidFill>
                    <w14:schemeClr w14:val="tx1"/>
                  </w14:solidFill>
                </w14:textFill>
              </w:rPr>
              <w:t>主要污染物</w:t>
            </w:r>
          </w:p>
        </w:tc>
        <w:tc>
          <w:tcPr>
            <w:tcW w:w="686" w:type="pct"/>
            <w:tcBorders>
              <w:top w:val="single" w:color="auto" w:sz="12" w:space="0"/>
            </w:tcBorders>
          </w:tcPr>
          <w:p w14:paraId="2E2C7FDE">
            <w:pPr>
              <w:adjustRightInd w:val="0"/>
              <w:snapToGrid w:val="0"/>
              <w:spacing w:line="240" w:lineRule="exact"/>
              <w:ind w:firstLine="0" w:firstLineChars="0"/>
              <w:jc w:val="center"/>
              <w:outlineLvl w:val="0"/>
              <w:rPr>
                <w:b/>
                <w:bCs/>
                <w:color w:val="000000" w:themeColor="text1"/>
                <w:sz w:val="21"/>
                <w:szCs w:val="20"/>
                <w14:textFill>
                  <w14:solidFill>
                    <w14:schemeClr w14:val="tx1"/>
                  </w14:solidFill>
                </w14:textFill>
              </w:rPr>
            </w:pPr>
            <w:r>
              <w:rPr>
                <w:rFonts w:hint="eastAsia"/>
                <w:b/>
                <w:bCs/>
                <w:color w:val="000000" w:themeColor="text1"/>
                <w:sz w:val="21"/>
                <w:szCs w:val="20"/>
                <w14:textFill>
                  <w14:solidFill>
                    <w14:schemeClr w14:val="tx1"/>
                  </w14:solidFill>
                </w14:textFill>
              </w:rPr>
              <w:t>浓度限值</w:t>
            </w:r>
          </w:p>
        </w:tc>
        <w:tc>
          <w:tcPr>
            <w:tcW w:w="2473" w:type="pct"/>
            <w:tcBorders>
              <w:top w:val="single" w:color="auto" w:sz="12" w:space="0"/>
              <w:right w:val="single" w:color="auto" w:sz="12" w:space="0"/>
            </w:tcBorders>
          </w:tcPr>
          <w:p w14:paraId="13DE44BE">
            <w:pPr>
              <w:adjustRightInd w:val="0"/>
              <w:snapToGrid w:val="0"/>
              <w:spacing w:line="240" w:lineRule="exact"/>
              <w:ind w:firstLine="0" w:firstLineChars="0"/>
              <w:jc w:val="center"/>
              <w:outlineLvl w:val="0"/>
              <w:rPr>
                <w:b/>
                <w:bCs/>
                <w:color w:val="000000" w:themeColor="text1"/>
                <w:sz w:val="21"/>
                <w:szCs w:val="20"/>
                <w14:textFill>
                  <w14:solidFill>
                    <w14:schemeClr w14:val="tx1"/>
                  </w14:solidFill>
                </w14:textFill>
              </w:rPr>
            </w:pPr>
            <w:r>
              <w:rPr>
                <w:rFonts w:hint="eastAsia"/>
                <w:b/>
                <w:bCs/>
                <w:color w:val="000000" w:themeColor="text1"/>
                <w:sz w:val="21"/>
                <w:szCs w:val="20"/>
                <w14:textFill>
                  <w14:solidFill>
                    <w14:schemeClr w14:val="tx1"/>
                  </w14:solidFill>
                </w14:textFill>
              </w:rPr>
              <w:t>标准出处</w:t>
            </w:r>
          </w:p>
        </w:tc>
      </w:tr>
      <w:tr w14:paraId="4856B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5" w:type="pct"/>
            <w:vMerge w:val="restart"/>
            <w:tcBorders>
              <w:left w:val="single" w:color="auto" w:sz="12" w:space="0"/>
            </w:tcBorders>
          </w:tcPr>
          <w:p w14:paraId="386C8DD9">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大气污染物</w:t>
            </w:r>
          </w:p>
        </w:tc>
        <w:tc>
          <w:tcPr>
            <w:tcW w:w="1085" w:type="pct"/>
          </w:tcPr>
          <w:p w14:paraId="57D12446">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粉尘（mg/m</w:t>
            </w:r>
            <w:r>
              <w:rPr>
                <w:rFonts w:hint="eastAsia"/>
                <w:color w:val="000000" w:themeColor="text1"/>
                <w:sz w:val="21"/>
                <w:szCs w:val="20"/>
                <w:vertAlign w:val="superscript"/>
                <w14:textFill>
                  <w14:solidFill>
                    <w14:schemeClr w14:val="tx1"/>
                  </w14:solidFill>
                </w14:textFill>
              </w:rPr>
              <w:t>3</w:t>
            </w:r>
            <w:r>
              <w:rPr>
                <w:rFonts w:hint="eastAsia"/>
                <w:color w:val="000000" w:themeColor="text1"/>
                <w:sz w:val="21"/>
                <w:szCs w:val="20"/>
                <w14:textFill>
                  <w14:solidFill>
                    <w14:schemeClr w14:val="tx1"/>
                  </w14:solidFill>
                </w14:textFill>
              </w:rPr>
              <w:t>）</w:t>
            </w:r>
          </w:p>
        </w:tc>
        <w:tc>
          <w:tcPr>
            <w:tcW w:w="686" w:type="pct"/>
          </w:tcPr>
          <w:p w14:paraId="3517F300">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1.0</w:t>
            </w:r>
          </w:p>
        </w:tc>
        <w:tc>
          <w:tcPr>
            <w:tcW w:w="2473" w:type="pct"/>
            <w:tcBorders>
              <w:right w:val="single" w:color="auto" w:sz="12" w:space="0"/>
            </w:tcBorders>
          </w:tcPr>
          <w:p w14:paraId="7F8B79F5">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《大气污染物综合排放标准》(GB16297)表 2 无组织排放监控浓度限值</w:t>
            </w:r>
          </w:p>
        </w:tc>
      </w:tr>
      <w:tr w14:paraId="1ED76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5" w:type="pct"/>
            <w:vMerge w:val="continue"/>
            <w:tcBorders>
              <w:left w:val="single" w:color="auto" w:sz="12" w:space="0"/>
            </w:tcBorders>
          </w:tcPr>
          <w:p w14:paraId="39E0EF79">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p>
        </w:tc>
        <w:tc>
          <w:tcPr>
            <w:tcW w:w="1085" w:type="pct"/>
          </w:tcPr>
          <w:p w14:paraId="0134D7F4">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NMHC（mg/m</w:t>
            </w:r>
            <w:r>
              <w:rPr>
                <w:rFonts w:hint="eastAsia"/>
                <w:color w:val="000000" w:themeColor="text1"/>
                <w:sz w:val="21"/>
                <w:szCs w:val="20"/>
                <w:vertAlign w:val="superscript"/>
                <w14:textFill>
                  <w14:solidFill>
                    <w14:schemeClr w14:val="tx1"/>
                  </w14:solidFill>
                </w14:textFill>
              </w:rPr>
              <w:t>3</w:t>
            </w:r>
            <w:r>
              <w:rPr>
                <w:rFonts w:hint="eastAsia"/>
                <w:color w:val="000000" w:themeColor="text1"/>
                <w:sz w:val="21"/>
                <w:szCs w:val="20"/>
                <w14:textFill>
                  <w14:solidFill>
                    <w14:schemeClr w14:val="tx1"/>
                  </w14:solidFill>
                </w14:textFill>
              </w:rPr>
              <w:t>）</w:t>
            </w:r>
          </w:p>
        </w:tc>
        <w:tc>
          <w:tcPr>
            <w:tcW w:w="686" w:type="pct"/>
          </w:tcPr>
          <w:p w14:paraId="2046A83B">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4.0</w:t>
            </w:r>
          </w:p>
        </w:tc>
        <w:tc>
          <w:tcPr>
            <w:tcW w:w="2473" w:type="pct"/>
            <w:tcBorders>
              <w:right w:val="single" w:color="auto" w:sz="12" w:space="0"/>
            </w:tcBorders>
          </w:tcPr>
          <w:p w14:paraId="765F01E1">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《大气污染物综合排放标准》(GB16297)表 2 无组织排放监控浓度限值</w:t>
            </w:r>
          </w:p>
        </w:tc>
      </w:tr>
      <w:tr w14:paraId="0939B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5" w:type="pct"/>
            <w:vMerge w:val="restart"/>
            <w:tcBorders>
              <w:left w:val="single" w:color="auto" w:sz="12" w:space="0"/>
            </w:tcBorders>
          </w:tcPr>
          <w:p w14:paraId="2D4E4FD4">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水污染物</w:t>
            </w:r>
          </w:p>
        </w:tc>
        <w:tc>
          <w:tcPr>
            <w:tcW w:w="1085" w:type="pct"/>
          </w:tcPr>
          <w:p w14:paraId="6007FB35">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COD（mg/L）</w:t>
            </w:r>
          </w:p>
        </w:tc>
        <w:tc>
          <w:tcPr>
            <w:tcW w:w="686" w:type="pct"/>
          </w:tcPr>
          <w:p w14:paraId="3169B113">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150</w:t>
            </w:r>
          </w:p>
        </w:tc>
        <w:tc>
          <w:tcPr>
            <w:tcW w:w="2473" w:type="pct"/>
            <w:tcBorders>
              <w:right w:val="single" w:color="auto" w:sz="12" w:space="0"/>
            </w:tcBorders>
          </w:tcPr>
          <w:p w14:paraId="74E91E14">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《污水综合排放标准》（GB8978-1996）</w:t>
            </w:r>
          </w:p>
        </w:tc>
      </w:tr>
      <w:tr w14:paraId="79D77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5" w:type="pct"/>
            <w:vMerge w:val="continue"/>
            <w:tcBorders>
              <w:left w:val="single" w:color="auto" w:sz="12" w:space="0"/>
              <w:bottom w:val="single" w:color="auto" w:sz="12" w:space="0"/>
            </w:tcBorders>
          </w:tcPr>
          <w:p w14:paraId="0C69C2F9">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p>
        </w:tc>
        <w:tc>
          <w:tcPr>
            <w:tcW w:w="1085" w:type="pct"/>
            <w:tcBorders>
              <w:bottom w:val="single" w:color="auto" w:sz="12" w:space="0"/>
            </w:tcBorders>
          </w:tcPr>
          <w:p w14:paraId="2AE7FF2A">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石油类（mg/L）</w:t>
            </w:r>
          </w:p>
        </w:tc>
        <w:tc>
          <w:tcPr>
            <w:tcW w:w="686" w:type="pct"/>
            <w:tcBorders>
              <w:bottom w:val="single" w:color="auto" w:sz="12" w:space="0"/>
            </w:tcBorders>
          </w:tcPr>
          <w:p w14:paraId="7BB1EC3E">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10</w:t>
            </w:r>
          </w:p>
        </w:tc>
        <w:tc>
          <w:tcPr>
            <w:tcW w:w="2473" w:type="pct"/>
            <w:tcBorders>
              <w:bottom w:val="single" w:color="auto" w:sz="12" w:space="0"/>
              <w:right w:val="single" w:color="auto" w:sz="12" w:space="0"/>
            </w:tcBorders>
          </w:tcPr>
          <w:p w14:paraId="746FE36C">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《污水综合排放标准》（GB8978-1996）</w:t>
            </w:r>
          </w:p>
        </w:tc>
      </w:tr>
    </w:tbl>
    <w:p w14:paraId="0C1AC15F">
      <w:pPr>
        <w:pStyle w:val="6"/>
        <w:rPr>
          <w:color w:val="000000" w:themeColor="text1"/>
          <w14:textFill>
            <w14:solidFill>
              <w14:schemeClr w14:val="tx1"/>
            </w14:solidFill>
          </w14:textFill>
        </w:rPr>
      </w:pPr>
      <w:r>
        <w:rPr>
          <w:color w:val="000000" w:themeColor="text1"/>
          <w14:textFill>
            <w14:solidFill>
              <w14:schemeClr w14:val="tx1"/>
            </w14:solidFill>
          </w14:textFill>
        </w:rPr>
        <w:t>项目《广西钦州石化产业园总体发展规划》（2020-2035）相符性</w:t>
      </w:r>
    </w:p>
    <w:p w14:paraId="01D4A015">
      <w:pPr>
        <w:ind w:firstLine="480"/>
        <w:rPr>
          <w:color w:val="000000" w:themeColor="text1"/>
          <w14:textFill>
            <w14:solidFill>
              <w14:schemeClr w14:val="tx1"/>
            </w14:solidFill>
          </w14:textFill>
        </w:rPr>
      </w:pPr>
      <w:r>
        <w:rPr>
          <w:color w:val="000000" w:themeColor="text1"/>
          <w14:textFill>
            <w14:solidFill>
              <w14:schemeClr w14:val="tx1"/>
            </w14:solidFill>
          </w14:textFill>
        </w:rPr>
        <w:t>1、与规划相符性分析</w:t>
      </w:r>
    </w:p>
    <w:p w14:paraId="49BAA427">
      <w:pPr>
        <w:ind w:firstLine="480"/>
        <w:rPr>
          <w:color w:val="000000" w:themeColor="text1"/>
          <w14:textFill>
            <w14:solidFill>
              <w14:schemeClr w14:val="tx1"/>
            </w14:solidFill>
          </w14:textFill>
        </w:rPr>
      </w:pPr>
      <w:r>
        <w:rPr>
          <w:color w:val="000000" w:themeColor="text1"/>
          <w14:textFill>
            <w14:solidFill>
              <w14:schemeClr w14:val="tx1"/>
            </w14:solidFill>
          </w14:textFill>
        </w:rPr>
        <w:t>根据《广西钦州石化产业园总体发展规划》（2020-2035），钦州石化产业园总体上规划为“一园、两轴、三片、十区、多点”的空间结构：</w:t>
      </w:r>
    </w:p>
    <w:p w14:paraId="7569696B">
      <w:pPr>
        <w:ind w:firstLine="480"/>
        <w:rPr>
          <w:color w:val="000000" w:themeColor="text1"/>
          <w14:textFill>
            <w14:solidFill>
              <w14:schemeClr w14:val="tx1"/>
            </w14:solidFill>
          </w14:textFill>
        </w:rPr>
      </w:pPr>
      <w:r>
        <w:rPr>
          <w:color w:val="000000" w:themeColor="text1"/>
          <w14:textFill>
            <w14:solidFill>
              <w14:schemeClr w14:val="tx1"/>
            </w14:solidFill>
          </w14:textFill>
        </w:rPr>
        <w:t>(1) “一园”即钦州石化产业园整体。</w:t>
      </w:r>
    </w:p>
    <w:p w14:paraId="1F4192D7">
      <w:pPr>
        <w:ind w:firstLine="480"/>
        <w:rPr>
          <w:color w:val="000000" w:themeColor="text1"/>
          <w14:textFill>
            <w14:solidFill>
              <w14:schemeClr w14:val="tx1"/>
            </w14:solidFill>
          </w14:textFill>
        </w:rPr>
      </w:pPr>
      <w:r>
        <w:rPr>
          <w:color w:val="000000" w:themeColor="text1"/>
          <w14:textFill>
            <w14:solidFill>
              <w14:schemeClr w14:val="tx1"/>
            </w14:solidFill>
          </w14:textFill>
        </w:rPr>
        <w:t>(2)“两轴”即依托环北大道和三墩公路打造两条产业空间轴，将三个片区串联发展。</w:t>
      </w:r>
    </w:p>
    <w:p w14:paraId="388FAF9C">
      <w:pPr>
        <w:ind w:firstLine="480"/>
        <w:rPr>
          <w:color w:val="000000" w:themeColor="text1"/>
          <w14:textFill>
            <w14:solidFill>
              <w14:schemeClr w14:val="tx1"/>
            </w14:solidFill>
          </w14:textFill>
        </w:rPr>
      </w:pPr>
      <w:r>
        <w:rPr>
          <w:color w:val="000000" w:themeColor="text1"/>
          <w14:textFill>
            <w14:solidFill>
              <w14:schemeClr w14:val="tx1"/>
            </w14:solidFill>
          </w14:textFill>
        </w:rPr>
        <w:t>(3) “三片”即金谷片区、鹿耳片区和三墩片区。</w:t>
      </w:r>
    </w:p>
    <w:p w14:paraId="32AF23AD">
      <w:pPr>
        <w:ind w:firstLine="480"/>
        <w:rPr>
          <w:color w:val="000000" w:themeColor="text1"/>
          <w14:textFill>
            <w14:solidFill>
              <w14:schemeClr w14:val="tx1"/>
            </w14:solidFill>
          </w14:textFill>
        </w:rPr>
      </w:pPr>
      <w:r>
        <w:rPr>
          <w:color w:val="000000" w:themeColor="text1"/>
          <w14:textFill>
            <w14:solidFill>
              <w14:schemeClr w14:val="tx1"/>
            </w14:solidFill>
          </w14:textFill>
        </w:rPr>
        <w:t>(4) “十区”即广西石化炼化一体化项目区、华谊化工新材料一体化项目区、芳烃及下游深加工产业区、特种聚氨酯与高端材料产业区、金谷现有项目区、金谷预留发展区、鹿耳特种功能材料及专用化学品项目区、三墩炼化一体化项目区、三墩芳烃、烯烃及下游深加工区、三墩化工新材料及精细化工项目区，各片区内部以用地有效集聚为原则，保持内部小组团的完整，利于开发的弹性和可持续性。</w:t>
      </w:r>
    </w:p>
    <w:p w14:paraId="5E6F8DF7">
      <w:pPr>
        <w:ind w:firstLine="480"/>
        <w:rPr>
          <w:color w:val="000000" w:themeColor="text1"/>
          <w14:textFill>
            <w14:solidFill>
              <w14:schemeClr w14:val="tx1"/>
            </w14:solidFill>
          </w14:textFill>
        </w:rPr>
      </w:pPr>
      <w:r>
        <w:rPr>
          <w:color w:val="000000" w:themeColor="text1"/>
          <w14:textFill>
            <w14:solidFill>
              <w14:schemeClr w14:val="tx1"/>
            </w14:solidFill>
          </w14:textFill>
        </w:rPr>
        <w:t>(5) “多点”即“一体化”配套服务的公用工程及辅助设施。包括</w:t>
      </w:r>
      <w:r>
        <w:rPr>
          <w:b/>
          <w:bCs/>
          <w:color w:val="000000" w:themeColor="text1"/>
          <w14:textFill>
            <w14:solidFill>
              <w14:schemeClr w14:val="tx1"/>
            </w14:solidFill>
          </w14:textFill>
        </w:rPr>
        <w:t>石化码头及物流仓储区</w:t>
      </w:r>
      <w:r>
        <w:rPr>
          <w:color w:val="000000" w:themeColor="text1"/>
          <w14:textFill>
            <w14:solidFill>
              <w14:schemeClr w14:val="tx1"/>
            </w14:solidFill>
          </w14:textFill>
        </w:rPr>
        <w:t>、供水厂、污水处理、热电中心、变电站、消防站、危废处理等。</w:t>
      </w:r>
    </w:p>
    <w:p w14:paraId="19840584">
      <w:pPr>
        <w:ind w:firstLine="480"/>
        <w:rPr>
          <w:color w:val="000000" w:themeColor="text1"/>
          <w14:textFill>
            <w14:solidFill>
              <w14:schemeClr w14:val="tx1"/>
            </w14:solidFill>
          </w14:textFill>
        </w:rPr>
      </w:pPr>
      <w:r>
        <w:rPr>
          <w:color w:val="000000" w:themeColor="text1"/>
          <w14:textFill>
            <w14:solidFill>
              <w14:schemeClr w14:val="tx1"/>
            </w14:solidFill>
          </w14:textFill>
        </w:rPr>
        <w:t>项目属于服务石化园区的码头项目，选址位于园区规划的石化码头及物流仓储区，选址及功能符合《广西钦州石化产业园总体发展规划》（2020-2035）。</w:t>
      </w:r>
    </w:p>
    <w:p w14:paraId="6EE9B8A1">
      <w:pPr>
        <w:ind w:firstLine="480"/>
        <w:rPr>
          <w:color w:val="000000" w:themeColor="text1"/>
          <w14:textFill>
            <w14:solidFill>
              <w14:schemeClr w14:val="tx1"/>
            </w14:solidFill>
          </w14:textFill>
        </w:rPr>
      </w:pPr>
      <w:r>
        <w:rPr>
          <w:color w:val="000000" w:themeColor="text1"/>
          <w14:textFill>
            <w14:solidFill>
              <w14:schemeClr w14:val="tx1"/>
            </w14:solidFill>
          </w14:textFill>
        </w:rPr>
        <w:t>2、与规划环评及审查意见的相符性分析</w:t>
      </w:r>
    </w:p>
    <w:p w14:paraId="3FE61C9D">
      <w:pPr>
        <w:ind w:firstLine="480"/>
        <w:rPr>
          <w:color w:val="000000" w:themeColor="text1"/>
          <w:szCs w:val="21"/>
          <w14:textFill>
            <w14:solidFill>
              <w14:schemeClr w14:val="tx1"/>
            </w14:solidFill>
          </w14:textFill>
        </w:rPr>
      </w:pPr>
      <w:r>
        <w:rPr>
          <w:color w:val="000000" w:themeColor="text1"/>
          <w14:textFill>
            <w14:solidFill>
              <w14:schemeClr w14:val="tx1"/>
            </w14:solidFill>
          </w14:textFill>
        </w:rPr>
        <w:t>对照</w:t>
      </w:r>
      <w:r>
        <w:rPr>
          <w:color w:val="000000" w:themeColor="text1"/>
          <w:lang w:bidi="ar"/>
          <w14:textFill>
            <w14:solidFill>
              <w14:schemeClr w14:val="tx1"/>
            </w14:solidFill>
          </w14:textFill>
        </w:rPr>
        <w:t>《广西钦州石化产业园总体发展规划</w:t>
      </w:r>
      <w:r>
        <w:rPr>
          <w:color w:val="000000" w:themeColor="text1"/>
          <w14:textFill>
            <w14:solidFill>
              <w14:schemeClr w14:val="tx1"/>
            </w14:solidFill>
          </w14:textFill>
        </w:rPr>
        <w:t>（2020-2035）</w:t>
      </w:r>
      <w:r>
        <w:rPr>
          <w:color w:val="000000" w:themeColor="text1"/>
          <w:lang w:bidi="ar"/>
          <w14:textFill>
            <w14:solidFill>
              <w14:schemeClr w14:val="tx1"/>
            </w14:solidFill>
          </w14:textFill>
        </w:rPr>
        <w:t>环境影响报告书》及其审查意见，项目属于石化园区配套基础服务设施，选址符合规划功能分区要求，符合环境准入条件“建设项目应为石化产业园区产业链范围内的项目，选址应符合石化产业园区规划的功能分区”；项目有机废气</w:t>
      </w:r>
      <w:r>
        <w:rPr>
          <w:color w:val="000000" w:themeColor="text1"/>
          <w:szCs w:val="21"/>
          <w:lang w:bidi="ar"/>
          <w14:textFill>
            <w14:solidFill>
              <w14:schemeClr w14:val="tx1"/>
            </w14:solidFill>
          </w14:textFill>
        </w:rPr>
        <w:t>均得到妥善处置，确保达标排放，生产废水满足进水水质标准后依托恒逸污水处理厂处理，符合环境准入条件“建设项目污染防治和环境影响方面的准入要求”，“挥发性有机物（VOCs）的治理应纳入企业的环保措施。”</w:t>
      </w:r>
      <w:r>
        <w:rPr>
          <w:color w:val="000000" w:themeColor="text1"/>
          <w:lang w:bidi="ar"/>
          <w14:textFill>
            <w14:solidFill>
              <w14:schemeClr w14:val="tx1"/>
            </w14:solidFill>
          </w14:textFill>
        </w:rPr>
        <w:t>项目为园区配套项目，不属于规划环评负面清单中所列的各类生产工艺。</w:t>
      </w:r>
    </w:p>
    <w:p w14:paraId="63F25770">
      <w:pPr>
        <w:ind w:firstLine="480"/>
        <w:rPr>
          <w:color w:val="000000" w:themeColor="text1"/>
          <w:lang w:bidi="ar"/>
          <w14:textFill>
            <w14:solidFill>
              <w14:schemeClr w14:val="tx1"/>
            </w14:solidFill>
          </w14:textFill>
        </w:rPr>
      </w:pPr>
      <w:r>
        <w:rPr>
          <w:color w:val="000000" w:themeColor="text1"/>
          <w:lang w:bidi="ar"/>
          <w14:textFill>
            <w14:solidFill>
              <w14:schemeClr w14:val="tx1"/>
            </w14:solidFill>
          </w14:textFill>
        </w:rPr>
        <w:t>本项目与规划环评审查意见相符性分析见下表：</w:t>
      </w:r>
    </w:p>
    <w:p w14:paraId="290C0B08">
      <w:pPr>
        <w:pStyle w:val="7"/>
        <w:rPr>
          <w:color w:val="000000" w:themeColor="text1"/>
          <w14:textFill>
            <w14:solidFill>
              <w14:schemeClr w14:val="tx1"/>
            </w14:solidFill>
          </w14:textFill>
        </w:rPr>
      </w:pPr>
      <w:r>
        <w:rPr>
          <w:color w:val="000000" w:themeColor="text1"/>
          <w14:textFill>
            <w14:solidFill>
              <w14:schemeClr w14:val="tx1"/>
            </w14:solidFill>
          </w14:textFill>
        </w:rPr>
        <w:t>与规划环评审查意见相符性分析</w:t>
      </w:r>
    </w:p>
    <w:tbl>
      <w:tblPr>
        <w:tblStyle w:val="43"/>
        <w:tblW w:w="82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026"/>
        <w:gridCol w:w="2250"/>
      </w:tblGrid>
      <w:tr w14:paraId="2697CF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026" w:type="dxa"/>
            <w:tcMar>
              <w:left w:w="28" w:type="dxa"/>
              <w:right w:w="28" w:type="dxa"/>
            </w:tcMar>
            <w:vAlign w:val="center"/>
          </w:tcPr>
          <w:p w14:paraId="2D53E2E2">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lang w:bidi="ar"/>
                <w14:textFill>
                  <w14:solidFill>
                    <w14:schemeClr w14:val="tx1"/>
                  </w14:solidFill>
                </w14:textFill>
              </w:rPr>
              <w:t>规划环评审查意见</w:t>
            </w:r>
          </w:p>
        </w:tc>
        <w:tc>
          <w:tcPr>
            <w:tcW w:w="2250" w:type="dxa"/>
            <w:tcMar>
              <w:left w:w="28" w:type="dxa"/>
              <w:right w:w="28" w:type="dxa"/>
            </w:tcMar>
            <w:vAlign w:val="center"/>
          </w:tcPr>
          <w:p w14:paraId="00B841E7">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lang w:bidi="ar"/>
                <w14:textFill>
                  <w14:solidFill>
                    <w14:schemeClr w14:val="tx1"/>
                  </w14:solidFill>
                </w14:textFill>
              </w:rPr>
              <w:t>相符性分析</w:t>
            </w:r>
          </w:p>
        </w:tc>
      </w:tr>
      <w:tr w14:paraId="46593D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026" w:type="dxa"/>
            <w:tcMar>
              <w:left w:w="28" w:type="dxa"/>
              <w:right w:w="28" w:type="dxa"/>
            </w:tcMar>
            <w:vAlign w:val="center"/>
          </w:tcPr>
          <w:p w14:paraId="2FA42324">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1. 全面贯彻习近平生态文明思想的绿色发展观，坚持“环保优先、绿色发展”理念，建立健全石化基地循环发展、清洁生产的指标体系并明确落实机制和保障措施。切实维护石化基地和周边区域生态环境质量，坚持高起点规划、高标准建设、高水平管理。钦州石化产业园区要加快转变经济发展方式，以资源环境承载力为基础，促进经济社会与资源环境协调发展，积极探索代价小、效益好、排放低、可持续的环境保护新道路，把科学开发与保护区域生态环境紧密结合起来，努力实现开发与保护双赢。</w:t>
            </w:r>
          </w:p>
        </w:tc>
        <w:tc>
          <w:tcPr>
            <w:tcW w:w="2250" w:type="dxa"/>
            <w:tcMar>
              <w:left w:w="28" w:type="dxa"/>
              <w:right w:w="28" w:type="dxa"/>
            </w:tcMar>
            <w:vAlign w:val="center"/>
          </w:tcPr>
          <w:p w14:paraId="2046E739">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项目属于石化园区配套项目，不属于高耗能项目，产生的污染物均采取相应处理措施得到妥善处置，不会对区域资源环境承载力造成大的不利影响。</w:t>
            </w:r>
            <w:r>
              <w:rPr>
                <w:b/>
                <w:bCs/>
                <w:color w:val="000000" w:themeColor="text1"/>
                <w:sz w:val="21"/>
                <w:szCs w:val="21"/>
                <w:lang w:bidi="ar"/>
                <w14:textFill>
                  <w14:solidFill>
                    <w14:schemeClr w14:val="tx1"/>
                  </w14:solidFill>
                </w14:textFill>
              </w:rPr>
              <w:t>符合。</w:t>
            </w:r>
          </w:p>
        </w:tc>
      </w:tr>
      <w:tr w14:paraId="4B8120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026" w:type="dxa"/>
            <w:tcMar>
              <w:left w:w="28" w:type="dxa"/>
              <w:right w:w="28" w:type="dxa"/>
            </w:tcMar>
            <w:vAlign w:val="center"/>
          </w:tcPr>
          <w:p w14:paraId="477D827C">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2. 主动对接生态保护红线划定和国土空间规划编制，将生态保护红线作为保障和维护区域生态安全的底线，依法依规实施强制性保护。严格保护广西茅尾海红树林自然保护区，滨海湿地、金窝水库饮用水源一级保护区等生态保护区，不符合自然保护区和环境功能区划等相关管控要求的各类开发建设活动不得纳入《规划》。</w:t>
            </w:r>
          </w:p>
        </w:tc>
        <w:tc>
          <w:tcPr>
            <w:tcW w:w="2250" w:type="dxa"/>
            <w:tcMar>
              <w:left w:w="28" w:type="dxa"/>
              <w:right w:w="28" w:type="dxa"/>
            </w:tcMar>
            <w:vAlign w:val="center"/>
          </w:tcPr>
          <w:p w14:paraId="36352E6D">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项目位于划定的石化园区内，符合国土空间规划要求；项目占地不涉及意见中提及的生态保护区。</w:t>
            </w:r>
            <w:r>
              <w:rPr>
                <w:b/>
                <w:bCs/>
                <w:color w:val="000000" w:themeColor="text1"/>
                <w:sz w:val="21"/>
                <w:szCs w:val="21"/>
                <w:lang w:bidi="ar"/>
                <w14:textFill>
                  <w14:solidFill>
                    <w14:schemeClr w14:val="tx1"/>
                  </w14:solidFill>
                </w14:textFill>
              </w:rPr>
              <w:t>符合。</w:t>
            </w:r>
          </w:p>
        </w:tc>
      </w:tr>
      <w:tr w14:paraId="266275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026" w:type="dxa"/>
            <w:tcMar>
              <w:left w:w="28" w:type="dxa"/>
              <w:right w:w="28" w:type="dxa"/>
            </w:tcMar>
            <w:vAlign w:val="center"/>
          </w:tcPr>
          <w:p w14:paraId="2D84F75D">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3. 加快现有排污口建设及污水处理厂提标改造，同时随着规划的实施开展 3 个排污口外迁排海相关技术论证。鉴于钦州港港口规划及规划实施可能对海域水文动力条件及近岸海域排污区水环境容量造成影响，应尽快开展海域排污区论证，掌握海域水环境资源，明确园区生产和生活废水排污方案，近期规划依托整改后的 A1、 A2 排口，中远期排污口应重新规划。</w:t>
            </w:r>
          </w:p>
        </w:tc>
        <w:tc>
          <w:tcPr>
            <w:tcW w:w="2250" w:type="dxa"/>
            <w:tcMar>
              <w:left w:w="28" w:type="dxa"/>
              <w:right w:w="28" w:type="dxa"/>
            </w:tcMar>
            <w:vAlign w:val="center"/>
          </w:tcPr>
          <w:p w14:paraId="7F8649FC">
            <w:pPr>
              <w:spacing w:line="240" w:lineRule="exact"/>
              <w:ind w:firstLine="0" w:firstLineChars="0"/>
              <w:rPr>
                <w:color w:val="000000" w:themeColor="text1"/>
                <w:sz w:val="21"/>
                <w:szCs w:val="21"/>
                <w14:textFill>
                  <w14:solidFill>
                    <w14:schemeClr w14:val="tx1"/>
                  </w14:solidFill>
                </w14:textFill>
              </w:rPr>
            </w:pPr>
            <w:r>
              <w:rPr>
                <w:rFonts w:hint="eastAsia"/>
                <w:color w:val="000000" w:themeColor="text1"/>
                <w:sz w:val="21"/>
                <w:szCs w:val="21"/>
                <w:lang w:bidi="ar"/>
                <w14:textFill>
                  <w14:solidFill>
                    <w14:schemeClr w14:val="tx1"/>
                  </w14:solidFill>
                </w14:textFill>
              </w:rPr>
              <w:t>园</w:t>
            </w:r>
            <w:r>
              <w:rPr>
                <w:color w:val="000000" w:themeColor="text1"/>
                <w:sz w:val="21"/>
                <w:szCs w:val="21"/>
                <w:lang w:bidi="ar"/>
                <w14:textFill>
                  <w14:solidFill>
                    <w14:schemeClr w14:val="tx1"/>
                  </w14:solidFill>
                </w14:textFill>
              </w:rPr>
              <w:t>区集中考虑，本项目不涉及。</w:t>
            </w:r>
            <w:r>
              <w:rPr>
                <w:b/>
                <w:bCs/>
                <w:color w:val="000000" w:themeColor="text1"/>
                <w:sz w:val="21"/>
                <w:szCs w:val="21"/>
                <w:lang w:bidi="ar"/>
                <w14:textFill>
                  <w14:solidFill>
                    <w14:schemeClr w14:val="tx1"/>
                  </w14:solidFill>
                </w14:textFill>
              </w:rPr>
              <w:t>符合。</w:t>
            </w:r>
          </w:p>
        </w:tc>
      </w:tr>
      <w:tr w14:paraId="5B60FB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0" w:hRule="atLeast"/>
        </w:trPr>
        <w:tc>
          <w:tcPr>
            <w:tcW w:w="6026" w:type="dxa"/>
            <w:tcMar>
              <w:left w:w="28" w:type="dxa"/>
              <w:right w:w="28" w:type="dxa"/>
            </w:tcMar>
            <w:vAlign w:val="center"/>
          </w:tcPr>
          <w:p w14:paraId="2F622743">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4. 严格落实规划空间用地方案，优化空间开发格局，尽快完善园区搬迁规划及实施。石化园区规划新增鹿耳片区，规划范围涉及鸡墩头村、老鸦坑、大坡顶、铁藤山等居民点。部分规划项目装置在建设时必须与居民区之间留有足够的安全及环境防护距离，为保证园区产业的健康可持续发展，规划应合理制订搬迁计划，实施时序，并按时落实，消除这些环境敏感点的环境风险。</w:t>
            </w:r>
          </w:p>
        </w:tc>
        <w:tc>
          <w:tcPr>
            <w:tcW w:w="2250" w:type="dxa"/>
            <w:tcMar>
              <w:left w:w="28" w:type="dxa"/>
              <w:right w:w="28" w:type="dxa"/>
            </w:tcMar>
            <w:vAlign w:val="center"/>
          </w:tcPr>
          <w:p w14:paraId="3356589D">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园区集中考虑，本项目不涉及。</w:t>
            </w:r>
            <w:r>
              <w:rPr>
                <w:b/>
                <w:bCs/>
                <w:color w:val="000000" w:themeColor="text1"/>
                <w:sz w:val="21"/>
                <w:szCs w:val="21"/>
                <w:lang w:bidi="ar"/>
                <w14:textFill>
                  <w14:solidFill>
                    <w14:schemeClr w14:val="tx1"/>
                  </w14:solidFill>
                </w14:textFill>
              </w:rPr>
              <w:t>符合。</w:t>
            </w:r>
          </w:p>
        </w:tc>
      </w:tr>
      <w:tr w14:paraId="3B0358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026" w:type="dxa"/>
            <w:tcMar>
              <w:left w:w="28" w:type="dxa"/>
              <w:right w:w="28" w:type="dxa"/>
            </w:tcMar>
            <w:vAlign w:val="center"/>
          </w:tcPr>
          <w:p w14:paraId="32ED3F26">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5. 进一步优化《规划》布局、用地和产业发展规模、建设时序和产品方案等，严格控制近期发展的炼油以及石化下游产业规模。加强对石化产业园的环境风险管理，实行园区封闭式管理；完善区域应急方案，制定事故应急疏散点：建议石化区内主要产业区及相关风险源用地外扩 1 公里范围作为工业区环境风险防控区域。加强环境风险防范及环境风险应急体系建设。落实环境风险防范的主体责任，强化环境风险防范体系建设，形成与各规划区规划项目环境风险相匹配的应急能力， 制定环境污染事故应急预案，应急预案应与当地政府和相关部门的应急预案相衔接，配备足够的应急处置设施和器材，加强区域应急物资调配，健全规划园区环境风险防范区域联动机制，有效应对突发环境事件。建立健全“装置－企业－园区”防控体系，在各企业设置环境风险事故应急池的基础上，分片区设置足够容积的园区级公共事故应急池，并形成互相联通系统；优化布局并保持与周边居住区、红树林保护区、滨海湿地等重要敏感目标合理距离，预防和减缓不利环境影响和风险。</w:t>
            </w:r>
          </w:p>
        </w:tc>
        <w:tc>
          <w:tcPr>
            <w:tcW w:w="2250" w:type="dxa"/>
            <w:tcMar>
              <w:left w:w="28" w:type="dxa"/>
              <w:right w:w="28" w:type="dxa"/>
            </w:tcMar>
            <w:vAlign w:val="center"/>
          </w:tcPr>
          <w:p w14:paraId="71F91C83">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项目运营后按要求开展风险评估，制定突发环境应急预案，健全企业应急制度管理，并明确需要与园区及钦州市应急预案衔接。</w:t>
            </w:r>
            <w:r>
              <w:rPr>
                <w:b/>
                <w:bCs/>
                <w:color w:val="000000" w:themeColor="text1"/>
                <w:sz w:val="21"/>
                <w:szCs w:val="21"/>
                <w:lang w:bidi="ar"/>
                <w14:textFill>
                  <w14:solidFill>
                    <w14:schemeClr w14:val="tx1"/>
                  </w14:solidFill>
                </w14:textFill>
              </w:rPr>
              <w:t>符合。</w:t>
            </w:r>
          </w:p>
        </w:tc>
      </w:tr>
      <w:tr w14:paraId="49C8AD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026" w:type="dxa"/>
            <w:tcMar>
              <w:left w:w="28" w:type="dxa"/>
              <w:right w:w="28" w:type="dxa"/>
            </w:tcMar>
            <w:vAlign w:val="center"/>
          </w:tcPr>
          <w:p w14:paraId="5A331ED5">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6. 落实污染防治措施，针对规划项目废气、废（污）水、固体废物、危险化学品仓储及</w:t>
            </w:r>
            <w:r>
              <w:rPr>
                <w:rFonts w:hint="eastAsia"/>
                <w:color w:val="000000" w:themeColor="text1"/>
                <w:sz w:val="21"/>
                <w:szCs w:val="21"/>
                <w:lang w:eastAsia="zh-CN" w:bidi="ar"/>
                <w14:textFill>
                  <w14:solidFill>
                    <w14:schemeClr w14:val="tx1"/>
                  </w14:solidFill>
                </w14:textFill>
              </w:rPr>
              <w:t>运输</w:t>
            </w:r>
            <w:r>
              <w:rPr>
                <w:color w:val="000000" w:themeColor="text1"/>
                <w:sz w:val="21"/>
                <w:szCs w:val="21"/>
                <w:lang w:bidi="ar"/>
                <w14:textFill>
                  <w14:solidFill>
                    <w14:schemeClr w14:val="tx1"/>
                  </w14:solidFill>
                </w14:textFill>
              </w:rPr>
              <w:t>等，制定明确，有效的全过程监管方案。优先采用有利于生态环境保护的集疏运方式，强化扬尘、挥发性有机物等无组织排放污染控制和治理，严格各项污染防治措施，完善化学仓储、化学品输送管廊、危险废物（处置中心）规划，依法依规妥善处置固体废物。落实区域总量削减、环境质量改善方案，严格污染物总量控制要求和石化基地环境准入，引进项目的生产工艺、设备、污染治理技术，清洁生产水平等应达到同行业国际先进水平。严格控制石油类、氨氮、总磷等污染物排放浓度及排放量，采取有效措施减少挥发性有机化合物（VOCs）、氮氧化物（NOx）等污染物排放量。参照国际先进的 VOCs 排放控制体系，提升管理和控制水平。在生产、运输、储存各个环节，加强污染物排放控制和管理，全面提升环境保护管理水平。</w:t>
            </w:r>
          </w:p>
        </w:tc>
        <w:tc>
          <w:tcPr>
            <w:tcW w:w="2250" w:type="dxa"/>
            <w:tcMar>
              <w:left w:w="28" w:type="dxa"/>
              <w:right w:w="28" w:type="dxa"/>
            </w:tcMar>
            <w:vAlign w:val="center"/>
          </w:tcPr>
          <w:p w14:paraId="10FF50A7">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项目</w:t>
            </w:r>
            <w:r>
              <w:rPr>
                <w:rFonts w:hint="eastAsia"/>
                <w:color w:val="000000" w:themeColor="text1"/>
                <w:sz w:val="21"/>
                <w:szCs w:val="21"/>
                <w:lang w:bidi="ar"/>
                <w14:textFill>
                  <w14:solidFill>
                    <w14:schemeClr w14:val="tx1"/>
                  </w14:solidFill>
                </w14:textFill>
              </w:rPr>
              <w:t>依托广西恒逸新材料有限公司年产120万吨己内酰胺—聚酰胺产业一体化及配套工程项目进行处理，工艺采用“RTO蓄热式焚烧炉”</w:t>
            </w:r>
            <w:r>
              <w:rPr>
                <w:color w:val="000000" w:themeColor="text1"/>
                <w:sz w:val="21"/>
                <w:szCs w:val="21"/>
                <w:lang w:bidi="ar"/>
                <w14:textFill>
                  <w14:solidFill>
                    <w14:schemeClr w14:val="tx1"/>
                  </w14:solidFill>
                </w14:textFill>
              </w:rPr>
              <w:t>，确保废气达标排放；项目设置一处危险废物暂存间，对项目产生的危险废物进行妥善贮存，定期由有资质单位清运处置。</w:t>
            </w:r>
            <w:r>
              <w:rPr>
                <w:b/>
                <w:bCs/>
                <w:color w:val="000000" w:themeColor="text1"/>
                <w:sz w:val="21"/>
                <w:szCs w:val="21"/>
                <w:lang w:bidi="ar"/>
                <w14:textFill>
                  <w14:solidFill>
                    <w14:schemeClr w14:val="tx1"/>
                  </w14:solidFill>
                </w14:textFill>
              </w:rPr>
              <w:t>符合。</w:t>
            </w:r>
          </w:p>
        </w:tc>
      </w:tr>
      <w:tr w14:paraId="431981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026" w:type="dxa"/>
            <w:tcMar>
              <w:left w:w="28" w:type="dxa"/>
              <w:right w:w="28" w:type="dxa"/>
            </w:tcMar>
            <w:vAlign w:val="center"/>
          </w:tcPr>
          <w:p w14:paraId="4A2DD68C">
            <w:pPr>
              <w:widowControl/>
              <w:spacing w:line="240" w:lineRule="exact"/>
              <w:ind w:firstLine="42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7. 建立涵盖水、生态、大气、湿地生态系统、珍稀保护物种、重要生境、渔业资源等环境敏感目标的常态化监测体系，对石化基地及周边主要环境要素中</w:t>
            </w:r>
            <w:r>
              <w:rPr>
                <w:rFonts w:eastAsia="FZFSK--GBK1-0"/>
                <w:color w:val="000000" w:themeColor="text1"/>
                <w:sz w:val="21"/>
                <w:szCs w:val="21"/>
                <w:lang w:bidi="ar"/>
                <w14:textFill>
                  <w14:solidFill>
                    <w14:schemeClr w14:val="tx1"/>
                  </w14:solidFill>
                </w14:textFill>
              </w:rPr>
              <w:t xml:space="preserve"> VOCs</w:t>
            </w:r>
            <w:r>
              <w:rPr>
                <w:color w:val="000000" w:themeColor="text1"/>
                <w:sz w:val="21"/>
                <w:szCs w:val="21"/>
                <w:lang w:bidi="ar"/>
                <w14:textFill>
                  <w14:solidFill>
                    <w14:schemeClr w14:val="tx1"/>
                  </w14:solidFill>
                </w14:textFill>
              </w:rPr>
              <w:t>、半挥发性有机物（</w:t>
            </w:r>
            <w:r>
              <w:rPr>
                <w:rFonts w:eastAsia="FZFSK--GBK1-0"/>
                <w:color w:val="000000" w:themeColor="text1"/>
                <w:sz w:val="21"/>
                <w:szCs w:val="21"/>
                <w:lang w:bidi="ar"/>
                <w14:textFill>
                  <w14:solidFill>
                    <w14:schemeClr w14:val="tx1"/>
                  </w14:solidFill>
                </w14:textFill>
              </w:rPr>
              <w:t>SVOC</w:t>
            </w:r>
            <w:r>
              <w:rPr>
                <w:color w:val="000000" w:themeColor="text1"/>
                <w:sz w:val="21"/>
                <w:szCs w:val="21"/>
                <w:lang w:bidi="ar"/>
                <w14:textFill>
                  <w14:solidFill>
                    <w14:schemeClr w14:val="tx1"/>
                  </w14:solidFill>
                </w14:textFill>
              </w:rPr>
              <w:t>）等石化特征污染物，排污口附近海域的海水水质、沉积物、海洋生物、渔业资源和鱼类“三场”等进行定期监测和评估，并根据监测评估结果适时优化调整《规划》及生态环境保护措施和运营管理；明确投资、实施时限、责任主体等。</w:t>
            </w:r>
          </w:p>
        </w:tc>
        <w:tc>
          <w:tcPr>
            <w:tcW w:w="2250" w:type="dxa"/>
            <w:tcMar>
              <w:left w:w="28" w:type="dxa"/>
              <w:right w:w="28" w:type="dxa"/>
            </w:tcMar>
            <w:vAlign w:val="center"/>
          </w:tcPr>
          <w:p w14:paraId="55C62E28">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园区集中考虑，本项目不涉及。</w:t>
            </w:r>
            <w:r>
              <w:rPr>
                <w:b/>
                <w:bCs/>
                <w:color w:val="000000" w:themeColor="text1"/>
                <w:sz w:val="21"/>
                <w:szCs w:val="21"/>
                <w:lang w:bidi="ar"/>
                <w14:textFill>
                  <w14:solidFill>
                    <w14:schemeClr w14:val="tx1"/>
                  </w14:solidFill>
                </w14:textFill>
              </w:rPr>
              <w:t>符合。</w:t>
            </w:r>
          </w:p>
        </w:tc>
      </w:tr>
      <w:tr w14:paraId="360C19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026" w:type="dxa"/>
            <w:tcMar>
              <w:left w:w="28" w:type="dxa"/>
              <w:right w:w="28" w:type="dxa"/>
            </w:tcMar>
            <w:vAlign w:val="center"/>
          </w:tcPr>
          <w:p w14:paraId="5D8BC817">
            <w:pPr>
              <w:widowControl/>
              <w:spacing w:line="240" w:lineRule="exact"/>
              <w:ind w:firstLine="42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8. 应进一步延伸园区下游产业链，积极引入补链产业和静脉产业，拓展和优化石化园区行业内部以及行业间的产品代谢链和废物代谢链，严格控制不属于产业链项目（公用服务项目除外）的引入：应积极引进和扩大区内危险废物处理处置项目，优先引入单位产品能耗低、附加值较高的精细化工项目。建设钦州石化产业园区产品、副产品、固体废物等信息交流平台，整合钦州石化产业园区产业链上、中、下游资源需求，鼓励企业间加强各种代谢废物（如废气中二氧化硫、二氧化碳、污泥等）、蒸汽、中水、产品、副产品等的回收利用和梯级利用，</w:t>
            </w:r>
            <w:r>
              <w:rPr>
                <w:rFonts w:eastAsia="FZFSK--GBK1-0"/>
                <w:color w:val="000000" w:themeColor="text1"/>
                <w:sz w:val="21"/>
                <w:szCs w:val="21"/>
                <w:lang w:bidi="ar"/>
                <w14:textFill>
                  <w14:solidFill>
                    <w14:schemeClr w14:val="tx1"/>
                  </w14:solidFill>
                </w14:textFill>
              </w:rPr>
              <w:t xml:space="preserve"> </w:t>
            </w:r>
            <w:r>
              <w:rPr>
                <w:color w:val="000000" w:themeColor="text1"/>
                <w:sz w:val="21"/>
                <w:szCs w:val="21"/>
                <w:lang w:bidi="ar"/>
                <w14:textFill>
                  <w14:solidFill>
                    <w14:schemeClr w14:val="tx1"/>
                  </w14:solidFill>
                </w14:textFill>
              </w:rPr>
              <w:t>充分发挥石化园区一体化优势，实现园区上游物料与园区下游需求充分对接，构建石化园区绿色循环经济产业链。优化园区</w:t>
            </w:r>
            <w:r>
              <w:rPr>
                <w:rFonts w:hint="eastAsia"/>
                <w:color w:val="000000" w:themeColor="text1"/>
                <w:sz w:val="21"/>
                <w:szCs w:val="21"/>
                <w:lang w:eastAsia="zh-CN" w:bidi="ar"/>
                <w14:textFill>
                  <w14:solidFill>
                    <w14:schemeClr w14:val="tx1"/>
                  </w14:solidFill>
                </w14:textFill>
              </w:rPr>
              <w:t>环境基础设施建设</w:t>
            </w:r>
            <w:r>
              <w:rPr>
                <w:color w:val="000000" w:themeColor="text1"/>
                <w:sz w:val="21"/>
                <w:szCs w:val="21"/>
                <w:lang w:bidi="ar"/>
                <w14:textFill>
                  <w14:solidFill>
                    <w14:schemeClr w14:val="tx1"/>
                  </w14:solidFill>
                </w14:textFill>
              </w:rPr>
              <w:t>。</w:t>
            </w:r>
          </w:p>
        </w:tc>
        <w:tc>
          <w:tcPr>
            <w:tcW w:w="2250" w:type="dxa"/>
            <w:tcMar>
              <w:left w:w="28" w:type="dxa"/>
              <w:right w:w="28" w:type="dxa"/>
            </w:tcMar>
            <w:vAlign w:val="center"/>
          </w:tcPr>
          <w:p w14:paraId="02C7EE32">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项目为园区配套服务项目。</w:t>
            </w:r>
            <w:r>
              <w:rPr>
                <w:b/>
                <w:bCs/>
                <w:color w:val="000000" w:themeColor="text1"/>
                <w:sz w:val="21"/>
                <w:szCs w:val="21"/>
                <w:lang w:bidi="ar"/>
                <w14:textFill>
                  <w14:solidFill>
                    <w14:schemeClr w14:val="tx1"/>
                  </w14:solidFill>
                </w14:textFill>
              </w:rPr>
              <w:t>符合。</w:t>
            </w:r>
          </w:p>
        </w:tc>
      </w:tr>
      <w:tr w14:paraId="701AE5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026" w:type="dxa"/>
            <w:tcMar>
              <w:left w:w="28" w:type="dxa"/>
              <w:right w:w="28" w:type="dxa"/>
            </w:tcMar>
            <w:vAlign w:val="center"/>
          </w:tcPr>
          <w:p w14:paraId="00494408">
            <w:pPr>
              <w:widowControl/>
              <w:spacing w:line="240" w:lineRule="exact"/>
              <w:ind w:firstLine="42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9. 按照“以人为本”的原则，合理布局项目，对于防护带应做到用地性质不调整、不开发占用、不蚕食用地。建议钦州市及自贸区钦州港片区层面，进一步优化自贸区钦州港片区中心区、居住文教区的范围和规模，合理调整中心区的布局及未来人口居住区发展方向，限制常住人口规模。进一步优化园区产业布局和开发规模，规划新增的鹿耳片区与中港区居住生活区相连，应尽量避免鹿耳片区大气污染物高排放企业的进驻，并预留环境防护距离。</w:t>
            </w:r>
          </w:p>
        </w:tc>
        <w:tc>
          <w:tcPr>
            <w:tcW w:w="2250" w:type="dxa"/>
            <w:tcMar>
              <w:left w:w="28" w:type="dxa"/>
              <w:right w:w="28" w:type="dxa"/>
            </w:tcMar>
            <w:vAlign w:val="center"/>
          </w:tcPr>
          <w:p w14:paraId="40E71ED1">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园区集中考虑，本项目周边规划为石化产业园用地，园区搬迁计划落实实施后，周边无居民区分布。</w:t>
            </w:r>
            <w:r>
              <w:rPr>
                <w:b/>
                <w:bCs/>
                <w:color w:val="000000" w:themeColor="text1"/>
                <w:sz w:val="21"/>
                <w:szCs w:val="21"/>
                <w:lang w:bidi="ar"/>
                <w14:textFill>
                  <w14:solidFill>
                    <w14:schemeClr w14:val="tx1"/>
                  </w14:solidFill>
                </w14:textFill>
              </w:rPr>
              <w:t>符合。</w:t>
            </w:r>
          </w:p>
        </w:tc>
      </w:tr>
      <w:tr w14:paraId="05340C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026" w:type="dxa"/>
            <w:tcMar>
              <w:left w:w="28" w:type="dxa"/>
              <w:right w:w="28" w:type="dxa"/>
            </w:tcMar>
            <w:vAlign w:val="center"/>
          </w:tcPr>
          <w:p w14:paraId="7B84300B">
            <w:pPr>
              <w:widowControl/>
              <w:spacing w:line="240" w:lineRule="exact"/>
              <w:ind w:firstLine="42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10. 三墩片区规划填海范围较大，并拟布置大型炼化项目，其周边存在三娘湾旅游区、北部湾二长棘鯛长毛对虾国家级种质资源保护区、中华白海豚核心活动区等生态敏感目标。建议规划实施过程中，应按生态优先、集约用地的原则，着力于进行功能布局优化，在已完成围填海的基础上进行集约利用现有陆域和岸线。未来中、远期规模经跟踪评价进一步论证后实施，深挖现有可利用土地资源的潜力，落实《国务院关于加强滨海湿地保护严格管控围填海的通知》精神，严格控制填海造地规模，并在围填海工作开展之前需对围填海的必要性、围填海生态环境影响以及对中华白海豚生态影响等进行充分论证评估，围填海手续完备的前提下，方可开展填海建设。</w:t>
            </w:r>
          </w:p>
        </w:tc>
        <w:tc>
          <w:tcPr>
            <w:tcW w:w="2250" w:type="dxa"/>
            <w:tcMar>
              <w:left w:w="28" w:type="dxa"/>
              <w:right w:w="28" w:type="dxa"/>
            </w:tcMar>
            <w:vAlign w:val="center"/>
          </w:tcPr>
          <w:p w14:paraId="595A4180">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本项目不涉及。</w:t>
            </w:r>
            <w:r>
              <w:rPr>
                <w:b/>
                <w:bCs/>
                <w:color w:val="000000" w:themeColor="text1"/>
                <w:sz w:val="21"/>
                <w:szCs w:val="21"/>
                <w:lang w:bidi="ar"/>
                <w14:textFill>
                  <w14:solidFill>
                    <w14:schemeClr w14:val="tx1"/>
                  </w14:solidFill>
                </w14:textFill>
              </w:rPr>
              <w:t>符合。</w:t>
            </w:r>
          </w:p>
        </w:tc>
      </w:tr>
      <w:tr w14:paraId="2F3A9F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026" w:type="dxa"/>
            <w:tcMar>
              <w:left w:w="28" w:type="dxa"/>
              <w:right w:w="28" w:type="dxa"/>
            </w:tcMar>
            <w:vAlign w:val="center"/>
          </w:tcPr>
          <w:p w14:paraId="36BD7EF3">
            <w:pPr>
              <w:widowControl/>
              <w:spacing w:line="240" w:lineRule="exact"/>
              <w:ind w:firstLine="42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11. 应进一步加强环境监管能力建设，根据功能分区、产业布局、重点项目和装置分布、特征污染物排放情况、环境敏感目标分布等，建立和完善大气、海洋、土壤、地下水等环境要素的监控体系，进行定期监测和评估，根据监测和评估结果适时优化《规划》。在生产、运输、储存各个环节，加强污染物排放控制和管理，全面提升环境保护管理水平，加强 NOx 和 VOCs 等臭氧前体物协同监控，采用国际先进的 VOCs 排放控制体系，加强重点污染物 VOCs 监测监控，加强环境信息共享，不断提升管理和控制水平。</w:t>
            </w:r>
          </w:p>
        </w:tc>
        <w:tc>
          <w:tcPr>
            <w:tcW w:w="2250" w:type="dxa"/>
            <w:tcMar>
              <w:left w:w="28" w:type="dxa"/>
              <w:right w:w="28" w:type="dxa"/>
            </w:tcMar>
            <w:vAlign w:val="center"/>
          </w:tcPr>
          <w:p w14:paraId="57959B23">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园区统一考虑区域环境质量监测，本项目针对主要污染源，制定了环境监测计划。</w:t>
            </w:r>
            <w:r>
              <w:rPr>
                <w:b/>
                <w:bCs/>
                <w:color w:val="000000" w:themeColor="text1"/>
                <w:sz w:val="21"/>
                <w:szCs w:val="21"/>
                <w:lang w:bidi="ar"/>
                <w14:textFill>
                  <w14:solidFill>
                    <w14:schemeClr w14:val="tx1"/>
                  </w14:solidFill>
                </w14:textFill>
              </w:rPr>
              <w:t>符合。</w:t>
            </w:r>
          </w:p>
        </w:tc>
      </w:tr>
      <w:tr w14:paraId="4BA4AB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026" w:type="dxa"/>
            <w:tcMar>
              <w:left w:w="28" w:type="dxa"/>
              <w:right w:w="28" w:type="dxa"/>
            </w:tcMar>
            <w:vAlign w:val="center"/>
          </w:tcPr>
          <w:p w14:paraId="174A8A94">
            <w:pPr>
              <w:widowControl/>
              <w:spacing w:line="240" w:lineRule="exact"/>
              <w:ind w:firstLine="42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12. 在《规划》实施过程中产生重大不良环境影响的，规划编制机关应当及时提出改进措施，向规划审批机关报告，并通报环境保护等有关部门；规划正式实施每五年应依法开展环境影响跟踪评价，将评价结果报告规划审批机关，并通报环境保护等有关部门；在《规划》修编时应重新编制环境影响报告书。</w:t>
            </w:r>
          </w:p>
        </w:tc>
        <w:tc>
          <w:tcPr>
            <w:tcW w:w="2250" w:type="dxa"/>
            <w:tcMar>
              <w:left w:w="28" w:type="dxa"/>
              <w:right w:w="28" w:type="dxa"/>
            </w:tcMar>
            <w:vAlign w:val="center"/>
          </w:tcPr>
          <w:p w14:paraId="2F8940B1">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项目不涉及。</w:t>
            </w:r>
            <w:r>
              <w:rPr>
                <w:b/>
                <w:bCs/>
                <w:color w:val="000000" w:themeColor="text1"/>
                <w:sz w:val="21"/>
                <w:szCs w:val="21"/>
                <w:lang w:bidi="ar"/>
                <w14:textFill>
                  <w14:solidFill>
                    <w14:schemeClr w14:val="tx1"/>
                  </w14:solidFill>
                </w14:textFill>
              </w:rPr>
              <w:t>符合。</w:t>
            </w:r>
          </w:p>
        </w:tc>
      </w:tr>
    </w:tbl>
    <w:p w14:paraId="3917FE92">
      <w:pPr>
        <w:ind w:firstLine="480"/>
        <w:rPr>
          <w:color w:val="000000" w:themeColor="text1"/>
          <w14:textFill>
            <w14:solidFill>
              <w14:schemeClr w14:val="tx1"/>
            </w14:solidFill>
          </w14:textFill>
        </w:rPr>
      </w:pPr>
      <w:r>
        <w:rPr>
          <w:color w:val="000000" w:themeColor="text1"/>
          <w:lang w:bidi="ar"/>
          <w14:textFill>
            <w14:solidFill>
              <w14:schemeClr w14:val="tx1"/>
            </w14:solidFill>
          </w14:textFill>
        </w:rPr>
        <w:t>综上所述，本项目与</w:t>
      </w:r>
      <w:r>
        <w:rPr>
          <w:color w:val="000000" w:themeColor="text1"/>
          <w14:textFill>
            <w14:solidFill>
              <w14:schemeClr w14:val="tx1"/>
            </w14:solidFill>
          </w14:textFill>
        </w:rPr>
        <w:t>《广西钦州石化产业园总体发展规划》（2020-2035）是相符的。</w:t>
      </w:r>
    </w:p>
    <w:p w14:paraId="623EA004">
      <w:pPr>
        <w:pStyle w:val="6"/>
        <w:rPr>
          <w:color w:val="000000" w:themeColor="text1"/>
          <w14:textFill>
            <w14:solidFill>
              <w14:schemeClr w14:val="tx1"/>
            </w14:solidFill>
          </w14:textFill>
        </w:rPr>
      </w:pPr>
      <w:r>
        <w:rPr>
          <w:color w:val="000000" w:themeColor="text1"/>
          <w14:textFill>
            <w14:solidFill>
              <w14:schemeClr w14:val="tx1"/>
            </w14:solidFill>
          </w14:textFill>
        </w:rPr>
        <w:t>项目建设与相关环境功能区划的相符性</w:t>
      </w:r>
    </w:p>
    <w:p w14:paraId="548613D2">
      <w:pPr>
        <w:ind w:firstLine="480"/>
        <w:rPr>
          <w:color w:val="000000" w:themeColor="text1"/>
          <w14:textFill>
            <w14:solidFill>
              <w14:schemeClr w14:val="tx1"/>
            </w14:solidFill>
          </w14:textFill>
        </w:rPr>
      </w:pPr>
      <w:r>
        <w:rPr>
          <w:color w:val="000000" w:themeColor="text1"/>
          <w14:textFill>
            <w14:solidFill>
              <w14:schemeClr w14:val="tx1"/>
            </w14:solidFill>
          </w14:textFill>
        </w:rPr>
        <w:t>（1）2012年10月10日，国务院以国函〔2012〕166号批复了《广西壮族自治区海洋功能区划（2011-2020年）》。根据《广西壮族自治区海洋功能区划（2011-2020年）》，广西海域共划分了农渔业区、港口航运区、工业与城镇建设区、矿产与能源区、旅游娱乐区、海洋保护区、特殊利用区和保留区共8个类别67个海岸基本功能区和6个类别21个近海基本功能区，</w:t>
      </w:r>
      <w:r>
        <w:rPr>
          <w:bCs/>
          <w:color w:val="000000" w:themeColor="text1"/>
          <w14:textFill>
            <w14:solidFill>
              <w14:schemeClr w14:val="tx1"/>
            </w14:solidFill>
          </w14:textFill>
        </w:rPr>
        <w:t>项目与广西海洋功能区划</w:t>
      </w:r>
      <w:r>
        <w:rPr>
          <w:color w:val="000000" w:themeColor="text1"/>
          <w14:textFill>
            <w14:solidFill>
              <w14:schemeClr w14:val="tx1"/>
            </w14:solidFill>
          </w14:textFill>
        </w:rPr>
        <w:t>（2011-2020年）</w:t>
      </w:r>
      <w:r>
        <w:rPr>
          <w:bCs/>
          <w:color w:val="000000" w:themeColor="text1"/>
          <w14:textFill>
            <w14:solidFill>
              <w14:schemeClr w14:val="tx1"/>
            </w14:solidFill>
          </w14:textFill>
        </w:rPr>
        <w:t>关系示意</w:t>
      </w:r>
      <w:r>
        <w:rPr>
          <w:color w:val="000000" w:themeColor="text1"/>
          <w14:textFill>
            <w14:solidFill>
              <w14:schemeClr w14:val="tx1"/>
            </w14:solidFill>
          </w14:textFill>
        </w:rPr>
        <w:t>见</w:t>
      </w:r>
      <w:r>
        <w:rPr>
          <w:b/>
          <w:color w:val="000000" w:themeColor="text1"/>
          <w14:textFill>
            <w14:solidFill>
              <w14:schemeClr w14:val="tx1"/>
            </w14:solidFill>
          </w14:textFill>
        </w:rPr>
        <w:t>附图7</w:t>
      </w:r>
      <w:r>
        <w:rPr>
          <w:color w:val="000000" w:themeColor="text1"/>
          <w14:textFill>
            <w14:solidFill>
              <w14:schemeClr w14:val="tx1"/>
            </w14:solidFill>
          </w14:textFill>
        </w:rPr>
        <w:t>。</w:t>
      </w:r>
    </w:p>
    <w:p w14:paraId="4A0EEEBC">
      <w:pPr>
        <w:ind w:firstLine="480"/>
        <w:rPr>
          <w:color w:val="000000" w:themeColor="text1"/>
          <w14:textFill>
            <w14:solidFill>
              <w14:schemeClr w14:val="tx1"/>
            </w14:solidFill>
          </w14:textFill>
        </w:rPr>
      </w:pPr>
      <w:r>
        <w:rPr>
          <w:color w:val="000000" w:themeColor="text1"/>
          <w14:textFill>
            <w14:solidFill>
              <w14:schemeClr w14:val="tx1"/>
            </w14:solidFill>
          </w14:textFill>
        </w:rPr>
        <w:t>根据《广西壮族自治区海洋功能区划（2011-2020年）》，本工程所在海域海洋功能为鹰岭-果子山-金鼓江港口航运区（代码A2-10），规划面积为2211m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，用海方式是允许适度改变海域自然属性，坚持集约、节约用海。</w:t>
      </w:r>
    </w:p>
    <w:p w14:paraId="5CA047A5">
      <w:pPr>
        <w:ind w:firstLine="480"/>
        <w:rPr>
          <w:color w:val="000000" w:themeColor="text1"/>
          <w14:textFill>
            <w14:solidFill>
              <w14:schemeClr w14:val="tx1"/>
            </w14:solidFill>
          </w14:textFill>
        </w:rPr>
      </w:pPr>
      <w:r>
        <w:rPr>
          <w:color w:val="000000" w:themeColor="text1"/>
          <w14:textFill>
            <w14:solidFill>
              <w14:schemeClr w14:val="tx1"/>
            </w14:solidFill>
          </w14:textFill>
        </w:rPr>
        <w:t>因此，本工程建设占用海域海洋功能符合《广西壮族自治区海洋功能区划（2011-2020年）》。</w:t>
      </w:r>
    </w:p>
    <w:p w14:paraId="5C1E4A17">
      <w:pPr>
        <w:ind w:firstLine="480"/>
        <w:rPr>
          <w:color w:val="000000" w:themeColor="text1"/>
          <w:kern w:val="0"/>
          <w:szCs w:val="23"/>
          <w14:textFill>
            <w14:solidFill>
              <w14:schemeClr w14:val="tx1"/>
            </w14:solidFill>
          </w14:textFill>
        </w:rPr>
      </w:pPr>
      <w:r>
        <w:rPr>
          <w:color w:val="000000" w:themeColor="text1"/>
          <w14:textFill>
            <w14:solidFill>
              <w14:schemeClr w14:val="tx1"/>
            </w14:solidFill>
          </w14:textFill>
        </w:rPr>
        <w:t>（2）根据《广西壮族自治区近岸海域环境功能区划调整方案》（桂环发〔2023〕9号），本工程位于钦州港大榄坪港口、工业区，编号GX055DIV。主导功能为港口、工业用海，水质保护目标为四类海水水质标准。因而，本项目用海符合该海区的海洋主导功能。</w:t>
      </w:r>
      <w:r>
        <w:rPr>
          <w:color w:val="000000" w:themeColor="text1"/>
          <w:kern w:val="0"/>
          <w:szCs w:val="23"/>
          <w14:textFill>
            <w14:solidFill>
              <w14:schemeClr w14:val="tx1"/>
            </w14:solidFill>
          </w14:textFill>
        </w:rPr>
        <w:t>项目与广西近岸海域环境功能区划调整方案关系见</w:t>
      </w:r>
      <w:r>
        <w:rPr>
          <w:b/>
          <w:color w:val="000000" w:themeColor="text1"/>
          <w:kern w:val="0"/>
          <w:szCs w:val="23"/>
          <w14:textFill>
            <w14:solidFill>
              <w14:schemeClr w14:val="tx1"/>
            </w14:solidFill>
          </w14:textFill>
        </w:rPr>
        <w:t>附图6</w:t>
      </w:r>
      <w:r>
        <w:rPr>
          <w:color w:val="000000" w:themeColor="text1"/>
          <w:kern w:val="0"/>
          <w:szCs w:val="23"/>
          <w14:textFill>
            <w14:solidFill>
              <w14:schemeClr w14:val="tx1"/>
            </w14:solidFill>
          </w14:textFill>
        </w:rPr>
        <w:t>。</w:t>
      </w:r>
    </w:p>
    <w:p w14:paraId="5A8BA362">
      <w:pPr>
        <w:pStyle w:val="6"/>
        <w:rPr>
          <w:color w:val="000000" w:themeColor="text1"/>
          <w14:textFill>
            <w14:solidFill>
              <w14:schemeClr w14:val="tx1"/>
            </w14:solidFill>
          </w14:textFill>
        </w:rPr>
      </w:pPr>
      <w:bookmarkStart w:id="476" w:name="_Toc66194169"/>
      <w:bookmarkStart w:id="477" w:name="_Toc66193970"/>
      <w:r>
        <w:rPr>
          <w:rFonts w:hint="eastAsia"/>
          <w:color w:val="000000" w:themeColor="text1"/>
          <w14:textFill>
            <w14:solidFill>
              <w14:schemeClr w14:val="tx1"/>
            </w14:solidFill>
          </w14:textFill>
        </w:rPr>
        <w:t>《钦州市生态环境分区管控动态更新成果（2023年）》</w:t>
      </w:r>
      <w:r>
        <w:rPr>
          <w:color w:val="000000" w:themeColor="text1"/>
          <w14:textFill>
            <w14:solidFill>
              <w14:schemeClr w14:val="tx1"/>
            </w14:solidFill>
          </w14:textFill>
        </w:rPr>
        <w:t>符合性分析</w:t>
      </w:r>
      <w:bookmarkEnd w:id="476"/>
      <w:bookmarkEnd w:id="477"/>
    </w:p>
    <w:p w14:paraId="5D520C08">
      <w:pPr>
        <w:ind w:firstLine="480"/>
        <w:rPr>
          <w:color w:val="000000" w:themeColor="text1"/>
          <w14:textFill>
            <w14:solidFill>
              <w14:schemeClr w14:val="tx1"/>
            </w14:solidFill>
          </w14:textFill>
        </w:rPr>
      </w:pPr>
      <w:r>
        <w:rPr>
          <w:rFonts w:ascii="宋体" w:hAnsi="宋体" w:cs="宋体"/>
          <w:color w:val="000000" w:themeColor="text1"/>
          <w14:textFill>
            <w14:solidFill>
              <w14:schemeClr w14:val="tx1"/>
            </w14:solidFill>
          </w14:textFill>
        </w:rPr>
        <w:t>根据生态环境部办公厅关于印发《2023年生态环境分区管控成果动态更新工作方案》的通知（环办环评函〔2023〕81号） 以及自治区工作要求，重点围绕“三区三线”划定成果和国家、 自治区以及钦州市重大战略规划、“十四五”环境质量、能源 资源管理目标和要求等，对钦州市生态环境分区管控成果进行 更新调整</w:t>
      </w:r>
      <w:r>
        <w:rPr>
          <w:color w:val="000000" w:themeColor="text1"/>
          <w14:textFill>
            <w14:solidFill>
              <w14:schemeClr w14:val="tx1"/>
            </w14:solidFill>
          </w14:textFill>
        </w:rPr>
        <w:t>。</w:t>
      </w:r>
    </w:p>
    <w:p w14:paraId="78A8B45B">
      <w:pPr>
        <w:ind w:firstLine="480"/>
        <w:rPr>
          <w:color w:val="000000" w:themeColor="text1"/>
          <w14:textFill>
            <w14:solidFill>
              <w14:schemeClr w14:val="tx1"/>
            </w14:solidFill>
          </w14:textFill>
        </w:rPr>
      </w:pPr>
      <w:r>
        <w:rPr>
          <w:color w:val="000000" w:themeColor="text1"/>
          <w14:textFill>
            <w14:solidFill>
              <w14:schemeClr w14:val="tx1"/>
            </w14:solidFill>
          </w14:textFill>
        </w:rPr>
        <w:t>经对照生态准入及管控要求，本项目</w:t>
      </w:r>
      <w:r>
        <w:rPr>
          <w:rFonts w:hint="eastAsia"/>
          <w:color w:val="000000" w:themeColor="text1"/>
          <w14:textFill>
            <w14:solidFill>
              <w14:schemeClr w14:val="tx1"/>
            </w14:solidFill>
          </w14:textFill>
        </w:rPr>
        <w:t>涉及2个重点管控区域</w:t>
      </w:r>
      <w:r>
        <w:rPr>
          <w:color w:val="000000" w:themeColor="text1"/>
          <w14:textFill>
            <w14:solidFill>
              <w14:schemeClr w14:val="tx1"/>
            </w14:solidFill>
          </w14:textFill>
        </w:rPr>
        <w:t>。</w:t>
      </w:r>
    </w:p>
    <w:p w14:paraId="0705A855">
      <w:pPr>
        <w:pStyle w:val="7"/>
        <w:rPr>
          <w:color w:val="000000" w:themeColor="text1"/>
          <w14:textFill>
            <w14:solidFill>
              <w14:schemeClr w14:val="tx1"/>
            </w14:solidFill>
          </w14:textFill>
        </w:rPr>
      </w:pPr>
      <w:r>
        <w:rPr>
          <w:color w:val="000000" w:themeColor="text1"/>
          <w14:textFill>
            <w14:solidFill>
              <w14:schemeClr w14:val="tx1"/>
            </w14:solidFill>
          </w14:textFill>
        </w:rPr>
        <w:t>项目与钦州市生态环境准入及管控要求清单相符性分析</w:t>
      </w:r>
    </w:p>
    <w:tbl>
      <w:tblPr>
        <w:tblStyle w:val="43"/>
        <w:tblW w:w="881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34"/>
        <w:gridCol w:w="534"/>
        <w:gridCol w:w="5400"/>
        <w:gridCol w:w="2342"/>
      </w:tblGrid>
      <w:tr w14:paraId="48DDD2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534" w:type="dxa"/>
            <w:tcMar>
              <w:left w:w="28" w:type="dxa"/>
              <w:right w:w="28" w:type="dxa"/>
            </w:tcMar>
            <w:vAlign w:val="center"/>
          </w:tcPr>
          <w:p w14:paraId="0D54E49C">
            <w:pPr>
              <w:spacing w:line="240" w:lineRule="exact"/>
              <w:ind w:firstLine="0" w:firstLineChars="0"/>
              <w:jc w:val="center"/>
              <w:rPr>
                <w:b/>
                <w:bCs/>
                <w:color w:val="000000" w:themeColor="text1"/>
                <w:sz w:val="18"/>
                <w:szCs w:val="18"/>
                <w14:textFill>
                  <w14:solidFill>
                    <w14:schemeClr w14:val="tx1"/>
                  </w14:solidFill>
                </w14:textFill>
              </w:rPr>
            </w:pPr>
          </w:p>
        </w:tc>
        <w:tc>
          <w:tcPr>
            <w:tcW w:w="534" w:type="dxa"/>
            <w:tcMar>
              <w:left w:w="28" w:type="dxa"/>
              <w:right w:w="28" w:type="dxa"/>
            </w:tcMar>
            <w:vAlign w:val="center"/>
          </w:tcPr>
          <w:p w14:paraId="636DCAA5">
            <w:pPr>
              <w:spacing w:line="240" w:lineRule="exact"/>
              <w:ind w:firstLine="0" w:firstLineChars="0"/>
              <w:jc w:val="center"/>
              <w:rPr>
                <w:b/>
                <w:bCs/>
                <w:color w:val="000000" w:themeColor="text1"/>
                <w:sz w:val="18"/>
                <w:szCs w:val="18"/>
                <w14:textFill>
                  <w14:solidFill>
                    <w14:schemeClr w14:val="tx1"/>
                  </w14:solidFill>
                </w14:textFill>
              </w:rPr>
            </w:pPr>
            <w:r>
              <w:rPr>
                <w:b/>
                <w:bCs/>
                <w:color w:val="000000" w:themeColor="text1"/>
                <w:sz w:val="18"/>
                <w:szCs w:val="18"/>
                <w14:textFill>
                  <w14:solidFill>
                    <w14:schemeClr w14:val="tx1"/>
                  </w14:solidFill>
                </w14:textFill>
              </w:rPr>
              <w:t>管控类别</w:t>
            </w:r>
          </w:p>
        </w:tc>
        <w:tc>
          <w:tcPr>
            <w:tcW w:w="5400" w:type="dxa"/>
            <w:tcMar>
              <w:left w:w="28" w:type="dxa"/>
              <w:right w:w="28" w:type="dxa"/>
            </w:tcMar>
            <w:vAlign w:val="center"/>
          </w:tcPr>
          <w:p w14:paraId="4FEE7BFA">
            <w:pPr>
              <w:spacing w:line="240" w:lineRule="exact"/>
              <w:ind w:firstLine="0" w:firstLineChars="0"/>
              <w:jc w:val="center"/>
              <w:rPr>
                <w:b/>
                <w:bCs/>
                <w:color w:val="000000" w:themeColor="text1"/>
                <w:sz w:val="18"/>
                <w:szCs w:val="18"/>
                <w14:textFill>
                  <w14:solidFill>
                    <w14:schemeClr w14:val="tx1"/>
                  </w14:solidFill>
                </w14:textFill>
              </w:rPr>
            </w:pPr>
            <w:r>
              <w:rPr>
                <w:b/>
                <w:bCs/>
                <w:color w:val="000000" w:themeColor="text1"/>
                <w:sz w:val="18"/>
                <w:szCs w:val="18"/>
                <w14:textFill>
                  <w14:solidFill>
                    <w14:schemeClr w14:val="tx1"/>
                  </w14:solidFill>
                </w14:textFill>
              </w:rPr>
              <w:t>生态环境准入及管控要求</w:t>
            </w:r>
          </w:p>
        </w:tc>
        <w:tc>
          <w:tcPr>
            <w:tcW w:w="2342" w:type="dxa"/>
            <w:tcMar>
              <w:left w:w="28" w:type="dxa"/>
              <w:right w:w="28" w:type="dxa"/>
            </w:tcMar>
            <w:vAlign w:val="center"/>
          </w:tcPr>
          <w:p w14:paraId="5BAAB123">
            <w:pPr>
              <w:spacing w:line="240" w:lineRule="exact"/>
              <w:ind w:firstLine="0" w:firstLineChars="0"/>
              <w:jc w:val="center"/>
              <w:rPr>
                <w:b/>
                <w:bCs/>
                <w:color w:val="000000" w:themeColor="text1"/>
                <w:sz w:val="18"/>
                <w:szCs w:val="18"/>
                <w14:textFill>
                  <w14:solidFill>
                    <w14:schemeClr w14:val="tx1"/>
                  </w14:solidFill>
                </w14:textFill>
              </w:rPr>
            </w:pPr>
            <w:r>
              <w:rPr>
                <w:b/>
                <w:bCs/>
                <w:color w:val="000000" w:themeColor="text1"/>
                <w:sz w:val="18"/>
                <w:szCs w:val="18"/>
                <w14:textFill>
                  <w14:solidFill>
                    <w14:schemeClr w14:val="tx1"/>
                  </w14:solidFill>
                </w14:textFill>
              </w:rPr>
              <w:t>相符性分析</w:t>
            </w:r>
          </w:p>
        </w:tc>
      </w:tr>
      <w:tr w14:paraId="2A7C31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restart"/>
            <w:tcMar>
              <w:left w:w="28" w:type="dxa"/>
              <w:right w:w="28" w:type="dxa"/>
            </w:tcMar>
            <w:vAlign w:val="center"/>
          </w:tcPr>
          <w:p w14:paraId="52B50C51">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广西钦州石化产业园重点管控单元</w:t>
            </w:r>
          </w:p>
        </w:tc>
        <w:tc>
          <w:tcPr>
            <w:tcW w:w="534" w:type="dxa"/>
            <w:vMerge w:val="restart"/>
            <w:tcMar>
              <w:left w:w="28" w:type="dxa"/>
              <w:right w:w="28" w:type="dxa"/>
            </w:tcMar>
            <w:vAlign w:val="center"/>
          </w:tcPr>
          <w:p w14:paraId="01EFA661">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空间布局约束</w:t>
            </w:r>
          </w:p>
        </w:tc>
        <w:tc>
          <w:tcPr>
            <w:tcW w:w="5400" w:type="dxa"/>
            <w:tcMar>
              <w:left w:w="28" w:type="dxa"/>
              <w:right w:w="28" w:type="dxa"/>
            </w:tcMar>
            <w:vAlign w:val="center"/>
          </w:tcPr>
          <w:p w14:paraId="0CBBF31A">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1依据《国务院关于加强滨海湿地保护严格管控围填海的通知》，除国家重大战略项目外， 原则上禁止新增围填海项目。三墩片区布局国家重大项目确需新增围填海的，须严格论证对中华白海豚等重点保护动物及其生境的影响，审慎决策，最大限度减轻不良环境影响。</w:t>
            </w:r>
          </w:p>
        </w:tc>
        <w:tc>
          <w:tcPr>
            <w:tcW w:w="2342" w:type="dxa"/>
            <w:tcMar>
              <w:left w:w="28" w:type="dxa"/>
              <w:right w:w="28" w:type="dxa"/>
            </w:tcMar>
            <w:vAlign w:val="center"/>
          </w:tcPr>
          <w:p w14:paraId="55208F29">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项目</w:t>
            </w:r>
            <w:r>
              <w:rPr>
                <w:rFonts w:hint="eastAsia"/>
                <w:color w:val="000000" w:themeColor="text1"/>
                <w:sz w:val="18"/>
                <w:szCs w:val="18"/>
                <w14:textFill>
                  <w14:solidFill>
                    <w14:schemeClr w14:val="tx1"/>
                  </w14:solidFill>
                </w14:textFill>
              </w:rPr>
              <w:t>依托现有码头</w:t>
            </w:r>
            <w:r>
              <w:rPr>
                <w:color w:val="000000" w:themeColor="text1"/>
                <w:sz w:val="18"/>
                <w:szCs w:val="18"/>
                <w14:textFill>
                  <w14:solidFill>
                    <w14:schemeClr w14:val="tx1"/>
                  </w14:solidFill>
                </w14:textFill>
              </w:rPr>
              <w:t>不涉及</w:t>
            </w:r>
            <w:r>
              <w:rPr>
                <w:rFonts w:hint="eastAsia"/>
                <w:color w:val="000000" w:themeColor="text1"/>
                <w:sz w:val="18"/>
                <w:szCs w:val="18"/>
                <w14:textFill>
                  <w14:solidFill>
                    <w14:schemeClr w14:val="tx1"/>
                  </w14:solidFill>
                </w14:textFill>
              </w:rPr>
              <w:t>围填海</w:t>
            </w:r>
            <w:r>
              <w:rPr>
                <w:color w:val="000000" w:themeColor="text1"/>
                <w:sz w:val="18"/>
                <w:szCs w:val="18"/>
                <w14:textFill>
                  <w14:solidFill>
                    <w14:schemeClr w14:val="tx1"/>
                  </w14:solidFill>
                </w14:textFill>
              </w:rPr>
              <w:t>。</w:t>
            </w:r>
            <w:r>
              <w:rPr>
                <w:b/>
                <w:bCs/>
                <w:color w:val="000000" w:themeColor="text1"/>
                <w:sz w:val="18"/>
                <w:szCs w:val="18"/>
                <w14:textFill>
                  <w14:solidFill>
                    <w14:schemeClr w14:val="tx1"/>
                  </w14:solidFill>
                </w14:textFill>
              </w:rPr>
              <w:t>符合。</w:t>
            </w:r>
          </w:p>
        </w:tc>
      </w:tr>
      <w:tr w14:paraId="25AA7C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56CAE1B1">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0820DEDB">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3CC94B3A">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2.加强行业源头管控，严格执行《广西工业产业结构调整指导目录（2021年本）》，入园项目需符合国家产业政策、行业规范、地方发展规划和绿色发展等要求；建设项目应为 石化产业园区产业链范围内的项目，选址应符合石化产业园区规划的功能分区。禁止引进不符合国家产业政策和相关行业准入条件，清洁生产水平不达标、装置单位产品能源消耗 限额不达标、污染物排放不达标的项目。</w:t>
            </w:r>
          </w:p>
        </w:tc>
        <w:tc>
          <w:tcPr>
            <w:tcW w:w="2342" w:type="dxa"/>
            <w:tcMar>
              <w:left w:w="28" w:type="dxa"/>
              <w:right w:w="28" w:type="dxa"/>
            </w:tcMar>
            <w:vAlign w:val="center"/>
          </w:tcPr>
          <w:p w14:paraId="271BC528">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项目</w:t>
            </w:r>
            <w:r>
              <w:rPr>
                <w:rFonts w:hint="eastAsia"/>
                <w:color w:val="000000" w:themeColor="text1"/>
                <w:sz w:val="18"/>
                <w:szCs w:val="18"/>
                <w14:textFill>
                  <w14:solidFill>
                    <w14:schemeClr w14:val="tx1"/>
                  </w14:solidFill>
                </w14:textFill>
              </w:rPr>
              <w:t>属于</w:t>
            </w:r>
            <w:r>
              <w:rPr>
                <w:color w:val="000000" w:themeColor="text1"/>
                <w:sz w:val="18"/>
                <w:szCs w:val="18"/>
                <w14:textFill>
                  <w14:solidFill>
                    <w14:schemeClr w14:val="tx1"/>
                  </w14:solidFill>
                </w14:textFill>
              </w:rPr>
              <w:t>《产业结构调整指导目录（20</w:t>
            </w:r>
            <w:r>
              <w:rPr>
                <w:rFonts w:hint="eastAsia"/>
                <w:color w:val="000000" w:themeColor="text1"/>
                <w:sz w:val="18"/>
                <w:szCs w:val="18"/>
                <w14:textFill>
                  <w14:solidFill>
                    <w14:schemeClr w14:val="tx1"/>
                  </w14:solidFill>
                </w14:textFill>
              </w:rPr>
              <w:t>24</w:t>
            </w:r>
            <w:r>
              <w:rPr>
                <w:color w:val="000000" w:themeColor="text1"/>
                <w:sz w:val="18"/>
                <w:szCs w:val="18"/>
                <w14:textFill>
                  <w14:solidFill>
                    <w14:schemeClr w14:val="tx1"/>
                  </w14:solidFill>
                </w14:textFill>
              </w:rPr>
              <w:t>年本）》</w:t>
            </w:r>
            <w:r>
              <w:rPr>
                <w:rFonts w:hint="eastAsia"/>
                <w:color w:val="000000" w:themeColor="text1"/>
                <w:sz w:val="18"/>
                <w:szCs w:val="18"/>
                <w14:textFill>
                  <w14:solidFill>
                    <w14:schemeClr w14:val="tx1"/>
                  </w14:solidFill>
                </w14:textFill>
              </w:rPr>
              <w:t>鼓励类项目</w:t>
            </w:r>
            <w:r>
              <w:rPr>
                <w:color w:val="000000" w:themeColor="text1"/>
                <w:sz w:val="18"/>
                <w:szCs w:val="18"/>
                <w14:textFill>
                  <w14:solidFill>
                    <w14:schemeClr w14:val="tx1"/>
                  </w14:solidFill>
                </w14:textFill>
              </w:rPr>
              <w:t>。</w:t>
            </w:r>
            <w:r>
              <w:rPr>
                <w:b/>
                <w:bCs/>
                <w:color w:val="000000" w:themeColor="text1"/>
                <w:sz w:val="18"/>
                <w:szCs w:val="18"/>
                <w14:textFill>
                  <w14:solidFill>
                    <w14:schemeClr w14:val="tx1"/>
                  </w14:solidFill>
                </w14:textFill>
              </w:rPr>
              <w:t>符合。</w:t>
            </w:r>
          </w:p>
        </w:tc>
      </w:tr>
      <w:tr w14:paraId="25CB31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4FCD0061">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6B4472CE">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7E413A11">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.优化园区规划空间布局，对丙烯腈、苯乙烯、环氧丙烷等新引进项目加强源头风险管控； 丙烯腈装置原则上应配套MMA装置同步建设，及时消耗丙烯腈装置产生的氢氰酸和废酸， 降低环境风险。</w:t>
            </w:r>
          </w:p>
        </w:tc>
        <w:tc>
          <w:tcPr>
            <w:tcW w:w="2342" w:type="dxa"/>
            <w:tcMar>
              <w:left w:w="28" w:type="dxa"/>
              <w:right w:w="28" w:type="dxa"/>
            </w:tcMar>
            <w:vAlign w:val="center"/>
          </w:tcPr>
          <w:p w14:paraId="14DA8AF5">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本项目</w:t>
            </w:r>
            <w:r>
              <w:rPr>
                <w:rFonts w:hint="eastAsia"/>
                <w:color w:val="000000" w:themeColor="text1"/>
                <w:sz w:val="18"/>
                <w:szCs w:val="18"/>
                <w14:textFill>
                  <w14:solidFill>
                    <w14:schemeClr w14:val="tx1"/>
                  </w14:solidFill>
                </w14:textFill>
              </w:rPr>
              <w:t>苯乙烯卸船设有紧急切断阀</w:t>
            </w:r>
            <w:r>
              <w:rPr>
                <w:color w:val="000000" w:themeColor="text1"/>
                <w:sz w:val="18"/>
                <w:szCs w:val="18"/>
                <w14:textFill>
                  <w14:solidFill>
                    <w14:schemeClr w14:val="tx1"/>
                  </w14:solidFill>
                </w14:textFill>
              </w:rPr>
              <w:t>。</w:t>
            </w:r>
            <w:r>
              <w:rPr>
                <w:b/>
                <w:bCs/>
                <w:color w:val="000000" w:themeColor="text1"/>
                <w:sz w:val="18"/>
                <w:szCs w:val="18"/>
                <w14:textFill>
                  <w14:solidFill>
                    <w14:schemeClr w14:val="tx1"/>
                  </w14:solidFill>
                </w14:textFill>
              </w:rPr>
              <w:t>符合。</w:t>
            </w:r>
          </w:p>
        </w:tc>
      </w:tr>
      <w:tr w14:paraId="3F63B7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1481A982">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6F92891A">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122C90F7">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严格控制炼油规模，禁止建设未列入国家批准的相关规划的新建炼油及扩建一次炼油项目；新建石化和化工生产项目应符合《广西新建石化和化工生产项目准入管理办法（试行）》 《化工园区开发建设导则》（GB/T42078-2022）相关要求。严格“两高”建设项目环境准入，新建、改建、扩建“两高”项目须符合生态环境保护法律法规和相关法定规划， 满足重点污染物总量控制、相关规划环评和相应行业建设项目环境准入条件等要求。</w:t>
            </w:r>
          </w:p>
        </w:tc>
        <w:tc>
          <w:tcPr>
            <w:tcW w:w="2342" w:type="dxa"/>
            <w:tcMar>
              <w:left w:w="28" w:type="dxa"/>
              <w:right w:w="28" w:type="dxa"/>
            </w:tcMar>
            <w:vAlign w:val="center"/>
          </w:tcPr>
          <w:p w14:paraId="6436C830">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项目符合《广西钦州石化产业园总体发展规划》（2020-2035）</w:t>
            </w:r>
            <w:r>
              <w:rPr>
                <w:color w:val="000000" w:themeColor="text1"/>
                <w:sz w:val="18"/>
                <w:szCs w:val="18"/>
                <w14:textFill>
                  <w14:solidFill>
                    <w14:schemeClr w14:val="tx1"/>
                  </w14:solidFill>
                </w14:textFill>
              </w:rPr>
              <w:t>。</w:t>
            </w:r>
            <w:r>
              <w:rPr>
                <w:b/>
                <w:bCs/>
                <w:color w:val="000000" w:themeColor="text1"/>
                <w:sz w:val="18"/>
                <w:szCs w:val="18"/>
                <w14:textFill>
                  <w14:solidFill>
                    <w14:schemeClr w14:val="tx1"/>
                  </w14:solidFill>
                </w14:textFill>
              </w:rPr>
              <w:t>符合。</w:t>
            </w:r>
          </w:p>
        </w:tc>
      </w:tr>
      <w:tr w14:paraId="14BADB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6072421C">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63FA96CB">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2503B4F7">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园区周边1公里范围内临近生态保护红线（广西茅尾海红树林自治区级自然保护区）生态环境敏感区域，应优化产业布局，控制开发强度，新建、改建、扩建项目要采取切实可行的环保措施，降低对周边生态环境敏感区域的影响。</w:t>
            </w:r>
          </w:p>
        </w:tc>
        <w:tc>
          <w:tcPr>
            <w:tcW w:w="2342" w:type="dxa"/>
            <w:tcMar>
              <w:left w:w="28" w:type="dxa"/>
              <w:right w:w="28" w:type="dxa"/>
            </w:tcMar>
            <w:vAlign w:val="center"/>
          </w:tcPr>
          <w:p w14:paraId="1B7D7AB5">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项目</w:t>
            </w:r>
            <w:r>
              <w:rPr>
                <w:rFonts w:hint="eastAsia"/>
                <w:color w:val="000000" w:themeColor="text1"/>
                <w:sz w:val="18"/>
                <w:szCs w:val="18"/>
                <w14:textFill>
                  <w14:solidFill>
                    <w14:schemeClr w14:val="tx1"/>
                  </w14:solidFill>
                </w14:textFill>
              </w:rPr>
              <w:t>周边1公里内无生态保护红线生态环境敏感区域，本项目已采取相应环保措施减小对环境的影响</w:t>
            </w:r>
            <w:r>
              <w:rPr>
                <w:color w:val="000000" w:themeColor="text1"/>
                <w:sz w:val="18"/>
                <w:szCs w:val="18"/>
                <w14:textFill>
                  <w14:solidFill>
                    <w14:schemeClr w14:val="tx1"/>
                  </w14:solidFill>
                </w14:textFill>
              </w:rPr>
              <w:t>。</w:t>
            </w:r>
            <w:r>
              <w:rPr>
                <w:b/>
                <w:bCs/>
                <w:color w:val="000000" w:themeColor="text1"/>
                <w:sz w:val="18"/>
                <w:szCs w:val="18"/>
                <w14:textFill>
                  <w14:solidFill>
                    <w14:schemeClr w14:val="tx1"/>
                  </w14:solidFill>
                </w14:textFill>
              </w:rPr>
              <w:t>符合。</w:t>
            </w:r>
          </w:p>
        </w:tc>
      </w:tr>
      <w:tr w14:paraId="47944C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90" w:hRule="atLeast"/>
          <w:jc w:val="center"/>
        </w:trPr>
        <w:tc>
          <w:tcPr>
            <w:tcW w:w="534" w:type="dxa"/>
            <w:vMerge w:val="continue"/>
            <w:tcMar>
              <w:left w:w="28" w:type="dxa"/>
              <w:right w:w="28" w:type="dxa"/>
            </w:tcMar>
            <w:vAlign w:val="center"/>
          </w:tcPr>
          <w:p w14:paraId="46EB2238">
            <w:pPr>
              <w:spacing w:line="240" w:lineRule="exact"/>
              <w:ind w:firstLine="0" w:firstLineChars="0"/>
              <w:rPr>
                <w:color w:val="000000" w:themeColor="text1"/>
                <w:sz w:val="18"/>
                <w:szCs w:val="18"/>
                <w14:textFill>
                  <w14:solidFill>
                    <w14:schemeClr w14:val="tx1"/>
                  </w14:solidFill>
                </w14:textFill>
              </w:rPr>
            </w:pPr>
          </w:p>
        </w:tc>
        <w:tc>
          <w:tcPr>
            <w:tcW w:w="534" w:type="dxa"/>
            <w:vMerge w:val="restart"/>
            <w:tcMar>
              <w:left w:w="28" w:type="dxa"/>
              <w:right w:w="28" w:type="dxa"/>
            </w:tcMar>
            <w:vAlign w:val="center"/>
          </w:tcPr>
          <w:p w14:paraId="014C528A">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污染物排放管控</w:t>
            </w:r>
          </w:p>
        </w:tc>
        <w:tc>
          <w:tcPr>
            <w:tcW w:w="5400" w:type="dxa"/>
            <w:tcMar>
              <w:left w:w="28" w:type="dxa"/>
              <w:right w:w="28" w:type="dxa"/>
            </w:tcMar>
            <w:vAlign w:val="center"/>
          </w:tcPr>
          <w:p w14:paraId="1BFC8D1B">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.大力推进低氮燃烧和烟气脱硝，有序推进园区集中供热。</w:t>
            </w:r>
          </w:p>
        </w:tc>
        <w:tc>
          <w:tcPr>
            <w:tcW w:w="2342" w:type="dxa"/>
            <w:tcMar>
              <w:left w:w="28" w:type="dxa"/>
              <w:right w:w="28" w:type="dxa"/>
            </w:tcMar>
            <w:vAlign w:val="center"/>
          </w:tcPr>
          <w:p w14:paraId="52C87957">
            <w:pPr>
              <w:spacing w:line="240" w:lineRule="exact"/>
              <w:ind w:firstLine="0" w:firstLineChars="0"/>
              <w:rPr>
                <w:color w:val="000000" w:themeColor="text1"/>
                <w:sz w:val="18"/>
                <w:szCs w:val="18"/>
                <w14:textFill>
                  <w14:solidFill>
                    <w14:schemeClr w14:val="tx1"/>
                  </w14:solidFill>
                </w14:textFill>
              </w:rPr>
            </w:pPr>
          </w:p>
        </w:tc>
      </w:tr>
      <w:tr w14:paraId="10D369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90" w:hRule="atLeast"/>
          <w:jc w:val="center"/>
        </w:trPr>
        <w:tc>
          <w:tcPr>
            <w:tcW w:w="534" w:type="dxa"/>
            <w:vMerge w:val="continue"/>
            <w:tcMar>
              <w:left w:w="28" w:type="dxa"/>
              <w:right w:w="28" w:type="dxa"/>
            </w:tcMar>
            <w:vAlign w:val="center"/>
          </w:tcPr>
          <w:p w14:paraId="0AB05874">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77F2FD5D">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5EA5A89D">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w:t>
            </w:r>
            <w:r>
              <w:rPr>
                <w:color w:val="000000" w:themeColor="text1"/>
                <w:sz w:val="18"/>
                <w:szCs w:val="18"/>
                <w14:textFill>
                  <w14:solidFill>
                    <w14:schemeClr w14:val="tx1"/>
                  </w14:solidFill>
                </w14:textFill>
              </w:rPr>
              <w:t>.．持续推进石化、化工等行业节能降碳改造；推动石化、化工等重点行业挥发性有机物 （VOCs）污染防治。推动石化行业VOCs泄漏检测与修复行动、VOCs削减和有毒有害原料替代。</w:t>
            </w:r>
          </w:p>
        </w:tc>
        <w:tc>
          <w:tcPr>
            <w:tcW w:w="2342" w:type="dxa"/>
            <w:tcMar>
              <w:left w:w="28" w:type="dxa"/>
              <w:right w:w="28" w:type="dxa"/>
            </w:tcMar>
            <w:vAlign w:val="center"/>
          </w:tcPr>
          <w:p w14:paraId="58FC95AF">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项目</w:t>
            </w:r>
            <w:r>
              <w:rPr>
                <w:rFonts w:hint="eastAsia"/>
                <w:color w:val="000000" w:themeColor="text1"/>
                <w:sz w:val="18"/>
                <w:szCs w:val="18"/>
                <w14:textFill>
                  <w14:solidFill>
                    <w14:schemeClr w14:val="tx1"/>
                  </w14:solidFill>
                </w14:textFill>
              </w:rPr>
              <w:t>落实挥发性有机物污染防治措施，定期检查修复</w:t>
            </w:r>
            <w:r>
              <w:rPr>
                <w:color w:val="000000" w:themeColor="text1"/>
                <w:sz w:val="18"/>
                <w:szCs w:val="18"/>
                <w14:textFill>
                  <w14:solidFill>
                    <w14:schemeClr w14:val="tx1"/>
                  </w14:solidFill>
                </w14:textFill>
              </w:rPr>
              <w:t>。</w:t>
            </w:r>
            <w:r>
              <w:rPr>
                <w:b/>
                <w:bCs/>
                <w:color w:val="000000" w:themeColor="text1"/>
                <w:sz w:val="18"/>
                <w:szCs w:val="18"/>
                <w14:textFill>
                  <w14:solidFill>
                    <w14:schemeClr w14:val="tx1"/>
                  </w14:solidFill>
                </w14:textFill>
              </w:rPr>
              <w:t>符合。</w:t>
            </w:r>
          </w:p>
        </w:tc>
      </w:tr>
      <w:tr w14:paraId="3B654D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40819090">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3DFF5C40">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13B61B73">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石化、化工行业全面推进行业达标排放改造，鼓励采用先进的清洁生产技术，提高原油的转化和利用效率；新建石化和化工生产项目污染物排放必须同时满足污染物排放标准和主要污染物总量控制要求，必须配套固废综合利用或无害化处理设施，危险废物必须按照国家及自治区相关危险废物的管理规定进行贮存、转移、安全处置。</w:t>
            </w:r>
          </w:p>
        </w:tc>
        <w:tc>
          <w:tcPr>
            <w:tcW w:w="2342" w:type="dxa"/>
            <w:tcMar>
              <w:left w:w="28" w:type="dxa"/>
              <w:right w:w="28" w:type="dxa"/>
            </w:tcMar>
            <w:vAlign w:val="center"/>
          </w:tcPr>
          <w:p w14:paraId="46AE1401">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本项目</w:t>
            </w:r>
            <w:r>
              <w:rPr>
                <w:rFonts w:hint="eastAsia"/>
                <w:color w:val="000000" w:themeColor="text1"/>
                <w:sz w:val="18"/>
                <w:szCs w:val="18"/>
                <w14:textFill>
                  <w14:solidFill>
                    <w14:schemeClr w14:val="tx1"/>
                  </w14:solidFill>
                </w14:textFill>
              </w:rPr>
              <w:t>危废设置一体化危废暂存间暂存</w:t>
            </w:r>
            <w:r>
              <w:rPr>
                <w:color w:val="000000" w:themeColor="text1"/>
                <w:sz w:val="18"/>
                <w:szCs w:val="18"/>
                <w14:textFill>
                  <w14:solidFill>
                    <w14:schemeClr w14:val="tx1"/>
                  </w14:solidFill>
                </w14:textFill>
              </w:rPr>
              <w:t>，不在码头设置排污口。</w:t>
            </w:r>
            <w:r>
              <w:rPr>
                <w:b/>
                <w:bCs/>
                <w:color w:val="000000" w:themeColor="text1"/>
                <w:sz w:val="18"/>
                <w:szCs w:val="18"/>
                <w14:textFill>
                  <w14:solidFill>
                    <w14:schemeClr w14:val="tx1"/>
                  </w14:solidFill>
                </w14:textFill>
              </w:rPr>
              <w:t>符合。</w:t>
            </w:r>
          </w:p>
        </w:tc>
      </w:tr>
      <w:tr w14:paraId="71D758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2D93271F">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2ABD79C8">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4F9D9831">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．逐步完成工业集聚区集中式污水处理设施建设，确保已建污水处理设施稳定运行及达标 排放。园区集中式污水处理设施总排口安装自动监控系统、视频监控系统，并与生态环境</w:t>
            </w: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主管部门联网。按照“清污分流、雨污分流”原则，实施废水分类收集、分质处理。</w:t>
            </w:r>
          </w:p>
        </w:tc>
        <w:tc>
          <w:tcPr>
            <w:tcW w:w="2342" w:type="dxa"/>
            <w:tcMar>
              <w:left w:w="28" w:type="dxa"/>
              <w:right w:w="28" w:type="dxa"/>
            </w:tcMar>
            <w:vAlign w:val="center"/>
          </w:tcPr>
          <w:p w14:paraId="2A8E4C14">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本项目污水依托园区恒逸污水处理厂处理，不在码头设置排污口。</w:t>
            </w:r>
            <w:r>
              <w:rPr>
                <w:b/>
                <w:bCs/>
                <w:color w:val="000000" w:themeColor="text1"/>
                <w:sz w:val="18"/>
                <w:szCs w:val="18"/>
                <w14:textFill>
                  <w14:solidFill>
                    <w14:schemeClr w14:val="tx1"/>
                  </w14:solidFill>
                </w14:textFill>
              </w:rPr>
              <w:t>符合。</w:t>
            </w:r>
          </w:p>
        </w:tc>
      </w:tr>
      <w:tr w14:paraId="3E6FB8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60D744E2">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75A689D4">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460B20D9">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.园区及园区企业排放水污染物，要满足国家或者地方规定的水污染物排放标准和重点水 污染物排放总量控制指标。直接外排水环境的，执行国家或者地方规定的标准要求；经城 镇污水集中处理设施处理后排放的，执行市政部门管理要求；经园区污水集中处理设施处 理后排放的，执行园区管理部门相关要求。</w:t>
            </w:r>
          </w:p>
        </w:tc>
        <w:tc>
          <w:tcPr>
            <w:tcW w:w="2342" w:type="dxa"/>
            <w:tcMar>
              <w:left w:w="28" w:type="dxa"/>
              <w:right w:w="28" w:type="dxa"/>
            </w:tcMar>
            <w:vAlign w:val="center"/>
          </w:tcPr>
          <w:p w14:paraId="675CB892">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本项目污水依托园区恒逸污水处理厂处理</w:t>
            </w:r>
            <w:r>
              <w:rPr>
                <w:rFonts w:hint="eastAsia"/>
                <w:color w:val="000000" w:themeColor="text1"/>
                <w:sz w:val="18"/>
                <w:szCs w:val="18"/>
                <w14:textFill>
                  <w14:solidFill>
                    <w14:schemeClr w14:val="tx1"/>
                  </w14:solidFill>
                </w14:textFill>
              </w:rPr>
              <w:t>达标后排放，不直接排放</w:t>
            </w:r>
            <w:r>
              <w:rPr>
                <w:color w:val="000000" w:themeColor="text1"/>
                <w:sz w:val="18"/>
                <w:szCs w:val="18"/>
                <w14:textFill>
                  <w14:solidFill>
                    <w14:schemeClr w14:val="tx1"/>
                  </w14:solidFill>
                </w14:textFill>
              </w:rPr>
              <w:t>。</w:t>
            </w:r>
            <w:r>
              <w:rPr>
                <w:b/>
                <w:bCs/>
                <w:color w:val="000000" w:themeColor="text1"/>
                <w:sz w:val="18"/>
                <w:szCs w:val="18"/>
                <w14:textFill>
                  <w14:solidFill>
                    <w14:schemeClr w14:val="tx1"/>
                  </w14:solidFill>
                </w14:textFill>
              </w:rPr>
              <w:t>符合。</w:t>
            </w:r>
          </w:p>
        </w:tc>
      </w:tr>
      <w:tr w14:paraId="709C0C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3F1C0AC9">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7D336D65">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11143B4C">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r>
              <w:rPr>
                <w:color w:val="000000" w:themeColor="text1"/>
                <w:sz w:val="18"/>
                <w:szCs w:val="18"/>
                <w14:textFill>
                  <w14:solidFill>
                    <w14:schemeClr w14:val="tx1"/>
                  </w14:solidFill>
                </w14:textFill>
              </w:rPr>
              <w:t>.鼓励建设高盐废水集中处理设施，回收固体盐类，降低外排水量和含盐浓度。</w:t>
            </w:r>
          </w:p>
        </w:tc>
        <w:tc>
          <w:tcPr>
            <w:tcW w:w="2342" w:type="dxa"/>
            <w:tcMar>
              <w:left w:w="28" w:type="dxa"/>
              <w:right w:w="28" w:type="dxa"/>
            </w:tcMar>
            <w:vAlign w:val="center"/>
          </w:tcPr>
          <w:p w14:paraId="5382045E">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本项目不涉及高盐废水</w:t>
            </w:r>
            <w:r>
              <w:rPr>
                <w:color w:val="000000" w:themeColor="text1"/>
                <w:sz w:val="18"/>
                <w:szCs w:val="18"/>
                <w14:textFill>
                  <w14:solidFill>
                    <w14:schemeClr w14:val="tx1"/>
                  </w14:solidFill>
                </w14:textFill>
              </w:rPr>
              <w:t>。</w:t>
            </w:r>
            <w:r>
              <w:rPr>
                <w:b/>
                <w:bCs/>
                <w:color w:val="000000" w:themeColor="text1"/>
                <w:sz w:val="18"/>
                <w:szCs w:val="18"/>
                <w14:textFill>
                  <w14:solidFill>
                    <w14:schemeClr w14:val="tx1"/>
                  </w14:solidFill>
                </w14:textFill>
              </w:rPr>
              <w:t>符合。</w:t>
            </w:r>
          </w:p>
        </w:tc>
      </w:tr>
      <w:tr w14:paraId="7BA973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09332C3F">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05924C2D">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172122F0">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7．严格控制石油类、氨氮、总磷等污染物排放浓度及排放量，采取有效措施减少挥发性有机化合物（VOCs）、氮氧化物（NOx）等污染物排放量。</w:t>
            </w:r>
          </w:p>
        </w:tc>
        <w:tc>
          <w:tcPr>
            <w:tcW w:w="2342" w:type="dxa"/>
            <w:tcMar>
              <w:left w:w="28" w:type="dxa"/>
              <w:right w:w="28" w:type="dxa"/>
            </w:tcMar>
            <w:vAlign w:val="center"/>
          </w:tcPr>
          <w:p w14:paraId="316A255F">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本项目废气通过管道输送至后方罐区进行处置，有效减少污染物排放量。</w:t>
            </w:r>
            <w:r>
              <w:rPr>
                <w:rFonts w:hint="eastAsia"/>
                <w:b/>
                <w:bCs/>
                <w:color w:val="000000" w:themeColor="text1"/>
                <w:sz w:val="18"/>
                <w:szCs w:val="18"/>
                <w14:textFill>
                  <w14:solidFill>
                    <w14:schemeClr w14:val="tx1"/>
                  </w14:solidFill>
                </w14:textFill>
              </w:rPr>
              <w:t>符合</w:t>
            </w:r>
          </w:p>
        </w:tc>
      </w:tr>
      <w:tr w14:paraId="64A4F2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29EC340B">
            <w:pPr>
              <w:spacing w:line="240" w:lineRule="exact"/>
              <w:ind w:firstLine="0" w:firstLineChars="0"/>
              <w:jc w:val="left"/>
              <w:rPr>
                <w:color w:val="000000" w:themeColor="text1"/>
                <w:sz w:val="18"/>
                <w:szCs w:val="18"/>
                <w14:textFill>
                  <w14:solidFill>
                    <w14:schemeClr w14:val="tx1"/>
                  </w14:solidFill>
                </w14:textFill>
              </w:rPr>
            </w:pPr>
          </w:p>
        </w:tc>
        <w:tc>
          <w:tcPr>
            <w:tcW w:w="534" w:type="dxa"/>
            <w:vMerge w:val="restart"/>
            <w:tcMar>
              <w:left w:w="28" w:type="dxa"/>
              <w:right w:w="28" w:type="dxa"/>
            </w:tcMar>
            <w:vAlign w:val="center"/>
          </w:tcPr>
          <w:p w14:paraId="52468E6C">
            <w:pPr>
              <w:spacing w:line="240" w:lineRule="exact"/>
              <w:ind w:firstLine="0" w:firstLineChars="0"/>
              <w:jc w:val="left"/>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环境风险防控</w:t>
            </w:r>
          </w:p>
        </w:tc>
        <w:tc>
          <w:tcPr>
            <w:tcW w:w="5400" w:type="dxa"/>
            <w:tcMar>
              <w:left w:w="28" w:type="dxa"/>
              <w:right w:w="28" w:type="dxa"/>
            </w:tcMar>
            <w:vAlign w:val="center"/>
          </w:tcPr>
          <w:p w14:paraId="754F2ADB">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1.建设项目应严格落实环境保护措施和环境风险防范措施，减缓对周边海域和陆域生态环境敏感区的不良环境影响。</w:t>
            </w:r>
          </w:p>
        </w:tc>
        <w:tc>
          <w:tcPr>
            <w:tcW w:w="2342" w:type="dxa"/>
            <w:tcMar>
              <w:left w:w="28" w:type="dxa"/>
              <w:right w:w="28" w:type="dxa"/>
            </w:tcMar>
            <w:vAlign w:val="center"/>
          </w:tcPr>
          <w:p w14:paraId="43E6E911">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项目运营后按要求落实环境保护措施和环境风险防范措施。</w:t>
            </w:r>
            <w:r>
              <w:rPr>
                <w:b/>
                <w:bCs/>
                <w:color w:val="000000" w:themeColor="text1"/>
                <w:sz w:val="18"/>
                <w:szCs w:val="18"/>
                <w14:textFill>
                  <w14:solidFill>
                    <w14:schemeClr w14:val="tx1"/>
                  </w14:solidFill>
                </w14:textFill>
              </w:rPr>
              <w:t>符合。</w:t>
            </w:r>
          </w:p>
        </w:tc>
      </w:tr>
      <w:tr w14:paraId="1B488B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3E5CA2DD">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1BC2DDF7">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06FF8E85">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w:t>
            </w:r>
            <w:r>
              <w:rPr>
                <w:color w:val="000000" w:themeColor="text1"/>
                <w:sz w:val="18"/>
                <w:szCs w:val="18"/>
                <w14:textFill>
                  <w14:solidFill>
                    <w14:schemeClr w14:val="tx1"/>
                  </w14:solidFill>
                </w14:textFill>
              </w:rPr>
              <w:t>.三墩片区实行封闭式管理。开展环境风险评估，制定突发环境事件应急预案并备案，配 备应急能力和物资，建设环境应急队伍，并定期演练。企业、园区与地方人民政府环境应 急预案应当有机衔接。</w:t>
            </w:r>
          </w:p>
        </w:tc>
        <w:tc>
          <w:tcPr>
            <w:tcW w:w="2342" w:type="dxa"/>
            <w:tcMar>
              <w:left w:w="28" w:type="dxa"/>
              <w:right w:w="28" w:type="dxa"/>
            </w:tcMar>
            <w:vAlign w:val="center"/>
          </w:tcPr>
          <w:p w14:paraId="5F999838">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项目运营后按要求开展风险评估，制订突发环境应急预案，健全企业应急制度管理。</w:t>
            </w:r>
            <w:r>
              <w:rPr>
                <w:b/>
                <w:bCs/>
                <w:color w:val="000000" w:themeColor="text1"/>
                <w:sz w:val="18"/>
                <w:szCs w:val="18"/>
                <w14:textFill>
                  <w14:solidFill>
                    <w14:schemeClr w14:val="tx1"/>
                  </w14:solidFill>
                </w14:textFill>
              </w:rPr>
              <w:t>符合。</w:t>
            </w:r>
          </w:p>
        </w:tc>
      </w:tr>
      <w:tr w14:paraId="58728D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196D0F60">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12F0FBC4">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61EB466F">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土壤环境监管重点单位应当严格控制有毒有害物质排放，并按年度向所在地设区的市人民政府生态环境主管部门报告排放情况；建立土壤污染隐患排查制度，保证持续有效防止有毒有害物质渗漏、流失、扬散。</w:t>
            </w:r>
          </w:p>
        </w:tc>
        <w:tc>
          <w:tcPr>
            <w:tcW w:w="2342" w:type="dxa"/>
            <w:tcMar>
              <w:left w:w="28" w:type="dxa"/>
              <w:right w:w="28" w:type="dxa"/>
            </w:tcMar>
            <w:vAlign w:val="center"/>
          </w:tcPr>
          <w:p w14:paraId="73E0A06C">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运营期将定期对各类生产设施开展维护、检修工作。符合。</w:t>
            </w:r>
          </w:p>
        </w:tc>
      </w:tr>
      <w:tr w14:paraId="699A70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094A28AC">
            <w:pPr>
              <w:spacing w:line="240" w:lineRule="exact"/>
              <w:ind w:firstLine="0" w:firstLineChars="0"/>
              <w:rPr>
                <w:color w:val="000000" w:themeColor="text1"/>
                <w:sz w:val="18"/>
                <w:szCs w:val="18"/>
                <w14:textFill>
                  <w14:solidFill>
                    <w14:schemeClr w14:val="tx1"/>
                  </w14:solidFill>
                </w14:textFill>
              </w:rPr>
            </w:pPr>
          </w:p>
        </w:tc>
        <w:tc>
          <w:tcPr>
            <w:tcW w:w="534" w:type="dxa"/>
            <w:vMerge w:val="restart"/>
            <w:tcMar>
              <w:left w:w="28" w:type="dxa"/>
              <w:right w:w="28" w:type="dxa"/>
            </w:tcMar>
            <w:vAlign w:val="center"/>
          </w:tcPr>
          <w:p w14:paraId="75DCACA9">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资源开发利用效率要求</w:t>
            </w:r>
          </w:p>
        </w:tc>
        <w:tc>
          <w:tcPr>
            <w:tcW w:w="5400" w:type="dxa"/>
            <w:tcMar>
              <w:left w:w="28" w:type="dxa"/>
              <w:right w:w="28" w:type="dxa"/>
            </w:tcMar>
            <w:vAlign w:val="center"/>
          </w:tcPr>
          <w:p w14:paraId="2687EAC2">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在禁燃区内，禁止销售、燃用高污染燃料；禁止新建、扩建燃用高污染燃料的设施，已建成的，应当在城市人民政府规定的期限内改用天然气、页岩气、液化石油气、电或者其他清洁能源。其余按照《钦州市人民政府关于划定高污染燃料禁燃区的通告》要求实施管理。</w:t>
            </w:r>
          </w:p>
        </w:tc>
        <w:tc>
          <w:tcPr>
            <w:tcW w:w="2342" w:type="dxa"/>
            <w:tcMar>
              <w:left w:w="28" w:type="dxa"/>
              <w:right w:w="28" w:type="dxa"/>
            </w:tcMar>
            <w:vAlign w:val="center"/>
          </w:tcPr>
          <w:p w14:paraId="1AD32ED7">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本项目</w:t>
            </w:r>
            <w:r>
              <w:rPr>
                <w:rFonts w:hint="eastAsia"/>
                <w:color w:val="000000" w:themeColor="text1"/>
                <w:sz w:val="18"/>
                <w:szCs w:val="18"/>
                <w14:textFill>
                  <w14:solidFill>
                    <w14:schemeClr w14:val="tx1"/>
                  </w14:solidFill>
                </w14:textFill>
              </w:rPr>
              <w:t>不使用高污染燃料</w:t>
            </w:r>
            <w:r>
              <w:rPr>
                <w:color w:val="000000" w:themeColor="text1"/>
                <w:sz w:val="18"/>
                <w:szCs w:val="18"/>
                <w14:textFill>
                  <w14:solidFill>
                    <w14:schemeClr w14:val="tx1"/>
                  </w14:solidFill>
                </w14:textFill>
              </w:rPr>
              <w:t>。</w:t>
            </w:r>
            <w:r>
              <w:rPr>
                <w:b/>
                <w:bCs/>
                <w:color w:val="000000" w:themeColor="text1"/>
                <w:sz w:val="18"/>
                <w:szCs w:val="18"/>
                <w14:textFill>
                  <w14:solidFill>
                    <w14:schemeClr w14:val="tx1"/>
                  </w14:solidFill>
                </w14:textFill>
              </w:rPr>
              <w:t>符合。</w:t>
            </w:r>
          </w:p>
        </w:tc>
      </w:tr>
      <w:tr w14:paraId="19391C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5C0CAE30">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4CE3DDA8">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7105283D">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w:t>
            </w:r>
            <w:r>
              <w:rPr>
                <w:color w:val="000000" w:themeColor="text1"/>
                <w:sz w:val="18"/>
                <w:szCs w:val="18"/>
                <w14:textFill>
                  <w14:solidFill>
                    <w14:schemeClr w14:val="tx1"/>
                  </w14:solidFill>
                </w14:textFill>
              </w:rPr>
              <w:t>.加强水资源消耗总量与强度控制，推进节水减排，提升水资源利用效率和效益。</w:t>
            </w:r>
          </w:p>
        </w:tc>
        <w:tc>
          <w:tcPr>
            <w:tcW w:w="2342" w:type="dxa"/>
            <w:tcMar>
              <w:left w:w="28" w:type="dxa"/>
              <w:right w:w="28" w:type="dxa"/>
            </w:tcMar>
            <w:vAlign w:val="center"/>
          </w:tcPr>
          <w:p w14:paraId="4C81E855">
            <w:pPr>
              <w:spacing w:line="240" w:lineRule="exact"/>
              <w:ind w:firstLine="0" w:firstLineChars="0"/>
              <w:rPr>
                <w:color w:val="000000" w:themeColor="text1"/>
                <w:sz w:val="18"/>
                <w:szCs w:val="18"/>
                <w14:textFill>
                  <w14:solidFill>
                    <w14:schemeClr w14:val="tx1"/>
                  </w14:solidFill>
                </w14:textFill>
              </w:rPr>
            </w:pPr>
          </w:p>
        </w:tc>
      </w:tr>
      <w:tr w14:paraId="1DD754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083AE9CE">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37C1CD5C">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0BA9EF7D">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3．坚持节约集约用地，提高土地利用效率。</w:t>
            </w:r>
          </w:p>
        </w:tc>
        <w:tc>
          <w:tcPr>
            <w:tcW w:w="2342" w:type="dxa"/>
            <w:tcMar>
              <w:left w:w="28" w:type="dxa"/>
              <w:right w:w="28" w:type="dxa"/>
            </w:tcMar>
            <w:vAlign w:val="center"/>
          </w:tcPr>
          <w:p w14:paraId="18DBA24F">
            <w:pPr>
              <w:spacing w:line="240" w:lineRule="exact"/>
              <w:ind w:firstLine="0" w:firstLineChars="0"/>
              <w:rPr>
                <w:color w:val="000000" w:themeColor="text1"/>
                <w:sz w:val="18"/>
                <w:szCs w:val="18"/>
                <w14:textFill>
                  <w14:solidFill>
                    <w14:schemeClr w14:val="tx1"/>
                  </w14:solidFill>
                </w14:textFill>
              </w:rPr>
            </w:pPr>
          </w:p>
        </w:tc>
      </w:tr>
      <w:tr w14:paraId="159F1D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restart"/>
            <w:tcMar>
              <w:left w:w="28" w:type="dxa"/>
              <w:right w:w="28" w:type="dxa"/>
            </w:tcMar>
            <w:vAlign w:val="center"/>
          </w:tcPr>
          <w:p w14:paraId="309B9E49">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金谷港区（金谷交通运输用海区）</w:t>
            </w:r>
          </w:p>
        </w:tc>
        <w:tc>
          <w:tcPr>
            <w:tcW w:w="534" w:type="dxa"/>
            <w:vMerge w:val="restart"/>
            <w:tcMar>
              <w:left w:w="28" w:type="dxa"/>
              <w:right w:w="28" w:type="dxa"/>
            </w:tcMar>
            <w:vAlign w:val="center"/>
          </w:tcPr>
          <w:p w14:paraId="057251DD">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空间布局约束</w:t>
            </w:r>
          </w:p>
        </w:tc>
        <w:tc>
          <w:tcPr>
            <w:tcW w:w="5400" w:type="dxa"/>
            <w:tcMar>
              <w:left w:w="28" w:type="dxa"/>
              <w:right w:w="28" w:type="dxa"/>
            </w:tcMar>
            <w:vAlign w:val="center"/>
          </w:tcPr>
          <w:p w14:paraId="725A4DD8">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1．加强水生生物重要生境以及自然岸线、红树林、海草床、湿地等保护。新建港口码头应避让且 尽量远离生态保护红线、法定保护区、鱼类“三场一通道”等环境保护目标，降低规划实施对敏 感目标的影响；现有港口码头应根据其与敏感目标的位置关系，提出强化环境保护措施的要求， 避免加剧不利环境影响。</w:t>
            </w:r>
          </w:p>
        </w:tc>
        <w:tc>
          <w:tcPr>
            <w:tcW w:w="2342" w:type="dxa"/>
            <w:tcMar>
              <w:left w:w="28" w:type="dxa"/>
              <w:right w:w="28" w:type="dxa"/>
            </w:tcMar>
            <w:vAlign w:val="center"/>
          </w:tcPr>
          <w:p w14:paraId="10A1FC48">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本项目不涉及生态红线，与生态敏感区有一定距离，采取相应环境保护措施后对其影响不大。符合。</w:t>
            </w:r>
          </w:p>
        </w:tc>
      </w:tr>
      <w:tr w14:paraId="1FC50A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396CF572">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742B5E8E">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3684EBA8">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2.干散货码头需与居民集中区保持一定距离，确保不对居民造成大气环境不利影响；危险品码头需远离各类生态环境敏感目标。</w:t>
            </w:r>
          </w:p>
        </w:tc>
        <w:tc>
          <w:tcPr>
            <w:tcW w:w="2342" w:type="dxa"/>
            <w:tcMar>
              <w:left w:w="28" w:type="dxa"/>
              <w:right w:w="28" w:type="dxa"/>
            </w:tcMar>
            <w:vAlign w:val="center"/>
          </w:tcPr>
          <w:p w14:paraId="7CFF5FDC">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本项目远离生态环境敏感目标，符合</w:t>
            </w:r>
          </w:p>
        </w:tc>
      </w:tr>
      <w:tr w14:paraId="012DCC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06624FD2">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12E885B3">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5F111C22">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.不得突破港口总体规划划定的岸线范围。</w:t>
            </w:r>
          </w:p>
        </w:tc>
        <w:tc>
          <w:tcPr>
            <w:tcW w:w="2342" w:type="dxa"/>
            <w:tcMar>
              <w:left w:w="28" w:type="dxa"/>
              <w:right w:w="28" w:type="dxa"/>
            </w:tcMar>
            <w:vAlign w:val="center"/>
          </w:tcPr>
          <w:p w14:paraId="03B20F5D">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本项目在划定的岸线范围内，符合</w:t>
            </w:r>
          </w:p>
        </w:tc>
      </w:tr>
      <w:tr w14:paraId="6B41CC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6D3060B9">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2A09B98D">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7B907D4C">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建立渔业资源损失补偿机制，开展增殖放流、人工鱼礁等生态修复工作。</w:t>
            </w:r>
          </w:p>
        </w:tc>
        <w:tc>
          <w:tcPr>
            <w:tcW w:w="2342" w:type="dxa"/>
            <w:tcMar>
              <w:left w:w="28" w:type="dxa"/>
              <w:right w:w="28" w:type="dxa"/>
            </w:tcMar>
            <w:vAlign w:val="center"/>
          </w:tcPr>
          <w:p w14:paraId="2D6F7187">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本项目不涉及水工施工</w:t>
            </w:r>
          </w:p>
        </w:tc>
      </w:tr>
      <w:tr w14:paraId="24CED1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72EFC2D0">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1613A97C">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774DA471">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合理控制港口开发规模与强度，不得占用依法应当禁止开发的区域，优先避让其他生态环境敏感区域。推动港口码头岸电设施和船舶受电设施建设和改造。</w:t>
            </w:r>
          </w:p>
        </w:tc>
        <w:tc>
          <w:tcPr>
            <w:tcW w:w="2342" w:type="dxa"/>
            <w:tcMar>
              <w:left w:w="28" w:type="dxa"/>
              <w:right w:w="28" w:type="dxa"/>
            </w:tcMar>
            <w:vAlign w:val="center"/>
          </w:tcPr>
          <w:p w14:paraId="0AA6F45A">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本项目不涉及生态环境敏感区</w:t>
            </w:r>
          </w:p>
        </w:tc>
      </w:tr>
      <w:tr w14:paraId="59BC2B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614C5E80">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414633C2">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78E2968B">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r>
              <w:rPr>
                <w:color w:val="000000" w:themeColor="text1"/>
                <w:sz w:val="18"/>
                <w:szCs w:val="18"/>
                <w14:textFill>
                  <w14:solidFill>
                    <w14:schemeClr w14:val="tx1"/>
                  </w14:solidFill>
                </w14:textFill>
              </w:rPr>
              <w:t>严格控制建设不符合《北部湾港总体规划（2035年）》、《钦州港总体规划（2035年）》的 港口码头项目</w:t>
            </w:r>
          </w:p>
        </w:tc>
        <w:tc>
          <w:tcPr>
            <w:tcW w:w="2342" w:type="dxa"/>
            <w:tcMar>
              <w:left w:w="28" w:type="dxa"/>
              <w:right w:w="28" w:type="dxa"/>
            </w:tcMar>
            <w:vAlign w:val="center"/>
          </w:tcPr>
          <w:p w14:paraId="3DA75896">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本项目符合</w:t>
            </w:r>
            <w:r>
              <w:rPr>
                <w:color w:val="000000" w:themeColor="text1"/>
                <w:sz w:val="18"/>
                <w:szCs w:val="18"/>
                <w14:textFill>
                  <w14:solidFill>
                    <w14:schemeClr w14:val="tx1"/>
                  </w14:solidFill>
                </w14:textFill>
              </w:rPr>
              <w:t>《北部湾港总体规划（2035年）》、《钦州港总体规划（2035年）》</w:t>
            </w:r>
          </w:p>
        </w:tc>
      </w:tr>
      <w:tr w14:paraId="46C7D4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90" w:hRule="atLeast"/>
          <w:jc w:val="center"/>
        </w:trPr>
        <w:tc>
          <w:tcPr>
            <w:tcW w:w="534" w:type="dxa"/>
            <w:vMerge w:val="continue"/>
            <w:tcMar>
              <w:left w:w="28" w:type="dxa"/>
              <w:right w:w="28" w:type="dxa"/>
            </w:tcMar>
            <w:vAlign w:val="center"/>
          </w:tcPr>
          <w:p w14:paraId="7B841B0D">
            <w:pPr>
              <w:spacing w:line="240" w:lineRule="exact"/>
              <w:ind w:firstLine="0" w:firstLineChars="0"/>
              <w:rPr>
                <w:color w:val="000000" w:themeColor="text1"/>
                <w:sz w:val="18"/>
                <w:szCs w:val="18"/>
                <w14:textFill>
                  <w14:solidFill>
                    <w14:schemeClr w14:val="tx1"/>
                  </w14:solidFill>
                </w14:textFill>
              </w:rPr>
            </w:pPr>
          </w:p>
        </w:tc>
        <w:tc>
          <w:tcPr>
            <w:tcW w:w="534" w:type="dxa"/>
            <w:vMerge w:val="restart"/>
            <w:tcMar>
              <w:left w:w="28" w:type="dxa"/>
              <w:right w:w="28" w:type="dxa"/>
            </w:tcMar>
            <w:vAlign w:val="center"/>
          </w:tcPr>
          <w:p w14:paraId="51B2FAC7">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污染物排放管控</w:t>
            </w:r>
          </w:p>
        </w:tc>
        <w:tc>
          <w:tcPr>
            <w:tcW w:w="5400" w:type="dxa"/>
            <w:tcMar>
              <w:left w:w="28" w:type="dxa"/>
              <w:right w:w="28" w:type="dxa"/>
            </w:tcMar>
            <w:vAlign w:val="center"/>
          </w:tcPr>
          <w:p w14:paraId="1314CB37">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.船舶排放含油污水、生活污水等，应当符合船舶污染物排放标准。禁止向水体倾倒船舶垃圾。 禁止排放不符合规定的船舶压载水。</w:t>
            </w:r>
          </w:p>
        </w:tc>
        <w:tc>
          <w:tcPr>
            <w:tcW w:w="2342" w:type="dxa"/>
            <w:tcMar>
              <w:left w:w="28" w:type="dxa"/>
              <w:right w:w="28" w:type="dxa"/>
            </w:tcMar>
            <w:vAlign w:val="center"/>
          </w:tcPr>
          <w:p w14:paraId="6107F830">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船舶污水由有资质单位接收，不外排</w:t>
            </w:r>
          </w:p>
        </w:tc>
      </w:tr>
      <w:tr w14:paraId="65A6D7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90" w:hRule="atLeast"/>
          <w:jc w:val="center"/>
        </w:trPr>
        <w:tc>
          <w:tcPr>
            <w:tcW w:w="534" w:type="dxa"/>
            <w:vMerge w:val="continue"/>
            <w:tcMar>
              <w:left w:w="28" w:type="dxa"/>
              <w:right w:w="28" w:type="dxa"/>
            </w:tcMar>
            <w:vAlign w:val="center"/>
          </w:tcPr>
          <w:p w14:paraId="54F569CE">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3BC8635E">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29B889D7">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w:t>
            </w:r>
            <w:r>
              <w:rPr>
                <w:color w:val="000000" w:themeColor="text1"/>
                <w:sz w:val="18"/>
                <w:szCs w:val="18"/>
                <w14:textFill>
                  <w14:solidFill>
                    <w14:schemeClr w14:val="tx1"/>
                  </w14:solidFill>
                </w14:textFill>
              </w:rPr>
              <w:t>.．统筹规划建设船舶污染物、废弃物的接收、转运及处理处置设施。从事船舶污染物、废弃物接 收作业，或者从事装载油类、污染危害性货物船舱清洗作业的单位，应当具备与其运营规模相适 应的接收处理能力。</w:t>
            </w:r>
          </w:p>
        </w:tc>
        <w:tc>
          <w:tcPr>
            <w:tcW w:w="2342" w:type="dxa"/>
            <w:tcMar>
              <w:left w:w="28" w:type="dxa"/>
              <w:right w:w="28" w:type="dxa"/>
            </w:tcMar>
            <w:vAlign w:val="center"/>
          </w:tcPr>
          <w:p w14:paraId="2AC184AC">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船舶污染物由有资质单位接收</w:t>
            </w:r>
          </w:p>
        </w:tc>
      </w:tr>
      <w:tr w14:paraId="774AE6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47B2C787">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595F5D0F">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446134B5">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.．实行雨污分流和污水分质处理，完善港区污水集中处理设施和配套管网建设，实现污水集中处理、回用或达标排放。</w:t>
            </w:r>
          </w:p>
        </w:tc>
        <w:tc>
          <w:tcPr>
            <w:tcW w:w="2342" w:type="dxa"/>
            <w:tcMar>
              <w:left w:w="28" w:type="dxa"/>
              <w:right w:w="28" w:type="dxa"/>
            </w:tcMar>
            <w:vAlign w:val="center"/>
          </w:tcPr>
          <w:p w14:paraId="215842C2">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码头污水由集污池收集后进入恒逸污水处理厂处理</w:t>
            </w:r>
          </w:p>
        </w:tc>
      </w:tr>
      <w:tr w14:paraId="58A3CB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6A897CE4">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298BFD5C">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20F28ED8">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．．干散货作业区应实现封闭/半封闭堆存或建设有效防风抑尘设施。严格控制船舶大气污染物排 放，加强码头挥发性有机化合物控制，采取油气回收措施等有效措施控制港区油气无组织排放。</w:t>
            </w:r>
          </w:p>
        </w:tc>
        <w:tc>
          <w:tcPr>
            <w:tcW w:w="2342" w:type="dxa"/>
            <w:tcMar>
              <w:left w:w="28" w:type="dxa"/>
              <w:right w:w="28" w:type="dxa"/>
            </w:tcMar>
            <w:vAlign w:val="center"/>
          </w:tcPr>
          <w:p w14:paraId="2DD600A4">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码头废气由管道进入后方罐区处理后排放，定期检查管道，减少无组织废气排放，符合</w:t>
            </w:r>
          </w:p>
        </w:tc>
      </w:tr>
      <w:tr w14:paraId="43B24E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37735594">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18B16054">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35DA9931">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.钦州湾超标海域整治：（1）推进钦州市东排水口、犀牛脚镇排污口、胜科污水处理厂纳污区 域、大榄坪污水处理厂纳污区域、三墩循环经济示范岛水污染整治。（2）污水处理厂尾水严格执行污染物排放标准，实施污染物排放总量控制。（3）推进雨污分流制改造。（4）加强工业集聚区污染治理和污染物排放控制，提高企业工业用水重复率。</w:t>
            </w:r>
          </w:p>
        </w:tc>
        <w:tc>
          <w:tcPr>
            <w:tcW w:w="2342" w:type="dxa"/>
            <w:tcMar>
              <w:left w:w="28" w:type="dxa"/>
              <w:right w:w="28" w:type="dxa"/>
            </w:tcMar>
            <w:vAlign w:val="center"/>
          </w:tcPr>
          <w:p w14:paraId="7F27802A">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污水经恒逸污水处理厂处理后达标排放</w:t>
            </w:r>
          </w:p>
        </w:tc>
      </w:tr>
      <w:tr w14:paraId="6F4201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33C32DB4">
            <w:pPr>
              <w:spacing w:line="240" w:lineRule="exact"/>
              <w:ind w:firstLine="0" w:firstLineChars="0"/>
              <w:jc w:val="left"/>
              <w:rPr>
                <w:color w:val="000000" w:themeColor="text1"/>
                <w:sz w:val="18"/>
                <w:szCs w:val="18"/>
                <w14:textFill>
                  <w14:solidFill>
                    <w14:schemeClr w14:val="tx1"/>
                  </w14:solidFill>
                </w14:textFill>
              </w:rPr>
            </w:pPr>
          </w:p>
        </w:tc>
        <w:tc>
          <w:tcPr>
            <w:tcW w:w="534" w:type="dxa"/>
            <w:vMerge w:val="restart"/>
            <w:tcMar>
              <w:left w:w="28" w:type="dxa"/>
              <w:right w:w="28" w:type="dxa"/>
            </w:tcMar>
            <w:vAlign w:val="center"/>
          </w:tcPr>
          <w:p w14:paraId="7799CF68">
            <w:pPr>
              <w:spacing w:line="240" w:lineRule="exact"/>
              <w:ind w:firstLine="0" w:firstLineChars="0"/>
              <w:jc w:val="left"/>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环境风险防控</w:t>
            </w:r>
          </w:p>
        </w:tc>
        <w:tc>
          <w:tcPr>
            <w:tcW w:w="5400" w:type="dxa"/>
            <w:tcMar>
              <w:left w:w="28" w:type="dxa"/>
              <w:right w:w="28" w:type="dxa"/>
            </w:tcMar>
            <w:vAlign w:val="center"/>
          </w:tcPr>
          <w:p w14:paraId="3F4D345A">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w:t>
            </w: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严控港区油品和化学品运输、存储的环境风险，加大船舶航行安全保障和港区风险防范力度。 船舶装载运输油类或者有毒货物，应当采取防止溢流和渗漏的措施，防止货物落水造成水污染。</w:t>
            </w:r>
          </w:p>
        </w:tc>
        <w:tc>
          <w:tcPr>
            <w:tcW w:w="2342" w:type="dxa"/>
            <w:tcMar>
              <w:left w:w="28" w:type="dxa"/>
              <w:right w:w="28" w:type="dxa"/>
            </w:tcMar>
            <w:vAlign w:val="center"/>
          </w:tcPr>
          <w:p w14:paraId="3F29021B">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项目</w:t>
            </w:r>
            <w:r>
              <w:rPr>
                <w:color w:val="000000" w:themeColor="text1"/>
                <w:sz w:val="18"/>
                <w:szCs w:val="18"/>
                <w14:textFill>
                  <w14:solidFill>
                    <w14:schemeClr w14:val="tx1"/>
                  </w14:solidFill>
                </w14:textFill>
              </w:rPr>
              <w:t>开展风险评估，制订突发环境应急预案，健全企业应急制度管理</w:t>
            </w:r>
          </w:p>
        </w:tc>
      </w:tr>
      <w:tr w14:paraId="1DDC50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4B1CEB32">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753932D4">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15D6F57A">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w:t>
            </w:r>
            <w:r>
              <w:rPr>
                <w:color w:val="000000" w:themeColor="text1"/>
                <w:sz w:val="18"/>
                <w:szCs w:val="18"/>
                <w14:textFill>
                  <w14:solidFill>
                    <w14:schemeClr w14:val="tx1"/>
                  </w14:solidFill>
                </w14:textFill>
              </w:rPr>
              <w:t>.开展环境风险评估，编制重大突发环境事件应急预案并备案，完善陆域环境风险源和海上溢油 及危险化学品泄漏对近岸海域影响的应急方案，落实港区环境风险应急能力建设，并定期开展应 急演练。完善区域应急联动机制。探索建立健全沿海环境污染责任保险制度。</w:t>
            </w:r>
          </w:p>
        </w:tc>
        <w:tc>
          <w:tcPr>
            <w:tcW w:w="2342" w:type="dxa"/>
            <w:tcMar>
              <w:left w:w="28" w:type="dxa"/>
              <w:right w:w="28" w:type="dxa"/>
            </w:tcMar>
            <w:vAlign w:val="center"/>
          </w:tcPr>
          <w:p w14:paraId="546F15E5">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开展风险评估，制订突发环境应急预案，健全企业应急制度管理</w:t>
            </w:r>
          </w:p>
        </w:tc>
      </w:tr>
      <w:tr w14:paraId="16F22E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5D308019">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11D5618F">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707C65FA">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3．进一步完善港区环境风险应急体系建设，加快建立溢油应急设备库，增配应急</w:t>
            </w:r>
            <w:r>
              <w:rPr>
                <w:rFonts w:hint="eastAsia"/>
                <w:color w:val="000000" w:themeColor="text1"/>
                <w:sz w:val="18"/>
                <w:szCs w:val="18"/>
                <w:lang w:eastAsia="zh-CN"/>
                <w14:textFill>
                  <w14:solidFill>
                    <w14:schemeClr w14:val="tx1"/>
                  </w14:solidFill>
                </w14:textFill>
              </w:rPr>
              <w:t>设施</w:t>
            </w:r>
            <w:r>
              <w:rPr>
                <w:color w:val="000000" w:themeColor="text1"/>
                <w:sz w:val="18"/>
                <w:szCs w:val="18"/>
                <w14:textFill>
                  <w14:solidFill>
                    <w14:schemeClr w14:val="tx1"/>
                  </w14:solidFill>
                </w14:textFill>
              </w:rPr>
              <w:t>配备，加强 现有油品码头风险应急能力建设，在涠洲岛配备完善的应急设备和应急预案，根据相关规定，配 备一定数量的风险应急设施。</w:t>
            </w:r>
          </w:p>
        </w:tc>
        <w:tc>
          <w:tcPr>
            <w:tcW w:w="2342" w:type="dxa"/>
            <w:tcMar>
              <w:left w:w="28" w:type="dxa"/>
              <w:right w:w="28" w:type="dxa"/>
            </w:tcMar>
            <w:vAlign w:val="center"/>
          </w:tcPr>
          <w:p w14:paraId="2F8E20AA">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开展风险评估，制订突发环境应急预案，健全企业应急制度管理</w:t>
            </w:r>
          </w:p>
        </w:tc>
      </w:tr>
      <w:tr w14:paraId="11C24A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15697699">
            <w:pPr>
              <w:spacing w:line="240" w:lineRule="exact"/>
              <w:ind w:firstLine="0" w:firstLineChars="0"/>
              <w:rPr>
                <w:color w:val="000000" w:themeColor="text1"/>
                <w:sz w:val="18"/>
                <w:szCs w:val="18"/>
                <w14:textFill>
                  <w14:solidFill>
                    <w14:schemeClr w14:val="tx1"/>
                  </w14:solidFill>
                </w14:textFill>
              </w:rPr>
            </w:pPr>
          </w:p>
        </w:tc>
        <w:tc>
          <w:tcPr>
            <w:tcW w:w="534" w:type="dxa"/>
            <w:tcMar>
              <w:left w:w="28" w:type="dxa"/>
              <w:right w:w="28" w:type="dxa"/>
            </w:tcMar>
            <w:vAlign w:val="center"/>
          </w:tcPr>
          <w:p w14:paraId="2E7665F2">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资源开发利用效率要求</w:t>
            </w:r>
          </w:p>
        </w:tc>
        <w:tc>
          <w:tcPr>
            <w:tcW w:w="5400" w:type="dxa"/>
            <w:tcMar>
              <w:left w:w="28" w:type="dxa"/>
              <w:right w:w="28" w:type="dxa"/>
            </w:tcMar>
            <w:vAlign w:val="center"/>
          </w:tcPr>
          <w:p w14:paraId="70BEAF1A">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港区污染物排放以及用水、能耗、物耗、岸线与土地利用等资源环境指标达到行业先进水平。</w:t>
            </w:r>
          </w:p>
        </w:tc>
        <w:tc>
          <w:tcPr>
            <w:tcW w:w="2342" w:type="dxa"/>
            <w:tcMar>
              <w:left w:w="28" w:type="dxa"/>
              <w:right w:w="28" w:type="dxa"/>
            </w:tcMar>
            <w:vAlign w:val="center"/>
          </w:tcPr>
          <w:p w14:paraId="783CF715">
            <w:pPr>
              <w:spacing w:line="240" w:lineRule="exact"/>
              <w:ind w:firstLine="0" w:firstLineChars="0"/>
              <w:rPr>
                <w:color w:val="000000" w:themeColor="text1"/>
                <w:sz w:val="18"/>
                <w:szCs w:val="18"/>
                <w14:textFill>
                  <w14:solidFill>
                    <w14:schemeClr w14:val="tx1"/>
                  </w14:solidFill>
                </w14:textFill>
              </w:rPr>
            </w:pPr>
          </w:p>
        </w:tc>
      </w:tr>
    </w:tbl>
    <w:p w14:paraId="561213D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根据分析，本项目符合《钦州市生态环境分区管控动态更新成果（2023年）》</w:t>
      </w:r>
      <w:r>
        <w:rPr>
          <w:color w:val="000000" w:themeColor="text1"/>
          <w14:textFill>
            <w14:solidFill>
              <w14:schemeClr w14:val="tx1"/>
            </w14:solidFill>
          </w14:textFill>
        </w:rPr>
        <w:t>。</w:t>
      </w:r>
    </w:p>
    <w:bookmarkEnd w:id="473"/>
    <w:bookmarkEnd w:id="474"/>
    <w:bookmarkEnd w:id="475"/>
    <w:p w14:paraId="51D3D6C0">
      <w:pPr>
        <w:ind w:firstLine="480"/>
        <w:rPr>
          <w:rFonts w:hint="eastAsia"/>
          <w:color w:val="000000" w:themeColor="text1"/>
          <w14:textFill>
            <w14:solidFill>
              <w14:schemeClr w14:val="tx1"/>
            </w14:solidFill>
          </w14:textFill>
        </w:rPr>
      </w:pPr>
    </w:p>
    <w:p w14:paraId="22BCB706">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《钦州市国土空间总体规划（2021-2035年）》</w:t>
      </w:r>
      <w:r>
        <w:rPr>
          <w:color w:val="000000" w:themeColor="text1"/>
          <w14:textFill>
            <w14:solidFill>
              <w14:schemeClr w14:val="tx1"/>
            </w14:solidFill>
          </w14:textFill>
        </w:rPr>
        <w:t>符合性分析</w:t>
      </w:r>
    </w:p>
    <w:p w14:paraId="1943D951">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钦州市国土空间总体规划（2021-2035年）》已于2024年1月24日取得广西壮族自治区人民政府的批复（桂政函〔2024〕17号），本项目位于金鼓江交通运输用海区。其发展指引与管控要求为：海岸交通运输用海区主要用于近岸港口陆域、码头、港池等航运设施建设，重点保障平陆运河、金鼓江、大榄坪等发展需要；近海交通运输用海区主要用于港外航道、锚地等航运用海。在已经开发利用的港区、锚地、航道以及规定的航路及其保护范围内，禁止开展与航运无关、有碍航行安全的活动；原则上禁止其他海岸工程或海洋工程占用深水岸线资源；在未开发利用的港区内，对无碍交通运输功能发挥的海洋开发活动尤其是渔业开发活动可暂时予以保留；在不影响交通运输用海及安全的前提下，可兼容临海工业用海。</w:t>
      </w:r>
    </w:p>
    <w:p w14:paraId="5DCA60AA">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本项目为液体危化品码头扩建项目，拟</w:t>
      </w:r>
      <w:r>
        <w:rPr>
          <w:color w:val="000000" w:themeColor="text1"/>
          <w:u w:val="single"/>
          <w14:textFill>
            <w14:solidFill>
              <w14:schemeClr w14:val="tx1"/>
            </w14:solidFill>
          </w14:textFill>
        </w:rPr>
        <w:t>在</w:t>
      </w:r>
      <w:r>
        <w:rPr>
          <w:rFonts w:hint="eastAsia"/>
          <w:color w:val="000000" w:themeColor="text1"/>
          <w:u w:val="single"/>
          <w14:textFill>
            <w14:solidFill>
              <w14:schemeClr w14:val="tx1"/>
            </w14:solidFill>
          </w14:textFill>
        </w:rPr>
        <w:t>14</w:t>
      </w:r>
      <w:r>
        <w:rPr>
          <w:color w:val="000000" w:themeColor="text1"/>
          <w:u w:val="single"/>
          <w14:textFill>
            <w14:solidFill>
              <w14:schemeClr w14:val="tx1"/>
            </w14:solidFill>
          </w14:textFill>
        </w:rPr>
        <w:t>号新增装卸货种。</w:t>
      </w:r>
      <w:r>
        <w:rPr>
          <w:rFonts w:hint="eastAsia"/>
          <w:color w:val="000000" w:themeColor="text1"/>
          <w:u w:val="single"/>
          <w14:textFill>
            <w14:solidFill>
              <w14:schemeClr w14:val="tx1"/>
            </w14:solidFill>
          </w14:textFill>
        </w:rPr>
        <w:t>本项目在14</w:t>
      </w:r>
      <w:r>
        <w:rPr>
          <w:color w:val="000000" w:themeColor="text1"/>
          <w:u w:val="single"/>
          <w14:textFill>
            <w14:solidFill>
              <w14:schemeClr w14:val="tx1"/>
            </w14:solidFill>
          </w14:textFill>
        </w:rPr>
        <w:t>号</w:t>
      </w:r>
      <w:r>
        <w:rPr>
          <w:rFonts w:hint="eastAsia"/>
          <w:color w:val="000000" w:themeColor="text1"/>
          <w:u w:val="single"/>
          <w14:textFill>
            <w14:solidFill>
              <w14:schemeClr w14:val="tx1"/>
            </w14:solidFill>
          </w14:textFill>
        </w:rPr>
        <w:t>基础上进行扩建，不涉及新增围填海和疏浚。本项目的建设对打造国家级钦州石化产业基地、形成北部湾石化产业集群具有积极意义，符合《钦州市国土空间总体规划（2021-2035年）》管控要求。</w:t>
      </w:r>
    </w:p>
    <w:p w14:paraId="172BCE48">
      <w:pPr>
        <w:pStyle w:val="4"/>
        <w:rPr>
          <w:color w:val="000000" w:themeColor="text1"/>
          <w14:textFill>
            <w14:solidFill>
              <w14:schemeClr w14:val="tx1"/>
            </w14:solidFill>
          </w14:textFill>
        </w:rPr>
      </w:pPr>
      <w:bookmarkStart w:id="478" w:name="_Toc216620523"/>
      <w:bookmarkStart w:id="479" w:name="_Toc136878458"/>
      <w:bookmarkStart w:id="480" w:name="_Toc135090209"/>
      <w:bookmarkStart w:id="481" w:name="_Toc216103364"/>
      <w:r>
        <w:rPr>
          <w:color w:val="000000" w:themeColor="text1"/>
          <w14:textFill>
            <w14:solidFill>
              <w14:schemeClr w14:val="tx1"/>
            </w14:solidFill>
          </w14:textFill>
        </w:rPr>
        <w:t>施工期污染源强核算</w:t>
      </w:r>
      <w:bookmarkEnd w:id="478"/>
      <w:bookmarkEnd w:id="479"/>
      <w:bookmarkEnd w:id="480"/>
      <w:bookmarkEnd w:id="481"/>
    </w:p>
    <w:p w14:paraId="6BDEAFC9">
      <w:pPr>
        <w:pStyle w:val="6"/>
        <w:rPr>
          <w:color w:val="000000" w:themeColor="text1"/>
          <w14:textFill>
            <w14:solidFill>
              <w14:schemeClr w14:val="tx1"/>
            </w14:solidFill>
          </w14:textFill>
        </w:rPr>
      </w:pPr>
      <w:r>
        <w:rPr>
          <w:color w:val="000000" w:themeColor="text1"/>
          <w14:textFill>
            <w14:solidFill>
              <w14:schemeClr w14:val="tx1"/>
            </w14:solidFill>
          </w14:textFill>
        </w:rPr>
        <w:t>大气污染源强核算</w:t>
      </w:r>
    </w:p>
    <w:p w14:paraId="3894768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施工</w:t>
      </w:r>
      <w:r>
        <w:rPr>
          <w:rFonts w:hint="eastAsia"/>
          <w:color w:val="000000" w:themeColor="text1"/>
          <w14:textFill>
            <w14:solidFill>
              <w14:schemeClr w14:val="tx1"/>
            </w14:solidFill>
          </w14:textFill>
        </w:rPr>
        <w:t>工艺及产污节点</w:t>
      </w:r>
    </w:p>
    <w:p w14:paraId="11DE417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（1）装卸臂（软管）安装</w:t>
      </w:r>
    </w:p>
    <w:p w14:paraId="4801C0A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驳船开至指定码头（系缆绳固定）→浮吊靠近驳船（锚固）→浮吊吊起驳船上装卸臂（软管），驳船开走→浮吊前移，调节拨杆角度，并把设备平稳地移至设置安装位置。起驳船作业过程会产生船舶废气和噪声，装卸臂（软管）安装与调试会产生噪声。</w:t>
      </w:r>
    </w:p>
    <w:p w14:paraId="02F4848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（2）管道安装施工</w:t>
      </w:r>
    </w:p>
    <w:p w14:paraId="1B3C8CD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码头的敷管工作，依据施工图在预制场地完成下料、预制工作后分别运到现场安装。管廊上管道运输、吊装及敷设是管道工程施工量最大的环节，多为交叉作业，可用空间狭小，工作面有限。</w:t>
      </w:r>
    </w:p>
    <w:p w14:paraId="6BA8026F">
      <w:pPr>
        <w:ind w:firstLine="480"/>
        <w:rPr>
          <w:color w:val="000000" w:themeColor="text1"/>
          <w14:textFill>
            <w14:solidFill>
              <w14:schemeClr w14:val="tx1"/>
            </w14:solidFill>
          </w14:textFill>
        </w:rPr>
      </w:pPr>
    </w:p>
    <w:p w14:paraId="7EDEFDB2">
      <w:pPr>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760720" cy="731520"/>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760720" cy="731520"/>
                    </a:xfrm>
                    <a:prstGeom prst="rect">
                      <a:avLst/>
                    </a:prstGeom>
                    <a:noFill/>
                    <a:ln>
                      <a:noFill/>
                    </a:ln>
                    <a:effectLst/>
                  </pic:spPr>
                </pic:pic>
              </a:graphicData>
            </a:graphic>
          </wp:inline>
        </w:drawing>
      </w:r>
      <w:r>
        <w:rPr>
          <w:rFonts w:hint="eastAsia"/>
          <w:b/>
          <w:bCs/>
          <w:color w:val="000000" w:themeColor="text1"/>
          <w14:textFill>
            <w14:solidFill>
              <w14:schemeClr w14:val="tx1"/>
            </w14:solidFill>
          </w14:textFill>
        </w:rPr>
        <w:t>图2.3-1 主要施工工艺产污节点</w:t>
      </w:r>
    </w:p>
    <w:p w14:paraId="1C40D36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2、源强分析</w:t>
      </w:r>
    </w:p>
    <w:p w14:paraId="1AF6A74F">
      <w:pPr>
        <w:widowControl/>
        <w:ind w:firstLine="480"/>
        <w:jc w:val="left"/>
        <w:rPr>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w:t>
      </w:r>
      <w:r>
        <w:rPr>
          <w:color w:val="000000" w:themeColor="text1"/>
          <w:kern w:val="0"/>
          <w:lang w:bidi="ar"/>
          <w14:textFill>
            <w14:solidFill>
              <w14:schemeClr w14:val="tx1"/>
            </w14:solidFill>
          </w14:textFill>
        </w:rPr>
        <w:t>1</w:t>
      </w:r>
      <w:r>
        <w:rPr>
          <w:rFonts w:hint="eastAsia" w:cs="宋体"/>
          <w:color w:val="000000" w:themeColor="text1"/>
          <w:kern w:val="0"/>
          <w:lang w:bidi="ar"/>
          <w14:textFill>
            <w14:solidFill>
              <w14:schemeClr w14:val="tx1"/>
            </w14:solidFill>
          </w14:textFill>
        </w:rPr>
        <w:t>）大气污染源主要有</w:t>
      </w:r>
      <w:r>
        <w:rPr>
          <w:rFonts w:hint="eastAsia"/>
          <w:color w:val="000000" w:themeColor="text1"/>
          <w14:textFill>
            <w14:solidFill>
              <w14:schemeClr w14:val="tx1"/>
            </w14:solidFill>
          </w14:textFill>
        </w:rPr>
        <w:t>施工扬尘、施工机械废气、焊接烟尘和涂漆废气等。</w:t>
      </w:r>
    </w:p>
    <w:p w14:paraId="06C84EC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①施工扬尘</w:t>
      </w:r>
    </w:p>
    <w:p w14:paraId="39B44A9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w:t>
      </w:r>
      <w:r>
        <w:rPr>
          <w:rFonts w:hint="eastAsia"/>
          <w:color w:val="000000" w:themeColor="text1"/>
          <w:lang w:eastAsia="zh-CN"/>
          <w14:textFill>
            <w14:solidFill>
              <w14:schemeClr w14:val="tx1"/>
            </w14:solidFill>
          </w14:textFill>
        </w:rPr>
        <w:t>期间</w:t>
      </w:r>
      <w:r>
        <w:rPr>
          <w:rFonts w:hint="eastAsia"/>
          <w:color w:val="000000" w:themeColor="text1"/>
          <w14:textFill>
            <w14:solidFill>
              <w14:schemeClr w14:val="tx1"/>
            </w14:solidFill>
          </w14:textFill>
        </w:rPr>
        <w:t>材料运输堆存等各种施工活动将给施工现场造成TSP污染影响。根据国内同工程施工现场监测资料，正常风况下，在未采取降尘措施时施工活动将使施工现场TSP近地面浓度达到1.5～3.0mg/m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14:paraId="56F23C0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②施工机械废气</w:t>
      </w:r>
    </w:p>
    <w:p w14:paraId="1AF1C2B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施工期间，运输汽车、吊装船舶等大型机械施工过程中，将有少量的SO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、NO</w:t>
      </w:r>
      <w:r>
        <w:rPr>
          <w:rFonts w:hint="eastAsia"/>
          <w:color w:val="000000" w:themeColor="text1"/>
          <w:vertAlign w:val="subscript"/>
          <w14:textFill>
            <w14:solidFill>
              <w14:schemeClr w14:val="tx1"/>
            </w14:solidFill>
          </w14:textFill>
        </w:rPr>
        <w:t>X</w:t>
      </w:r>
      <w:r>
        <w:rPr>
          <w:rFonts w:hint="eastAsia"/>
          <w:color w:val="000000" w:themeColor="text1"/>
          <w14:textFill>
            <w14:solidFill>
              <w14:schemeClr w14:val="tx1"/>
            </w14:solidFill>
          </w14:textFill>
        </w:rPr>
        <w:t>产生。</w:t>
      </w:r>
    </w:p>
    <w:p w14:paraId="60B7054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③焊接烟尘</w:t>
      </w:r>
    </w:p>
    <w:p w14:paraId="066257D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设备、管道焊接过程中会产生少量焊接烟气，焊接点分散在施工场区内。焊接烟气属于间断的无组织排放，产生的烟尘自重较大，影响范围集中在作业现场附近。由于施工期产生的废气量较少，且施工现场均在开阔区域，有利于空气的扩散，同时废气污染源具有间歇性和流动性，因此对局部地区的环境影响较轻。</w:t>
      </w:r>
    </w:p>
    <w:p w14:paraId="1B30A4E0">
      <w:pPr>
        <w:widowControl/>
        <w:ind w:firstLine="480"/>
        <w:rPr>
          <w:rFonts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w:t>
      </w:r>
      <w:r>
        <w:rPr>
          <w:color w:val="000000" w:themeColor="text1"/>
          <w:kern w:val="0"/>
          <w:lang w:bidi="ar"/>
          <w14:textFill>
            <w14:solidFill>
              <w14:schemeClr w14:val="tx1"/>
            </w14:solidFill>
          </w14:textFill>
        </w:rPr>
        <w:t>2</w:t>
      </w:r>
      <w:r>
        <w:rPr>
          <w:rFonts w:hint="eastAsia" w:cs="宋体"/>
          <w:color w:val="000000" w:themeColor="text1"/>
          <w:kern w:val="0"/>
          <w:lang w:bidi="ar"/>
          <w14:textFill>
            <w14:solidFill>
              <w14:schemeClr w14:val="tx1"/>
            </w14:solidFill>
          </w14:textFill>
        </w:rPr>
        <w:t>）水污染源主要有施工人员生活污水、施工船舶废水、</w:t>
      </w:r>
      <w:r>
        <w:rPr>
          <w:rFonts w:hint="eastAsia"/>
          <w:color w:val="000000" w:themeColor="text1"/>
          <w14:textFill>
            <w14:solidFill>
              <w14:schemeClr w14:val="tx1"/>
            </w14:solidFill>
          </w14:textFill>
        </w:rPr>
        <w:t>试压废水</w:t>
      </w:r>
      <w:r>
        <w:rPr>
          <w:rFonts w:hint="eastAsia" w:cs="宋体"/>
          <w:color w:val="000000" w:themeColor="text1"/>
          <w:kern w:val="0"/>
          <w:lang w:bidi="ar"/>
          <w14:textFill>
            <w14:solidFill>
              <w14:schemeClr w14:val="tx1"/>
            </w14:solidFill>
          </w14:textFill>
        </w:rPr>
        <w:t>。</w:t>
      </w:r>
    </w:p>
    <w:p w14:paraId="1964EE71">
      <w:pPr>
        <w:widowControl/>
        <w:ind w:firstLine="480"/>
        <w:jc w:val="left"/>
        <w:rPr>
          <w:rFonts w:cs="宋体"/>
          <w:color w:val="000000" w:themeColor="text1"/>
          <w:kern w:val="0"/>
          <w:lang w:bidi="ar"/>
          <w14:textFill>
            <w14:solidFill>
              <w14:schemeClr w14:val="tx1"/>
            </w14:solidFill>
          </w14:textFill>
        </w:rPr>
      </w:pPr>
      <w:r>
        <w:rPr>
          <w:rFonts w:hint="eastAsia"/>
          <w:color w:val="000000" w:themeColor="text1"/>
          <w14:textFill>
            <w14:solidFill>
              <w14:schemeClr w14:val="tx1"/>
            </w14:solidFill>
          </w14:textFill>
        </w:rPr>
        <w:t>①</w:t>
      </w:r>
      <w:r>
        <w:rPr>
          <w:rFonts w:hint="eastAsia" w:cs="宋体"/>
          <w:color w:val="000000" w:themeColor="text1"/>
          <w:kern w:val="0"/>
          <w:lang w:bidi="ar"/>
          <w14:textFill>
            <w14:solidFill>
              <w14:schemeClr w14:val="tx1"/>
            </w14:solidFill>
          </w14:textFill>
        </w:rPr>
        <w:t>施工船舶废水</w:t>
      </w:r>
    </w:p>
    <w:p w14:paraId="4F8B5E52">
      <w:pPr>
        <w:ind w:firstLine="480"/>
        <w:rPr>
          <w:color w:val="000000" w:themeColor="text1"/>
          <w:kern w:val="0"/>
          <w:szCs w:val="20"/>
          <w:lang w:bidi="ar"/>
          <w14:textFill>
            <w14:solidFill>
              <w14:schemeClr w14:val="tx1"/>
            </w14:solidFill>
          </w14:textFill>
        </w:rPr>
      </w:pPr>
      <w:r>
        <w:rPr>
          <w:rFonts w:hint="eastAsia"/>
          <w:color w:val="000000" w:themeColor="text1"/>
          <w14:textFill>
            <w14:solidFill>
              <w14:schemeClr w14:val="tx1"/>
            </w14:solidFill>
          </w14:textFill>
        </w:rPr>
        <w:t>施工船舶污水包括船舶机舱油污水和船舶生活污水。装卸臂吊装一般为3～5天，施工过程中会产生少量的船舶污水，本项目船舶污水严格按照船舶污染物监管“联单制</w:t>
      </w:r>
      <w:r>
        <w:rPr>
          <w:color w:val="000000" w:themeColor="text1"/>
          <w14:textFill>
            <w14:solidFill>
              <w14:schemeClr w14:val="tx1"/>
            </w14:solidFill>
          </w14:textFill>
        </w:rPr>
        <w:t>度</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进行管理，委托船舶污染物接收单位进行接收、转运及处置。</w:t>
      </w:r>
    </w:p>
    <w:p w14:paraId="72508C9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rFonts w:hint="eastAsia" w:cs="宋体"/>
          <w:color w:val="000000" w:themeColor="text1"/>
          <w:kern w:val="0"/>
          <w:lang w:bidi="ar"/>
          <w14:textFill>
            <w14:solidFill>
              <w14:schemeClr w14:val="tx1"/>
            </w14:solidFill>
          </w14:textFill>
        </w:rPr>
        <w:t>施工人员生活污水</w:t>
      </w:r>
    </w:p>
    <w:p w14:paraId="628F37F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陆域施工人员约20人/天，按每人每天使用150L生活污水，生活污水排放量按80%计算，生活污水中主要污染物为COD、BOD</w:t>
      </w:r>
      <w:r>
        <w:rPr>
          <w:rFonts w:hint="eastAsia"/>
          <w:color w:val="000000" w:themeColor="text1"/>
          <w:vertAlign w:val="subscript"/>
          <w14:textFill>
            <w14:solidFill>
              <w14:schemeClr w14:val="tx1"/>
            </w14:solidFill>
          </w14:textFill>
        </w:rPr>
        <w:t>5</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，浓度分别按300mg/L、150mg/L</w:t>
      </w:r>
      <w:r>
        <w:rPr>
          <w:color w:val="000000" w:themeColor="text1"/>
          <w14:textFill>
            <w14:solidFill>
              <w14:schemeClr w14:val="tx1"/>
            </w14:solidFill>
          </w14:textFill>
        </w:rPr>
        <w:t>、35mg/L</w:t>
      </w:r>
      <w:r>
        <w:rPr>
          <w:rFonts w:hint="eastAsia"/>
          <w:color w:val="000000" w:themeColor="text1"/>
          <w14:textFill>
            <w14:solidFill>
              <w14:schemeClr w14:val="tx1"/>
            </w14:solidFill>
          </w14:textFill>
        </w:rPr>
        <w:t>计算，则施工期间生活污水产生量为2.4m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/d，COD、BOD</w:t>
      </w:r>
      <w:r>
        <w:rPr>
          <w:rFonts w:hint="eastAsia"/>
          <w:color w:val="000000" w:themeColor="text1"/>
          <w:vertAlign w:val="subscript"/>
          <w14:textFill>
            <w14:solidFill>
              <w14:schemeClr w14:val="tx1"/>
            </w14:solidFill>
          </w14:textFill>
        </w:rPr>
        <w:t>5</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产生量分别为0.72kg/d、0.36kg/d、0.084kg/d。本项目施工期为5个月，则项目施工期间共产生废水360m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，污染物COD、BOD</w:t>
      </w:r>
      <w:r>
        <w:rPr>
          <w:rFonts w:hint="eastAsia"/>
          <w:color w:val="000000" w:themeColor="text1"/>
          <w:vertAlign w:val="subscript"/>
          <w14:textFill>
            <w14:solidFill>
              <w14:schemeClr w14:val="tx1"/>
            </w14:solidFill>
          </w14:textFill>
        </w:rPr>
        <w:t>5</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产生量分别约0.108t、0.054t、0.013t。根据以往施工经验，施工人员一般租住附近民房，产生的生活污水依托民房自设的化粪池进行处理。</w:t>
      </w:r>
    </w:p>
    <w:p w14:paraId="3821E94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③试压废水</w:t>
      </w:r>
    </w:p>
    <w:p w14:paraId="1AF0F24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管道施工结束后进行清管和试压，试压前应采用清管器进行清管，并不少于2次。清管是试压前的重要步骤，它利用压缩空气推动清管器，完成清扫管道内杂物、砂石、尘土、积水和浮锈等，清管扫线应具备临时清管器收发设施。管道试压以清洁水作为试验介质，根据管线设计参数，本项目试压废水量约20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，试压废水依托经罐区废水池汇总后进入天宜一期污水处理厂进行处理。</w:t>
      </w:r>
    </w:p>
    <w:p w14:paraId="62B7679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（3）固体废弃物：施工人员生活垃圾、施工废料、施工船舶垃圾。</w:t>
      </w:r>
    </w:p>
    <w:p w14:paraId="1F2E471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①施工人员生活垃圾</w:t>
      </w:r>
    </w:p>
    <w:p w14:paraId="11F4CA2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人员按20人/天，每人每天生活垃圾产生量1kg，施工期按5个月计，则项目施工期间施工人员产生的生活垃圾3.0t，主要是瓜果皮、菜渣、食品包装袋、剩饭等。若生活垃圾处置不当，不仅影响施工区环境卫生，还将为传播疾病的鼠类、蚊、蝇等提供滋生条件，进而导致疾病流行，影响施工人员身体健康。</w:t>
      </w:r>
      <w:r>
        <w:rPr>
          <w:color w:val="000000" w:themeColor="text1"/>
          <w14:textFill>
            <w14:solidFill>
              <w14:schemeClr w14:val="tx1"/>
            </w14:solidFill>
          </w14:textFill>
        </w:rPr>
        <w:t>生活垃圾</w:t>
      </w:r>
      <w:r>
        <w:rPr>
          <w:rFonts w:hint="eastAsia"/>
          <w:color w:val="000000" w:themeColor="text1"/>
          <w14:textFill>
            <w14:solidFill>
              <w14:schemeClr w14:val="tx1"/>
            </w14:solidFill>
          </w14:textFill>
        </w:rPr>
        <w:t>依托当地的处理设施</w:t>
      </w:r>
      <w:r>
        <w:rPr>
          <w:color w:val="000000" w:themeColor="text1"/>
          <w14:textFill>
            <w14:solidFill>
              <w14:schemeClr w14:val="tx1"/>
            </w14:solidFill>
          </w14:textFill>
        </w:rPr>
        <w:t>定点收集后</w:t>
      </w:r>
      <w:r>
        <w:rPr>
          <w:rFonts w:hint="eastAsia"/>
          <w:color w:val="000000" w:themeColor="text1"/>
          <w14:textFill>
            <w14:solidFill>
              <w14:schemeClr w14:val="tx1"/>
            </w14:solidFill>
          </w14:textFill>
        </w:rPr>
        <w:t>，由环卫部门</w:t>
      </w:r>
      <w:r>
        <w:rPr>
          <w:color w:val="000000" w:themeColor="text1"/>
          <w14:textFill>
            <w14:solidFill>
              <w14:schemeClr w14:val="tx1"/>
            </w14:solidFill>
          </w14:textFill>
        </w:rPr>
        <w:t>统一</w:t>
      </w:r>
      <w:r>
        <w:rPr>
          <w:rFonts w:hint="eastAsia"/>
          <w:color w:val="000000" w:themeColor="text1"/>
          <w14:textFill>
            <w14:solidFill>
              <w14:schemeClr w14:val="tx1"/>
            </w14:solidFill>
          </w14:textFill>
        </w:rPr>
        <w:t>清运</w:t>
      </w:r>
      <w:r>
        <w:rPr>
          <w:color w:val="000000" w:themeColor="text1"/>
          <w14:textFill>
            <w14:solidFill>
              <w14:schemeClr w14:val="tx1"/>
            </w14:solidFill>
          </w14:textFill>
        </w:rPr>
        <w:t>处理。</w:t>
      </w:r>
    </w:p>
    <w:p w14:paraId="798E9F5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②施工废料</w:t>
      </w:r>
    </w:p>
    <w:p w14:paraId="3D74369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施工废料主要包括防腐作业中产生的废防腐材料及废</w:t>
      </w:r>
      <w:r>
        <w:rPr>
          <w:rFonts w:hint="eastAsia"/>
          <w:bCs/>
          <w:color w:val="000000" w:themeColor="text1"/>
          <w14:textFill>
            <w14:solidFill>
              <w14:schemeClr w14:val="tx1"/>
            </w14:solidFill>
          </w14:textFill>
        </w:rPr>
        <w:t>硅酸钙保温材料</w:t>
      </w:r>
      <w:r>
        <w:rPr>
          <w:rFonts w:hint="eastAsia"/>
          <w:color w:val="000000" w:themeColor="text1"/>
          <w14:textFill>
            <w14:solidFill>
              <w14:schemeClr w14:val="tx1"/>
            </w14:solidFill>
          </w14:textFill>
        </w:rPr>
        <w:t>等。根据类比调查，施工废料的产生量按0.1t/km估算，本项目施工过程中产生的施工废料量约为0.12t。施工废料部分可回收利用，剩余废料集中收集后运往城建部门指定地点进行处置。</w:t>
      </w:r>
    </w:p>
    <w:p w14:paraId="1D40DE4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color w:val="000000" w:themeColor="text1"/>
          <w14:textFill>
            <w14:solidFill>
              <w14:schemeClr w14:val="tx1"/>
            </w14:solidFill>
          </w14:textFill>
        </w:rPr>
        <w:t>施工船舶</w:t>
      </w:r>
      <w:r>
        <w:rPr>
          <w:rFonts w:hint="eastAsia"/>
          <w:color w:val="000000" w:themeColor="text1"/>
          <w14:textFill>
            <w14:solidFill>
              <w14:schemeClr w14:val="tx1"/>
            </w14:solidFill>
          </w14:textFill>
        </w:rPr>
        <w:t>垃圾</w:t>
      </w:r>
    </w:p>
    <w:p w14:paraId="5E51973C">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施工船舶</w:t>
      </w:r>
      <w:r>
        <w:rPr>
          <w:rFonts w:hint="eastAsia"/>
          <w:color w:val="000000" w:themeColor="text1"/>
          <w14:textFill>
            <w14:solidFill>
              <w14:schemeClr w14:val="tx1"/>
            </w14:solidFill>
          </w14:textFill>
        </w:rPr>
        <w:t>垃圾主要为船舶人员生活垃圾</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装卸臂吊装一般为3～5天，施工过程中会产生少量的船舶垃圾，施工船舶垃圾</w:t>
      </w:r>
      <w:r>
        <w:rPr>
          <w:color w:val="000000" w:themeColor="text1"/>
          <w14:textFill>
            <w14:solidFill>
              <w14:schemeClr w14:val="tx1"/>
            </w14:solidFill>
          </w14:textFill>
        </w:rPr>
        <w:t>严格按照船舶污染物监管</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联单制度</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进行管理，委托船舶污染物接收单位进行接收、转运及处置。</w:t>
      </w:r>
    </w:p>
    <w:p w14:paraId="54B7B5A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（4）噪声：施工机械产生的噪声，</w:t>
      </w:r>
      <w:r>
        <w:rPr>
          <w:color w:val="000000" w:themeColor="text1"/>
          <w14:textFill>
            <w14:solidFill>
              <w14:schemeClr w14:val="tx1"/>
            </w14:solidFill>
          </w14:textFill>
        </w:rPr>
        <w:t>如切割机、吊管机、电焊机、</w:t>
      </w:r>
      <w:r>
        <w:rPr>
          <w:rFonts w:hint="eastAsia"/>
          <w:color w:val="000000" w:themeColor="text1"/>
          <w14:textFill>
            <w14:solidFill>
              <w14:schemeClr w14:val="tx1"/>
            </w14:solidFill>
          </w14:textFill>
        </w:rPr>
        <w:t>施工船舶</w:t>
      </w:r>
      <w:r>
        <w:rPr>
          <w:color w:val="000000" w:themeColor="text1"/>
          <w14:textFill>
            <w14:solidFill>
              <w14:schemeClr w14:val="tx1"/>
            </w14:solidFill>
          </w14:textFill>
        </w:rPr>
        <w:t>等，其强度在85~</w:t>
      </w:r>
      <w:r>
        <w:rPr>
          <w:rFonts w:hint="eastAsia"/>
          <w:color w:val="000000" w:themeColor="text1"/>
          <w14:textFill>
            <w14:solidFill>
              <w14:schemeClr w14:val="tx1"/>
            </w14:solidFill>
          </w14:textFill>
        </w:rPr>
        <w:t>95</w:t>
      </w:r>
      <w:r>
        <w:rPr>
          <w:color w:val="000000" w:themeColor="text1"/>
          <w14:textFill>
            <w14:solidFill>
              <w14:schemeClr w14:val="tx1"/>
            </w14:solidFill>
          </w14:textFill>
        </w:rPr>
        <w:t>dB(A)，具体见表2.3-3。</w:t>
      </w:r>
    </w:p>
    <w:p w14:paraId="0097A374">
      <w:pPr>
        <w:pStyle w:val="7"/>
        <w:tabs>
          <w:tab w:val="left" w:pos="2127"/>
          <w:tab w:val="left" w:pos="2411"/>
        </w:tabs>
        <w:rPr>
          <w:color w:val="000000" w:themeColor="text1"/>
          <w14:textFill>
            <w14:solidFill>
              <w14:schemeClr w14:val="tx1"/>
            </w14:solidFill>
          </w14:textFill>
        </w:rPr>
      </w:pPr>
      <w:r>
        <w:rPr>
          <w:color w:val="000000" w:themeColor="text1"/>
          <w14:textFill>
            <w14:solidFill>
              <w14:schemeClr w14:val="tx1"/>
            </w14:solidFill>
          </w14:textFill>
        </w:rPr>
        <w:t xml:space="preserve">   施工机械（车辆）污染物排放情况</w:t>
      </w:r>
    </w:p>
    <w:tbl>
      <w:tblPr>
        <w:tblStyle w:val="43"/>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910"/>
        <w:gridCol w:w="3298"/>
        <w:gridCol w:w="3311"/>
      </w:tblGrid>
      <w:tr w14:paraId="043193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4" w:hRule="atLeast"/>
          <w:jc w:val="center"/>
        </w:trPr>
        <w:tc>
          <w:tcPr>
            <w:tcW w:w="1121" w:type="pct"/>
            <w:vAlign w:val="center"/>
          </w:tcPr>
          <w:p w14:paraId="7372FD73">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序号</w:t>
            </w:r>
          </w:p>
        </w:tc>
        <w:tc>
          <w:tcPr>
            <w:tcW w:w="1935" w:type="pct"/>
            <w:vAlign w:val="center"/>
          </w:tcPr>
          <w:p w14:paraId="438DF7A8">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噪声源</w:t>
            </w:r>
          </w:p>
        </w:tc>
        <w:tc>
          <w:tcPr>
            <w:tcW w:w="1943" w:type="pct"/>
            <w:vAlign w:val="center"/>
          </w:tcPr>
          <w:p w14:paraId="2963BB19">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噪声强度dB(A)</w:t>
            </w:r>
          </w:p>
        </w:tc>
      </w:tr>
      <w:tr w14:paraId="2E4CB7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21" w:type="pct"/>
            <w:vAlign w:val="center"/>
          </w:tcPr>
          <w:p w14:paraId="00175586">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935" w:type="pct"/>
            <w:vAlign w:val="center"/>
          </w:tcPr>
          <w:p w14:paraId="2E0D6F9E">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切割机</w:t>
            </w:r>
          </w:p>
        </w:tc>
        <w:tc>
          <w:tcPr>
            <w:tcW w:w="1943" w:type="pct"/>
            <w:vAlign w:val="center"/>
          </w:tcPr>
          <w:p w14:paraId="517C6346">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95</w:t>
            </w:r>
          </w:p>
        </w:tc>
      </w:tr>
      <w:tr w14:paraId="35215A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1121" w:type="pct"/>
            <w:vAlign w:val="center"/>
          </w:tcPr>
          <w:p w14:paraId="483C2D2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1935" w:type="pct"/>
            <w:vAlign w:val="center"/>
          </w:tcPr>
          <w:p w14:paraId="5751A0B2">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吊管机</w:t>
            </w:r>
          </w:p>
        </w:tc>
        <w:tc>
          <w:tcPr>
            <w:tcW w:w="1943" w:type="pct"/>
            <w:vAlign w:val="center"/>
          </w:tcPr>
          <w:p w14:paraId="76E1B421">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88</w:t>
            </w:r>
          </w:p>
        </w:tc>
      </w:tr>
      <w:tr w14:paraId="2D450F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21" w:type="pct"/>
            <w:vAlign w:val="center"/>
          </w:tcPr>
          <w:p w14:paraId="5BC81F7E">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1935" w:type="pct"/>
            <w:vAlign w:val="center"/>
          </w:tcPr>
          <w:p w14:paraId="6509A3E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电焊机</w:t>
            </w:r>
          </w:p>
        </w:tc>
        <w:tc>
          <w:tcPr>
            <w:tcW w:w="1943" w:type="pct"/>
            <w:vAlign w:val="center"/>
          </w:tcPr>
          <w:p w14:paraId="76AA574B">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85</w:t>
            </w:r>
          </w:p>
        </w:tc>
      </w:tr>
      <w:tr w14:paraId="3287E0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2" w:hRule="atLeast"/>
          <w:jc w:val="center"/>
        </w:trPr>
        <w:tc>
          <w:tcPr>
            <w:tcW w:w="1121" w:type="pct"/>
            <w:vAlign w:val="center"/>
          </w:tcPr>
          <w:p w14:paraId="2E83BAD8">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1935" w:type="pct"/>
            <w:vAlign w:val="center"/>
          </w:tcPr>
          <w:p w14:paraId="435C5415">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施工船舶</w:t>
            </w:r>
          </w:p>
        </w:tc>
        <w:tc>
          <w:tcPr>
            <w:tcW w:w="1943" w:type="pct"/>
            <w:vAlign w:val="center"/>
          </w:tcPr>
          <w:p w14:paraId="485C967A">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90</w:t>
            </w:r>
          </w:p>
        </w:tc>
      </w:tr>
    </w:tbl>
    <w:p w14:paraId="7C7851CE">
      <w:pPr>
        <w:pStyle w:val="7"/>
        <w:rPr>
          <w:color w:val="000000" w:themeColor="text1"/>
          <w14:textFill>
            <w14:solidFill>
              <w14:schemeClr w14:val="tx1"/>
            </w14:solidFill>
          </w14:textFill>
        </w:rPr>
      </w:pP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施工期主要污染物及源强核算表</w:t>
      </w:r>
    </w:p>
    <w:tbl>
      <w:tblPr>
        <w:tblStyle w:val="43"/>
        <w:tblW w:w="5033"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21"/>
        <w:gridCol w:w="1508"/>
        <w:gridCol w:w="951"/>
        <w:gridCol w:w="784"/>
        <w:gridCol w:w="1910"/>
        <w:gridCol w:w="1378"/>
        <w:gridCol w:w="1326"/>
      </w:tblGrid>
      <w:tr w14:paraId="3E140F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6" w:hRule="atLeast"/>
          <w:tblHeader/>
          <w:jc w:val="center"/>
        </w:trPr>
        <w:tc>
          <w:tcPr>
            <w:tcW w:w="420" w:type="pct"/>
            <w:vAlign w:val="center"/>
          </w:tcPr>
          <w:p w14:paraId="6984DCA9">
            <w:pPr>
              <w:pStyle w:val="70"/>
              <w:rPr>
                <w:b/>
                <w:color w:val="000000" w:themeColor="text1"/>
                <w14:textFill>
                  <w14:solidFill>
                    <w14:schemeClr w14:val="tx1"/>
                  </w14:solidFill>
                </w14:textFill>
              </w:rPr>
            </w:pPr>
            <w:r>
              <w:rPr>
                <w:b/>
                <w:color w:val="000000" w:themeColor="text1"/>
                <w14:textFill>
                  <w14:solidFill>
                    <w14:schemeClr w14:val="tx1"/>
                  </w14:solidFill>
                </w14:textFill>
              </w:rPr>
              <w:t>污染</w:t>
            </w:r>
          </w:p>
          <w:p w14:paraId="5A4D7C89">
            <w:pPr>
              <w:pStyle w:val="70"/>
              <w:rPr>
                <w:b/>
                <w:color w:val="000000" w:themeColor="text1"/>
                <w14:textFill>
                  <w14:solidFill>
                    <w14:schemeClr w14:val="tx1"/>
                  </w14:solidFill>
                </w14:textFill>
              </w:rPr>
            </w:pPr>
            <w:r>
              <w:rPr>
                <w:b/>
                <w:color w:val="000000" w:themeColor="text1"/>
                <w14:textFill>
                  <w14:solidFill>
                    <w14:schemeClr w14:val="tx1"/>
                  </w14:solidFill>
                </w14:textFill>
              </w:rPr>
              <w:t>类型</w:t>
            </w:r>
          </w:p>
        </w:tc>
        <w:tc>
          <w:tcPr>
            <w:tcW w:w="879" w:type="pct"/>
            <w:vAlign w:val="center"/>
          </w:tcPr>
          <w:p w14:paraId="2AB3B37C">
            <w:pPr>
              <w:pStyle w:val="70"/>
              <w:rPr>
                <w:b/>
                <w:color w:val="000000" w:themeColor="text1"/>
                <w14:textFill>
                  <w14:solidFill>
                    <w14:schemeClr w14:val="tx1"/>
                  </w14:solidFill>
                </w14:textFill>
              </w:rPr>
            </w:pPr>
            <w:r>
              <w:rPr>
                <w:b/>
                <w:color w:val="000000" w:themeColor="text1"/>
                <w14:textFill>
                  <w14:solidFill>
                    <w14:schemeClr w14:val="tx1"/>
                  </w14:solidFill>
                </w14:textFill>
              </w:rPr>
              <w:t>污染源</w:t>
            </w:r>
          </w:p>
        </w:tc>
        <w:tc>
          <w:tcPr>
            <w:tcW w:w="554" w:type="pct"/>
            <w:vAlign w:val="center"/>
          </w:tcPr>
          <w:p w14:paraId="186785CF">
            <w:pPr>
              <w:pStyle w:val="70"/>
              <w:rPr>
                <w:b/>
                <w:color w:val="000000" w:themeColor="text1"/>
                <w14:textFill>
                  <w14:solidFill>
                    <w14:schemeClr w14:val="tx1"/>
                  </w14:solidFill>
                </w14:textFill>
              </w:rPr>
            </w:pPr>
            <w:r>
              <w:rPr>
                <w:b/>
                <w:color w:val="000000" w:themeColor="text1"/>
                <w14:textFill>
                  <w14:solidFill>
                    <w14:schemeClr w14:val="tx1"/>
                  </w14:solidFill>
                </w14:textFill>
              </w:rPr>
              <w:t>排放量</w:t>
            </w:r>
          </w:p>
        </w:tc>
        <w:tc>
          <w:tcPr>
            <w:tcW w:w="457" w:type="pct"/>
            <w:vAlign w:val="center"/>
          </w:tcPr>
          <w:p w14:paraId="4E0001F2">
            <w:pPr>
              <w:pStyle w:val="70"/>
              <w:rPr>
                <w:b/>
                <w:color w:val="000000" w:themeColor="text1"/>
                <w14:textFill>
                  <w14:solidFill>
                    <w14:schemeClr w14:val="tx1"/>
                  </w14:solidFill>
                </w14:textFill>
              </w:rPr>
            </w:pPr>
            <w:r>
              <w:rPr>
                <w:b/>
                <w:color w:val="000000" w:themeColor="text1"/>
                <w14:textFill>
                  <w14:solidFill>
                    <w14:schemeClr w14:val="tx1"/>
                  </w14:solidFill>
                </w14:textFill>
              </w:rPr>
              <w:t>排放</w:t>
            </w:r>
          </w:p>
          <w:p w14:paraId="6BECB18F">
            <w:pPr>
              <w:pStyle w:val="70"/>
              <w:rPr>
                <w:b/>
                <w:color w:val="000000" w:themeColor="text1"/>
                <w14:textFill>
                  <w14:solidFill>
                    <w14:schemeClr w14:val="tx1"/>
                  </w14:solidFill>
                </w14:textFill>
              </w:rPr>
            </w:pPr>
            <w:r>
              <w:rPr>
                <w:b/>
                <w:color w:val="000000" w:themeColor="text1"/>
                <w14:textFill>
                  <w14:solidFill>
                    <w14:schemeClr w14:val="tx1"/>
                  </w14:solidFill>
                </w14:textFill>
              </w:rPr>
              <w:t>方式</w:t>
            </w:r>
          </w:p>
        </w:tc>
        <w:tc>
          <w:tcPr>
            <w:tcW w:w="1113" w:type="pct"/>
            <w:vAlign w:val="center"/>
          </w:tcPr>
          <w:p w14:paraId="537B248A">
            <w:pPr>
              <w:pStyle w:val="70"/>
              <w:rPr>
                <w:b/>
                <w:color w:val="000000" w:themeColor="text1"/>
                <w14:textFill>
                  <w14:solidFill>
                    <w14:schemeClr w14:val="tx1"/>
                  </w14:solidFill>
                </w14:textFill>
              </w:rPr>
            </w:pPr>
            <w:r>
              <w:rPr>
                <w:b/>
                <w:color w:val="000000" w:themeColor="text1"/>
                <w14:textFill>
                  <w14:solidFill>
                    <w14:schemeClr w14:val="tx1"/>
                  </w14:solidFill>
                </w14:textFill>
              </w:rPr>
              <w:t>主要污染物</w:t>
            </w:r>
          </w:p>
        </w:tc>
        <w:tc>
          <w:tcPr>
            <w:tcW w:w="803" w:type="pct"/>
            <w:vAlign w:val="center"/>
          </w:tcPr>
          <w:p w14:paraId="165A0B6B">
            <w:pPr>
              <w:pStyle w:val="70"/>
              <w:rPr>
                <w:b/>
                <w:color w:val="000000" w:themeColor="text1"/>
                <w14:textFill>
                  <w14:solidFill>
                    <w14:schemeClr w14:val="tx1"/>
                  </w14:solidFill>
                </w14:textFill>
              </w:rPr>
            </w:pPr>
            <w:r>
              <w:rPr>
                <w:b/>
                <w:color w:val="000000" w:themeColor="text1"/>
                <w14:textFill>
                  <w14:solidFill>
                    <w14:schemeClr w14:val="tx1"/>
                  </w14:solidFill>
                </w14:textFill>
              </w:rPr>
              <w:t>排放去向</w:t>
            </w:r>
          </w:p>
        </w:tc>
        <w:tc>
          <w:tcPr>
            <w:tcW w:w="773" w:type="pct"/>
            <w:vAlign w:val="center"/>
          </w:tcPr>
          <w:p w14:paraId="67D5A472">
            <w:pPr>
              <w:pStyle w:val="70"/>
              <w:rPr>
                <w:b/>
                <w:color w:val="000000" w:themeColor="text1"/>
                <w14:textFill>
                  <w14:solidFill>
                    <w14:schemeClr w14:val="tx1"/>
                  </w14:solidFill>
                </w14:textFill>
              </w:rPr>
            </w:pPr>
            <w:r>
              <w:rPr>
                <w:b/>
                <w:color w:val="000000" w:themeColor="text1"/>
                <w14:textFill>
                  <w14:solidFill>
                    <w14:schemeClr w14:val="tx1"/>
                  </w14:solidFill>
                </w14:textFill>
              </w:rPr>
              <w:t>核算方法</w:t>
            </w:r>
          </w:p>
        </w:tc>
      </w:tr>
      <w:tr w14:paraId="41630C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4" w:hRule="atLeast"/>
          <w:jc w:val="center"/>
        </w:trPr>
        <w:tc>
          <w:tcPr>
            <w:tcW w:w="420" w:type="pct"/>
            <w:vMerge w:val="restart"/>
            <w:vAlign w:val="center"/>
          </w:tcPr>
          <w:p w14:paraId="4FFC3C4C">
            <w:pPr>
              <w:pStyle w:val="70"/>
              <w:rPr>
                <w:color w:val="000000" w:themeColor="text1"/>
                <w14:textFill>
                  <w14:solidFill>
                    <w14:schemeClr w14:val="tx1"/>
                  </w14:solidFill>
                </w14:textFill>
              </w:rPr>
            </w:pPr>
            <w:r>
              <w:rPr>
                <w:color w:val="000000" w:themeColor="text1"/>
                <w14:textFill>
                  <w14:solidFill>
                    <w14:schemeClr w14:val="tx1"/>
                  </w14:solidFill>
                </w14:textFill>
              </w:rPr>
              <w:t>废气</w:t>
            </w:r>
          </w:p>
        </w:tc>
        <w:tc>
          <w:tcPr>
            <w:tcW w:w="879" w:type="pct"/>
            <w:vAlign w:val="center"/>
          </w:tcPr>
          <w:p w14:paraId="0266F8B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施工扬尘</w:t>
            </w:r>
          </w:p>
        </w:tc>
        <w:tc>
          <w:tcPr>
            <w:tcW w:w="554" w:type="pct"/>
            <w:vAlign w:val="center"/>
          </w:tcPr>
          <w:p w14:paraId="2C61FD89">
            <w:pPr>
              <w:pStyle w:val="70"/>
              <w:rPr>
                <w:color w:val="000000" w:themeColor="text1"/>
                <w14:textFill>
                  <w14:solidFill>
                    <w14:schemeClr w14:val="tx1"/>
                  </w14:solidFill>
                </w14:textFill>
              </w:rPr>
            </w:pPr>
            <w:r>
              <w:rPr>
                <w:color w:val="000000" w:themeColor="text1"/>
                <w14:textFill>
                  <w14:solidFill>
                    <w14:schemeClr w14:val="tx1"/>
                  </w14:solidFill>
                </w14:textFill>
              </w:rPr>
              <w:t>少量</w:t>
            </w:r>
          </w:p>
        </w:tc>
        <w:tc>
          <w:tcPr>
            <w:tcW w:w="457" w:type="pct"/>
            <w:vAlign w:val="center"/>
          </w:tcPr>
          <w:p w14:paraId="37E96A83">
            <w:pPr>
              <w:pStyle w:val="70"/>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113" w:type="pct"/>
            <w:vAlign w:val="center"/>
          </w:tcPr>
          <w:p w14:paraId="02A2C344">
            <w:pPr>
              <w:pStyle w:val="70"/>
              <w:rPr>
                <w:color w:val="000000" w:themeColor="text1"/>
                <w14:textFill>
                  <w14:solidFill>
                    <w14:schemeClr w14:val="tx1"/>
                  </w14:solidFill>
                </w14:textFill>
              </w:rPr>
            </w:pPr>
            <w:r>
              <w:rPr>
                <w:color w:val="000000" w:themeColor="text1"/>
                <w14:textFill>
                  <w14:solidFill>
                    <w14:schemeClr w14:val="tx1"/>
                  </w14:solidFill>
                </w14:textFill>
              </w:rPr>
              <w:t>粉尘</w:t>
            </w:r>
          </w:p>
        </w:tc>
        <w:tc>
          <w:tcPr>
            <w:tcW w:w="803" w:type="pct"/>
            <w:vAlign w:val="center"/>
          </w:tcPr>
          <w:p w14:paraId="02C4D6F9">
            <w:pPr>
              <w:pStyle w:val="70"/>
              <w:rPr>
                <w:color w:val="000000" w:themeColor="text1"/>
                <w14:textFill>
                  <w14:solidFill>
                    <w14:schemeClr w14:val="tx1"/>
                  </w14:solidFill>
                </w14:textFill>
              </w:rPr>
            </w:pPr>
            <w:r>
              <w:rPr>
                <w:color w:val="000000" w:themeColor="text1"/>
                <w14:textFill>
                  <w14:solidFill>
                    <w14:schemeClr w14:val="tx1"/>
                  </w14:solidFill>
                </w14:textFill>
              </w:rPr>
              <w:t>环境空气</w:t>
            </w:r>
          </w:p>
        </w:tc>
        <w:tc>
          <w:tcPr>
            <w:tcW w:w="773" w:type="pct"/>
            <w:vAlign w:val="center"/>
          </w:tcPr>
          <w:p w14:paraId="3E9092B7">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128A7B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20" w:type="pct"/>
            <w:vMerge w:val="continue"/>
            <w:vAlign w:val="center"/>
          </w:tcPr>
          <w:p w14:paraId="6AC446EB">
            <w:pPr>
              <w:pStyle w:val="70"/>
              <w:rPr>
                <w:color w:val="000000" w:themeColor="text1"/>
                <w14:textFill>
                  <w14:solidFill>
                    <w14:schemeClr w14:val="tx1"/>
                  </w14:solidFill>
                </w14:textFill>
              </w:rPr>
            </w:pPr>
          </w:p>
        </w:tc>
        <w:tc>
          <w:tcPr>
            <w:tcW w:w="879" w:type="pct"/>
            <w:vAlign w:val="center"/>
          </w:tcPr>
          <w:p w14:paraId="73A845B7">
            <w:pPr>
              <w:pStyle w:val="70"/>
              <w:rPr>
                <w:color w:val="000000" w:themeColor="text1"/>
                <w14:textFill>
                  <w14:solidFill>
                    <w14:schemeClr w14:val="tx1"/>
                  </w14:solidFill>
                </w14:textFill>
              </w:rPr>
            </w:pPr>
            <w:r>
              <w:rPr>
                <w:color w:val="000000" w:themeColor="text1"/>
                <w14:textFill>
                  <w14:solidFill>
                    <w14:schemeClr w14:val="tx1"/>
                  </w14:solidFill>
                </w14:textFill>
              </w:rPr>
              <w:t>施工机械废气</w:t>
            </w:r>
          </w:p>
        </w:tc>
        <w:tc>
          <w:tcPr>
            <w:tcW w:w="554" w:type="pct"/>
            <w:vAlign w:val="center"/>
          </w:tcPr>
          <w:p w14:paraId="33525A89">
            <w:pPr>
              <w:pStyle w:val="70"/>
              <w:rPr>
                <w:color w:val="000000" w:themeColor="text1"/>
                <w14:textFill>
                  <w14:solidFill>
                    <w14:schemeClr w14:val="tx1"/>
                  </w14:solidFill>
                </w14:textFill>
              </w:rPr>
            </w:pPr>
            <w:r>
              <w:rPr>
                <w:color w:val="000000" w:themeColor="text1"/>
                <w14:textFill>
                  <w14:solidFill>
                    <w14:schemeClr w14:val="tx1"/>
                  </w14:solidFill>
                </w14:textFill>
              </w:rPr>
              <w:t>少量</w:t>
            </w:r>
          </w:p>
        </w:tc>
        <w:tc>
          <w:tcPr>
            <w:tcW w:w="457" w:type="pct"/>
            <w:vAlign w:val="center"/>
          </w:tcPr>
          <w:p w14:paraId="59764B1F">
            <w:pPr>
              <w:pStyle w:val="70"/>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113" w:type="pct"/>
            <w:vAlign w:val="center"/>
          </w:tcPr>
          <w:p w14:paraId="251B45D4">
            <w:pPr>
              <w:pStyle w:val="70"/>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p>
        </w:tc>
        <w:tc>
          <w:tcPr>
            <w:tcW w:w="803" w:type="pct"/>
            <w:vAlign w:val="center"/>
          </w:tcPr>
          <w:p w14:paraId="0A4FA65B">
            <w:pPr>
              <w:pStyle w:val="70"/>
              <w:rPr>
                <w:color w:val="000000" w:themeColor="text1"/>
                <w14:textFill>
                  <w14:solidFill>
                    <w14:schemeClr w14:val="tx1"/>
                  </w14:solidFill>
                </w14:textFill>
              </w:rPr>
            </w:pPr>
            <w:r>
              <w:rPr>
                <w:color w:val="000000" w:themeColor="text1"/>
                <w14:textFill>
                  <w14:solidFill>
                    <w14:schemeClr w14:val="tx1"/>
                  </w14:solidFill>
                </w14:textFill>
              </w:rPr>
              <w:t>环境空气</w:t>
            </w:r>
          </w:p>
        </w:tc>
        <w:tc>
          <w:tcPr>
            <w:tcW w:w="773" w:type="pct"/>
            <w:vAlign w:val="center"/>
          </w:tcPr>
          <w:p w14:paraId="4A384F3D">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2E35C9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420" w:type="pct"/>
            <w:vMerge w:val="continue"/>
            <w:vAlign w:val="center"/>
          </w:tcPr>
          <w:p w14:paraId="71FD7D27">
            <w:pPr>
              <w:pStyle w:val="70"/>
              <w:rPr>
                <w:color w:val="000000" w:themeColor="text1"/>
                <w14:textFill>
                  <w14:solidFill>
                    <w14:schemeClr w14:val="tx1"/>
                  </w14:solidFill>
                </w14:textFill>
              </w:rPr>
            </w:pPr>
          </w:p>
        </w:tc>
        <w:tc>
          <w:tcPr>
            <w:tcW w:w="879" w:type="pct"/>
            <w:vAlign w:val="center"/>
          </w:tcPr>
          <w:p w14:paraId="471FE97D">
            <w:pPr>
              <w:pStyle w:val="70"/>
              <w:rPr>
                <w:color w:val="000000" w:themeColor="text1"/>
                <w14:textFill>
                  <w14:solidFill>
                    <w14:schemeClr w14:val="tx1"/>
                  </w14:solidFill>
                </w14:textFill>
              </w:rPr>
            </w:pPr>
            <w:r>
              <w:rPr>
                <w:color w:val="000000" w:themeColor="text1"/>
                <w14:textFill>
                  <w14:solidFill>
                    <w14:schemeClr w14:val="tx1"/>
                  </w14:solidFill>
                </w14:textFill>
              </w:rPr>
              <w:t>焊接</w:t>
            </w:r>
          </w:p>
        </w:tc>
        <w:tc>
          <w:tcPr>
            <w:tcW w:w="554" w:type="pct"/>
            <w:vAlign w:val="center"/>
          </w:tcPr>
          <w:p w14:paraId="560C650C">
            <w:pPr>
              <w:pStyle w:val="70"/>
              <w:rPr>
                <w:color w:val="000000" w:themeColor="text1"/>
                <w14:textFill>
                  <w14:solidFill>
                    <w14:schemeClr w14:val="tx1"/>
                  </w14:solidFill>
                </w14:textFill>
              </w:rPr>
            </w:pPr>
            <w:r>
              <w:rPr>
                <w:color w:val="000000" w:themeColor="text1"/>
                <w14:textFill>
                  <w14:solidFill>
                    <w14:schemeClr w14:val="tx1"/>
                  </w14:solidFill>
                </w14:textFill>
              </w:rPr>
              <w:t>少量</w:t>
            </w:r>
          </w:p>
        </w:tc>
        <w:tc>
          <w:tcPr>
            <w:tcW w:w="457" w:type="pct"/>
            <w:vAlign w:val="center"/>
          </w:tcPr>
          <w:p w14:paraId="1E97CA5D">
            <w:pPr>
              <w:pStyle w:val="70"/>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113" w:type="pct"/>
            <w:vAlign w:val="center"/>
          </w:tcPr>
          <w:p w14:paraId="53C3A856">
            <w:pPr>
              <w:pStyle w:val="70"/>
              <w:rPr>
                <w:color w:val="000000" w:themeColor="text1"/>
                <w14:textFill>
                  <w14:solidFill>
                    <w14:schemeClr w14:val="tx1"/>
                  </w14:solidFill>
                </w14:textFill>
              </w:rPr>
            </w:pPr>
            <w:r>
              <w:rPr>
                <w:color w:val="000000" w:themeColor="text1"/>
                <w14:textFill>
                  <w14:solidFill>
                    <w14:schemeClr w14:val="tx1"/>
                  </w14:solidFill>
                </w14:textFill>
              </w:rPr>
              <w:t>烟尘</w:t>
            </w:r>
          </w:p>
        </w:tc>
        <w:tc>
          <w:tcPr>
            <w:tcW w:w="803" w:type="pct"/>
            <w:vAlign w:val="center"/>
          </w:tcPr>
          <w:p w14:paraId="59A9EF27">
            <w:pPr>
              <w:pStyle w:val="70"/>
              <w:rPr>
                <w:color w:val="000000" w:themeColor="text1"/>
                <w14:textFill>
                  <w14:solidFill>
                    <w14:schemeClr w14:val="tx1"/>
                  </w14:solidFill>
                </w14:textFill>
              </w:rPr>
            </w:pPr>
            <w:r>
              <w:rPr>
                <w:color w:val="000000" w:themeColor="text1"/>
                <w14:textFill>
                  <w14:solidFill>
                    <w14:schemeClr w14:val="tx1"/>
                  </w14:solidFill>
                </w14:textFill>
              </w:rPr>
              <w:t>环境空气</w:t>
            </w:r>
          </w:p>
        </w:tc>
        <w:tc>
          <w:tcPr>
            <w:tcW w:w="773" w:type="pct"/>
            <w:vAlign w:val="center"/>
          </w:tcPr>
          <w:p w14:paraId="4C625377">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经验计算法</w:t>
            </w:r>
          </w:p>
        </w:tc>
      </w:tr>
      <w:tr w14:paraId="7FB9B1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420" w:type="pct"/>
            <w:vMerge w:val="continue"/>
            <w:vAlign w:val="center"/>
          </w:tcPr>
          <w:p w14:paraId="735D70D1">
            <w:pPr>
              <w:pStyle w:val="70"/>
              <w:rPr>
                <w:color w:val="000000" w:themeColor="text1"/>
                <w14:textFill>
                  <w14:solidFill>
                    <w14:schemeClr w14:val="tx1"/>
                  </w14:solidFill>
                </w14:textFill>
              </w:rPr>
            </w:pPr>
          </w:p>
        </w:tc>
        <w:tc>
          <w:tcPr>
            <w:tcW w:w="879" w:type="pct"/>
            <w:vAlign w:val="center"/>
          </w:tcPr>
          <w:p w14:paraId="72F69A5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涂漆废气</w:t>
            </w:r>
          </w:p>
        </w:tc>
        <w:tc>
          <w:tcPr>
            <w:tcW w:w="554" w:type="pct"/>
            <w:vAlign w:val="center"/>
          </w:tcPr>
          <w:p w14:paraId="466F46D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0.2</w:t>
            </w:r>
            <w:r>
              <w:rPr>
                <w:color w:val="000000" w:themeColor="text1"/>
                <w14:textFill>
                  <w14:solidFill>
                    <w14:schemeClr w14:val="tx1"/>
                  </w14:solidFill>
                </w14:textFill>
              </w:rPr>
              <w:t>t</w:t>
            </w:r>
          </w:p>
        </w:tc>
        <w:tc>
          <w:tcPr>
            <w:tcW w:w="457" w:type="pct"/>
            <w:vAlign w:val="center"/>
          </w:tcPr>
          <w:p w14:paraId="65F3B2B6">
            <w:pPr>
              <w:pStyle w:val="70"/>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113" w:type="pct"/>
            <w:vAlign w:val="center"/>
          </w:tcPr>
          <w:p w14:paraId="51B99CD5">
            <w:pPr>
              <w:pStyle w:val="70"/>
              <w:rPr>
                <w:color w:val="000000" w:themeColor="text1"/>
                <w14:textFill>
                  <w14:solidFill>
                    <w14:schemeClr w14:val="tx1"/>
                  </w14:solidFill>
                </w14:textFill>
              </w:rPr>
            </w:pPr>
            <w:r>
              <w:rPr>
                <w:color w:val="000000" w:themeColor="text1"/>
                <w14:textFill>
                  <w14:solidFill>
                    <w14:schemeClr w14:val="tx1"/>
                  </w14:solidFill>
                </w14:textFill>
              </w:rPr>
              <w:t>有机废气</w:t>
            </w:r>
          </w:p>
        </w:tc>
        <w:tc>
          <w:tcPr>
            <w:tcW w:w="803" w:type="pct"/>
            <w:vAlign w:val="center"/>
          </w:tcPr>
          <w:p w14:paraId="725C31C6">
            <w:pPr>
              <w:pStyle w:val="70"/>
              <w:rPr>
                <w:color w:val="000000" w:themeColor="text1"/>
                <w14:textFill>
                  <w14:solidFill>
                    <w14:schemeClr w14:val="tx1"/>
                  </w14:solidFill>
                </w14:textFill>
              </w:rPr>
            </w:pPr>
            <w:r>
              <w:rPr>
                <w:color w:val="000000" w:themeColor="text1"/>
                <w14:textFill>
                  <w14:solidFill>
                    <w14:schemeClr w14:val="tx1"/>
                  </w14:solidFill>
                </w14:textFill>
              </w:rPr>
              <w:t>环境空气</w:t>
            </w:r>
          </w:p>
        </w:tc>
        <w:tc>
          <w:tcPr>
            <w:tcW w:w="773" w:type="pct"/>
            <w:vAlign w:val="center"/>
          </w:tcPr>
          <w:p w14:paraId="614FE10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经验计算法</w:t>
            </w:r>
          </w:p>
        </w:tc>
      </w:tr>
      <w:tr w14:paraId="49ADDE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9" w:hRule="atLeast"/>
          <w:jc w:val="center"/>
        </w:trPr>
        <w:tc>
          <w:tcPr>
            <w:tcW w:w="420" w:type="pct"/>
            <w:vMerge w:val="restart"/>
            <w:vAlign w:val="center"/>
          </w:tcPr>
          <w:p w14:paraId="58F52E37">
            <w:pPr>
              <w:pStyle w:val="70"/>
              <w:rPr>
                <w:color w:val="000000" w:themeColor="text1"/>
                <w14:textFill>
                  <w14:solidFill>
                    <w14:schemeClr w14:val="tx1"/>
                  </w14:solidFill>
                </w14:textFill>
              </w:rPr>
            </w:pPr>
            <w:r>
              <w:rPr>
                <w:color w:val="000000" w:themeColor="text1"/>
                <w14:textFill>
                  <w14:solidFill>
                    <w14:schemeClr w14:val="tx1"/>
                  </w14:solidFill>
                </w14:textFill>
              </w:rPr>
              <w:t>废水</w:t>
            </w:r>
          </w:p>
        </w:tc>
        <w:tc>
          <w:tcPr>
            <w:tcW w:w="879" w:type="pct"/>
            <w:vAlign w:val="center"/>
          </w:tcPr>
          <w:p w14:paraId="1D60F490">
            <w:pPr>
              <w:pStyle w:val="70"/>
              <w:rPr>
                <w:color w:val="000000" w:themeColor="text1"/>
                <w14:textFill>
                  <w14:solidFill>
                    <w14:schemeClr w14:val="tx1"/>
                  </w14:solidFill>
                </w14:textFill>
              </w:rPr>
            </w:pPr>
            <w:r>
              <w:rPr>
                <w:color w:val="000000" w:themeColor="text1"/>
                <w14:textFill>
                  <w14:solidFill>
                    <w14:schemeClr w14:val="tx1"/>
                  </w14:solidFill>
                </w14:textFill>
              </w:rPr>
              <w:t>施工人员生活污水</w:t>
            </w:r>
          </w:p>
        </w:tc>
        <w:tc>
          <w:tcPr>
            <w:tcW w:w="554" w:type="pct"/>
            <w:vAlign w:val="center"/>
          </w:tcPr>
          <w:p w14:paraId="2634637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360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p>
        </w:tc>
        <w:tc>
          <w:tcPr>
            <w:tcW w:w="457" w:type="pct"/>
            <w:vAlign w:val="center"/>
          </w:tcPr>
          <w:p w14:paraId="52B4F4F5">
            <w:pPr>
              <w:pStyle w:val="70"/>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113" w:type="pct"/>
            <w:vAlign w:val="center"/>
          </w:tcPr>
          <w:p w14:paraId="0A691C36">
            <w:pPr>
              <w:pStyle w:val="70"/>
              <w:rPr>
                <w:color w:val="000000" w:themeColor="text1"/>
                <w14:textFill>
                  <w14:solidFill>
                    <w14:schemeClr w14:val="tx1"/>
                  </w14:solidFill>
                </w14:textFill>
              </w:rPr>
            </w:pPr>
            <w:r>
              <w:rPr>
                <w:color w:val="000000" w:themeColor="text1"/>
                <w14:textFill>
                  <w14:solidFill>
                    <w14:schemeClr w14:val="tx1"/>
                  </w14:solidFill>
                </w14:textFill>
              </w:rPr>
              <w:t>COD、BOD</w:t>
            </w:r>
            <w:r>
              <w:rPr>
                <w:rFonts w:hint="eastAsia"/>
                <w:color w:val="000000" w:themeColor="text1"/>
                <w:vertAlign w:val="subscript"/>
                <w14:textFill>
                  <w14:solidFill>
                    <w14:schemeClr w14:val="tx1"/>
                  </w14:solidFill>
                </w14:textFill>
              </w:rPr>
              <w:t>5</w:t>
            </w:r>
            <w:r>
              <w:rPr>
                <w:color w:val="000000" w:themeColor="text1"/>
                <w14:textFill>
                  <w14:solidFill>
                    <w14:schemeClr w14:val="tx1"/>
                  </w14:solidFill>
                </w14:textFill>
              </w:rPr>
              <w:t>、NH3-N</w:t>
            </w:r>
          </w:p>
        </w:tc>
        <w:tc>
          <w:tcPr>
            <w:tcW w:w="803" w:type="pct"/>
            <w:vAlign w:val="center"/>
          </w:tcPr>
          <w:p w14:paraId="2E79A0B9">
            <w:pPr>
              <w:pStyle w:val="70"/>
              <w:rPr>
                <w:color w:val="000000" w:themeColor="text1"/>
                <w14:textFill>
                  <w14:solidFill>
                    <w14:schemeClr w14:val="tx1"/>
                  </w14:solidFill>
                </w14:textFill>
              </w:rPr>
            </w:pPr>
            <w:r>
              <w:rPr>
                <w:color w:val="000000" w:themeColor="text1"/>
                <w14:textFill>
                  <w14:solidFill>
                    <w14:schemeClr w14:val="tx1"/>
                  </w14:solidFill>
                </w14:textFill>
              </w:rPr>
              <w:t>居民自设化粪池处理</w:t>
            </w:r>
          </w:p>
        </w:tc>
        <w:tc>
          <w:tcPr>
            <w:tcW w:w="773" w:type="pct"/>
            <w:vAlign w:val="center"/>
          </w:tcPr>
          <w:p w14:paraId="60FB9935">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经验计算法</w:t>
            </w:r>
          </w:p>
        </w:tc>
      </w:tr>
      <w:tr w14:paraId="27DC13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5" w:hRule="atLeast"/>
          <w:jc w:val="center"/>
        </w:trPr>
        <w:tc>
          <w:tcPr>
            <w:tcW w:w="420" w:type="pct"/>
            <w:vMerge w:val="continue"/>
            <w:vAlign w:val="center"/>
          </w:tcPr>
          <w:p w14:paraId="75FFA6AD">
            <w:pPr>
              <w:pStyle w:val="70"/>
              <w:rPr>
                <w:color w:val="000000" w:themeColor="text1"/>
                <w14:textFill>
                  <w14:solidFill>
                    <w14:schemeClr w14:val="tx1"/>
                  </w14:solidFill>
                </w14:textFill>
              </w:rPr>
            </w:pPr>
          </w:p>
        </w:tc>
        <w:tc>
          <w:tcPr>
            <w:tcW w:w="879" w:type="pct"/>
            <w:vAlign w:val="center"/>
          </w:tcPr>
          <w:p w14:paraId="5E8227BB">
            <w:pPr>
              <w:pStyle w:val="70"/>
              <w:rPr>
                <w:color w:val="000000" w:themeColor="text1"/>
                <w14:textFill>
                  <w14:solidFill>
                    <w14:schemeClr w14:val="tx1"/>
                  </w14:solidFill>
                </w14:textFill>
              </w:rPr>
            </w:pPr>
            <w:r>
              <w:rPr>
                <w:color w:val="000000" w:themeColor="text1"/>
                <w14:textFill>
                  <w14:solidFill>
                    <w14:schemeClr w14:val="tx1"/>
                  </w14:solidFill>
                </w14:textFill>
              </w:rPr>
              <w:t>试压废水</w:t>
            </w:r>
          </w:p>
        </w:tc>
        <w:tc>
          <w:tcPr>
            <w:tcW w:w="554" w:type="pct"/>
            <w:vAlign w:val="center"/>
          </w:tcPr>
          <w:p w14:paraId="6235C238">
            <w:pPr>
              <w:pStyle w:val="70"/>
              <w:rPr>
                <w:color w:val="000000" w:themeColor="text1"/>
                <w14:textFill>
                  <w14:solidFill>
                    <w14:schemeClr w14:val="tx1"/>
                  </w14:solidFill>
                </w14:textFill>
              </w:rPr>
            </w:pPr>
            <w:r>
              <w:rPr>
                <w:color w:val="000000" w:themeColor="text1"/>
                <w14:textFill>
                  <w14:solidFill>
                    <w14:schemeClr w14:val="tx1"/>
                  </w14:solidFill>
                </w14:textFill>
              </w:rPr>
              <w:t>20m</w:t>
            </w:r>
            <w:r>
              <w:rPr>
                <w:color w:val="000000" w:themeColor="text1"/>
                <w:vertAlign w:val="superscript"/>
                <w14:textFill>
                  <w14:solidFill>
                    <w14:schemeClr w14:val="tx1"/>
                  </w14:solidFill>
                </w14:textFill>
              </w:rPr>
              <w:t>3</w:t>
            </w:r>
          </w:p>
        </w:tc>
        <w:tc>
          <w:tcPr>
            <w:tcW w:w="457" w:type="pct"/>
            <w:vAlign w:val="center"/>
          </w:tcPr>
          <w:p w14:paraId="5A13C00C">
            <w:pPr>
              <w:pStyle w:val="70"/>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113" w:type="pct"/>
            <w:vAlign w:val="center"/>
          </w:tcPr>
          <w:p w14:paraId="1F2F8F22">
            <w:pPr>
              <w:pStyle w:val="70"/>
              <w:rPr>
                <w:color w:val="000000" w:themeColor="text1"/>
                <w14:textFill>
                  <w14:solidFill>
                    <w14:schemeClr w14:val="tx1"/>
                  </w14:solidFill>
                </w14:textFill>
              </w:rPr>
            </w:pPr>
            <w:r>
              <w:rPr>
                <w:color w:val="000000" w:themeColor="text1"/>
                <w14:textFill>
                  <w14:solidFill>
                    <w14:schemeClr w14:val="tx1"/>
                  </w14:solidFill>
                </w14:textFill>
              </w:rPr>
              <w:t>少量铁锈、泥沙</w:t>
            </w:r>
          </w:p>
        </w:tc>
        <w:tc>
          <w:tcPr>
            <w:tcW w:w="803" w:type="pct"/>
            <w:vAlign w:val="center"/>
          </w:tcPr>
          <w:p w14:paraId="4404B497">
            <w:pPr>
              <w:pStyle w:val="70"/>
              <w:rPr>
                <w:color w:val="000000" w:themeColor="text1"/>
                <w14:textFill>
                  <w14:solidFill>
                    <w14:schemeClr w14:val="tx1"/>
                  </w14:solidFill>
                </w14:textFill>
              </w:rPr>
            </w:pPr>
            <w:r>
              <w:rPr>
                <w:color w:val="000000" w:themeColor="text1"/>
                <w14:textFill>
                  <w14:solidFill>
                    <w14:schemeClr w14:val="tx1"/>
                  </w14:solidFill>
                </w14:textFill>
              </w:rPr>
              <w:t>经沉淀过滤后送污水处理厂</w:t>
            </w:r>
          </w:p>
        </w:tc>
        <w:tc>
          <w:tcPr>
            <w:tcW w:w="773" w:type="pct"/>
            <w:vAlign w:val="center"/>
          </w:tcPr>
          <w:p w14:paraId="6675ECC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经验计算法</w:t>
            </w:r>
          </w:p>
        </w:tc>
      </w:tr>
      <w:tr w14:paraId="530C59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9" w:hRule="atLeast"/>
          <w:jc w:val="center"/>
        </w:trPr>
        <w:tc>
          <w:tcPr>
            <w:tcW w:w="420" w:type="pct"/>
            <w:vMerge w:val="continue"/>
            <w:vAlign w:val="center"/>
          </w:tcPr>
          <w:p w14:paraId="2F25285C">
            <w:pPr>
              <w:pStyle w:val="70"/>
              <w:rPr>
                <w:color w:val="000000" w:themeColor="text1"/>
                <w14:textFill>
                  <w14:solidFill>
                    <w14:schemeClr w14:val="tx1"/>
                  </w14:solidFill>
                </w14:textFill>
              </w:rPr>
            </w:pPr>
          </w:p>
        </w:tc>
        <w:tc>
          <w:tcPr>
            <w:tcW w:w="879" w:type="pct"/>
            <w:vAlign w:val="center"/>
          </w:tcPr>
          <w:p w14:paraId="008935D7">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船舶污水</w:t>
            </w:r>
          </w:p>
        </w:tc>
        <w:tc>
          <w:tcPr>
            <w:tcW w:w="554" w:type="pct"/>
            <w:vAlign w:val="center"/>
          </w:tcPr>
          <w:p w14:paraId="1B147A6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少量</w:t>
            </w:r>
          </w:p>
        </w:tc>
        <w:tc>
          <w:tcPr>
            <w:tcW w:w="457" w:type="pct"/>
            <w:vAlign w:val="center"/>
          </w:tcPr>
          <w:p w14:paraId="5954EF2C">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间断</w:t>
            </w:r>
          </w:p>
        </w:tc>
        <w:tc>
          <w:tcPr>
            <w:tcW w:w="1113" w:type="pct"/>
            <w:vAlign w:val="center"/>
          </w:tcPr>
          <w:p w14:paraId="39417534">
            <w:pPr>
              <w:pStyle w:val="70"/>
              <w:rPr>
                <w:color w:val="000000" w:themeColor="text1"/>
                <w14:textFill>
                  <w14:solidFill>
                    <w14:schemeClr w14:val="tx1"/>
                  </w14:solidFill>
                </w14:textFill>
              </w:rPr>
            </w:pPr>
            <w:r>
              <w:rPr>
                <w:color w:val="000000" w:themeColor="text1"/>
                <w14:textFill>
                  <w14:solidFill>
                    <w14:schemeClr w14:val="tx1"/>
                  </w14:solidFill>
                </w14:textFill>
              </w:rPr>
              <w:t>COD、BOD</w:t>
            </w:r>
            <w:r>
              <w:rPr>
                <w:rFonts w:hint="eastAsia"/>
                <w:color w:val="000000" w:themeColor="text1"/>
                <w:vertAlign w:val="subscript"/>
                <w14:textFill>
                  <w14:solidFill>
                    <w14:schemeClr w14:val="tx1"/>
                  </w14:solidFill>
                </w14:textFill>
              </w:rPr>
              <w:t>5</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NH3-N、石油类</w:t>
            </w:r>
          </w:p>
        </w:tc>
        <w:tc>
          <w:tcPr>
            <w:tcW w:w="803" w:type="pct"/>
            <w:vAlign w:val="center"/>
          </w:tcPr>
          <w:p w14:paraId="199798C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委托有资质的船舶污染物接收单位接收处置</w:t>
            </w:r>
          </w:p>
          <w:p w14:paraId="068331D5">
            <w:pPr>
              <w:pStyle w:val="70"/>
              <w:rPr>
                <w:color w:val="000000" w:themeColor="text1"/>
                <w14:textFill>
                  <w14:solidFill>
                    <w14:schemeClr w14:val="tx1"/>
                  </w14:solidFill>
                </w14:textFill>
              </w:rPr>
            </w:pPr>
          </w:p>
        </w:tc>
        <w:tc>
          <w:tcPr>
            <w:tcW w:w="773" w:type="pct"/>
            <w:vAlign w:val="center"/>
          </w:tcPr>
          <w:p w14:paraId="46C4170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2F8DB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420" w:type="pct"/>
            <w:vMerge w:val="restart"/>
            <w:vAlign w:val="center"/>
          </w:tcPr>
          <w:p w14:paraId="1544B86A">
            <w:pPr>
              <w:pStyle w:val="70"/>
              <w:rPr>
                <w:color w:val="000000" w:themeColor="text1"/>
                <w14:textFill>
                  <w14:solidFill>
                    <w14:schemeClr w14:val="tx1"/>
                  </w14:solidFill>
                </w14:textFill>
              </w:rPr>
            </w:pPr>
            <w:r>
              <w:rPr>
                <w:color w:val="000000" w:themeColor="text1"/>
                <w14:textFill>
                  <w14:solidFill>
                    <w14:schemeClr w14:val="tx1"/>
                  </w14:solidFill>
                </w14:textFill>
              </w:rPr>
              <w:t>固体</w:t>
            </w:r>
          </w:p>
          <w:p w14:paraId="15DA925E">
            <w:pPr>
              <w:pStyle w:val="70"/>
              <w:rPr>
                <w:color w:val="000000" w:themeColor="text1"/>
                <w14:textFill>
                  <w14:solidFill>
                    <w14:schemeClr w14:val="tx1"/>
                  </w14:solidFill>
                </w14:textFill>
              </w:rPr>
            </w:pPr>
            <w:r>
              <w:rPr>
                <w:color w:val="000000" w:themeColor="text1"/>
                <w14:textFill>
                  <w14:solidFill>
                    <w14:schemeClr w14:val="tx1"/>
                  </w14:solidFill>
                </w14:textFill>
              </w:rPr>
              <w:t>废物</w:t>
            </w:r>
          </w:p>
        </w:tc>
        <w:tc>
          <w:tcPr>
            <w:tcW w:w="879" w:type="pct"/>
            <w:vAlign w:val="center"/>
          </w:tcPr>
          <w:p w14:paraId="192A5B5F">
            <w:pPr>
              <w:pStyle w:val="70"/>
              <w:rPr>
                <w:color w:val="000000" w:themeColor="text1"/>
                <w14:textFill>
                  <w14:solidFill>
                    <w14:schemeClr w14:val="tx1"/>
                  </w14:solidFill>
                </w14:textFill>
              </w:rPr>
            </w:pPr>
            <w:r>
              <w:rPr>
                <w:color w:val="000000" w:themeColor="text1"/>
                <w14:textFill>
                  <w14:solidFill>
                    <w14:schemeClr w14:val="tx1"/>
                  </w14:solidFill>
                </w14:textFill>
              </w:rPr>
              <w:t>生活垃圾</w:t>
            </w:r>
          </w:p>
        </w:tc>
        <w:tc>
          <w:tcPr>
            <w:tcW w:w="554" w:type="pct"/>
            <w:vAlign w:val="center"/>
          </w:tcPr>
          <w:p w14:paraId="72BAF6F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3.0</w:t>
            </w:r>
            <w:r>
              <w:rPr>
                <w:color w:val="000000" w:themeColor="text1"/>
                <w14:textFill>
                  <w14:solidFill>
                    <w14:schemeClr w14:val="tx1"/>
                  </w14:solidFill>
                </w14:textFill>
              </w:rPr>
              <w:t>t</w:t>
            </w:r>
          </w:p>
        </w:tc>
        <w:tc>
          <w:tcPr>
            <w:tcW w:w="457" w:type="pct"/>
            <w:vAlign w:val="center"/>
          </w:tcPr>
          <w:p w14:paraId="3283A31C">
            <w:pPr>
              <w:pStyle w:val="70"/>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113" w:type="pct"/>
            <w:vAlign w:val="center"/>
          </w:tcPr>
          <w:p w14:paraId="73866CF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瓜果皮、菜渣、食品包装袋、剩饭等</w:t>
            </w:r>
          </w:p>
        </w:tc>
        <w:tc>
          <w:tcPr>
            <w:tcW w:w="803" w:type="pct"/>
            <w:vAlign w:val="center"/>
          </w:tcPr>
          <w:p w14:paraId="04F6F01A">
            <w:pPr>
              <w:pStyle w:val="70"/>
              <w:rPr>
                <w:color w:val="000000" w:themeColor="text1"/>
                <w14:textFill>
                  <w14:solidFill>
                    <w14:schemeClr w14:val="tx1"/>
                  </w14:solidFill>
                </w14:textFill>
              </w:rPr>
            </w:pPr>
            <w:r>
              <w:rPr>
                <w:color w:val="000000" w:themeColor="text1"/>
                <w14:textFill>
                  <w14:solidFill>
                    <w14:schemeClr w14:val="tx1"/>
                  </w14:solidFill>
                </w14:textFill>
              </w:rPr>
              <w:t>环卫部门处理</w:t>
            </w:r>
          </w:p>
        </w:tc>
        <w:tc>
          <w:tcPr>
            <w:tcW w:w="773" w:type="pct"/>
            <w:vAlign w:val="center"/>
          </w:tcPr>
          <w:p w14:paraId="781853F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经验计算法</w:t>
            </w:r>
          </w:p>
        </w:tc>
      </w:tr>
      <w:tr w14:paraId="69BBCD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10" w:hRule="atLeast"/>
          <w:jc w:val="center"/>
        </w:trPr>
        <w:tc>
          <w:tcPr>
            <w:tcW w:w="420" w:type="pct"/>
            <w:vMerge w:val="continue"/>
            <w:vAlign w:val="center"/>
          </w:tcPr>
          <w:p w14:paraId="6090D3B0">
            <w:pPr>
              <w:pStyle w:val="70"/>
              <w:rPr>
                <w:color w:val="000000" w:themeColor="text1"/>
                <w14:textFill>
                  <w14:solidFill>
                    <w14:schemeClr w14:val="tx1"/>
                  </w14:solidFill>
                </w14:textFill>
              </w:rPr>
            </w:pPr>
          </w:p>
        </w:tc>
        <w:tc>
          <w:tcPr>
            <w:tcW w:w="879" w:type="pct"/>
            <w:vAlign w:val="center"/>
          </w:tcPr>
          <w:p w14:paraId="2CBB4269">
            <w:pPr>
              <w:pStyle w:val="70"/>
              <w:rPr>
                <w:color w:val="000000" w:themeColor="text1"/>
                <w14:textFill>
                  <w14:solidFill>
                    <w14:schemeClr w14:val="tx1"/>
                  </w14:solidFill>
                </w14:textFill>
              </w:rPr>
            </w:pPr>
            <w:r>
              <w:rPr>
                <w:color w:val="000000" w:themeColor="text1"/>
                <w14:textFill>
                  <w14:solidFill>
                    <w14:schemeClr w14:val="tx1"/>
                  </w14:solidFill>
                </w14:textFill>
              </w:rPr>
              <w:t>施工废料</w:t>
            </w:r>
          </w:p>
        </w:tc>
        <w:tc>
          <w:tcPr>
            <w:tcW w:w="554" w:type="pct"/>
            <w:vAlign w:val="center"/>
          </w:tcPr>
          <w:p w14:paraId="69836C65">
            <w:pPr>
              <w:pStyle w:val="70"/>
              <w:rPr>
                <w:color w:val="000000" w:themeColor="text1"/>
                <w14:textFill>
                  <w14:solidFill>
                    <w14:schemeClr w14:val="tx1"/>
                  </w14:solidFill>
                </w14:textFill>
              </w:rPr>
            </w:pPr>
            <w:r>
              <w:rPr>
                <w:color w:val="000000" w:themeColor="text1"/>
                <w14:textFill>
                  <w14:solidFill>
                    <w14:schemeClr w14:val="tx1"/>
                  </w14:solidFill>
                </w14:textFill>
              </w:rPr>
              <w:t>0.</w:t>
            </w:r>
            <w:r>
              <w:rPr>
                <w:rFonts w:hint="eastAsia"/>
                <w:color w:val="000000" w:themeColor="text1"/>
                <w14:textFill>
                  <w14:solidFill>
                    <w14:schemeClr w14:val="tx1"/>
                  </w14:solidFill>
                </w14:textFill>
              </w:rPr>
              <w:t>12</w:t>
            </w:r>
            <w:r>
              <w:rPr>
                <w:color w:val="000000" w:themeColor="text1"/>
                <w14:textFill>
                  <w14:solidFill>
                    <w14:schemeClr w14:val="tx1"/>
                  </w14:solidFill>
                </w14:textFill>
              </w:rPr>
              <w:t>t</w:t>
            </w:r>
          </w:p>
        </w:tc>
        <w:tc>
          <w:tcPr>
            <w:tcW w:w="457" w:type="pct"/>
            <w:vAlign w:val="center"/>
          </w:tcPr>
          <w:p w14:paraId="394B1F88">
            <w:pPr>
              <w:pStyle w:val="70"/>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113" w:type="pct"/>
            <w:vAlign w:val="center"/>
          </w:tcPr>
          <w:p w14:paraId="6E83199F">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废防腐材料、废硅酸钙保温材料等</w:t>
            </w:r>
          </w:p>
        </w:tc>
        <w:tc>
          <w:tcPr>
            <w:tcW w:w="803" w:type="pct"/>
            <w:vAlign w:val="center"/>
          </w:tcPr>
          <w:p w14:paraId="3F5C0B29">
            <w:pPr>
              <w:pStyle w:val="70"/>
              <w:rPr>
                <w:color w:val="000000" w:themeColor="text1"/>
                <w14:textFill>
                  <w14:solidFill>
                    <w14:schemeClr w14:val="tx1"/>
                  </w14:solidFill>
                </w14:textFill>
              </w:rPr>
            </w:pPr>
            <w:r>
              <w:rPr>
                <w:color w:val="000000" w:themeColor="text1"/>
                <w14:textFill>
                  <w14:solidFill>
                    <w14:schemeClr w14:val="tx1"/>
                  </w14:solidFill>
                </w14:textFill>
              </w:rPr>
              <w:t>部分回收，部分送至垃圾站</w:t>
            </w:r>
          </w:p>
        </w:tc>
        <w:tc>
          <w:tcPr>
            <w:tcW w:w="773" w:type="pct"/>
            <w:vAlign w:val="center"/>
          </w:tcPr>
          <w:p w14:paraId="4A63365C">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经验计算法</w:t>
            </w:r>
          </w:p>
        </w:tc>
      </w:tr>
      <w:tr w14:paraId="6BFB85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1" w:hRule="atLeast"/>
          <w:jc w:val="center"/>
        </w:trPr>
        <w:tc>
          <w:tcPr>
            <w:tcW w:w="420" w:type="pct"/>
            <w:vMerge w:val="continue"/>
            <w:vAlign w:val="center"/>
          </w:tcPr>
          <w:p w14:paraId="7F22EA6D">
            <w:pPr>
              <w:pStyle w:val="70"/>
              <w:rPr>
                <w:color w:val="000000" w:themeColor="text1"/>
                <w14:textFill>
                  <w14:solidFill>
                    <w14:schemeClr w14:val="tx1"/>
                  </w14:solidFill>
                </w14:textFill>
              </w:rPr>
            </w:pPr>
          </w:p>
        </w:tc>
        <w:tc>
          <w:tcPr>
            <w:tcW w:w="879" w:type="pct"/>
            <w:vAlign w:val="center"/>
          </w:tcPr>
          <w:p w14:paraId="29995F9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施工船舶垃圾</w:t>
            </w:r>
          </w:p>
        </w:tc>
        <w:tc>
          <w:tcPr>
            <w:tcW w:w="554" w:type="pct"/>
            <w:vAlign w:val="center"/>
          </w:tcPr>
          <w:p w14:paraId="1C15BD8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少量</w:t>
            </w:r>
          </w:p>
        </w:tc>
        <w:tc>
          <w:tcPr>
            <w:tcW w:w="457" w:type="pct"/>
            <w:vAlign w:val="center"/>
          </w:tcPr>
          <w:p w14:paraId="14807BC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间断</w:t>
            </w:r>
          </w:p>
        </w:tc>
        <w:tc>
          <w:tcPr>
            <w:tcW w:w="1113" w:type="pct"/>
            <w:vAlign w:val="center"/>
          </w:tcPr>
          <w:p w14:paraId="03E57783">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瓜果皮、菜渣、剩饭等</w:t>
            </w:r>
          </w:p>
        </w:tc>
        <w:tc>
          <w:tcPr>
            <w:tcW w:w="803" w:type="pct"/>
            <w:vAlign w:val="center"/>
          </w:tcPr>
          <w:p w14:paraId="3544EFF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委托有资质的船舶污染物接收单位接收处置</w:t>
            </w:r>
          </w:p>
        </w:tc>
        <w:tc>
          <w:tcPr>
            <w:tcW w:w="773" w:type="pct"/>
            <w:vAlign w:val="center"/>
          </w:tcPr>
          <w:p w14:paraId="61F621C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053188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4" w:hRule="atLeast"/>
          <w:jc w:val="center"/>
        </w:trPr>
        <w:tc>
          <w:tcPr>
            <w:tcW w:w="420" w:type="pct"/>
            <w:vAlign w:val="center"/>
          </w:tcPr>
          <w:p w14:paraId="410F4D2A">
            <w:pPr>
              <w:pStyle w:val="70"/>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879" w:type="pct"/>
            <w:vAlign w:val="center"/>
          </w:tcPr>
          <w:p w14:paraId="451DAD4D">
            <w:pPr>
              <w:pStyle w:val="70"/>
              <w:rPr>
                <w:color w:val="000000" w:themeColor="text1"/>
                <w14:textFill>
                  <w14:solidFill>
                    <w14:schemeClr w14:val="tx1"/>
                  </w14:solidFill>
                </w14:textFill>
              </w:rPr>
            </w:pPr>
            <w:r>
              <w:rPr>
                <w:color w:val="000000" w:themeColor="text1"/>
                <w14:textFill>
                  <w14:solidFill>
                    <w14:schemeClr w14:val="tx1"/>
                  </w14:solidFill>
                </w14:textFill>
              </w:rPr>
              <w:t>施工机械、</w:t>
            </w:r>
            <w:r>
              <w:rPr>
                <w:rFonts w:hint="eastAsia"/>
                <w:color w:val="000000" w:themeColor="text1"/>
                <w14:textFill>
                  <w14:solidFill>
                    <w14:schemeClr w14:val="tx1"/>
                  </w14:solidFill>
                </w14:textFill>
              </w:rPr>
              <w:t>施工船舶</w:t>
            </w:r>
            <w:r>
              <w:rPr>
                <w:color w:val="000000" w:themeColor="text1"/>
                <w14:textFill>
                  <w14:solidFill>
                    <w14:schemeClr w14:val="tx1"/>
                  </w14:solidFill>
                </w14:textFill>
              </w:rPr>
              <w:t>噪声</w:t>
            </w:r>
          </w:p>
        </w:tc>
        <w:tc>
          <w:tcPr>
            <w:tcW w:w="554" w:type="pct"/>
            <w:vAlign w:val="center"/>
          </w:tcPr>
          <w:p w14:paraId="5EC17A1F">
            <w:pPr>
              <w:pStyle w:val="70"/>
              <w:rPr>
                <w:color w:val="000000" w:themeColor="text1"/>
                <w14:textFill>
                  <w14:solidFill>
                    <w14:schemeClr w14:val="tx1"/>
                  </w14:solidFill>
                </w14:textFill>
              </w:rPr>
            </w:pPr>
            <w:r>
              <w:rPr>
                <w:color w:val="000000" w:themeColor="text1"/>
                <w14:textFill>
                  <w14:solidFill>
                    <w14:schemeClr w14:val="tx1"/>
                  </w14:solidFill>
                </w14:textFill>
              </w:rPr>
              <w:t>85-</w:t>
            </w:r>
            <w:r>
              <w:rPr>
                <w:rFonts w:hint="eastAsia"/>
                <w:color w:val="000000" w:themeColor="text1"/>
                <w14:textFill>
                  <w14:solidFill>
                    <w14:schemeClr w14:val="tx1"/>
                  </w14:solidFill>
                </w14:textFill>
              </w:rPr>
              <w:t>95</w:t>
            </w:r>
            <w:r>
              <w:rPr>
                <w:color w:val="000000" w:themeColor="text1"/>
                <w14:textFill>
                  <w14:solidFill>
                    <w14:schemeClr w14:val="tx1"/>
                  </w14:solidFill>
                </w14:textFill>
              </w:rPr>
              <w:t>dB（A）</w:t>
            </w:r>
          </w:p>
        </w:tc>
        <w:tc>
          <w:tcPr>
            <w:tcW w:w="457" w:type="pct"/>
            <w:vAlign w:val="center"/>
          </w:tcPr>
          <w:p w14:paraId="1A74081A">
            <w:pPr>
              <w:pStyle w:val="70"/>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113" w:type="pct"/>
            <w:vAlign w:val="center"/>
          </w:tcPr>
          <w:p w14:paraId="00914A1E">
            <w:pPr>
              <w:pStyle w:val="70"/>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803" w:type="pct"/>
            <w:vAlign w:val="center"/>
          </w:tcPr>
          <w:p w14:paraId="6F92DD9E">
            <w:pPr>
              <w:pStyle w:val="70"/>
              <w:rPr>
                <w:color w:val="000000" w:themeColor="text1"/>
                <w14:textFill>
                  <w14:solidFill>
                    <w14:schemeClr w14:val="tx1"/>
                  </w14:solidFill>
                </w14:textFill>
              </w:rPr>
            </w:pPr>
            <w:r>
              <w:rPr>
                <w:color w:val="000000" w:themeColor="text1"/>
                <w14:textFill>
                  <w14:solidFill>
                    <w14:schemeClr w14:val="tx1"/>
                  </w14:solidFill>
                </w14:textFill>
              </w:rPr>
              <w:t>环境</w:t>
            </w:r>
          </w:p>
        </w:tc>
        <w:tc>
          <w:tcPr>
            <w:tcW w:w="773" w:type="pct"/>
            <w:vAlign w:val="center"/>
          </w:tcPr>
          <w:p w14:paraId="495D164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经验计算法</w:t>
            </w:r>
          </w:p>
        </w:tc>
      </w:tr>
    </w:tbl>
    <w:p w14:paraId="15FC0A82">
      <w:pPr>
        <w:pStyle w:val="4"/>
        <w:rPr>
          <w:color w:val="000000" w:themeColor="text1"/>
          <w14:textFill>
            <w14:solidFill>
              <w14:schemeClr w14:val="tx1"/>
            </w14:solidFill>
          </w14:textFill>
        </w:rPr>
      </w:pPr>
      <w:bookmarkStart w:id="482" w:name="_Toc29131804"/>
      <w:bookmarkStart w:id="483" w:name="_Toc135090210"/>
      <w:bookmarkStart w:id="484" w:name="_Toc26909990"/>
      <w:bookmarkStart w:id="485" w:name="_Toc216620524"/>
      <w:bookmarkStart w:id="486" w:name="_Toc136878459"/>
      <w:bookmarkStart w:id="487" w:name="_Toc216103365"/>
      <w:bookmarkStart w:id="488" w:name="_Toc25436944"/>
      <w:r>
        <w:rPr>
          <w:color w:val="000000" w:themeColor="text1"/>
          <w14:textFill>
            <w14:solidFill>
              <w14:schemeClr w14:val="tx1"/>
            </w14:solidFill>
          </w14:textFill>
        </w:rPr>
        <w:t>运营期污染源强核算</w:t>
      </w:r>
      <w:bookmarkEnd w:id="482"/>
      <w:bookmarkEnd w:id="483"/>
      <w:bookmarkEnd w:id="484"/>
      <w:bookmarkEnd w:id="485"/>
      <w:bookmarkEnd w:id="486"/>
      <w:bookmarkEnd w:id="487"/>
      <w:bookmarkEnd w:id="488"/>
    </w:p>
    <w:p w14:paraId="4895B157">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产污节点分析</w:t>
      </w:r>
    </w:p>
    <w:p w14:paraId="54F486E0">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本项目全线采用密闭输送工艺，管道都进行了防腐处理，在正常情况下管线污染物排放量较小。</w:t>
      </w:r>
      <w:r>
        <w:rPr>
          <w:rFonts w:hint="eastAsia"/>
          <w:color w:val="000000" w:themeColor="text1"/>
          <w14:textFill>
            <w14:solidFill>
              <w14:schemeClr w14:val="tx1"/>
            </w14:solidFill>
          </w14:textFill>
        </w:rPr>
        <w:t>本项目主要功能为物料运输，主要工艺流程包括装船、卸船、管道连通、管道扫线、尾气回收等，尾气处理装置均由后方厂区考虑，不属于本项目建设内容。</w:t>
      </w:r>
      <w:r>
        <w:rPr>
          <w:color w:val="000000" w:themeColor="text1"/>
          <w14:textFill>
            <w14:solidFill>
              <w14:schemeClr w14:val="tx1"/>
            </w14:solidFill>
          </w14:textFill>
        </w:rPr>
        <w:t>本项目在正常工况下污染源主要为作业区产生的废气、废水、噪声及固体废物</w:t>
      </w:r>
      <w:r>
        <w:rPr>
          <w:rFonts w:hint="eastAsia"/>
          <w:color w:val="000000" w:themeColor="text1"/>
          <w14:textFill>
            <w14:solidFill>
              <w14:schemeClr w14:val="tx1"/>
            </w14:solidFill>
          </w14:textFill>
        </w:rPr>
        <w:t>，运营期的废气污染源为输送管线溢出废气、装船废气及扫线废气、船舶废气（SO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sz w:val="21"/>
          <w:szCs w:val="21"/>
          <w14:textFill>
            <w14:solidFill>
              <w14:schemeClr w14:val="tx1"/>
            </w14:solidFill>
          </w14:textFill>
        </w:rPr>
        <w:t>NO</w:t>
      </w:r>
      <w:r>
        <w:rPr>
          <w:color w:val="000000" w:themeColor="text1"/>
          <w:sz w:val="21"/>
          <w:szCs w:val="21"/>
          <w:vertAlign w:val="subscript"/>
          <w14:textFill>
            <w14:solidFill>
              <w14:schemeClr w14:val="tx1"/>
            </w14:solidFill>
          </w14:textFill>
        </w:rPr>
        <w:t>X</w:t>
      </w:r>
      <w:r>
        <w:rPr>
          <w:rFonts w:hint="eastAsia"/>
          <w:color w:val="000000" w:themeColor="text1"/>
          <w14:textFill>
            <w14:solidFill>
              <w14:schemeClr w14:val="tx1"/>
            </w14:solidFill>
          </w14:textFill>
        </w:rPr>
        <w:t>），废水主要来自管道清洗废水、船舶废水，</w:t>
      </w:r>
      <w:r>
        <w:rPr>
          <w:color w:val="000000" w:themeColor="text1"/>
          <w14:textFill>
            <w14:solidFill>
              <w14:schemeClr w14:val="tx1"/>
            </w14:solidFill>
          </w14:textFill>
        </w:rPr>
        <w:t>噪声污染源主要为装卸臂液压站产生的噪声</w:t>
      </w:r>
      <w:r>
        <w:rPr>
          <w:rFonts w:hint="eastAsia"/>
          <w:color w:val="000000" w:themeColor="text1"/>
          <w14:textFill>
            <w14:solidFill>
              <w14:schemeClr w14:val="tx1"/>
            </w14:solidFill>
          </w14:textFill>
        </w:rPr>
        <w:t>，固体废物为</w:t>
      </w:r>
      <w:r>
        <w:rPr>
          <w:color w:val="000000" w:themeColor="text1"/>
          <w14:textFill>
            <w14:solidFill>
              <w14:schemeClr w14:val="tx1"/>
            </w14:solidFill>
          </w14:textFill>
        </w:rPr>
        <w:t>管道维修过程中产生的含油或化学品的废布及棉纱</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到港船舶</w:t>
      </w:r>
      <w:r>
        <w:rPr>
          <w:rFonts w:hint="eastAsia"/>
          <w:color w:val="000000" w:themeColor="text1"/>
          <w14:textFill>
            <w14:solidFill>
              <w14:schemeClr w14:val="tx1"/>
            </w14:solidFill>
          </w14:textFill>
        </w:rPr>
        <w:t>生活</w:t>
      </w:r>
      <w:r>
        <w:rPr>
          <w:color w:val="000000" w:themeColor="text1"/>
          <w14:textFill>
            <w14:solidFill>
              <w14:schemeClr w14:val="tx1"/>
            </w14:solidFill>
          </w14:textFill>
        </w:rPr>
        <w:t>垃圾</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船舶维修垃圾</w:t>
      </w:r>
      <w:r>
        <w:rPr>
          <w:rFonts w:hint="eastAsia"/>
          <w:color w:val="000000" w:themeColor="text1"/>
          <w14:textFill>
            <w14:solidFill>
              <w14:schemeClr w14:val="tx1"/>
            </w14:solidFill>
          </w14:textFill>
        </w:rPr>
        <w:t>。运营期作业流程及产污节点图详见图2.4-3、图2.4-3。</w:t>
      </w:r>
    </w:p>
    <w:p w14:paraId="68397AA8">
      <w:pPr>
        <w:spacing w:line="240" w:lineRule="auto"/>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67325" cy="1885950"/>
            <wp:effectExtent l="0" t="0" r="9525" b="0"/>
            <wp:docPr id="1116328620" name="图片 1116328620" descr="D:\xwechat_files\Aicandoit_f66a\temp\RWTemp\2025-11\85975cab9c5b87130f94a467d9af99ae\ab9981f46e9b8bded36cbbbd9e26f5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28620" name="图片 1116328620" descr="D:\xwechat_files\Aicandoit_f66a\temp\RWTemp\2025-11\85975cab9c5b87130f94a467d9af99ae\ab9981f46e9b8bded36cbbbd9e26f568.png"/>
                    <pic:cNvPicPr>
                      <a:picLocks noChangeAspect="1" noChangeArrowheads="1"/>
                    </pic:cNvPicPr>
                  </pic:nvPicPr>
                  <pic:blipFill>
                    <a:blip r:embed="rId61">
                      <a:extLst>
                        <a:ext uri="{28A0092B-C50C-407E-A947-70E740481C1C}">
                          <a14:useLocalDpi xmlns:a14="http://schemas.microsoft.com/office/drawing/2010/main" val="0"/>
                        </a:ext>
                      </a:extLst>
                    </a:blip>
                    <a:srcRect t="15484" b="20645"/>
                    <a:stretch>
                      <a:fillRect/>
                    </a:stretch>
                  </pic:blipFill>
                  <pic:spPr>
                    <a:xfrm>
                      <a:off x="0" y="0"/>
                      <a:ext cx="5267325" cy="1885950"/>
                    </a:xfrm>
                    <a:prstGeom prst="rect">
                      <a:avLst/>
                    </a:prstGeom>
                    <a:noFill/>
                    <a:ln>
                      <a:noFill/>
                    </a:ln>
                  </pic:spPr>
                </pic:pic>
              </a:graphicData>
            </a:graphic>
          </wp:inline>
        </w:drawing>
      </w:r>
    </w:p>
    <w:p w14:paraId="4945FF69">
      <w:pPr>
        <w:spacing w:line="240" w:lineRule="auto"/>
        <w:ind w:firstLine="480"/>
        <w:jc w:val="center"/>
        <w:rPr>
          <w:color w:val="000000" w:themeColor="text1"/>
          <w14:textFill>
            <w14:solidFill>
              <w14:schemeClr w14:val="tx1"/>
            </w14:solidFill>
          </w14:textFill>
        </w:rPr>
      </w:pPr>
    </w:p>
    <w:p w14:paraId="61B9A5ED">
      <w:pPr>
        <w:spacing w:line="240" w:lineRule="auto"/>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67325" cy="1733550"/>
            <wp:effectExtent l="0" t="0" r="9525" b="0"/>
            <wp:docPr id="1116328621" name="图片 1116328621" descr="D:\xwechat_files\Aicandoit_f66a\temp\RWTemp\2025-11\85975cab9c5b87130f94a467d9af99ae\b603b8f04e22cbe4153daa19614117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28621" name="图片 1116328621" descr="D:\xwechat_files\Aicandoit_f66a\temp\RWTemp\2025-11\85975cab9c5b87130f94a467d9af99ae\b603b8f04e22cbe4153daa19614117b4.png"/>
                    <pic:cNvPicPr>
                      <a:picLocks noChangeAspect="1" noChangeArrowheads="1"/>
                    </pic:cNvPicPr>
                  </pic:nvPicPr>
                  <pic:blipFill>
                    <a:blip r:embed="rId62">
                      <a:extLst>
                        <a:ext uri="{28A0092B-C50C-407E-A947-70E740481C1C}">
                          <a14:useLocalDpi xmlns:a14="http://schemas.microsoft.com/office/drawing/2010/main" val="0"/>
                        </a:ext>
                      </a:extLst>
                    </a:blip>
                    <a:srcRect t="24356" b="23496"/>
                    <a:stretch>
                      <a:fillRect/>
                    </a:stretch>
                  </pic:blipFill>
                  <pic:spPr>
                    <a:xfrm>
                      <a:off x="0" y="0"/>
                      <a:ext cx="5267325" cy="1733550"/>
                    </a:xfrm>
                    <a:prstGeom prst="rect">
                      <a:avLst/>
                    </a:prstGeom>
                    <a:noFill/>
                    <a:ln>
                      <a:noFill/>
                    </a:ln>
                  </pic:spPr>
                </pic:pic>
              </a:graphicData>
            </a:graphic>
          </wp:inline>
        </w:drawing>
      </w:r>
    </w:p>
    <w:p w14:paraId="1AD7DD62">
      <w:pPr>
        <w:spacing w:line="240" w:lineRule="auto"/>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67325" cy="1647825"/>
            <wp:effectExtent l="0" t="0" r="9525" b="9525"/>
            <wp:docPr id="1116328622" name="图片 1116328622" descr="D:\xwechat_files\Aicandoit_f66a\temp\RWTemp\2025-11\85975cab9c5b87130f94a467d9af99ae\0d9c487b4e85abe6244bd7a4ea455d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28622" name="图片 1116328622" descr="D:\xwechat_files\Aicandoit_f66a\temp\RWTemp\2025-11\85975cab9c5b87130f94a467d9af99ae\0d9c487b4e85abe6244bd7a4ea455d6e.png"/>
                    <pic:cNvPicPr>
                      <a:picLocks noChangeAspect="1" noChangeArrowheads="1"/>
                    </pic:cNvPicPr>
                  </pic:nvPicPr>
                  <pic:blipFill>
                    <a:blip r:embed="rId63">
                      <a:extLst>
                        <a:ext uri="{28A0092B-C50C-407E-A947-70E740481C1C}">
                          <a14:useLocalDpi xmlns:a14="http://schemas.microsoft.com/office/drawing/2010/main" val="0"/>
                        </a:ext>
                      </a:extLst>
                    </a:blip>
                    <a:srcRect t="17391" b="19927"/>
                    <a:stretch>
                      <a:fillRect/>
                    </a:stretch>
                  </pic:blipFill>
                  <pic:spPr>
                    <a:xfrm>
                      <a:off x="0" y="0"/>
                      <a:ext cx="5267325" cy="1647825"/>
                    </a:xfrm>
                    <a:prstGeom prst="rect">
                      <a:avLst/>
                    </a:prstGeom>
                    <a:noFill/>
                    <a:ln>
                      <a:noFill/>
                    </a:ln>
                  </pic:spPr>
                </pic:pic>
              </a:graphicData>
            </a:graphic>
          </wp:inline>
        </w:drawing>
      </w:r>
    </w:p>
    <w:p w14:paraId="608D1821">
      <w:pPr>
        <w:spacing w:line="240" w:lineRule="auto"/>
        <w:ind w:firstLine="480"/>
        <w:jc w:val="center"/>
        <w:rPr>
          <w:color w:val="000000" w:themeColor="text1"/>
          <w14:textFill>
            <w14:solidFill>
              <w14:schemeClr w14:val="tx1"/>
            </w14:solidFill>
          </w14:textFill>
        </w:rPr>
      </w:pPr>
    </w:p>
    <w:p w14:paraId="4889646C">
      <w:pPr>
        <w:ind w:firstLine="482"/>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图2.3-2 码头作业流程及产污节点</w:t>
      </w:r>
    </w:p>
    <w:p w14:paraId="3B10B2B0">
      <w:pPr>
        <w:spacing w:line="240" w:lineRule="auto"/>
        <w:ind w:firstLine="480"/>
        <w:jc w:val="center"/>
        <w:rPr>
          <w:color w:val="000000" w:themeColor="text1"/>
          <w14:textFill>
            <w14:solidFill>
              <w14:schemeClr w14:val="tx1"/>
            </w14:solidFill>
          </w14:textFill>
        </w:rPr>
      </w:pPr>
    </w:p>
    <w:p w14:paraId="737C7A9D">
      <w:pPr>
        <w:ind w:firstLine="480"/>
        <w:rPr>
          <w:color w:val="000000" w:themeColor="text1"/>
          <w14:textFill>
            <w14:solidFill>
              <w14:schemeClr w14:val="tx1"/>
            </w14:solidFill>
          </w14:textFill>
        </w:rPr>
      </w:pPr>
    </w:p>
    <w:p w14:paraId="0493C421">
      <w:pPr>
        <w:ind w:firstLine="48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4310" cy="2759710"/>
            <wp:effectExtent l="0" t="0" r="2540" b="2540"/>
            <wp:docPr id="1116328619" name="图片 1116328619" descr="D:\xwechat_files\Aicandoit_f66a\temp\InputTemp\dc3d934a-1afd-4337-adcd-884f45f3ff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28619" name="图片 1116328619" descr="D:\xwechat_files\Aicandoit_f66a\temp\InputTemp\dc3d934a-1afd-4337-adcd-884f45f3ff4b.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274310" cy="2759813"/>
                    </a:xfrm>
                    <a:prstGeom prst="rect">
                      <a:avLst/>
                    </a:prstGeom>
                    <a:noFill/>
                    <a:ln>
                      <a:noFill/>
                    </a:ln>
                  </pic:spPr>
                </pic:pic>
              </a:graphicData>
            </a:graphic>
          </wp:inline>
        </w:drawing>
      </w:r>
    </w:p>
    <w:p w14:paraId="3769F7A6">
      <w:pPr>
        <w:ind w:firstLine="482"/>
        <w:jc w:val="center"/>
        <w:rPr>
          <w:color w:val="000000" w:themeColor="text1"/>
          <w14:textFill>
            <w14:solidFill>
              <w14:schemeClr w14:val="tx1"/>
            </w14:solidFill>
          </w14:textFill>
        </w:rPr>
      </w:pPr>
      <w:r>
        <w:rPr>
          <w:rFonts w:hint="eastAsia"/>
          <w:b/>
          <w:bCs/>
          <w:color w:val="000000" w:themeColor="text1"/>
          <w14:textFill>
            <w14:solidFill>
              <w14:schemeClr w14:val="tx1"/>
            </w14:solidFill>
          </w14:textFill>
        </w:rPr>
        <w:t>图2.3-3 到港船舶产污节点图</w:t>
      </w:r>
    </w:p>
    <w:p w14:paraId="4E64EAAB">
      <w:pPr>
        <w:ind w:firstLine="480"/>
        <w:rPr>
          <w:color w:val="000000" w:themeColor="text1"/>
          <w14:textFill>
            <w14:solidFill>
              <w14:schemeClr w14:val="tx1"/>
            </w14:solidFill>
          </w14:textFill>
        </w:rPr>
      </w:pPr>
    </w:p>
    <w:p w14:paraId="253481CF">
      <w:pPr>
        <w:pStyle w:val="6"/>
        <w:rPr>
          <w:color w:val="000000" w:themeColor="text1"/>
          <w14:textFill>
            <w14:solidFill>
              <w14:schemeClr w14:val="tx1"/>
            </w14:solidFill>
          </w14:textFill>
        </w:rPr>
      </w:pPr>
      <w:r>
        <w:rPr>
          <w:color w:val="000000" w:themeColor="text1"/>
          <w14:textFill>
            <w14:solidFill>
              <w14:schemeClr w14:val="tx1"/>
            </w14:solidFill>
          </w14:textFill>
        </w:rPr>
        <w:t>废气污染物源强</w:t>
      </w:r>
    </w:p>
    <w:p w14:paraId="66AF160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w:t>
      </w:r>
      <w:r>
        <w:rPr>
          <w:color w:val="000000" w:themeColor="text1"/>
          <w14:textFill>
            <w14:solidFill>
              <w14:schemeClr w14:val="tx1"/>
            </w14:solidFill>
          </w14:textFill>
        </w:rPr>
        <w:t>石化行业VOCs污染源排查工作指南</w:t>
      </w:r>
      <w:r>
        <w:rPr>
          <w:rFonts w:hint="eastAsia"/>
          <w:color w:val="000000" w:themeColor="text1"/>
          <w14:textFill>
            <w14:solidFill>
              <w14:schemeClr w14:val="tx1"/>
            </w14:solidFill>
          </w14:textFill>
        </w:rPr>
        <w:t>》（以下简称指南）的挥发性有机液体装卸挥发损失核算公式，船舶自带较大容量的再液化装置，通过增压再降温的方式，将货舱的蒸汽冷却成液体再送回货舱。因此装卸作业过程中的废气排放量可忽略不计，船舱内部无装卸作业废气排放。本项目废气污染物主要有装卸管线的动静密封点废气、装船废气、扫线废气以及到港船舶废气。</w:t>
      </w:r>
    </w:p>
    <w:p w14:paraId="1354F267">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1、正常工况下产生废气</w:t>
      </w:r>
    </w:p>
    <w:p w14:paraId="591A1F1E">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（1）管线密封点溢出废气</w:t>
      </w:r>
    </w:p>
    <w:p w14:paraId="0838F09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设备动静密封点泄漏涉及流经或接触的设备或管道，主要包括阀门、取样连接系统、开口阀或开口管线、法兰和其他等。</w:t>
      </w:r>
    </w:p>
    <w:p w14:paraId="76D4991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本次参照《石化行业VOCs污染源排查工作指南》附表一-5石油炼制和石油化工平均组件排放系数，其计算公式如下；设备组件动静密封点的泄漏系数见表</w:t>
      </w:r>
      <w:r>
        <w:rPr>
          <w:color w:val="000000" w:themeColor="text1"/>
          <w14:textFill>
            <w14:solidFill>
              <w14:schemeClr w14:val="tx1"/>
            </w14:solidFill>
          </w14:textFill>
        </w:rPr>
        <w:t>2.3-5</w:t>
      </w:r>
      <w:r>
        <w:rPr>
          <w:rFonts w:hint="eastAsia"/>
          <w:color w:val="000000" w:themeColor="text1"/>
          <w14:textFill>
            <w14:solidFill>
              <w14:schemeClr w14:val="tx1"/>
            </w14:solidFill>
          </w14:textFill>
        </w:rPr>
        <w:t>。</w:t>
      </w:r>
    </w:p>
    <w:p w14:paraId="45FA9B94">
      <w:pPr>
        <w:ind w:firstLine="480"/>
        <w:jc w:val="center"/>
        <w:rPr>
          <w:color w:val="000000" w:themeColor="text1"/>
          <w14:textFill>
            <w14:solidFill>
              <w14:schemeClr w14:val="tx1"/>
            </w14:solidFill>
          </w14:textFill>
        </w:rPr>
      </w:pPr>
      <w:r>
        <w:rPr>
          <w:rFonts w:hint="eastAsia"/>
          <w:i/>
          <w:iCs/>
          <w:color w:val="000000" w:themeColor="text1"/>
          <w14:textFill>
            <w14:solidFill>
              <w14:schemeClr w14:val="tx1"/>
            </w14:solidFill>
          </w14:textFill>
        </w:rPr>
        <w:t>e</w:t>
      </w:r>
      <w:r>
        <w:rPr>
          <w:rFonts w:hint="eastAsia"/>
          <w:i/>
          <w:iCs/>
          <w:color w:val="000000" w:themeColor="text1"/>
          <w:vertAlign w:val="subscript"/>
          <w14:textFill>
            <w14:solidFill>
              <w14:schemeClr w14:val="tx1"/>
            </w14:solidFill>
          </w14:textFill>
        </w:rPr>
        <w:t>TOC</w:t>
      </w:r>
      <w:r>
        <w:rPr>
          <w:rFonts w:hint="eastAsia"/>
          <w:color w:val="000000" w:themeColor="text1"/>
          <w14:textFill>
            <w14:solidFill>
              <w14:schemeClr w14:val="tx1"/>
            </w14:solidFill>
          </w14:textFill>
        </w:rPr>
        <w:t>=</w:t>
      </w:r>
      <w:r>
        <w:rPr>
          <w:rFonts w:hint="eastAsia"/>
          <w:i/>
          <w:iCs/>
          <w:color w:val="000000" w:themeColor="text1"/>
          <w14:textFill>
            <w14:solidFill>
              <w14:schemeClr w14:val="tx1"/>
            </w14:solidFill>
          </w14:textFill>
        </w:rPr>
        <w:t>F</w:t>
      </w:r>
      <w:r>
        <w:rPr>
          <w:rFonts w:hint="eastAsia"/>
          <w:i/>
          <w:iCs/>
          <w:color w:val="000000" w:themeColor="text1"/>
          <w:vertAlign w:val="subscript"/>
          <w14:textFill>
            <w14:solidFill>
              <w14:schemeClr w14:val="tx1"/>
            </w14:solidFill>
          </w14:textFill>
        </w:rPr>
        <w:t>A</w:t>
      </w:r>
      <w:r>
        <w:rPr>
          <w:rFonts w:hint="eastAsia"/>
          <w:color w:val="000000" w:themeColor="text1"/>
          <w14:textFill>
            <w14:solidFill>
              <w14:schemeClr w14:val="tx1"/>
            </w14:solidFill>
          </w14:textFill>
        </w:rPr>
        <w:t>×</w:t>
      </w:r>
      <w:r>
        <w:rPr>
          <w:rFonts w:hint="eastAsia"/>
          <w:i/>
          <w:iCs/>
          <w:color w:val="000000" w:themeColor="text1"/>
          <w14:textFill>
            <w14:solidFill>
              <w14:schemeClr w14:val="tx1"/>
            </w14:solidFill>
          </w14:textFill>
        </w:rPr>
        <w:t>WF</w:t>
      </w:r>
      <w:r>
        <w:rPr>
          <w:rFonts w:hint="eastAsia"/>
          <w:i/>
          <w:iCs/>
          <w:color w:val="000000" w:themeColor="text1"/>
          <w:vertAlign w:val="subscript"/>
          <w14:textFill>
            <w14:solidFill>
              <w14:schemeClr w14:val="tx1"/>
            </w14:solidFill>
          </w14:textFill>
        </w:rPr>
        <w:t>TOC</w:t>
      </w:r>
      <w:r>
        <w:rPr>
          <w:rFonts w:hint="eastAsia"/>
          <w:color w:val="000000" w:themeColor="text1"/>
          <w14:textFill>
            <w14:solidFill>
              <w14:schemeClr w14:val="tx1"/>
            </w14:solidFill>
          </w14:textFill>
        </w:rPr>
        <w:t>×</w:t>
      </w:r>
      <w:r>
        <w:rPr>
          <w:rFonts w:hint="eastAsia"/>
          <w:i/>
          <w:iCs/>
          <w:color w:val="000000" w:themeColor="text1"/>
          <w14:textFill>
            <w14:solidFill>
              <w14:schemeClr w14:val="tx1"/>
            </w14:solidFill>
          </w14:textFill>
        </w:rPr>
        <w:t>N</w:t>
      </w:r>
    </w:p>
    <w:p w14:paraId="2F746F4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w:t>
      </w:r>
    </w:p>
    <w:p w14:paraId="79598C19">
      <w:pPr>
        <w:ind w:firstLine="480"/>
        <w:rPr>
          <w:color w:val="000000" w:themeColor="text1"/>
          <w14:textFill>
            <w14:solidFill>
              <w14:schemeClr w14:val="tx1"/>
            </w14:solidFill>
          </w14:textFill>
        </w:rPr>
      </w:pPr>
      <w:r>
        <w:rPr>
          <w:rFonts w:hint="eastAsia"/>
          <w:i/>
          <w:iCs/>
          <w:color w:val="000000" w:themeColor="text1"/>
          <w14:textFill>
            <w14:solidFill>
              <w14:schemeClr w14:val="tx1"/>
            </w14:solidFill>
          </w14:textFill>
        </w:rPr>
        <w:t>eTOC</w:t>
      </w:r>
      <w:r>
        <w:rPr>
          <w:rFonts w:hint="eastAsia"/>
          <w:color w:val="000000" w:themeColor="text1"/>
          <w14:textFill>
            <w14:solidFill>
              <w14:schemeClr w14:val="tx1"/>
            </w14:solidFill>
          </w14:textFill>
        </w:rPr>
        <w:t>—某类密封点的TOC排放速率，kg/h；</w:t>
      </w:r>
    </w:p>
    <w:p w14:paraId="7A82223D">
      <w:pPr>
        <w:ind w:firstLine="480"/>
        <w:rPr>
          <w:color w:val="000000" w:themeColor="text1"/>
          <w14:textFill>
            <w14:solidFill>
              <w14:schemeClr w14:val="tx1"/>
            </w14:solidFill>
          </w14:textFill>
        </w:rPr>
      </w:pPr>
      <w:r>
        <w:rPr>
          <w:rFonts w:hint="eastAsia"/>
          <w:i/>
          <w:iCs/>
          <w:color w:val="000000" w:themeColor="text1"/>
          <w14:textFill>
            <w14:solidFill>
              <w14:schemeClr w14:val="tx1"/>
            </w14:solidFill>
          </w14:textFill>
        </w:rPr>
        <w:t>F</w:t>
      </w:r>
      <w:r>
        <w:rPr>
          <w:rFonts w:hint="eastAsia"/>
          <w:i/>
          <w:iCs/>
          <w:color w:val="000000" w:themeColor="text1"/>
          <w:vertAlign w:val="subscript"/>
          <w14:textFill>
            <w14:solidFill>
              <w14:schemeClr w14:val="tx1"/>
            </w14:solidFill>
          </w14:textFill>
        </w:rPr>
        <w:t>A</w:t>
      </w:r>
      <w:r>
        <w:rPr>
          <w:rFonts w:hint="eastAsia"/>
          <w:color w:val="000000" w:themeColor="text1"/>
          <w14:textFill>
            <w14:solidFill>
              <w14:schemeClr w14:val="tx1"/>
            </w14:solidFill>
          </w14:textFill>
        </w:rPr>
        <w:t>—某类密封点排放系数；</w:t>
      </w:r>
    </w:p>
    <w:p w14:paraId="18504193">
      <w:pPr>
        <w:ind w:firstLine="480"/>
        <w:rPr>
          <w:color w:val="000000" w:themeColor="text1"/>
          <w14:textFill>
            <w14:solidFill>
              <w14:schemeClr w14:val="tx1"/>
            </w14:solidFill>
          </w14:textFill>
        </w:rPr>
      </w:pPr>
      <w:r>
        <w:rPr>
          <w:rFonts w:hint="eastAsia"/>
          <w:i/>
          <w:iCs/>
          <w:color w:val="000000" w:themeColor="text1"/>
          <w14:textFill>
            <w14:solidFill>
              <w14:schemeClr w14:val="tx1"/>
            </w14:solidFill>
          </w14:textFill>
        </w:rPr>
        <w:t>WF</w:t>
      </w:r>
      <w:r>
        <w:rPr>
          <w:rFonts w:hint="eastAsia"/>
          <w:i/>
          <w:iCs/>
          <w:color w:val="000000" w:themeColor="text1"/>
          <w:vertAlign w:val="subscript"/>
          <w14:textFill>
            <w14:solidFill>
              <w14:schemeClr w14:val="tx1"/>
            </w14:solidFill>
          </w14:textFill>
        </w:rPr>
        <w:t>TOC</w:t>
      </w:r>
      <w:r>
        <w:rPr>
          <w:rFonts w:hint="eastAsia"/>
          <w:color w:val="000000" w:themeColor="text1"/>
          <w14:textFill>
            <w14:solidFill>
              <w14:schemeClr w14:val="tx1"/>
            </w14:solidFill>
          </w14:textFill>
        </w:rPr>
        <w:t>—物料流中含TOC的平均质量分数；本项目均按1计。</w:t>
      </w:r>
    </w:p>
    <w:p w14:paraId="0835F854">
      <w:pPr>
        <w:ind w:firstLine="480"/>
        <w:rPr>
          <w:color w:val="000000" w:themeColor="text1"/>
          <w14:textFill>
            <w14:solidFill>
              <w14:schemeClr w14:val="tx1"/>
            </w14:solidFill>
          </w14:textFill>
        </w:rPr>
      </w:pPr>
      <w:r>
        <w:rPr>
          <w:rFonts w:hint="eastAsia"/>
          <w:i/>
          <w:iCs/>
          <w:color w:val="000000" w:themeColor="text1"/>
          <w14:textFill>
            <w14:solidFill>
              <w14:schemeClr w14:val="tx1"/>
            </w14:solidFill>
          </w14:textFill>
        </w:rPr>
        <w:t>N</w:t>
      </w:r>
      <w:r>
        <w:rPr>
          <w:rFonts w:hint="eastAsia"/>
          <w:color w:val="000000" w:themeColor="text1"/>
          <w14:textFill>
            <w14:solidFill>
              <w14:schemeClr w14:val="tx1"/>
            </w14:solidFill>
          </w14:textFill>
        </w:rPr>
        <w:t>—某类密封点的个数。</w:t>
      </w:r>
    </w:p>
    <w:p w14:paraId="0E90CB49">
      <w:pPr>
        <w:ind w:firstLine="480"/>
        <w:jc w:val="center"/>
        <w:rPr>
          <w:color w:val="000000" w:themeColor="text1"/>
          <w14:textFill>
            <w14:solidFill>
              <w14:schemeClr w14:val="tx1"/>
            </w14:solidFill>
          </w14:textFill>
        </w:rPr>
      </w:pPr>
      <w:r>
        <w:rPr>
          <w:i/>
          <w:iCs/>
          <w:color w:val="000000" w:themeColor="text1"/>
          <w14:textFill>
            <w14:solidFill>
              <w14:schemeClr w14:val="tx1"/>
            </w14:solidFill>
          </w14:textFill>
        </w:rPr>
        <w:t>e</w:t>
      </w:r>
      <w:r>
        <w:rPr>
          <w:i/>
          <w:iCs/>
          <w:color w:val="000000" w:themeColor="text1"/>
          <w:vertAlign w:val="subscript"/>
          <w14:textFill>
            <w14:solidFill>
              <w14:schemeClr w14:val="tx1"/>
            </w14:solidFill>
          </w14:textFill>
        </w:rPr>
        <w:t>VOCs</w:t>
      </w:r>
      <w:r>
        <w:rPr>
          <w:color w:val="000000" w:themeColor="text1"/>
          <w14:textFill>
            <w14:solidFill>
              <w14:schemeClr w14:val="tx1"/>
            </w14:solidFill>
          </w14:textFill>
        </w:rPr>
        <w:t>=</w:t>
      </w:r>
      <w:r>
        <w:rPr>
          <w:i/>
          <w:iCs/>
          <w:color w:val="000000" w:themeColor="text1"/>
          <w14:textFill>
            <w14:solidFill>
              <w14:schemeClr w14:val="tx1"/>
            </w14:solidFill>
          </w14:textFill>
        </w:rPr>
        <w:t>e</w:t>
      </w:r>
      <w:r>
        <w:rPr>
          <w:i/>
          <w:iCs/>
          <w:color w:val="000000" w:themeColor="text1"/>
          <w:vertAlign w:val="subscript"/>
          <w14:textFill>
            <w14:solidFill>
              <w14:schemeClr w14:val="tx1"/>
            </w14:solidFill>
          </w14:textFill>
        </w:rPr>
        <w:t>TOC</w:t>
      </w:r>
      <w:r>
        <w:rPr>
          <w:color w:val="000000" w:themeColor="text1"/>
          <w14:textFill>
            <w14:solidFill>
              <w14:schemeClr w14:val="tx1"/>
            </w14:solidFill>
          </w14:textFill>
        </w:rPr>
        <w:t>×</w:t>
      </w:r>
      <w:r>
        <w:rPr>
          <w:i/>
          <w:iCs/>
          <w:color w:val="000000" w:themeColor="text1"/>
          <w14:textFill>
            <w14:solidFill>
              <w14:schemeClr w14:val="tx1"/>
            </w14:solidFill>
          </w14:textFill>
        </w:rPr>
        <w:t>WF</w:t>
      </w:r>
      <w:r>
        <w:rPr>
          <w:i/>
          <w:iCs/>
          <w:color w:val="000000" w:themeColor="text1"/>
          <w:vertAlign w:val="subscript"/>
          <w14:textFill>
            <w14:solidFill>
              <w14:schemeClr w14:val="tx1"/>
            </w14:solidFill>
          </w14:textFill>
        </w:rPr>
        <w:t>VOCs</w:t>
      </w:r>
      <w:r>
        <w:rPr>
          <w:color w:val="000000" w:themeColor="text1"/>
          <w14:textFill>
            <w14:solidFill>
              <w14:schemeClr w14:val="tx1"/>
            </w14:solidFill>
          </w14:textFill>
        </w:rPr>
        <w:t>/</w:t>
      </w:r>
      <w:r>
        <w:rPr>
          <w:i/>
          <w:iCs/>
          <w:color w:val="000000" w:themeColor="text1"/>
          <w14:textFill>
            <w14:solidFill>
              <w14:schemeClr w14:val="tx1"/>
            </w14:solidFill>
          </w14:textFill>
        </w:rPr>
        <w:t>WF</w:t>
      </w:r>
      <w:r>
        <w:rPr>
          <w:i/>
          <w:iCs/>
          <w:color w:val="000000" w:themeColor="text1"/>
          <w:vertAlign w:val="subscript"/>
          <w14:textFill>
            <w14:solidFill>
              <w14:schemeClr w14:val="tx1"/>
            </w14:solidFill>
          </w14:textFill>
        </w:rPr>
        <w:t>TOC</w:t>
      </w:r>
    </w:p>
    <w:p w14:paraId="2B0D4D82">
      <w:pPr>
        <w:ind w:firstLine="480"/>
        <w:rPr>
          <w:color w:val="000000" w:themeColor="text1"/>
          <w14:textFill>
            <w14:solidFill>
              <w14:schemeClr w14:val="tx1"/>
            </w14:solidFill>
          </w14:textFill>
        </w:rPr>
      </w:pPr>
      <w:r>
        <w:rPr>
          <w:i/>
          <w:iCs/>
          <w:color w:val="000000" w:themeColor="text1"/>
          <w14:textFill>
            <w14:solidFill>
              <w14:schemeClr w14:val="tx1"/>
            </w14:solidFill>
          </w14:textFill>
        </w:rPr>
        <w:t>e</w:t>
      </w:r>
      <w:r>
        <w:rPr>
          <w:i/>
          <w:iCs/>
          <w:color w:val="000000" w:themeColor="text1"/>
          <w:vertAlign w:val="subscript"/>
          <w14:textFill>
            <w14:solidFill>
              <w14:schemeClr w14:val="tx1"/>
            </w14:solidFill>
          </w14:textFill>
        </w:rPr>
        <w:t>VOCs</w:t>
      </w:r>
      <w:r>
        <w:rPr>
          <w:color w:val="000000" w:themeColor="text1"/>
          <w14:textFill>
            <w14:solidFill>
              <w14:schemeClr w14:val="tx1"/>
            </w14:solidFill>
          </w14:textFill>
        </w:rPr>
        <w:t>——物料流中VOCs排放速率，kg/h；</w:t>
      </w:r>
    </w:p>
    <w:p w14:paraId="76E8A1A4">
      <w:pPr>
        <w:ind w:firstLine="480"/>
        <w:rPr>
          <w:color w:val="000000" w:themeColor="text1"/>
          <w14:textFill>
            <w14:solidFill>
              <w14:schemeClr w14:val="tx1"/>
            </w14:solidFill>
          </w14:textFill>
        </w:rPr>
      </w:pPr>
      <w:r>
        <w:rPr>
          <w:i/>
          <w:iCs/>
          <w:color w:val="000000" w:themeColor="text1"/>
          <w14:textFill>
            <w14:solidFill>
              <w14:schemeClr w14:val="tx1"/>
            </w14:solidFill>
          </w14:textFill>
        </w:rPr>
        <w:t>e</w:t>
      </w:r>
      <w:r>
        <w:rPr>
          <w:i/>
          <w:iCs/>
          <w:color w:val="000000" w:themeColor="text1"/>
          <w:vertAlign w:val="subscript"/>
          <w14:textFill>
            <w14:solidFill>
              <w14:schemeClr w14:val="tx1"/>
            </w14:solidFill>
          </w14:textFill>
        </w:rPr>
        <w:t>TOC</w:t>
      </w:r>
      <w:r>
        <w:rPr>
          <w:color w:val="000000" w:themeColor="text1"/>
          <w14:textFill>
            <w14:solidFill>
              <w14:schemeClr w14:val="tx1"/>
            </w14:solidFill>
          </w14:textFill>
        </w:rPr>
        <w:t>——某密封点的TOC排放速率，kg/h；</w:t>
      </w:r>
    </w:p>
    <w:p w14:paraId="66713DB3">
      <w:pPr>
        <w:ind w:firstLine="480"/>
        <w:rPr>
          <w:color w:val="000000" w:themeColor="text1"/>
          <w14:textFill>
            <w14:solidFill>
              <w14:schemeClr w14:val="tx1"/>
            </w14:solidFill>
          </w14:textFill>
        </w:rPr>
      </w:pPr>
      <w:r>
        <w:rPr>
          <w:i/>
          <w:iCs/>
          <w:color w:val="000000" w:themeColor="text1"/>
          <w14:textFill>
            <w14:solidFill>
              <w14:schemeClr w14:val="tx1"/>
            </w14:solidFill>
          </w14:textFill>
        </w:rPr>
        <w:t>WF</w:t>
      </w:r>
      <w:r>
        <w:rPr>
          <w:i/>
          <w:iCs/>
          <w:color w:val="000000" w:themeColor="text1"/>
          <w:vertAlign w:val="subscript"/>
          <w14:textFill>
            <w14:solidFill>
              <w14:schemeClr w14:val="tx1"/>
            </w14:solidFill>
          </w14:textFill>
        </w:rPr>
        <w:t>VOCs</w:t>
      </w:r>
      <w:r>
        <w:rPr>
          <w:color w:val="000000" w:themeColor="text1"/>
          <w14:textFill>
            <w14:solidFill>
              <w14:schemeClr w14:val="tx1"/>
            </w14:solidFill>
          </w14:textFill>
        </w:rPr>
        <w:t>——物料流中VOCs的平均质量分数；</w:t>
      </w:r>
    </w:p>
    <w:p w14:paraId="0CEF2ADC">
      <w:pPr>
        <w:ind w:firstLine="480"/>
        <w:rPr>
          <w:color w:val="000000" w:themeColor="text1"/>
          <w14:textFill>
            <w14:solidFill>
              <w14:schemeClr w14:val="tx1"/>
            </w14:solidFill>
          </w14:textFill>
        </w:rPr>
      </w:pPr>
      <w:r>
        <w:rPr>
          <w:i/>
          <w:iCs/>
          <w:color w:val="000000" w:themeColor="text1"/>
          <w14:textFill>
            <w14:solidFill>
              <w14:schemeClr w14:val="tx1"/>
            </w14:solidFill>
          </w14:textFill>
        </w:rPr>
        <w:t>WF</w:t>
      </w:r>
      <w:r>
        <w:rPr>
          <w:i/>
          <w:iCs/>
          <w:color w:val="000000" w:themeColor="text1"/>
          <w:vertAlign w:val="subscript"/>
          <w14:textFill>
            <w14:solidFill>
              <w14:schemeClr w14:val="tx1"/>
            </w14:solidFill>
          </w14:textFill>
        </w:rPr>
        <w:t>TOC</w:t>
      </w:r>
      <w:r>
        <w:rPr>
          <w:color w:val="000000" w:themeColor="text1"/>
          <w14:textFill>
            <w14:solidFill>
              <w14:schemeClr w14:val="tx1"/>
            </w14:solidFill>
          </w14:textFill>
        </w:rPr>
        <w:t>——物料流中含TOC的平均质量分数。</w:t>
      </w:r>
    </w:p>
    <w:p w14:paraId="0D9605D3">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本项目未能提供TOC中VOCs的质量分数，则</w:t>
      </w:r>
      <w:r>
        <w:rPr>
          <w:i/>
          <w:iCs/>
          <w:color w:val="000000" w:themeColor="text1"/>
          <w14:textFill>
            <w14:solidFill>
              <w14:schemeClr w14:val="tx1"/>
            </w14:solidFill>
          </w14:textFill>
        </w:rPr>
        <w:t>WF</w:t>
      </w:r>
      <w:r>
        <w:rPr>
          <w:i/>
          <w:iCs/>
          <w:color w:val="000000" w:themeColor="text1"/>
          <w:vertAlign w:val="subscript"/>
          <w14:textFill>
            <w14:solidFill>
              <w14:schemeClr w14:val="tx1"/>
            </w14:solidFill>
          </w14:textFill>
        </w:rPr>
        <w:t>VOCs</w:t>
      </w:r>
      <w:r>
        <w:rPr>
          <w:color w:val="000000" w:themeColor="text1"/>
          <w14:textFill>
            <w14:solidFill>
              <w14:schemeClr w14:val="tx1"/>
            </w14:solidFill>
          </w14:textFill>
        </w:rPr>
        <w:t>/</w:t>
      </w:r>
      <w:r>
        <w:rPr>
          <w:i/>
          <w:iCs/>
          <w:color w:val="000000" w:themeColor="text1"/>
          <w14:textFill>
            <w14:solidFill>
              <w14:schemeClr w14:val="tx1"/>
            </w14:solidFill>
          </w14:textFill>
        </w:rPr>
        <w:t>WF</w:t>
      </w:r>
      <w:r>
        <w:rPr>
          <w:i/>
          <w:iCs/>
          <w:color w:val="000000" w:themeColor="text1"/>
          <w:vertAlign w:val="subscript"/>
          <w14:textFill>
            <w14:solidFill>
              <w14:schemeClr w14:val="tx1"/>
            </w14:solidFill>
          </w14:textFill>
        </w:rPr>
        <w:t>TOC</w:t>
      </w:r>
      <w:r>
        <w:rPr>
          <w:color w:val="000000" w:themeColor="text1"/>
          <w14:textFill>
            <w14:solidFill>
              <w14:schemeClr w14:val="tx1"/>
            </w14:solidFill>
          </w14:textFill>
        </w:rPr>
        <w:t>取1进行核算。</w:t>
      </w:r>
    </w:p>
    <w:p w14:paraId="17AB031F">
      <w:pPr>
        <w:pStyle w:val="7"/>
        <w:rPr>
          <w:color w:val="000000" w:themeColor="text1"/>
          <w14:textFill>
            <w14:solidFill>
              <w14:schemeClr w14:val="tx1"/>
            </w14:solidFill>
          </w14:textFill>
        </w:rPr>
      </w:pP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各设备动静密封垫平均泄漏系数</w:t>
      </w:r>
    </w:p>
    <w:tbl>
      <w:tblPr>
        <w:tblStyle w:val="43"/>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842"/>
        <w:gridCol w:w="2837"/>
        <w:gridCol w:w="2840"/>
      </w:tblGrid>
      <w:tr w14:paraId="69A41E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8" w:hRule="atLeast"/>
          <w:tblHeader/>
          <w:jc w:val="center"/>
        </w:trPr>
        <w:tc>
          <w:tcPr>
            <w:tcW w:w="1668" w:type="pct"/>
            <w:vAlign w:val="center"/>
          </w:tcPr>
          <w:p w14:paraId="6C45D1AA">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设备类型</w:t>
            </w:r>
          </w:p>
        </w:tc>
        <w:tc>
          <w:tcPr>
            <w:tcW w:w="1665" w:type="pct"/>
            <w:vAlign w:val="center"/>
          </w:tcPr>
          <w:p w14:paraId="36E0FBF2">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介质</w:t>
            </w:r>
          </w:p>
        </w:tc>
        <w:tc>
          <w:tcPr>
            <w:tcW w:w="1667" w:type="pct"/>
            <w:vAlign w:val="center"/>
          </w:tcPr>
          <w:p w14:paraId="2A62C94A">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排放速率（kg/h）</w:t>
            </w:r>
          </w:p>
        </w:tc>
      </w:tr>
      <w:tr w14:paraId="1AE82F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668" w:type="pct"/>
            <w:vMerge w:val="restart"/>
            <w:vAlign w:val="center"/>
          </w:tcPr>
          <w:p w14:paraId="66604350">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阀门</w:t>
            </w:r>
          </w:p>
        </w:tc>
        <w:tc>
          <w:tcPr>
            <w:tcW w:w="1665" w:type="pct"/>
            <w:vAlign w:val="center"/>
          </w:tcPr>
          <w:p w14:paraId="446013D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气体</w:t>
            </w:r>
          </w:p>
        </w:tc>
        <w:tc>
          <w:tcPr>
            <w:tcW w:w="1667" w:type="pct"/>
            <w:vAlign w:val="center"/>
          </w:tcPr>
          <w:p w14:paraId="6DB80197">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0.00597</w:t>
            </w:r>
          </w:p>
        </w:tc>
      </w:tr>
      <w:tr w14:paraId="0BE44C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668" w:type="pct"/>
            <w:vMerge w:val="continue"/>
            <w:vAlign w:val="center"/>
          </w:tcPr>
          <w:p w14:paraId="0FAAC81E">
            <w:pPr>
              <w:spacing w:line="240" w:lineRule="auto"/>
              <w:ind w:firstLine="420"/>
              <w:jc w:val="center"/>
              <w:rPr>
                <w:color w:val="000000" w:themeColor="text1"/>
                <w:sz w:val="21"/>
                <w:szCs w:val="21"/>
                <w14:textFill>
                  <w14:solidFill>
                    <w14:schemeClr w14:val="tx1"/>
                  </w14:solidFill>
                </w14:textFill>
              </w:rPr>
            </w:pPr>
          </w:p>
        </w:tc>
        <w:tc>
          <w:tcPr>
            <w:tcW w:w="1665" w:type="pct"/>
            <w:vAlign w:val="center"/>
          </w:tcPr>
          <w:p w14:paraId="71BDBD9B">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排放量</w:t>
            </w:r>
            <w:r>
              <w:rPr>
                <w:color w:val="000000" w:themeColor="text1"/>
                <w:sz w:val="21"/>
                <w:szCs w:val="21"/>
                <w14:textFill>
                  <w14:solidFill>
                    <w14:schemeClr w14:val="tx1"/>
                  </w14:solidFill>
                </w14:textFill>
              </w:rPr>
              <w:t>轻液体</w:t>
            </w:r>
          </w:p>
        </w:tc>
        <w:tc>
          <w:tcPr>
            <w:tcW w:w="1667" w:type="pct"/>
            <w:vAlign w:val="center"/>
          </w:tcPr>
          <w:p w14:paraId="004F3D0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0.00403</w:t>
            </w:r>
          </w:p>
        </w:tc>
      </w:tr>
      <w:tr w14:paraId="23A832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668" w:type="pct"/>
            <w:vMerge w:val="continue"/>
            <w:vAlign w:val="center"/>
          </w:tcPr>
          <w:p w14:paraId="37252B51">
            <w:pPr>
              <w:spacing w:line="240" w:lineRule="auto"/>
              <w:ind w:firstLine="420"/>
              <w:jc w:val="center"/>
              <w:rPr>
                <w:color w:val="000000" w:themeColor="text1"/>
                <w:sz w:val="21"/>
                <w:szCs w:val="21"/>
                <w14:textFill>
                  <w14:solidFill>
                    <w14:schemeClr w14:val="tx1"/>
                  </w14:solidFill>
                </w14:textFill>
              </w:rPr>
            </w:pPr>
          </w:p>
        </w:tc>
        <w:tc>
          <w:tcPr>
            <w:tcW w:w="1665" w:type="pct"/>
            <w:vAlign w:val="center"/>
          </w:tcPr>
          <w:p w14:paraId="39AB8ED8">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重液体</w:t>
            </w:r>
          </w:p>
        </w:tc>
        <w:tc>
          <w:tcPr>
            <w:tcW w:w="1667" w:type="pct"/>
            <w:vAlign w:val="center"/>
          </w:tcPr>
          <w:p w14:paraId="21FDDE7F">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0.00023</w:t>
            </w:r>
          </w:p>
        </w:tc>
      </w:tr>
      <w:tr w14:paraId="544C01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1668" w:type="pct"/>
            <w:vMerge w:val="restart"/>
            <w:vAlign w:val="center"/>
          </w:tcPr>
          <w:p w14:paraId="19911ABB">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泵</w:t>
            </w:r>
          </w:p>
        </w:tc>
        <w:tc>
          <w:tcPr>
            <w:tcW w:w="1665" w:type="pct"/>
            <w:vAlign w:val="center"/>
          </w:tcPr>
          <w:p w14:paraId="79790EA0">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轻液体</w:t>
            </w:r>
          </w:p>
        </w:tc>
        <w:tc>
          <w:tcPr>
            <w:tcW w:w="1667" w:type="pct"/>
            <w:vAlign w:val="center"/>
          </w:tcPr>
          <w:p w14:paraId="64FB1802">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0.0199</w:t>
            </w:r>
          </w:p>
        </w:tc>
      </w:tr>
      <w:tr w14:paraId="188DC0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668" w:type="pct"/>
            <w:vMerge w:val="continue"/>
            <w:vAlign w:val="center"/>
          </w:tcPr>
          <w:p w14:paraId="335256F6">
            <w:pPr>
              <w:spacing w:line="240" w:lineRule="auto"/>
              <w:ind w:firstLine="420"/>
              <w:jc w:val="center"/>
              <w:rPr>
                <w:color w:val="000000" w:themeColor="text1"/>
                <w:sz w:val="21"/>
                <w:szCs w:val="21"/>
                <w14:textFill>
                  <w14:solidFill>
                    <w14:schemeClr w14:val="tx1"/>
                  </w14:solidFill>
                </w14:textFill>
              </w:rPr>
            </w:pPr>
          </w:p>
        </w:tc>
        <w:tc>
          <w:tcPr>
            <w:tcW w:w="1665" w:type="pct"/>
            <w:vAlign w:val="center"/>
          </w:tcPr>
          <w:p w14:paraId="353A96D3">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重液体</w:t>
            </w:r>
          </w:p>
        </w:tc>
        <w:tc>
          <w:tcPr>
            <w:tcW w:w="1667" w:type="pct"/>
            <w:vAlign w:val="center"/>
          </w:tcPr>
          <w:p w14:paraId="3696BE88">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0.00862</w:t>
            </w:r>
          </w:p>
        </w:tc>
      </w:tr>
      <w:tr w14:paraId="76F84D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668" w:type="pct"/>
            <w:vAlign w:val="center"/>
          </w:tcPr>
          <w:p w14:paraId="7476A1AE">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压缩机</w:t>
            </w:r>
          </w:p>
        </w:tc>
        <w:tc>
          <w:tcPr>
            <w:tcW w:w="1665" w:type="pct"/>
            <w:vAlign w:val="center"/>
          </w:tcPr>
          <w:p w14:paraId="5B274D14">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气体</w:t>
            </w:r>
          </w:p>
        </w:tc>
        <w:tc>
          <w:tcPr>
            <w:tcW w:w="1667" w:type="pct"/>
            <w:vAlign w:val="center"/>
          </w:tcPr>
          <w:p w14:paraId="5D2E34F5">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0.228</w:t>
            </w:r>
          </w:p>
        </w:tc>
      </w:tr>
      <w:tr w14:paraId="30F784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668" w:type="pct"/>
            <w:vAlign w:val="center"/>
          </w:tcPr>
          <w:p w14:paraId="73933FF9">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泄压设备</w:t>
            </w:r>
          </w:p>
        </w:tc>
        <w:tc>
          <w:tcPr>
            <w:tcW w:w="1665" w:type="pct"/>
            <w:vAlign w:val="center"/>
          </w:tcPr>
          <w:p w14:paraId="0BC3F65E">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气体</w:t>
            </w:r>
          </w:p>
        </w:tc>
        <w:tc>
          <w:tcPr>
            <w:tcW w:w="1667" w:type="pct"/>
            <w:vAlign w:val="center"/>
          </w:tcPr>
          <w:p w14:paraId="2FFC5638">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0.104</w:t>
            </w:r>
          </w:p>
        </w:tc>
      </w:tr>
      <w:tr w14:paraId="7EB3E7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668" w:type="pct"/>
            <w:vAlign w:val="center"/>
          </w:tcPr>
          <w:p w14:paraId="7AFFAF4A">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法兰、连接件</w:t>
            </w:r>
          </w:p>
        </w:tc>
        <w:tc>
          <w:tcPr>
            <w:tcW w:w="1665" w:type="pct"/>
            <w:vAlign w:val="center"/>
          </w:tcPr>
          <w:p w14:paraId="4AEA6791">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所有</w:t>
            </w:r>
          </w:p>
        </w:tc>
        <w:tc>
          <w:tcPr>
            <w:tcW w:w="1667" w:type="pct"/>
            <w:vAlign w:val="center"/>
          </w:tcPr>
          <w:p w14:paraId="3545D39F">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0.00183</w:t>
            </w:r>
          </w:p>
        </w:tc>
      </w:tr>
      <w:tr w14:paraId="60CED1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668" w:type="pct"/>
            <w:vAlign w:val="center"/>
          </w:tcPr>
          <w:p w14:paraId="22CBB143">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开口阀或开口管线</w:t>
            </w:r>
          </w:p>
        </w:tc>
        <w:tc>
          <w:tcPr>
            <w:tcW w:w="1665" w:type="pct"/>
            <w:vAlign w:val="center"/>
          </w:tcPr>
          <w:p w14:paraId="0DF1F3AA">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所有</w:t>
            </w:r>
          </w:p>
        </w:tc>
        <w:tc>
          <w:tcPr>
            <w:tcW w:w="1667" w:type="pct"/>
            <w:vAlign w:val="center"/>
          </w:tcPr>
          <w:p w14:paraId="5F2A0D25">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0.0017</w:t>
            </w:r>
          </w:p>
        </w:tc>
      </w:tr>
      <w:tr w14:paraId="7E5778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668" w:type="pct"/>
            <w:vAlign w:val="center"/>
          </w:tcPr>
          <w:p w14:paraId="06160A9A">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采样连接系统</w:t>
            </w:r>
          </w:p>
        </w:tc>
        <w:tc>
          <w:tcPr>
            <w:tcW w:w="1665" w:type="pct"/>
            <w:vAlign w:val="center"/>
          </w:tcPr>
          <w:p w14:paraId="58C54F7D">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所有</w:t>
            </w:r>
          </w:p>
        </w:tc>
        <w:tc>
          <w:tcPr>
            <w:tcW w:w="1667" w:type="pct"/>
            <w:vAlign w:val="center"/>
          </w:tcPr>
          <w:p w14:paraId="388C083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0.0150</w:t>
            </w:r>
          </w:p>
        </w:tc>
      </w:tr>
      <w:tr w14:paraId="04F051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1668" w:type="pct"/>
            <w:vAlign w:val="center"/>
          </w:tcPr>
          <w:p w14:paraId="3FC99A45">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lang w:eastAsia="zh-CN"/>
                <w14:textFill>
                  <w14:solidFill>
                    <w14:schemeClr w14:val="tx1"/>
                  </w14:solidFill>
                </w14:textFill>
              </w:rPr>
              <w:t>其他</w:t>
            </w:r>
          </w:p>
        </w:tc>
        <w:tc>
          <w:tcPr>
            <w:tcW w:w="1665" w:type="pct"/>
            <w:vAlign w:val="center"/>
          </w:tcPr>
          <w:p w14:paraId="789F7F9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所有</w:t>
            </w:r>
          </w:p>
        </w:tc>
        <w:tc>
          <w:tcPr>
            <w:tcW w:w="1667" w:type="pct"/>
            <w:vAlign w:val="center"/>
          </w:tcPr>
          <w:p w14:paraId="76B41B52">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0.0597</w:t>
            </w:r>
          </w:p>
        </w:tc>
      </w:tr>
    </w:tbl>
    <w:p w14:paraId="0DBFE8FE">
      <w:pPr>
        <w:ind w:firstLine="480"/>
        <w:rPr>
          <w:bCs/>
          <w:color w:val="000000" w:themeColor="text1"/>
          <w:u w:val="single"/>
          <w14:textFill>
            <w14:solidFill>
              <w14:schemeClr w14:val="tx1"/>
            </w14:solidFill>
          </w14:textFill>
        </w:rPr>
      </w:pPr>
      <w:r>
        <w:rPr>
          <w:bCs/>
          <w:color w:val="000000" w:themeColor="text1"/>
          <w:u w:val="single"/>
          <w14:textFill>
            <w14:solidFill>
              <w14:schemeClr w14:val="tx1"/>
            </w14:solidFill>
          </w14:textFill>
        </w:rPr>
        <w:t>根据表</w:t>
      </w:r>
      <w:r>
        <w:rPr>
          <w:rFonts w:hint="eastAsia"/>
          <w:bCs/>
          <w:color w:val="000000" w:themeColor="text1"/>
          <w:u w:val="single"/>
          <w14:textFill>
            <w14:solidFill>
              <w14:schemeClr w14:val="tx1"/>
            </w14:solidFill>
          </w14:textFill>
        </w:rPr>
        <w:t>2.3-7</w:t>
      </w:r>
      <w:r>
        <w:rPr>
          <w:bCs/>
          <w:color w:val="000000" w:themeColor="text1"/>
          <w:u w:val="single"/>
          <w14:textFill>
            <w14:solidFill>
              <w14:schemeClr w14:val="tx1"/>
            </w14:solidFill>
          </w14:textFill>
        </w:rPr>
        <w:t>表格，阀门、法兰连接件、</w:t>
      </w:r>
      <w:r>
        <w:rPr>
          <w:rFonts w:hint="eastAsia"/>
          <w:bCs/>
          <w:color w:val="000000" w:themeColor="text1"/>
          <w:u w:val="single"/>
          <w14:textFill>
            <w14:solidFill>
              <w14:schemeClr w14:val="tx1"/>
            </w14:solidFill>
          </w14:textFill>
        </w:rPr>
        <w:t>采样连接系统、开口阀或开口管线、</w:t>
      </w:r>
      <w:r>
        <w:rPr>
          <w:rFonts w:hint="eastAsia"/>
          <w:bCs/>
          <w:color w:val="000000" w:themeColor="text1"/>
          <w:u w:val="single"/>
          <w:lang w:eastAsia="zh-CN"/>
          <w14:textFill>
            <w14:solidFill>
              <w14:schemeClr w14:val="tx1"/>
            </w14:solidFill>
          </w14:textFill>
        </w:rPr>
        <w:t>其他</w:t>
      </w:r>
      <w:r>
        <w:rPr>
          <w:rFonts w:hint="eastAsia"/>
          <w:bCs/>
          <w:color w:val="000000" w:themeColor="text1"/>
          <w:u w:val="single"/>
          <w14:textFill>
            <w14:solidFill>
              <w14:schemeClr w14:val="tx1"/>
            </w14:solidFill>
          </w14:textFill>
        </w:rPr>
        <w:t>选择1，结合物质密度、排放时间、排放效率等，按公式进行计算，各区域动静密封点无组织排放量见表2.3-8.</w:t>
      </w:r>
    </w:p>
    <w:p w14:paraId="1D0CFA61">
      <w:pPr>
        <w:pStyle w:val="7"/>
        <w:rPr>
          <w:color w:val="000000" w:themeColor="text1"/>
          <w14:textFill>
            <w14:solidFill>
              <w14:schemeClr w14:val="tx1"/>
            </w14:solidFill>
          </w14:textFill>
        </w:rPr>
      </w:pPr>
      <w:r>
        <w:rPr>
          <w:color w:val="000000" w:themeColor="text1"/>
          <w14:textFill>
            <w14:solidFill>
              <w14:schemeClr w14:val="tx1"/>
            </w14:solidFill>
          </w14:textFill>
        </w:rPr>
        <w:t>项目各区域动静密封点</w:t>
      </w:r>
      <w:r>
        <w:rPr>
          <w:rFonts w:hint="eastAsia"/>
          <w:color w:val="000000" w:themeColor="text1"/>
          <w14:textFill>
            <w14:solidFill>
              <w14:schemeClr w14:val="tx1"/>
            </w14:solidFill>
          </w14:textFill>
        </w:rPr>
        <w:t>无组织排放量</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94"/>
        <w:gridCol w:w="2410"/>
        <w:gridCol w:w="2515"/>
        <w:gridCol w:w="2657"/>
      </w:tblGrid>
      <w:tr w14:paraId="29986F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9" w:hRule="atLeast"/>
          <w:tblHeader/>
          <w:jc w:val="center"/>
        </w:trPr>
        <w:tc>
          <w:tcPr>
            <w:tcW w:w="3104" w:type="dxa"/>
            <w:gridSpan w:val="2"/>
            <w:tcMar>
              <w:left w:w="0" w:type="dxa"/>
              <w:right w:w="0" w:type="dxa"/>
            </w:tcMar>
            <w:vAlign w:val="center"/>
          </w:tcPr>
          <w:p w14:paraId="65ACF155">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污染物</w:t>
            </w:r>
          </w:p>
        </w:tc>
        <w:tc>
          <w:tcPr>
            <w:tcW w:w="2515" w:type="dxa"/>
            <w:tcMar>
              <w:left w:w="0" w:type="dxa"/>
              <w:right w:w="0" w:type="dxa"/>
            </w:tcMar>
            <w:vAlign w:val="center"/>
          </w:tcPr>
          <w:p w14:paraId="1D9D4639">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码头装卸区排放速率kg/h</w:t>
            </w:r>
          </w:p>
        </w:tc>
        <w:tc>
          <w:tcPr>
            <w:tcW w:w="2657" w:type="dxa"/>
            <w:tcMar>
              <w:left w:w="0" w:type="dxa"/>
              <w:right w:w="0" w:type="dxa"/>
            </w:tcMar>
            <w:vAlign w:val="center"/>
          </w:tcPr>
          <w:p w14:paraId="51D7B12A">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码头装卸区排放量t/a</w:t>
            </w:r>
          </w:p>
        </w:tc>
      </w:tr>
      <w:tr w14:paraId="0FC394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8" w:hRule="atLeast"/>
          <w:jc w:val="center"/>
        </w:trPr>
        <w:tc>
          <w:tcPr>
            <w:tcW w:w="694" w:type="dxa"/>
            <w:vMerge w:val="restart"/>
            <w:tcMar>
              <w:left w:w="0" w:type="dxa"/>
              <w:right w:w="0" w:type="dxa"/>
            </w:tcMar>
            <w:vAlign w:val="center"/>
          </w:tcPr>
          <w:p w14:paraId="3E623551">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14#泊位</w:t>
            </w:r>
          </w:p>
        </w:tc>
        <w:tc>
          <w:tcPr>
            <w:tcW w:w="2410" w:type="dxa"/>
            <w:tcMar>
              <w:left w:w="0" w:type="dxa"/>
              <w:right w:w="0" w:type="dxa"/>
            </w:tcMar>
            <w:vAlign w:val="center"/>
          </w:tcPr>
          <w:p w14:paraId="7B0C2493">
            <w:pPr>
              <w:autoSpaceDE w:val="0"/>
              <w:autoSpaceDN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苯乙烯</w:t>
            </w:r>
          </w:p>
        </w:tc>
        <w:tc>
          <w:tcPr>
            <w:tcW w:w="2515" w:type="dxa"/>
            <w:tcMar>
              <w:left w:w="0" w:type="dxa"/>
              <w:right w:w="0" w:type="dxa"/>
            </w:tcMar>
            <w:vAlign w:val="center"/>
          </w:tcPr>
          <w:p w14:paraId="53964BC3">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0.0023</w:t>
            </w:r>
          </w:p>
        </w:tc>
        <w:tc>
          <w:tcPr>
            <w:tcW w:w="2657" w:type="dxa"/>
            <w:tcMar>
              <w:left w:w="0" w:type="dxa"/>
              <w:right w:w="0" w:type="dxa"/>
            </w:tcMar>
            <w:vAlign w:val="center"/>
          </w:tcPr>
          <w:p w14:paraId="26A5E225">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0.00024</w:t>
            </w:r>
          </w:p>
        </w:tc>
      </w:tr>
      <w:tr w14:paraId="31DFD5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0" w:hRule="atLeast"/>
          <w:jc w:val="center"/>
        </w:trPr>
        <w:tc>
          <w:tcPr>
            <w:tcW w:w="694" w:type="dxa"/>
            <w:vMerge w:val="continue"/>
            <w:tcMar>
              <w:left w:w="0" w:type="dxa"/>
              <w:right w:w="0" w:type="dxa"/>
            </w:tcMar>
            <w:vAlign w:val="center"/>
          </w:tcPr>
          <w:p w14:paraId="453705B6">
            <w:pPr>
              <w:spacing w:line="240" w:lineRule="exact"/>
              <w:ind w:firstLine="0" w:firstLineChars="0"/>
              <w:jc w:val="center"/>
              <w:rPr>
                <w:color w:val="000000" w:themeColor="text1"/>
                <w:sz w:val="21"/>
                <w:szCs w:val="21"/>
                <w14:textFill>
                  <w14:solidFill>
                    <w14:schemeClr w14:val="tx1"/>
                  </w14:solidFill>
                </w14:textFill>
              </w:rPr>
            </w:pPr>
          </w:p>
        </w:tc>
        <w:tc>
          <w:tcPr>
            <w:tcW w:w="2410" w:type="dxa"/>
            <w:tcMar>
              <w:left w:w="0" w:type="dxa"/>
              <w:right w:w="0" w:type="dxa"/>
            </w:tcMar>
            <w:vAlign w:val="center"/>
          </w:tcPr>
          <w:p w14:paraId="702B728A">
            <w:pPr>
              <w:autoSpaceDE w:val="0"/>
              <w:autoSpaceDN w:val="0"/>
              <w:spacing w:line="240" w:lineRule="auto"/>
              <w:ind w:firstLine="0" w:firstLineChars="0"/>
              <w:jc w:val="center"/>
              <w:rPr>
                <w:color w:val="000000" w:themeColor="text1"/>
                <w:w w:val="99"/>
                <w:sz w:val="21"/>
                <w:szCs w:val="21"/>
                <w14:textFill>
                  <w14:solidFill>
                    <w14:schemeClr w14:val="tx1"/>
                  </w14:solidFill>
                </w14:textFill>
              </w:rPr>
            </w:pPr>
            <w:r>
              <w:rPr>
                <w:rFonts w:hint="eastAsia"/>
                <w:color w:val="000000" w:themeColor="text1"/>
                <w:sz w:val="21"/>
                <w:szCs w:val="21"/>
                <w14:textFill>
                  <w14:solidFill>
                    <w14:schemeClr w14:val="tx1"/>
                  </w14:solidFill>
                </w14:textFill>
              </w:rPr>
              <w:t>硫酸雾</w:t>
            </w:r>
          </w:p>
        </w:tc>
        <w:tc>
          <w:tcPr>
            <w:tcW w:w="2515" w:type="dxa"/>
            <w:tcMar>
              <w:left w:w="0" w:type="dxa"/>
              <w:right w:w="0" w:type="dxa"/>
            </w:tcMar>
            <w:vAlign w:val="center"/>
          </w:tcPr>
          <w:p w14:paraId="2D0B5297">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.0311</w:t>
            </w:r>
          </w:p>
        </w:tc>
        <w:tc>
          <w:tcPr>
            <w:tcW w:w="2657" w:type="dxa"/>
            <w:tcMar>
              <w:left w:w="0" w:type="dxa"/>
              <w:right w:w="0" w:type="dxa"/>
            </w:tcMar>
            <w:vAlign w:val="center"/>
          </w:tcPr>
          <w:p w14:paraId="41938025">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.0011</w:t>
            </w:r>
          </w:p>
        </w:tc>
      </w:tr>
      <w:tr w14:paraId="6F73C3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85" w:hRule="atLeast"/>
          <w:jc w:val="center"/>
        </w:trPr>
        <w:tc>
          <w:tcPr>
            <w:tcW w:w="694" w:type="dxa"/>
            <w:vMerge w:val="continue"/>
            <w:tcMar>
              <w:left w:w="0" w:type="dxa"/>
              <w:right w:w="0" w:type="dxa"/>
            </w:tcMar>
            <w:vAlign w:val="center"/>
          </w:tcPr>
          <w:p w14:paraId="3C58552A">
            <w:pPr>
              <w:spacing w:line="240" w:lineRule="exact"/>
              <w:ind w:firstLine="0" w:firstLineChars="0"/>
              <w:jc w:val="center"/>
              <w:rPr>
                <w:color w:val="000000" w:themeColor="text1"/>
                <w:sz w:val="21"/>
                <w:szCs w:val="21"/>
                <w14:textFill>
                  <w14:solidFill>
                    <w14:schemeClr w14:val="tx1"/>
                  </w14:solidFill>
                </w14:textFill>
              </w:rPr>
            </w:pPr>
          </w:p>
        </w:tc>
        <w:tc>
          <w:tcPr>
            <w:tcW w:w="2410" w:type="dxa"/>
            <w:tcMar>
              <w:left w:w="0" w:type="dxa"/>
              <w:right w:w="0" w:type="dxa"/>
            </w:tcMar>
            <w:vAlign w:val="center"/>
          </w:tcPr>
          <w:p w14:paraId="6560408A">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VOCs</w:t>
            </w:r>
          </w:p>
          <w:p w14:paraId="1BC216D3">
            <w:pPr>
              <w:spacing w:line="240" w:lineRule="exact"/>
              <w:ind w:firstLine="0" w:firstLineChars="0"/>
              <w:jc w:val="center"/>
              <w:rPr>
                <w:color w:val="000000" w:themeColor="text1"/>
                <w:w w:val="99"/>
                <w:sz w:val="21"/>
                <w:szCs w:val="21"/>
                <w14:textFill>
                  <w14:solidFill>
                    <w14:schemeClr w14:val="tx1"/>
                  </w14:solidFill>
                </w14:textFill>
              </w:rPr>
            </w:pPr>
            <w:r>
              <w:rPr>
                <w:rFonts w:hint="eastAsia"/>
                <w:color w:val="000000" w:themeColor="text1"/>
                <w:sz w:val="21"/>
                <w:szCs w:val="21"/>
                <w14:textFill>
                  <w14:solidFill>
                    <w14:schemeClr w14:val="tx1"/>
                  </w14:solidFill>
                </w14:textFill>
              </w:rPr>
              <w:t>（根据货种及标准统计）</w:t>
            </w:r>
          </w:p>
        </w:tc>
        <w:tc>
          <w:tcPr>
            <w:tcW w:w="2515" w:type="dxa"/>
            <w:tcMar>
              <w:left w:w="0" w:type="dxa"/>
              <w:right w:w="0" w:type="dxa"/>
            </w:tcMar>
            <w:vAlign w:val="center"/>
          </w:tcPr>
          <w:p w14:paraId="3C8A94C6">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.0293</w:t>
            </w:r>
          </w:p>
        </w:tc>
        <w:tc>
          <w:tcPr>
            <w:tcW w:w="2657" w:type="dxa"/>
            <w:tcMar>
              <w:left w:w="0" w:type="dxa"/>
              <w:right w:w="0" w:type="dxa"/>
            </w:tcMar>
            <w:vAlign w:val="center"/>
          </w:tcPr>
          <w:p w14:paraId="3467D618">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.0141</w:t>
            </w:r>
          </w:p>
        </w:tc>
      </w:tr>
    </w:tbl>
    <w:p w14:paraId="63FC92CB">
      <w:pPr>
        <w:ind w:firstLine="482"/>
        <w:rPr>
          <w:b/>
          <w:bCs/>
          <w:color w:val="000000" w:themeColor="text1"/>
          <w14:textFill>
            <w14:solidFill>
              <w14:schemeClr w14:val="tx1"/>
            </w14:solidFill>
          </w14:textFill>
        </w:rPr>
      </w:pPr>
    </w:p>
    <w:p w14:paraId="430BE38B">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（2）装船废气及扫线废气</w:t>
      </w:r>
    </w:p>
    <w:p w14:paraId="009CC54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①装船废气</w:t>
      </w:r>
    </w:p>
    <w:p w14:paraId="427C8FAE">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裂解C9、工业级混合油、脂肪酸甲酯、纯生物柴油、航空煤油由后方厂区及公共管廊至码头管廊后至新建装卸臂进行装船</w:t>
      </w:r>
      <w:r>
        <w:rPr>
          <w:rFonts w:hint="eastAsia"/>
          <w:color w:val="000000" w:themeColor="text1"/>
          <w14:textFill>
            <w14:solidFill>
              <w14:schemeClr w14:val="tx1"/>
            </w14:solidFill>
          </w14:textFill>
        </w:rPr>
        <w:t>。各装卸点均设置相应的油气收集装置（采用软管）、船岸安全装置、气相管道将装船废气收集后由后依托后方恒逸厂区RTO炉处置。具体如下：</w:t>
      </w:r>
    </w:p>
    <w:p w14:paraId="6581FC8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化工品船→双管装卸臂的气相管→船岸安全装置→管道→恒逸厂区RTO炉。</w:t>
      </w:r>
    </w:p>
    <w:p w14:paraId="23A1376E">
      <w:pPr>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船岸安全装置在进气端、出气端之间的管道上设置有紧急切断阀、压力/真空释放阀、气液分离器、防爆轰型阻火器、紧急充氮接入口、含氧量传感器、VOC测定仪、压力表、温度计等。管道运行压力高于或低于船舶设定的超压或超真空状态规定时，压力/真空释放阀泄压，延时超压时自动关闭切断阀，同时开启电磁阀。管道内油气含氧量体积比高于6%时报警，并同时开启阀门补入惰性气体；含氧量体积比高于8%时，系统自动关闭紧急切断阀，同时开启电磁阀实施紧急排放。</w:t>
      </w:r>
    </w:p>
    <w:p w14:paraId="1B2525C2">
      <w:pPr>
        <w:autoSpaceDE w:val="0"/>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根据《水运工程建设项目环境影响评价指南》（</w:t>
      </w:r>
      <w:r>
        <w:rPr>
          <w:rFonts w:hint="eastAsia"/>
          <w:color w:val="000000" w:themeColor="text1"/>
          <w14:textFill>
            <w14:solidFill>
              <w14:schemeClr w14:val="tx1"/>
            </w14:solidFill>
          </w14:textFill>
        </w:rPr>
        <w:t>JTS/T 105-2021</w:t>
      </w:r>
      <w:r>
        <w:rPr>
          <w:rFonts w:hint="eastAsia" w:ascii="宋体" w:hAnsi="宋体"/>
          <w:color w:val="000000" w:themeColor="text1"/>
          <w14:textFill>
            <w14:solidFill>
              <w14:schemeClr w14:val="tx1"/>
            </w14:solidFill>
          </w14:textFill>
        </w:rPr>
        <w:t>），原油、汽油外的石油化工品装船作业废气源强采用下式计算：</w:t>
      </w:r>
    </w:p>
    <w:p w14:paraId="3DBFD21C">
      <w:pPr>
        <w:autoSpaceDE w:val="0"/>
        <w:ind w:firstLine="480"/>
        <w:jc w:val="center"/>
        <w:rPr>
          <w:rFonts w:hint="eastAsia"/>
          <w:color w:val="000000" w:themeColor="text1"/>
          <w14:textFill>
            <w14:solidFill>
              <w14:schemeClr w14:val="tx1"/>
            </w14:solidFill>
          </w14:textFill>
        </w:rPr>
      </w:pPr>
      <w:r>
        <w:rPr>
          <w:rFonts w:hint="eastAsia"/>
          <w:i/>
          <w:iCs/>
          <w:color w:val="000000" w:themeColor="text1"/>
          <w14:textFill>
            <w14:solidFill>
              <w14:schemeClr w14:val="tx1"/>
            </w14:solidFill>
          </w14:textFill>
        </w:rPr>
        <w:t>C</w:t>
      </w:r>
      <w:r>
        <w:rPr>
          <w:rFonts w:hint="eastAsia"/>
          <w:i/>
          <w:iCs/>
          <w:color w:val="000000" w:themeColor="text1"/>
          <w:vertAlign w:val="subscript"/>
          <w14:textFill>
            <w14:solidFill>
              <w14:schemeClr w14:val="tx1"/>
            </w14:solidFill>
          </w14:textFill>
        </w:rPr>
        <w:t>L</w:t>
      </w:r>
      <w:r>
        <w:rPr>
          <w:rFonts w:hint="eastAsia"/>
          <w:color w:val="000000" w:themeColor="text1"/>
          <w14:textFill>
            <w14:solidFill>
              <w14:schemeClr w14:val="tx1"/>
            </w14:solidFill>
          </w14:textFill>
        </w:rPr>
        <w:t>=</w:t>
      </w:r>
      <w:r>
        <w:rPr>
          <w:rFonts w:hint="eastAsia"/>
          <w:i/>
          <w:iCs/>
          <w:color w:val="000000" w:themeColor="text1"/>
          <w14:textFill>
            <w14:solidFill>
              <w14:schemeClr w14:val="tx1"/>
            </w14:solidFill>
          </w14:textFill>
        </w:rPr>
        <w:t>0.12SPMV</w:t>
      </w:r>
      <w:r>
        <w:rPr>
          <w:rFonts w:hint="eastAsia"/>
          <w:i/>
          <w:iCs/>
          <w:color w:val="000000" w:themeColor="text1"/>
          <w:vertAlign w:val="subscript"/>
          <w14:textFill>
            <w14:solidFill>
              <w14:schemeClr w14:val="tx1"/>
            </w14:solidFill>
          </w14:textFill>
        </w:rPr>
        <w:t>i</w:t>
      </w:r>
      <w:r>
        <w:rPr>
          <w:rFonts w:hint="eastAsia" w:ascii="宋体" w:hAnsi="宋体"/>
          <w:i/>
          <w:iCs/>
          <w:color w:val="000000" w:themeColor="text1"/>
          <w14:textFill>
            <w14:solidFill>
              <w14:schemeClr w14:val="tx1"/>
            </w14:solidFill>
          </w14:textFill>
        </w:rPr>
        <w:t>（</w:t>
      </w:r>
      <w:r>
        <w:rPr>
          <w:rFonts w:hint="eastAsia"/>
          <w:i/>
          <w:iCs/>
          <w:color w:val="000000" w:themeColor="text1"/>
          <w14:textFill>
            <w14:solidFill>
              <w14:schemeClr w14:val="tx1"/>
            </w14:solidFill>
          </w14:textFill>
        </w:rPr>
        <w:t>1-eff/100</w:t>
      </w:r>
      <w:r>
        <w:rPr>
          <w:rFonts w:hint="eastAsia" w:ascii="宋体" w:hAnsi="宋体"/>
          <w:i/>
          <w:iCs/>
          <w:color w:val="000000" w:themeColor="text1"/>
          <w14:textFill>
            <w14:solidFill>
              <w14:schemeClr w14:val="tx1"/>
            </w14:solidFill>
          </w14:textFill>
        </w:rPr>
        <w:t>）</w:t>
      </w:r>
      <w:r>
        <w:rPr>
          <w:rFonts w:hint="eastAsia"/>
          <w:i/>
          <w:iCs/>
          <w:color w:val="000000" w:themeColor="text1"/>
          <w14:textFill>
            <w14:solidFill>
              <w14:schemeClr w14:val="tx1"/>
            </w14:solidFill>
          </w14:textFill>
        </w:rPr>
        <w:t>/</w:t>
      </w:r>
      <w:r>
        <w:rPr>
          <w:rFonts w:hint="eastAsia" w:ascii="宋体" w:hAnsi="宋体"/>
          <w:i/>
          <w:iCs/>
          <w:color w:val="000000" w:themeColor="text1"/>
          <w14:textFill>
            <w14:solidFill>
              <w14:schemeClr w14:val="tx1"/>
            </w14:solidFill>
          </w14:textFill>
        </w:rPr>
        <w:t>（</w:t>
      </w:r>
      <w:r>
        <w:rPr>
          <w:rFonts w:hint="eastAsia"/>
          <w:i/>
          <w:iCs/>
          <w:color w:val="000000" w:themeColor="text1"/>
          <w14:textFill>
            <w14:solidFill>
              <w14:schemeClr w14:val="tx1"/>
            </w14:solidFill>
          </w14:textFill>
        </w:rPr>
        <w:t>T+273.15</w:t>
      </w:r>
      <w:r>
        <w:rPr>
          <w:rFonts w:hint="eastAsia" w:ascii="宋体" w:hAnsi="宋体"/>
          <w:i/>
          <w:iCs/>
          <w:color w:val="000000" w:themeColor="text1"/>
          <w14:textFill>
            <w14:solidFill>
              <w14:schemeClr w14:val="tx1"/>
            </w14:solidFill>
          </w14:textFill>
        </w:rPr>
        <w:t>）</w:t>
      </w:r>
    </w:p>
    <w:p w14:paraId="4C9AB926">
      <w:pPr>
        <w:autoSpaceDE w:val="0"/>
        <w:ind w:firstLine="480"/>
        <w:rPr>
          <w:bCs/>
          <w:color w:val="000000" w:themeColor="text1"/>
          <w14:textFill>
            <w14:solidFill>
              <w14:schemeClr w14:val="tx1"/>
            </w14:solidFill>
          </w14:textFill>
        </w:rPr>
      </w:pPr>
      <w:r>
        <w:rPr>
          <w:rFonts w:hint="eastAsia" w:ascii="宋体" w:hAnsi="宋体"/>
          <w:bCs/>
          <w:color w:val="000000" w:themeColor="text1"/>
          <w14:textFill>
            <w14:solidFill>
              <w14:schemeClr w14:val="tx1"/>
            </w14:solidFill>
          </w14:textFill>
        </w:rPr>
        <w:t>式中：</w:t>
      </w:r>
      <w:r>
        <w:rPr>
          <w:rFonts w:hint="eastAsia"/>
          <w:bCs/>
          <w:color w:val="000000" w:themeColor="text1"/>
          <w14:textFill>
            <w14:solidFill>
              <w14:schemeClr w14:val="tx1"/>
            </w14:solidFill>
          </w14:textFill>
        </w:rPr>
        <w:t>C</w:t>
      </w:r>
      <w:r>
        <w:rPr>
          <w:rFonts w:hint="eastAsia"/>
          <w:bCs/>
          <w:color w:val="000000" w:themeColor="text1"/>
          <w:vertAlign w:val="subscript"/>
          <w14:textFill>
            <w14:solidFill>
              <w14:schemeClr w14:val="tx1"/>
            </w14:solidFill>
          </w14:textFill>
        </w:rPr>
        <w:t>L</w:t>
      </w:r>
      <w:r>
        <w:rPr>
          <w:rFonts w:hint="eastAsia" w:ascii="宋体" w:hAnsi="宋体"/>
          <w:bCs/>
          <w:color w:val="000000" w:themeColor="text1"/>
          <w14:textFill>
            <w14:solidFill>
              <w14:schemeClr w14:val="tx1"/>
            </w14:solidFill>
          </w14:textFill>
        </w:rPr>
        <w:t>—石油化工品装船作业挥发源强</w:t>
      </w:r>
      <w:r>
        <w:rPr>
          <w:rFonts w:hint="eastAsia"/>
          <w:bCs/>
          <w:color w:val="000000" w:themeColor="text1"/>
          <w14:textFill>
            <w14:solidFill>
              <w14:schemeClr w14:val="tx1"/>
            </w14:solidFill>
          </w14:textFill>
        </w:rPr>
        <w:t>(kg/h)</w:t>
      </w:r>
      <w:r>
        <w:rPr>
          <w:rFonts w:hint="eastAsia" w:ascii="宋体" w:hAnsi="宋体"/>
          <w:bCs/>
          <w:color w:val="000000" w:themeColor="text1"/>
          <w14:textFill>
            <w14:solidFill>
              <w14:schemeClr w14:val="tx1"/>
            </w14:solidFill>
          </w14:textFill>
        </w:rPr>
        <w:t>；</w:t>
      </w:r>
    </w:p>
    <w:p w14:paraId="381E6929">
      <w:pPr>
        <w:autoSpaceDE w:val="0"/>
        <w:ind w:firstLine="720" w:firstLineChars="300"/>
        <w:rPr>
          <w:rFonts w:hint="eastAsia"/>
          <w:bCs/>
          <w:color w:val="000000" w:themeColor="text1"/>
          <w14:textFill>
            <w14:solidFill>
              <w14:schemeClr w14:val="tx1"/>
            </w14:solidFill>
          </w14:textFill>
        </w:rPr>
      </w:pPr>
      <w:r>
        <w:rPr>
          <w:rFonts w:hint="eastAsia"/>
          <w:bCs/>
          <w:color w:val="000000" w:themeColor="text1"/>
          <w14:textFill>
            <w14:solidFill>
              <w14:schemeClr w14:val="tx1"/>
            </w14:solidFill>
          </w14:textFill>
        </w:rPr>
        <w:t>S</w:t>
      </w:r>
      <w:r>
        <w:rPr>
          <w:rFonts w:hint="eastAsia" w:ascii="宋体" w:hAnsi="宋体"/>
          <w:bCs/>
          <w:color w:val="000000" w:themeColor="text1"/>
          <w14:textFill>
            <w14:solidFill>
              <w14:schemeClr w14:val="tx1"/>
            </w14:solidFill>
          </w14:textFill>
        </w:rPr>
        <w:t>—饱和因子，本次评价取淹没装载轮船</w:t>
      </w:r>
      <w:r>
        <w:rPr>
          <w:rFonts w:hint="eastAsia"/>
          <w:bCs/>
          <w:color w:val="000000" w:themeColor="text1"/>
          <w14:textFill>
            <w14:solidFill>
              <w14:schemeClr w14:val="tx1"/>
            </w14:solidFill>
          </w14:textFill>
        </w:rPr>
        <w:t>0.2</w:t>
      </w:r>
      <w:r>
        <w:rPr>
          <w:rFonts w:hint="eastAsia" w:ascii="宋体" w:hAnsi="宋体"/>
          <w:bCs/>
          <w:color w:val="000000" w:themeColor="text1"/>
          <w14:textFill>
            <w14:solidFill>
              <w14:schemeClr w14:val="tx1"/>
            </w14:solidFill>
          </w14:textFill>
        </w:rPr>
        <w:t>；</w:t>
      </w:r>
    </w:p>
    <w:p w14:paraId="3D7CB057">
      <w:pPr>
        <w:autoSpaceDE w:val="0"/>
        <w:ind w:firstLine="720" w:firstLineChars="300"/>
        <w:rPr>
          <w:rFonts w:hint="eastAsia"/>
          <w:bCs/>
          <w:color w:val="000000" w:themeColor="text1"/>
          <w14:textFill>
            <w14:solidFill>
              <w14:schemeClr w14:val="tx1"/>
            </w14:solidFill>
          </w14:textFill>
        </w:rPr>
      </w:pPr>
      <w:r>
        <w:rPr>
          <w:rFonts w:hint="eastAsia"/>
          <w:bCs/>
          <w:color w:val="000000" w:themeColor="text1"/>
          <w14:textFill>
            <w14:solidFill>
              <w14:schemeClr w14:val="tx1"/>
            </w14:solidFill>
          </w14:textFill>
        </w:rPr>
        <w:t>P</w:t>
      </w:r>
      <w:r>
        <w:rPr>
          <w:rFonts w:hint="eastAsia" w:ascii="宋体" w:hAnsi="宋体"/>
          <w:bCs/>
          <w:color w:val="000000" w:themeColor="text1"/>
          <w14:textFill>
            <w14:solidFill>
              <w14:schemeClr w14:val="tx1"/>
            </w14:solidFill>
          </w14:textFill>
        </w:rPr>
        <w:t>—温度</w:t>
      </w:r>
      <w:r>
        <w:rPr>
          <w:rFonts w:hint="eastAsia"/>
          <w:bCs/>
          <w:color w:val="000000" w:themeColor="text1"/>
          <w14:textFill>
            <w14:solidFill>
              <w14:schemeClr w14:val="tx1"/>
            </w14:solidFill>
          </w14:textFill>
        </w:rPr>
        <w:t>T</w:t>
      </w:r>
      <w:r>
        <w:rPr>
          <w:rFonts w:hint="eastAsia" w:ascii="宋体" w:hAnsi="宋体"/>
          <w:bCs/>
          <w:color w:val="000000" w:themeColor="text1"/>
          <w14:textFill>
            <w14:solidFill>
              <w14:schemeClr w14:val="tx1"/>
            </w14:solidFill>
          </w14:textFill>
        </w:rPr>
        <w:t>时装载化工品的饱和蒸气压</w:t>
      </w:r>
      <w:r>
        <w:rPr>
          <w:rFonts w:hint="eastAsia"/>
          <w:bCs/>
          <w:color w:val="000000" w:themeColor="text1"/>
          <w14:textFill>
            <w14:solidFill>
              <w14:schemeClr w14:val="tx1"/>
            </w14:solidFill>
          </w14:textFill>
        </w:rPr>
        <w:t>(kPa)</w:t>
      </w:r>
      <w:r>
        <w:rPr>
          <w:rFonts w:hint="eastAsia" w:ascii="宋体" w:hAnsi="宋体"/>
          <w:bCs/>
          <w:color w:val="000000" w:themeColor="text1"/>
          <w14:textFill>
            <w14:solidFill>
              <w14:schemeClr w14:val="tx1"/>
            </w14:solidFill>
          </w14:textFill>
        </w:rPr>
        <w:t>；</w:t>
      </w:r>
    </w:p>
    <w:p w14:paraId="70D85A35">
      <w:pPr>
        <w:autoSpaceDE w:val="0"/>
        <w:ind w:firstLine="720" w:firstLineChars="300"/>
        <w:rPr>
          <w:rFonts w:hint="eastAsia"/>
          <w:bCs/>
          <w:color w:val="000000" w:themeColor="text1"/>
          <w14:textFill>
            <w14:solidFill>
              <w14:schemeClr w14:val="tx1"/>
            </w14:solidFill>
          </w14:textFill>
        </w:rPr>
      </w:pPr>
      <w:r>
        <w:rPr>
          <w:rFonts w:hint="eastAsia"/>
          <w:bCs/>
          <w:color w:val="000000" w:themeColor="text1"/>
          <w14:textFill>
            <w14:solidFill>
              <w14:schemeClr w14:val="tx1"/>
            </w14:solidFill>
          </w14:textFill>
        </w:rPr>
        <w:t>M</w:t>
      </w:r>
      <w:r>
        <w:rPr>
          <w:rFonts w:hint="eastAsia" w:ascii="宋体" w:hAnsi="宋体"/>
          <w:bCs/>
          <w:color w:val="000000" w:themeColor="text1"/>
          <w14:textFill>
            <w14:solidFill>
              <w14:schemeClr w14:val="tx1"/>
            </w14:solidFill>
          </w14:textFill>
        </w:rPr>
        <w:t>—石油化工品分子量；</w:t>
      </w:r>
    </w:p>
    <w:p w14:paraId="150DB5BF">
      <w:pPr>
        <w:autoSpaceDE w:val="0"/>
        <w:ind w:firstLine="720" w:firstLineChars="300"/>
        <w:rPr>
          <w:rFonts w:hint="eastAsia"/>
          <w:bCs/>
          <w:color w:val="000000" w:themeColor="text1"/>
          <w14:textFill>
            <w14:solidFill>
              <w14:schemeClr w14:val="tx1"/>
            </w14:solidFill>
          </w14:textFill>
        </w:rPr>
      </w:pPr>
      <w:r>
        <w:rPr>
          <w:rFonts w:hint="eastAsia"/>
          <w:bCs/>
          <w:color w:val="000000" w:themeColor="text1"/>
          <w14:textFill>
            <w14:solidFill>
              <w14:schemeClr w14:val="tx1"/>
            </w14:solidFill>
          </w14:textFill>
        </w:rPr>
        <w:t>V</w:t>
      </w:r>
      <w:r>
        <w:rPr>
          <w:rFonts w:hint="eastAsia"/>
          <w:bCs/>
          <w:color w:val="000000" w:themeColor="text1"/>
          <w:vertAlign w:val="subscript"/>
          <w14:textFill>
            <w14:solidFill>
              <w14:schemeClr w14:val="tx1"/>
            </w14:solidFill>
          </w14:textFill>
        </w:rPr>
        <w:t>i</w:t>
      </w:r>
      <w:r>
        <w:rPr>
          <w:rFonts w:hint="eastAsia" w:ascii="宋体" w:hAnsi="宋体"/>
          <w:bCs/>
          <w:color w:val="000000" w:themeColor="text1"/>
          <w14:textFill>
            <w14:solidFill>
              <w14:schemeClr w14:val="tx1"/>
            </w14:solidFill>
          </w14:textFill>
        </w:rPr>
        <w:t>—装船速度</w:t>
      </w:r>
      <w:r>
        <w:rPr>
          <w:rFonts w:hint="eastAsia"/>
          <w:bCs/>
          <w:color w:val="000000" w:themeColor="text1"/>
          <w14:textFill>
            <w14:solidFill>
              <w14:schemeClr w14:val="tx1"/>
            </w14:solidFill>
          </w14:textFill>
        </w:rPr>
        <w:t>(m</w:t>
      </w:r>
      <w:r>
        <w:rPr>
          <w:rFonts w:hint="eastAsia"/>
          <w:bCs/>
          <w:color w:val="000000" w:themeColor="text1"/>
          <w:vertAlign w:val="superscript"/>
          <w14:textFill>
            <w14:solidFill>
              <w14:schemeClr w14:val="tx1"/>
            </w14:solidFill>
          </w14:textFill>
        </w:rPr>
        <w:t>3</w:t>
      </w:r>
      <w:r>
        <w:rPr>
          <w:rFonts w:hint="eastAsia"/>
          <w:bCs/>
          <w:color w:val="000000" w:themeColor="text1"/>
          <w14:textFill>
            <w14:solidFill>
              <w14:schemeClr w14:val="tx1"/>
            </w14:solidFill>
          </w14:textFill>
        </w:rPr>
        <w:t>/h)</w:t>
      </w:r>
      <w:r>
        <w:rPr>
          <w:rFonts w:hint="eastAsia" w:ascii="宋体" w:hAnsi="宋体"/>
          <w:bCs/>
          <w:color w:val="000000" w:themeColor="text1"/>
          <w14:textFill>
            <w14:solidFill>
              <w14:schemeClr w14:val="tx1"/>
            </w14:solidFill>
          </w14:textFill>
        </w:rPr>
        <w:t>；</w:t>
      </w:r>
    </w:p>
    <w:p w14:paraId="5B5765BF">
      <w:pPr>
        <w:autoSpaceDE w:val="0"/>
        <w:ind w:firstLine="720" w:firstLineChars="300"/>
        <w:rPr>
          <w:rFonts w:hint="eastAsia"/>
          <w:bCs/>
          <w:color w:val="000000" w:themeColor="text1"/>
          <w14:textFill>
            <w14:solidFill>
              <w14:schemeClr w14:val="tx1"/>
            </w14:solidFill>
          </w14:textFill>
        </w:rPr>
      </w:pPr>
      <w:r>
        <w:rPr>
          <w:rFonts w:hint="eastAsia"/>
          <w:bCs/>
          <w:color w:val="000000" w:themeColor="text1"/>
          <w14:textFill>
            <w14:solidFill>
              <w14:schemeClr w14:val="tx1"/>
            </w14:solidFill>
          </w14:textFill>
        </w:rPr>
        <w:t>eff</w:t>
      </w:r>
      <w:r>
        <w:rPr>
          <w:rFonts w:hint="eastAsia" w:ascii="宋体" w:hAnsi="宋体"/>
          <w:bCs/>
          <w:color w:val="000000" w:themeColor="text1"/>
          <w14:textFill>
            <w14:solidFill>
              <w14:schemeClr w14:val="tx1"/>
            </w14:solidFill>
          </w14:textFill>
        </w:rPr>
        <w:t>—回收率；</w:t>
      </w:r>
    </w:p>
    <w:p w14:paraId="1893D6C4">
      <w:pPr>
        <w:autoSpaceDE w:val="0"/>
        <w:ind w:firstLine="720" w:firstLineChars="300"/>
        <w:rPr>
          <w:rFonts w:hint="eastAsia"/>
          <w:bCs/>
          <w:color w:val="000000" w:themeColor="text1"/>
          <w14:textFill>
            <w14:solidFill>
              <w14:schemeClr w14:val="tx1"/>
            </w14:solidFill>
          </w14:textFill>
        </w:rPr>
      </w:pPr>
      <w:r>
        <w:rPr>
          <w:rFonts w:hint="eastAsia"/>
          <w:bCs/>
          <w:color w:val="000000" w:themeColor="text1"/>
          <w14:textFill>
            <w14:solidFill>
              <w14:schemeClr w14:val="tx1"/>
            </w14:solidFill>
          </w14:textFill>
        </w:rPr>
        <w:t>T</w:t>
      </w:r>
      <w:r>
        <w:rPr>
          <w:rFonts w:hint="eastAsia" w:ascii="宋体" w:hAnsi="宋体"/>
          <w:bCs/>
          <w:color w:val="000000" w:themeColor="text1"/>
          <w14:textFill>
            <w14:solidFill>
              <w14:schemeClr w14:val="tx1"/>
            </w14:solidFill>
          </w14:textFill>
        </w:rPr>
        <w:t>—蒸气温度</w:t>
      </w:r>
      <w:r>
        <w:rPr>
          <w:rFonts w:hint="eastAsia"/>
          <w:bCs/>
          <w:color w:val="000000" w:themeColor="text1"/>
          <w14:textFill>
            <w14:solidFill>
              <w14:schemeClr w14:val="tx1"/>
            </w14:solidFill>
          </w14:textFill>
        </w:rPr>
        <w:t>(</w:t>
      </w:r>
      <w:r>
        <w:rPr>
          <w:rFonts w:hint="eastAsia" w:ascii="宋体" w:hAnsi="宋体"/>
          <w:bCs/>
          <w:color w:val="000000" w:themeColor="text1"/>
          <w14:textFill>
            <w14:solidFill>
              <w14:schemeClr w14:val="tx1"/>
            </w14:solidFill>
          </w14:textFill>
        </w:rPr>
        <w:t>℃</w:t>
      </w:r>
      <w:r>
        <w:rPr>
          <w:rFonts w:hint="eastAsia"/>
          <w:bCs/>
          <w:color w:val="000000" w:themeColor="text1"/>
          <w14:textFill>
            <w14:solidFill>
              <w14:schemeClr w14:val="tx1"/>
            </w14:solidFill>
          </w14:textFill>
        </w:rPr>
        <w:t>)</w:t>
      </w:r>
      <w:r>
        <w:rPr>
          <w:rFonts w:hint="eastAsia" w:ascii="宋体" w:hAnsi="宋体"/>
          <w:bCs/>
          <w:color w:val="000000" w:themeColor="text1"/>
          <w14:textFill>
            <w14:solidFill>
              <w14:schemeClr w14:val="tx1"/>
            </w14:solidFill>
          </w14:textFill>
        </w:rPr>
        <w:t>。</w:t>
      </w:r>
    </w:p>
    <w:p w14:paraId="1501AD13">
      <w:pPr>
        <w:widowControl/>
        <w:ind w:firstLine="480"/>
        <w:jc w:val="left"/>
        <w:rPr>
          <w:rFonts w:hint="eastAsia" w:ascii="宋体" w:hAnsi="宋体" w:cs="瀹嬩綋"/>
          <w:color w:val="000000" w:themeColor="text1"/>
          <w14:textFill>
            <w14:solidFill>
              <w14:schemeClr w14:val="tx1"/>
            </w14:solidFill>
          </w14:textFill>
        </w:rPr>
      </w:pPr>
      <w:r>
        <w:rPr>
          <w:rFonts w:ascii="宋体" w:hAnsi="宋体" w:cs="瀹嬩綋"/>
          <w:color w:val="000000" w:themeColor="text1"/>
          <w14:textFill>
            <w14:solidFill>
              <w14:schemeClr w14:val="tx1"/>
            </w14:solidFill>
          </w14:textFill>
        </w:rPr>
        <w:t>根据货种运量</w:t>
      </w:r>
      <w:r>
        <w:rPr>
          <w:rFonts w:hint="eastAsia" w:ascii="宋体" w:hAnsi="宋体" w:cs="瀹嬩綋"/>
          <w:color w:val="000000" w:themeColor="text1"/>
          <w14:textFill>
            <w14:solidFill>
              <w14:schemeClr w14:val="tx1"/>
            </w14:solidFill>
          </w14:textFill>
        </w:rPr>
        <w:t>情况</w:t>
      </w:r>
      <w:r>
        <w:rPr>
          <w:rFonts w:ascii="宋体" w:hAnsi="宋体" w:cs="瀹嬩綋"/>
          <w:color w:val="000000" w:themeColor="text1"/>
          <w14:textFill>
            <w14:solidFill>
              <w14:schemeClr w14:val="tx1"/>
            </w14:solidFill>
          </w14:textFill>
        </w:rPr>
        <w:t>，</w:t>
      </w:r>
      <w:r>
        <w:rPr>
          <w:rFonts w:hint="eastAsia" w:ascii="宋体" w:hAnsi="宋体" w:cs="瀹嬩綋"/>
          <w:color w:val="000000" w:themeColor="text1"/>
          <w14:textFill>
            <w14:solidFill>
              <w14:schemeClr w14:val="tx1"/>
            </w14:solidFill>
          </w14:textFill>
        </w:rPr>
        <w:t>扩建项目装船废气</w:t>
      </w:r>
      <w:r>
        <w:rPr>
          <w:rFonts w:ascii="宋体" w:hAnsi="宋体" w:cs="瀹嬩綋"/>
          <w:color w:val="000000" w:themeColor="text1"/>
          <w14:textFill>
            <w14:solidFill>
              <w14:schemeClr w14:val="tx1"/>
            </w14:solidFill>
          </w14:textFill>
        </w:rPr>
        <w:t>排放量详见表</w:t>
      </w:r>
      <w:r>
        <w:rPr>
          <w:rFonts w:hint="eastAsia"/>
          <w:color w:val="000000" w:themeColor="text1"/>
          <w14:textFill>
            <w14:solidFill>
              <w14:schemeClr w14:val="tx1"/>
            </w14:solidFill>
          </w14:textFill>
        </w:rPr>
        <w:t>2.3-9</w:t>
      </w:r>
      <w:r>
        <w:rPr>
          <w:rFonts w:ascii="宋体" w:hAnsi="宋体" w:cs="瀹嬩綋"/>
          <w:color w:val="000000" w:themeColor="text1"/>
          <w14:textFill>
            <w14:solidFill>
              <w14:schemeClr w14:val="tx1"/>
            </w14:solidFill>
          </w14:textFill>
        </w:rPr>
        <w:t>。</w:t>
      </w:r>
    </w:p>
    <w:p w14:paraId="028A8BDA">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扩建项目装船废气</w:t>
      </w:r>
      <w:r>
        <w:rPr>
          <w:color w:val="000000" w:themeColor="text1"/>
          <w14:textFill>
            <w14:solidFill>
              <w14:schemeClr w14:val="tx1"/>
            </w14:solidFill>
          </w14:textFill>
        </w:rPr>
        <w:t>排放量</w:t>
      </w:r>
    </w:p>
    <w:tbl>
      <w:tblPr>
        <w:tblStyle w:val="43"/>
        <w:tblW w:w="5044"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601"/>
        <w:gridCol w:w="839"/>
        <w:gridCol w:w="662"/>
        <w:gridCol w:w="794"/>
        <w:gridCol w:w="762"/>
        <w:gridCol w:w="838"/>
        <w:gridCol w:w="669"/>
        <w:gridCol w:w="793"/>
        <w:gridCol w:w="1752"/>
        <w:gridCol w:w="699"/>
      </w:tblGrid>
      <w:tr w14:paraId="55AFE3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601" w:type="dxa"/>
            <w:vAlign w:val="center"/>
          </w:tcPr>
          <w:p w14:paraId="0651DFB6">
            <w:pPr>
              <w:autoSpaceDE w:val="0"/>
              <w:adjustRightInd w:val="0"/>
              <w:snapToGrid w:val="0"/>
              <w:spacing w:line="240" w:lineRule="exact"/>
              <w:ind w:firstLine="0" w:firstLineChars="0"/>
              <w:rPr>
                <w:color w:val="000000" w:themeColor="text1"/>
                <w:kern w:val="0"/>
                <w:sz w:val="21"/>
                <w:szCs w:val="21"/>
                <w14:textFill>
                  <w14:solidFill>
                    <w14:schemeClr w14:val="tx1"/>
                  </w14:solidFill>
                </w14:textFill>
              </w:rPr>
            </w:pPr>
            <w:r>
              <w:rPr>
                <w:rFonts w:hint="eastAsia" w:ascii="宋体" w:hAnsi="宋体"/>
                <w:color w:val="000000" w:themeColor="text1"/>
                <w:kern w:val="0"/>
                <w:sz w:val="21"/>
                <w:szCs w:val="21"/>
                <w14:textFill>
                  <w14:solidFill>
                    <w14:schemeClr w14:val="tx1"/>
                  </w14:solidFill>
                </w14:textFill>
              </w:rPr>
              <w:t>货种</w:t>
            </w:r>
          </w:p>
        </w:tc>
        <w:tc>
          <w:tcPr>
            <w:tcW w:w="839" w:type="dxa"/>
            <w:vAlign w:val="center"/>
          </w:tcPr>
          <w:p w14:paraId="7386B0C7">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ascii="宋体" w:hAnsi="宋体"/>
                <w:bCs/>
                <w:color w:val="000000" w:themeColor="text1"/>
                <w:kern w:val="0"/>
                <w:sz w:val="21"/>
                <w:szCs w:val="21"/>
                <w14:textFill>
                  <w14:solidFill>
                    <w14:schemeClr w14:val="tx1"/>
                  </w14:solidFill>
                </w14:textFill>
              </w:rPr>
              <w:t>饱和蒸气压</w:t>
            </w:r>
            <w:r>
              <w:rPr>
                <w:rFonts w:hint="eastAsia"/>
                <w:color w:val="000000" w:themeColor="text1"/>
                <w:kern w:val="0"/>
                <w:sz w:val="21"/>
                <w:szCs w:val="21"/>
                <w14:textFill>
                  <w14:solidFill>
                    <w14:schemeClr w14:val="tx1"/>
                  </w14:solidFill>
                </w14:textFill>
              </w:rPr>
              <w:t>P</w:t>
            </w:r>
            <w:r>
              <w:rPr>
                <w:rFonts w:hint="eastAsia" w:ascii="宋体" w:hAnsi="宋体"/>
                <w:color w:val="000000" w:themeColor="text1"/>
                <w:kern w:val="0"/>
                <w:sz w:val="21"/>
                <w:szCs w:val="21"/>
                <w14:textFill>
                  <w14:solidFill>
                    <w14:schemeClr w14:val="tx1"/>
                  </w14:solidFill>
                </w14:textFill>
              </w:rPr>
              <w:t>（</w:t>
            </w:r>
            <w:r>
              <w:rPr>
                <w:rFonts w:hint="eastAsia"/>
                <w:bCs/>
                <w:color w:val="000000" w:themeColor="text1"/>
                <w:kern w:val="0"/>
                <w:sz w:val="21"/>
                <w:szCs w:val="21"/>
                <w14:textFill>
                  <w14:solidFill>
                    <w14:schemeClr w14:val="tx1"/>
                  </w14:solidFill>
                </w14:textFill>
              </w:rPr>
              <w:t>kPa</w:t>
            </w:r>
            <w:r>
              <w:rPr>
                <w:rFonts w:hint="eastAsia" w:ascii="宋体" w:hAnsi="宋体"/>
                <w:color w:val="000000" w:themeColor="text1"/>
                <w:kern w:val="0"/>
                <w:sz w:val="21"/>
                <w:szCs w:val="21"/>
                <w14:textFill>
                  <w14:solidFill>
                    <w14:schemeClr w14:val="tx1"/>
                  </w14:solidFill>
                </w14:textFill>
              </w:rPr>
              <w:t>）</w:t>
            </w:r>
          </w:p>
        </w:tc>
        <w:tc>
          <w:tcPr>
            <w:tcW w:w="662" w:type="dxa"/>
            <w:vAlign w:val="center"/>
          </w:tcPr>
          <w:p w14:paraId="2B844017">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ascii="宋体" w:hAnsi="宋体"/>
                <w:bCs/>
                <w:color w:val="000000" w:themeColor="text1"/>
                <w:kern w:val="0"/>
                <w:sz w:val="21"/>
                <w:szCs w:val="21"/>
                <w14:textFill>
                  <w14:solidFill>
                    <w14:schemeClr w14:val="tx1"/>
                  </w14:solidFill>
                </w14:textFill>
              </w:rPr>
              <w:t>分子量</w:t>
            </w:r>
            <w:r>
              <w:rPr>
                <w:rFonts w:hint="eastAsia"/>
                <w:bCs/>
                <w:color w:val="000000" w:themeColor="text1"/>
                <w:kern w:val="0"/>
                <w:sz w:val="21"/>
                <w:szCs w:val="21"/>
                <w14:textFill>
                  <w14:solidFill>
                    <w14:schemeClr w14:val="tx1"/>
                  </w14:solidFill>
                </w14:textFill>
              </w:rPr>
              <w:t>M</w:t>
            </w:r>
          </w:p>
        </w:tc>
        <w:tc>
          <w:tcPr>
            <w:tcW w:w="794" w:type="dxa"/>
            <w:vAlign w:val="center"/>
          </w:tcPr>
          <w:p w14:paraId="1BED389F">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装船速度</w:t>
            </w:r>
            <w:r>
              <w:rPr>
                <w:color w:val="000000" w:themeColor="text1"/>
                <w:kern w:val="0"/>
                <w:sz w:val="21"/>
                <w:szCs w:val="21"/>
                <w14:textFill>
                  <w14:solidFill>
                    <w14:schemeClr w14:val="tx1"/>
                  </w14:solidFill>
                </w14:textFill>
              </w:rPr>
              <w:t>(m</w:t>
            </w:r>
            <w:r>
              <w:rPr>
                <w:color w:val="000000" w:themeColor="text1"/>
                <w:kern w:val="0"/>
                <w:sz w:val="21"/>
                <w:szCs w:val="21"/>
                <w:vertAlign w:val="superscript"/>
                <w14:textFill>
                  <w14:solidFill>
                    <w14:schemeClr w14:val="tx1"/>
                  </w14:solidFill>
                </w14:textFill>
              </w:rPr>
              <w:t>3</w:t>
            </w:r>
            <w:r>
              <w:rPr>
                <w:color w:val="000000" w:themeColor="text1"/>
                <w:kern w:val="0"/>
                <w:sz w:val="21"/>
                <w:szCs w:val="21"/>
                <w14:textFill>
                  <w14:solidFill>
                    <w14:schemeClr w14:val="tx1"/>
                  </w14:solidFill>
                </w14:textFill>
              </w:rPr>
              <w:t>/h)</w:t>
            </w:r>
          </w:p>
        </w:tc>
        <w:tc>
          <w:tcPr>
            <w:tcW w:w="762" w:type="dxa"/>
            <w:vAlign w:val="center"/>
          </w:tcPr>
          <w:p w14:paraId="50CA75FD">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ascii="宋体" w:hAnsi="宋体"/>
                <w:bCs/>
                <w:color w:val="000000" w:themeColor="text1"/>
                <w:kern w:val="0"/>
                <w:sz w:val="21"/>
                <w:szCs w:val="21"/>
                <w14:textFill>
                  <w14:solidFill>
                    <w14:schemeClr w14:val="tx1"/>
                  </w14:solidFill>
                </w14:textFill>
              </w:rPr>
              <w:t>蒸气温度</w:t>
            </w:r>
            <w:r>
              <w:rPr>
                <w:rFonts w:hint="eastAsia"/>
                <w:bCs/>
                <w:color w:val="000000" w:themeColor="text1"/>
                <w:kern w:val="0"/>
                <w:sz w:val="21"/>
                <w:szCs w:val="21"/>
                <w14:textFill>
                  <w14:solidFill>
                    <w14:schemeClr w14:val="tx1"/>
                  </w14:solidFill>
                </w14:textFill>
              </w:rPr>
              <w:t>T(</w:t>
            </w:r>
            <w:r>
              <w:rPr>
                <w:rFonts w:hint="eastAsia" w:ascii="宋体" w:hAnsi="宋体"/>
                <w:bCs/>
                <w:color w:val="000000" w:themeColor="text1"/>
                <w:kern w:val="0"/>
                <w:sz w:val="21"/>
                <w:szCs w:val="21"/>
                <w14:textFill>
                  <w14:solidFill>
                    <w14:schemeClr w14:val="tx1"/>
                  </w14:solidFill>
                </w14:textFill>
              </w:rPr>
              <w:t>℃</w:t>
            </w:r>
            <w:r>
              <w:rPr>
                <w:rFonts w:hint="eastAsia"/>
                <w:bCs/>
                <w:color w:val="000000" w:themeColor="text1"/>
                <w:kern w:val="0"/>
                <w:sz w:val="21"/>
                <w:szCs w:val="21"/>
                <w14:textFill>
                  <w14:solidFill>
                    <w14:schemeClr w14:val="tx1"/>
                  </w14:solidFill>
                </w14:textFill>
              </w:rPr>
              <w:t>)</w:t>
            </w:r>
          </w:p>
        </w:tc>
        <w:tc>
          <w:tcPr>
            <w:tcW w:w="838" w:type="dxa"/>
            <w:vAlign w:val="center"/>
          </w:tcPr>
          <w:p w14:paraId="1F91EA7B">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ascii="宋体" w:hAnsi="宋体"/>
                <w:bCs/>
                <w:color w:val="000000" w:themeColor="text1"/>
                <w:kern w:val="0"/>
                <w:sz w:val="21"/>
                <w:szCs w:val="21"/>
                <w14:textFill>
                  <w14:solidFill>
                    <w14:schemeClr w14:val="tx1"/>
                  </w14:solidFill>
                </w14:textFill>
              </w:rPr>
              <w:t>产生速率</w:t>
            </w:r>
            <w:r>
              <w:rPr>
                <w:rFonts w:hint="eastAsia" w:ascii="宋体" w:hAnsi="宋体"/>
                <w:color w:val="000000" w:themeColor="text1"/>
                <w:kern w:val="0"/>
                <w:sz w:val="21"/>
                <w:szCs w:val="21"/>
                <w14:textFill>
                  <w14:solidFill>
                    <w14:schemeClr w14:val="tx1"/>
                  </w14:solidFill>
                </w14:textFill>
              </w:rPr>
              <w:t>（</w:t>
            </w:r>
            <w:r>
              <w:rPr>
                <w:rFonts w:hint="eastAsia"/>
                <w:bCs/>
                <w:color w:val="000000" w:themeColor="text1"/>
                <w:kern w:val="0"/>
                <w:sz w:val="21"/>
                <w:szCs w:val="21"/>
                <w14:textFill>
                  <w14:solidFill>
                    <w14:schemeClr w14:val="tx1"/>
                  </w14:solidFill>
                </w14:textFill>
              </w:rPr>
              <w:t>kg/h</w:t>
            </w:r>
            <w:r>
              <w:rPr>
                <w:rFonts w:hint="eastAsia" w:ascii="宋体" w:hAnsi="宋体"/>
                <w:color w:val="000000" w:themeColor="text1"/>
                <w:kern w:val="0"/>
                <w:sz w:val="21"/>
                <w:szCs w:val="21"/>
                <w14:textFill>
                  <w14:solidFill>
                    <w14:schemeClr w14:val="tx1"/>
                  </w14:solidFill>
                </w14:textFill>
              </w:rPr>
              <w:t>）</w:t>
            </w:r>
          </w:p>
        </w:tc>
        <w:tc>
          <w:tcPr>
            <w:tcW w:w="669" w:type="dxa"/>
            <w:vAlign w:val="center"/>
          </w:tcPr>
          <w:p w14:paraId="77B3DCC9">
            <w:pPr>
              <w:autoSpaceDE w:val="0"/>
              <w:adjustRightInd w:val="0"/>
              <w:snapToGrid w:val="0"/>
              <w:spacing w:line="240" w:lineRule="exact"/>
              <w:ind w:firstLine="0" w:firstLineChars="0"/>
              <w:jc w:val="center"/>
              <w:rPr>
                <w:bCs/>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在线时间（</w:t>
            </w:r>
            <w:r>
              <w:rPr>
                <w:color w:val="000000" w:themeColor="text1"/>
                <w:kern w:val="0"/>
                <w:sz w:val="21"/>
                <w:szCs w:val="21"/>
                <w14:textFill>
                  <w14:solidFill>
                    <w14:schemeClr w14:val="tx1"/>
                  </w14:solidFill>
                </w14:textFill>
              </w:rPr>
              <w:t>h</w:t>
            </w:r>
            <w:r>
              <w:rPr>
                <w:rFonts w:ascii="宋体" w:hAnsi="宋体"/>
                <w:color w:val="000000" w:themeColor="text1"/>
                <w:kern w:val="0"/>
                <w:sz w:val="21"/>
                <w:szCs w:val="21"/>
                <w14:textFill>
                  <w14:solidFill>
                    <w14:schemeClr w14:val="tx1"/>
                  </w14:solidFill>
                </w14:textFill>
              </w:rPr>
              <w:t>）</w:t>
            </w:r>
          </w:p>
        </w:tc>
        <w:tc>
          <w:tcPr>
            <w:tcW w:w="793" w:type="dxa"/>
            <w:vAlign w:val="center"/>
          </w:tcPr>
          <w:p w14:paraId="2DE8BD5D">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ascii="宋体" w:hAnsi="宋体"/>
                <w:color w:val="000000" w:themeColor="text1"/>
                <w:kern w:val="0"/>
                <w:sz w:val="21"/>
                <w:szCs w:val="21"/>
                <w14:textFill>
                  <w14:solidFill>
                    <w14:schemeClr w14:val="tx1"/>
                  </w14:solidFill>
                </w14:textFill>
              </w:rPr>
              <w:t>产生量</w:t>
            </w:r>
          </w:p>
          <w:p w14:paraId="2843B5B7">
            <w:pPr>
              <w:autoSpaceDE w:val="0"/>
              <w:adjustRightInd w:val="0"/>
              <w:snapToGrid w:val="0"/>
              <w:spacing w:line="240" w:lineRule="exact"/>
              <w:ind w:firstLine="0" w:firstLineChars="0"/>
              <w:jc w:val="center"/>
              <w:rPr>
                <w:bCs/>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kg/a</w:t>
            </w:r>
            <w:r>
              <w:rPr>
                <w:rFonts w:ascii="宋体" w:hAnsi="宋体"/>
                <w:color w:val="000000" w:themeColor="text1"/>
                <w:kern w:val="0"/>
                <w:sz w:val="21"/>
                <w:szCs w:val="21"/>
                <w14:textFill>
                  <w14:solidFill>
                    <w14:schemeClr w14:val="tx1"/>
                  </w14:solidFill>
                </w14:textFill>
              </w:rPr>
              <w:t>）</w:t>
            </w:r>
          </w:p>
        </w:tc>
        <w:tc>
          <w:tcPr>
            <w:tcW w:w="1752" w:type="dxa"/>
            <w:vAlign w:val="center"/>
          </w:tcPr>
          <w:p w14:paraId="648DC865">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ascii="宋体" w:hAnsi="宋体"/>
                <w:color w:val="000000" w:themeColor="text1"/>
                <w:kern w:val="0"/>
                <w:sz w:val="21"/>
                <w:szCs w:val="21"/>
                <w14:textFill>
                  <w14:solidFill>
                    <w14:schemeClr w14:val="tx1"/>
                  </w14:solidFill>
                </w14:textFill>
              </w:rPr>
              <w:t>处理措施</w:t>
            </w:r>
          </w:p>
        </w:tc>
        <w:tc>
          <w:tcPr>
            <w:tcW w:w="699" w:type="dxa"/>
            <w:vAlign w:val="center"/>
          </w:tcPr>
          <w:p w14:paraId="50CAD4FB">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ascii="宋体" w:hAnsi="宋体"/>
                <w:color w:val="000000" w:themeColor="text1"/>
                <w:kern w:val="0"/>
                <w:sz w:val="21"/>
                <w:szCs w:val="21"/>
                <w14:textFill>
                  <w14:solidFill>
                    <w14:schemeClr w14:val="tx1"/>
                  </w14:solidFill>
                </w14:textFill>
              </w:rPr>
              <w:t>排放量</w:t>
            </w:r>
            <w:r>
              <w:rPr>
                <w:rFonts w:ascii="宋体" w:hAnsi="宋体"/>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kg/a</w:t>
            </w:r>
            <w:r>
              <w:rPr>
                <w:rFonts w:ascii="宋体" w:hAnsi="宋体"/>
                <w:color w:val="000000" w:themeColor="text1"/>
                <w:kern w:val="0"/>
                <w:sz w:val="21"/>
                <w:szCs w:val="21"/>
                <w14:textFill>
                  <w14:solidFill>
                    <w14:schemeClr w14:val="tx1"/>
                  </w14:solidFill>
                </w14:textFill>
              </w:rPr>
              <w:t>）</w:t>
            </w:r>
          </w:p>
        </w:tc>
      </w:tr>
      <w:tr w14:paraId="1A80D1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601" w:type="dxa"/>
            <w:vAlign w:val="center"/>
          </w:tcPr>
          <w:p w14:paraId="635932E8">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VOCs</w:t>
            </w:r>
          </w:p>
        </w:tc>
        <w:tc>
          <w:tcPr>
            <w:tcW w:w="839" w:type="dxa"/>
            <w:vAlign w:val="center"/>
          </w:tcPr>
          <w:p w14:paraId="1528350B">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0.1</w:t>
            </w:r>
          </w:p>
        </w:tc>
        <w:tc>
          <w:tcPr>
            <w:tcW w:w="662" w:type="dxa"/>
            <w:vAlign w:val="center"/>
          </w:tcPr>
          <w:p w14:paraId="7C0C85DF">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180</w:t>
            </w:r>
          </w:p>
        </w:tc>
        <w:tc>
          <w:tcPr>
            <w:tcW w:w="794" w:type="dxa"/>
            <w:vAlign w:val="center"/>
          </w:tcPr>
          <w:p w14:paraId="7AE06F24">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400</w:t>
            </w:r>
          </w:p>
        </w:tc>
        <w:tc>
          <w:tcPr>
            <w:tcW w:w="762" w:type="dxa"/>
            <w:vAlign w:val="center"/>
          </w:tcPr>
          <w:p w14:paraId="208B580E">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25</w:t>
            </w:r>
          </w:p>
        </w:tc>
        <w:tc>
          <w:tcPr>
            <w:tcW w:w="838" w:type="dxa"/>
            <w:vAlign w:val="center"/>
          </w:tcPr>
          <w:p w14:paraId="4471006B">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0.000580</w:t>
            </w:r>
          </w:p>
        </w:tc>
        <w:tc>
          <w:tcPr>
            <w:tcW w:w="669" w:type="dxa"/>
            <w:vAlign w:val="center"/>
          </w:tcPr>
          <w:p w14:paraId="12C8C467">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425</w:t>
            </w:r>
          </w:p>
        </w:tc>
        <w:tc>
          <w:tcPr>
            <w:tcW w:w="793" w:type="dxa"/>
            <w:vAlign w:val="center"/>
          </w:tcPr>
          <w:p w14:paraId="11A5AD9D">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0.2465</w:t>
            </w:r>
          </w:p>
        </w:tc>
        <w:tc>
          <w:tcPr>
            <w:tcW w:w="1752" w:type="dxa"/>
            <w:vAlign w:val="center"/>
          </w:tcPr>
          <w:p w14:paraId="0D287F69">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焚烧炉</w:t>
            </w:r>
            <w:r>
              <w:rPr>
                <w:rFonts w:hint="eastAsia" w:ascii="宋体" w:hAnsi="宋体"/>
                <w:color w:val="000000" w:themeColor="text1"/>
                <w:kern w:val="0"/>
                <w:sz w:val="21"/>
                <w:szCs w:val="21"/>
                <w14:textFill>
                  <w14:solidFill>
                    <w14:schemeClr w14:val="tx1"/>
                  </w14:solidFill>
                </w14:textFill>
              </w:rPr>
              <w:t>处理效率取</w:t>
            </w:r>
            <w:r>
              <w:rPr>
                <w:rFonts w:hint="eastAsia"/>
                <w:color w:val="000000" w:themeColor="text1"/>
                <w:kern w:val="0"/>
                <w:sz w:val="21"/>
                <w:szCs w:val="21"/>
                <w14:textFill>
                  <w14:solidFill>
                    <w14:schemeClr w14:val="tx1"/>
                  </w14:solidFill>
                </w14:textFill>
              </w:rPr>
              <w:t>95.96%</w:t>
            </w:r>
          </w:p>
        </w:tc>
        <w:tc>
          <w:tcPr>
            <w:tcW w:w="699" w:type="dxa"/>
            <w:vAlign w:val="center"/>
          </w:tcPr>
          <w:p w14:paraId="2DF9576E">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0.001</w:t>
            </w:r>
          </w:p>
        </w:tc>
      </w:tr>
    </w:tbl>
    <w:p w14:paraId="2C5A5A2C">
      <w:pPr>
        <w:spacing w:line="240" w:lineRule="exact"/>
        <w:ind w:firstLine="0" w:firstLineChars="0"/>
        <w:jc w:val="left"/>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备注：裂解C9、工业级混合油、脂肪酸甲酯、纯生物柴油、航空煤油以</w:t>
      </w:r>
      <w:r>
        <w:rPr>
          <w:color w:val="000000" w:themeColor="text1"/>
          <w:sz w:val="18"/>
          <w:szCs w:val="18"/>
          <w14:textFill>
            <w14:solidFill>
              <w14:schemeClr w14:val="tx1"/>
            </w14:solidFill>
          </w14:textFill>
        </w:rPr>
        <w:t>VOCs表征计算。</w:t>
      </w:r>
    </w:p>
    <w:p w14:paraId="1B3EFD21">
      <w:pPr>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上述排放已经纳入广西恒逸新材料有限公司年产120万吨己内酰胺—聚酰胺产业一体化及配套工程项目。</w:t>
      </w:r>
    </w:p>
    <w:p w14:paraId="4F68BEF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②扫线废气</w:t>
      </w:r>
    </w:p>
    <w:p w14:paraId="06FF794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主要用清管器进行扫线，通过氮气推动清管器完成扫线，扫完后氮气留在管中，下次利用输送的物料将管道内的氮气作为一个整体，平稳地推入目标储罐中。扫出氮气用于船舱密封。氮气属于空气组成部分，不属于废气，无扫线废气产生。</w:t>
      </w:r>
    </w:p>
    <w:p w14:paraId="6AD16C7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装卸作业完毕后，打开装卸臂顶部的真空阀，外臂内的残液自流到船舱内，内臂和立柱内的残液用扫线泵抽吸到切断阀门后的相应管道内。物料为挥发性有毒介质，禁止进行外臂卸空的操作，当装卸臂全部排空、卸压后方可和船舶脱开。</w:t>
      </w:r>
    </w:p>
    <w:p w14:paraId="71F2AB06">
      <w:pPr>
        <w:widowControl/>
        <w:ind w:firstLine="482"/>
        <w:rPr>
          <w:b/>
          <w:bCs/>
          <w:color w:val="000000" w:themeColor="text1"/>
          <w14:textFill>
            <w14:solidFill>
              <w14:schemeClr w14:val="tx1"/>
            </w14:solidFill>
          </w14:textFill>
        </w:rPr>
      </w:pPr>
      <w:r>
        <w:rPr>
          <w:rFonts w:hint="eastAsia"/>
          <w:b/>
          <w:bCs/>
          <w:color w:val="000000" w:themeColor="text1"/>
          <w:kern w:val="0"/>
          <w:lang w:bidi="ar"/>
          <w14:textFill>
            <w14:solidFill>
              <w14:schemeClr w14:val="tx1"/>
            </w14:solidFill>
          </w14:textFill>
        </w:rPr>
        <w:t>2、</w:t>
      </w:r>
      <w:r>
        <w:rPr>
          <w:rFonts w:hint="eastAsia" w:cs="宋体"/>
          <w:b/>
          <w:bCs/>
          <w:color w:val="000000" w:themeColor="text1"/>
          <w:kern w:val="0"/>
          <w:lang w:bidi="ar"/>
          <w14:textFill>
            <w14:solidFill>
              <w14:schemeClr w14:val="tx1"/>
            </w14:solidFill>
          </w14:textFill>
        </w:rPr>
        <w:t>非正常工况废气</w:t>
      </w:r>
    </w:p>
    <w:p w14:paraId="29F08070">
      <w:pPr>
        <w:widowControl/>
        <w:ind w:firstLine="480"/>
        <w:rPr>
          <w:color w:val="000000" w:themeColor="text1"/>
          <w:u w:val="single"/>
          <w14:textFill>
            <w14:solidFill>
              <w14:schemeClr w14:val="tx1"/>
            </w14:solidFill>
          </w14:textFill>
        </w:rPr>
      </w:pPr>
      <w:r>
        <w:rPr>
          <w:rFonts w:hint="eastAsia" w:cs="宋体"/>
          <w:color w:val="000000" w:themeColor="text1"/>
          <w:kern w:val="0"/>
          <w:u w:val="single"/>
          <w:lang w:bidi="ar"/>
          <w14:textFill>
            <w14:solidFill>
              <w14:schemeClr w14:val="tx1"/>
            </w14:solidFill>
          </w14:textFill>
        </w:rPr>
        <w:t>根据《环境影响评价技术导则 大气环境》（</w:t>
      </w:r>
      <w:r>
        <w:rPr>
          <w:color w:val="000000" w:themeColor="text1"/>
          <w:kern w:val="0"/>
          <w:u w:val="single"/>
          <w:lang w:bidi="ar"/>
          <w14:textFill>
            <w14:solidFill>
              <w14:schemeClr w14:val="tx1"/>
            </w14:solidFill>
          </w14:textFill>
        </w:rPr>
        <w:t>HJ2.2-2018</w:t>
      </w:r>
      <w:r>
        <w:rPr>
          <w:rFonts w:hint="eastAsia" w:cs="宋体"/>
          <w:color w:val="000000" w:themeColor="text1"/>
          <w:kern w:val="0"/>
          <w:u w:val="single"/>
          <w:lang w:bidi="ar"/>
          <w14:textFill>
            <w14:solidFill>
              <w14:schemeClr w14:val="tx1"/>
            </w14:solidFill>
          </w14:textFill>
        </w:rPr>
        <w:t>），本项目非正常工况下排放废气主要是指生产过程中设备检修、工艺设备运转异常等非正常工况下的污染物排放，以及污染物排放控制措施达不到应有效率等情况下的排放。</w:t>
      </w:r>
    </w:p>
    <w:p w14:paraId="40578FFD">
      <w:pPr>
        <w:widowControl/>
        <w:ind w:firstLine="480"/>
        <w:rPr>
          <w:rFonts w:hint="eastAsia" w:eastAsia="宋体"/>
          <w:color w:val="000000" w:themeColor="text1"/>
          <w:u w:val="single"/>
          <w:lang w:val="en-US" w:eastAsia="zh-CN"/>
          <w14:textFill>
            <w14:solidFill>
              <w14:schemeClr w14:val="tx1"/>
            </w14:solidFill>
          </w14:textFill>
        </w:rPr>
      </w:pPr>
      <w:r>
        <w:rPr>
          <w:rFonts w:hint="eastAsia"/>
          <w:color w:val="000000" w:themeColor="text1"/>
          <w:u w:val="single"/>
          <w14:textFill>
            <w14:solidFill>
              <w14:schemeClr w14:val="tx1"/>
            </w14:solidFill>
          </w14:textFill>
        </w:rPr>
        <w:t>本扩建项目所在的14号泊位主要服务于码头后方</w:t>
      </w:r>
      <w:r>
        <w:rPr>
          <w:rFonts w:hint="eastAsia" w:ascii="宋体" w:hAnsi="宋体"/>
          <w:color w:val="000000" w:themeColor="text1"/>
          <w:u w:val="single"/>
          <w14:textFill>
            <w14:solidFill>
              <w14:schemeClr w14:val="tx1"/>
            </w14:solidFill>
          </w14:textFill>
        </w:rPr>
        <w:t>钦州港石化园区</w:t>
      </w:r>
      <w:r>
        <w:rPr>
          <w:rFonts w:hint="eastAsia"/>
          <w:color w:val="000000" w:themeColor="text1"/>
          <w:u w:val="single"/>
          <w14:textFill>
            <w14:solidFill>
              <w14:schemeClr w14:val="tx1"/>
            </w14:solidFill>
          </w14:textFill>
        </w:rPr>
        <w:t>，不涉及生产过程，主要功能为物料运输，本扩建项目仅设置尾气管线及接船设施，尾气处理装置均由后方企业考虑，不属于本项目建设内容。项目范围内无导则规定的</w:t>
      </w:r>
      <w:r>
        <w:rPr>
          <w:rFonts w:hint="eastAsia" w:cs="宋体"/>
          <w:color w:val="000000" w:themeColor="text1"/>
          <w:kern w:val="0"/>
          <w:u w:val="single"/>
          <w:lang w:bidi="ar"/>
          <w14:textFill>
            <w14:solidFill>
              <w14:schemeClr w14:val="tx1"/>
            </w14:solidFill>
          </w14:textFill>
        </w:rPr>
        <w:t>非正常工况情景</w:t>
      </w:r>
      <w:r>
        <w:rPr>
          <w:rFonts w:hint="eastAsia" w:cs="宋体"/>
          <w:color w:val="000000" w:themeColor="text1"/>
          <w:kern w:val="0"/>
          <w:u w:val="single"/>
          <w:lang w:eastAsia="zh-CN" w:bidi="ar"/>
          <w14:textFill>
            <w14:solidFill>
              <w14:schemeClr w14:val="tx1"/>
            </w14:solidFill>
          </w14:textFill>
        </w:rPr>
        <w:t>。</w:t>
      </w:r>
    </w:p>
    <w:p w14:paraId="7424C08A">
      <w:pPr>
        <w:widowControl/>
        <w:ind w:firstLine="482"/>
        <w:rPr>
          <w:b/>
          <w:bCs/>
          <w:color w:val="000000" w:themeColor="text1"/>
          <w14:textFill>
            <w14:solidFill>
              <w14:schemeClr w14:val="tx1"/>
            </w14:solidFill>
          </w14:textFill>
        </w:rPr>
      </w:pPr>
      <w:r>
        <w:rPr>
          <w:rFonts w:hint="eastAsia"/>
          <w:b/>
          <w:bCs/>
          <w:color w:val="000000" w:themeColor="text1"/>
          <w:kern w:val="0"/>
          <w:lang w:bidi="ar"/>
          <w14:textFill>
            <w14:solidFill>
              <w14:schemeClr w14:val="tx1"/>
            </w14:solidFill>
          </w14:textFill>
        </w:rPr>
        <w:t>3、</w:t>
      </w:r>
      <w:r>
        <w:rPr>
          <w:rFonts w:hint="eastAsia" w:cs="宋体"/>
          <w:b/>
          <w:bCs/>
          <w:color w:val="000000" w:themeColor="text1"/>
          <w:kern w:val="0"/>
          <w:lang w:bidi="ar"/>
          <w14:textFill>
            <w14:solidFill>
              <w14:schemeClr w14:val="tx1"/>
            </w14:solidFill>
          </w14:textFill>
        </w:rPr>
        <w:t>船舶废气</w:t>
      </w:r>
    </w:p>
    <w:p w14:paraId="5FB0F5FD">
      <w:pPr>
        <w:tabs>
          <w:tab w:val="left" w:pos="425"/>
        </w:tabs>
        <w:ind w:firstLine="480"/>
        <w:rPr>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船舶到港停靠期间主机处于停运状态，发电机仍在工作，船舶废气主要是发电机耗油产生。</w:t>
      </w:r>
      <w:r>
        <w:rPr>
          <w:rFonts w:hint="eastAsia"/>
          <w:color w:val="000000" w:themeColor="text1"/>
          <w14:textFill>
            <w14:solidFill>
              <w14:schemeClr w14:val="tx1"/>
            </w14:solidFill>
          </w14:textFill>
        </w:rPr>
        <w:t>根据建设单位提供资料，货种运输船型，3000-10000吨级。</w:t>
      </w:r>
    </w:p>
    <w:p w14:paraId="35D350B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结合吞吐量，扩建项目全年新增到港船舶3000吨船舶为</w:t>
      </w:r>
      <w:r>
        <w:rPr>
          <w:color w:val="000000" w:themeColor="text1"/>
          <w14:textFill>
            <w14:solidFill>
              <w14:schemeClr w14:val="tx1"/>
            </w14:solidFill>
          </w14:textFill>
        </w:rPr>
        <w:t>60</w:t>
      </w:r>
      <w:r>
        <w:rPr>
          <w:rFonts w:hint="eastAsia"/>
          <w:color w:val="000000" w:themeColor="text1"/>
          <w14:textFill>
            <w14:solidFill>
              <w14:schemeClr w14:val="tx1"/>
            </w14:solidFill>
          </w14:textFill>
        </w:rPr>
        <w:t>艘，</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000吨船舶为</w:t>
      </w:r>
      <w:r>
        <w:rPr>
          <w:color w:val="000000" w:themeColor="text1"/>
          <w14:textFill>
            <w14:solidFill>
              <w14:schemeClr w14:val="tx1"/>
            </w14:solidFill>
          </w14:textFill>
        </w:rPr>
        <w:t>52</w:t>
      </w:r>
      <w:r>
        <w:rPr>
          <w:rFonts w:hint="eastAsia"/>
          <w:color w:val="000000" w:themeColor="text1"/>
          <w14:textFill>
            <w14:solidFill>
              <w14:schemeClr w14:val="tx1"/>
            </w14:solidFill>
          </w14:textFill>
        </w:rPr>
        <w:t>艘，</w:t>
      </w:r>
      <w:r>
        <w:rPr>
          <w:rFonts w:hint="eastAsia"/>
          <w:color w:val="000000" w:themeColor="text1"/>
          <w:kern w:val="0"/>
          <w:lang w:bidi="ar"/>
          <w14:textFill>
            <w14:solidFill>
              <w14:schemeClr w14:val="tx1"/>
            </w14:solidFill>
          </w14:textFill>
        </w:rPr>
        <w:t>5000</w:t>
      </w:r>
      <w:r>
        <w:rPr>
          <w:rFonts w:hint="eastAsia" w:ascii="宋体" w:hAnsi="宋体" w:cs="宋体"/>
          <w:color w:val="000000" w:themeColor="text1"/>
          <w:kern w:val="0"/>
          <w:lang w:bidi="ar"/>
          <w14:textFill>
            <w14:solidFill>
              <w14:schemeClr w14:val="tx1"/>
            </w14:solidFill>
          </w14:textFill>
        </w:rPr>
        <w:t>吨</w:t>
      </w:r>
      <w:r>
        <w:rPr>
          <w:rFonts w:hint="eastAsia"/>
          <w:color w:val="000000" w:themeColor="text1"/>
          <w14:textFill>
            <w14:solidFill>
              <w14:schemeClr w14:val="tx1"/>
            </w14:solidFill>
          </w14:textFill>
        </w:rPr>
        <w:t>船舶为</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艘。</w:t>
      </w:r>
      <w:r>
        <w:rPr>
          <w:rFonts w:hint="eastAsia" w:ascii="宋体" w:hAnsi="宋体" w:cs="宋体"/>
          <w:color w:val="000000" w:themeColor="text1"/>
          <w:kern w:val="0"/>
          <w:lang w:bidi="ar"/>
          <w14:textFill>
            <w14:solidFill>
              <w14:schemeClr w14:val="tx1"/>
            </w14:solidFill>
          </w14:textFill>
        </w:rPr>
        <w:t>发电机功率按</w:t>
      </w:r>
      <w:r>
        <w:rPr>
          <w:rFonts w:hint="eastAsia"/>
          <w:color w:val="000000" w:themeColor="text1"/>
          <w:kern w:val="0"/>
          <w:lang w:bidi="ar"/>
          <w14:textFill>
            <w14:solidFill>
              <w14:schemeClr w14:val="tx1"/>
            </w14:solidFill>
          </w14:textFill>
        </w:rPr>
        <w:t>40</w:t>
      </w:r>
      <w:r>
        <w:rPr>
          <w:color w:val="000000" w:themeColor="text1"/>
          <w:kern w:val="0"/>
          <w:lang w:bidi="ar"/>
          <w14:textFill>
            <w14:solidFill>
              <w14:schemeClr w14:val="tx1"/>
            </w14:solidFill>
          </w14:textFill>
        </w:rPr>
        <w:t>0</w:t>
      </w:r>
      <w:r>
        <w:rPr>
          <w:rFonts w:hint="eastAsia"/>
          <w:color w:val="000000" w:themeColor="text1"/>
          <w:kern w:val="0"/>
          <w:lang w:bidi="ar"/>
          <w14:textFill>
            <w14:solidFill>
              <w14:schemeClr w14:val="tx1"/>
            </w14:solidFill>
          </w14:textFill>
        </w:rPr>
        <w:t>kW</w:t>
      </w:r>
      <w:r>
        <w:rPr>
          <w:rFonts w:hint="eastAsia" w:ascii="宋体" w:hAnsi="宋体" w:cs="宋体"/>
          <w:color w:val="000000" w:themeColor="text1"/>
          <w:kern w:val="0"/>
          <w:lang w:bidi="ar"/>
          <w14:textFill>
            <w14:solidFill>
              <w14:schemeClr w14:val="tx1"/>
            </w14:solidFill>
          </w14:textFill>
        </w:rPr>
        <w:t>，按照船舶耗油量</w:t>
      </w:r>
      <w:r>
        <w:rPr>
          <w:color w:val="000000" w:themeColor="text1"/>
          <w:kern w:val="0"/>
          <w:lang w:bidi="ar"/>
          <w14:textFill>
            <w14:solidFill>
              <w14:schemeClr w14:val="tx1"/>
            </w14:solidFill>
          </w14:textFill>
        </w:rPr>
        <w:t>150g/</w:t>
      </w:r>
      <w:r>
        <w:rPr>
          <w:rFonts w:hint="eastAsia" w:ascii="宋体" w:hAnsi="宋体" w:cs="宋体"/>
          <w:color w:val="000000" w:themeColor="text1"/>
          <w:kern w:val="0"/>
          <w:lang w:bidi="ar"/>
          <w14:textFill>
            <w14:solidFill>
              <w14:schemeClr w14:val="tx1"/>
            </w14:solidFill>
          </w14:textFill>
        </w:rPr>
        <w:t>马力估算，则船舶每小时的耗油量为：</w:t>
      </w:r>
      <w:r>
        <w:rPr>
          <w:color w:val="000000" w:themeColor="text1"/>
          <w:kern w:val="0"/>
          <w:lang w:bidi="ar"/>
          <w14:textFill>
            <w14:solidFill>
              <w14:schemeClr w14:val="tx1"/>
            </w14:solidFill>
          </w14:textFill>
        </w:rPr>
        <w:t>M=150g/</w:t>
      </w:r>
      <w:r>
        <w:rPr>
          <w:rFonts w:hint="eastAsia" w:ascii="宋体" w:hAnsi="宋体" w:cs="宋体"/>
          <w:color w:val="000000" w:themeColor="text1"/>
          <w:kern w:val="0"/>
          <w:lang w:bidi="ar"/>
          <w14:textFill>
            <w14:solidFill>
              <w14:schemeClr w14:val="tx1"/>
            </w14:solidFill>
          </w14:textFill>
        </w:rPr>
        <w:t>马力</w:t>
      </w:r>
      <w:r>
        <w:rPr>
          <w:color w:val="000000" w:themeColor="text1"/>
          <w:kern w:val="0"/>
          <w:lang w:bidi="ar"/>
          <w14:textFill>
            <w14:solidFill>
              <w14:schemeClr w14:val="tx1"/>
            </w14:solidFill>
          </w14:textFill>
        </w:rPr>
        <w:t>×</w:t>
      </w:r>
      <w:r>
        <w:rPr>
          <w:rFonts w:hint="eastAsia" w:ascii="宋体" w:hAnsi="宋体" w:cs="宋体"/>
          <w:color w:val="000000" w:themeColor="text1"/>
          <w:kern w:val="0"/>
          <w:lang w:bidi="ar"/>
          <w14:textFill>
            <w14:solidFill>
              <w14:schemeClr w14:val="tx1"/>
            </w14:solidFill>
          </w14:textFill>
        </w:rPr>
        <w:t>（</w:t>
      </w:r>
      <w:r>
        <w:rPr>
          <w:rFonts w:hint="eastAsia"/>
          <w:color w:val="000000" w:themeColor="text1"/>
          <w:kern w:val="0"/>
          <w:lang w:bidi="ar"/>
          <w14:textFill>
            <w14:solidFill>
              <w14:schemeClr w14:val="tx1"/>
            </w14:solidFill>
          </w14:textFill>
        </w:rPr>
        <w:t>4</w:t>
      </w:r>
      <w:r>
        <w:rPr>
          <w:color w:val="000000" w:themeColor="text1"/>
          <w:kern w:val="0"/>
          <w:lang w:bidi="ar"/>
          <w14:textFill>
            <w14:solidFill>
              <w14:schemeClr w14:val="tx1"/>
            </w14:solidFill>
          </w14:textFill>
        </w:rPr>
        <w:t>00×1.36</w:t>
      </w:r>
      <w:r>
        <w:rPr>
          <w:rFonts w:hint="eastAsia" w:ascii="宋体" w:hAnsi="宋体" w:cs="宋体"/>
          <w:color w:val="000000" w:themeColor="text1"/>
          <w:kern w:val="0"/>
          <w:lang w:bidi="ar"/>
          <w14:textFill>
            <w14:solidFill>
              <w14:schemeClr w14:val="tx1"/>
            </w14:solidFill>
          </w14:textFill>
        </w:rPr>
        <w:t>）马力</w:t>
      </w:r>
      <w:r>
        <w:rPr>
          <w:color w:val="000000" w:themeColor="text1"/>
          <w:kern w:val="0"/>
          <w:lang w:bidi="ar"/>
          <w14:textFill>
            <w14:solidFill>
              <w14:schemeClr w14:val="tx1"/>
            </w14:solidFill>
          </w14:textFill>
        </w:rPr>
        <w:t>/h</w:t>
      </w:r>
      <w:r>
        <w:rPr>
          <w:rFonts w:hint="eastAsia" w:ascii="宋体" w:hAnsi="宋体" w:cs="宋体"/>
          <w:color w:val="000000" w:themeColor="text1"/>
          <w:kern w:val="0"/>
          <w:lang w:bidi="ar"/>
          <w14:textFill>
            <w14:solidFill>
              <w14:schemeClr w14:val="tx1"/>
            </w14:solidFill>
          </w14:textFill>
        </w:rPr>
        <w:t>＝</w:t>
      </w:r>
      <w:r>
        <w:rPr>
          <w:rFonts w:hint="eastAsia"/>
          <w:color w:val="000000" w:themeColor="text1"/>
          <w:kern w:val="0"/>
          <w:lang w:bidi="ar"/>
          <w14:textFill>
            <w14:solidFill>
              <w14:schemeClr w14:val="tx1"/>
            </w14:solidFill>
          </w14:textFill>
        </w:rPr>
        <w:t>81.6</w:t>
      </w:r>
      <w:r>
        <w:rPr>
          <w:color w:val="000000" w:themeColor="text1"/>
          <w:kern w:val="0"/>
          <w:lang w:bidi="ar"/>
          <w14:textFill>
            <w14:solidFill>
              <w14:schemeClr w14:val="tx1"/>
            </w14:solidFill>
          </w14:textFill>
        </w:rPr>
        <w:t>kg/h</w:t>
      </w:r>
      <w:r>
        <w:rPr>
          <w:rFonts w:hint="eastAsia" w:ascii="宋体" w:hAnsi="宋体" w:cs="宋体"/>
          <w:color w:val="000000" w:themeColor="text1"/>
          <w:kern w:val="0"/>
          <w:lang w:bidi="ar"/>
          <w14:textFill>
            <w14:solidFill>
              <w14:schemeClr w14:val="tx1"/>
            </w14:solidFill>
          </w14:textFill>
        </w:rPr>
        <w:t>。</w:t>
      </w:r>
      <w:r>
        <w:rPr>
          <w:rFonts w:hint="eastAsia"/>
          <w:color w:val="000000" w:themeColor="text1"/>
          <w14:textFill>
            <w14:solidFill>
              <w14:schemeClr w14:val="tx1"/>
            </w14:solidFill>
          </w14:textFill>
        </w:rPr>
        <w:t>每艘船平均在港停留按1天计算，则船舶总耗油量为</w:t>
      </w:r>
      <w:r>
        <w:rPr>
          <w:color w:val="000000" w:themeColor="text1"/>
          <w14:textFill>
            <w14:solidFill>
              <w14:schemeClr w14:val="tx1"/>
            </w14:solidFill>
          </w14:textFill>
        </w:rPr>
        <w:t>258.5</w:t>
      </w:r>
      <w:r>
        <w:rPr>
          <w:rFonts w:hint="eastAsia"/>
          <w:color w:val="000000" w:themeColor="text1"/>
          <w14:textFill>
            <w14:solidFill>
              <w14:schemeClr w14:val="tx1"/>
            </w14:solidFill>
          </w14:textFill>
        </w:rPr>
        <w:t>t，根据《中国环境影响评价培训教材》提供燃油的排放系数进行计算。</w:t>
      </w:r>
    </w:p>
    <w:p w14:paraId="7D3855A4">
      <w:pPr>
        <w:pStyle w:val="7"/>
        <w:rPr>
          <w:color w:val="000000" w:themeColor="text1"/>
          <w:sz w:val="22"/>
          <w:szCs w:val="22"/>
          <w:lang w:val="zh-CN" w:bidi="zh-CN"/>
          <w14:textFill>
            <w14:solidFill>
              <w14:schemeClr w14:val="tx1"/>
            </w14:solidFill>
          </w14:textFill>
        </w:rPr>
      </w:pPr>
      <w:r>
        <w:rPr>
          <w:rFonts w:hint="eastAsia"/>
          <w:color w:val="000000" w:themeColor="text1"/>
          <w:sz w:val="22"/>
          <w:szCs w:val="22"/>
          <w:lang w:val="zh-CN" w:bidi="zh-CN"/>
          <w14:textFill>
            <w14:solidFill>
              <w14:schemeClr w14:val="tx1"/>
            </w14:solidFill>
          </w14:textFill>
        </w:rPr>
        <w:t xml:space="preserve"> </w:t>
      </w:r>
      <w:r>
        <w:rPr>
          <w:color w:val="000000" w:themeColor="text1"/>
          <w:sz w:val="22"/>
          <w:szCs w:val="22"/>
          <w:lang w:val="zh-CN" w:bidi="zh-CN"/>
          <w14:textFill>
            <w14:solidFill>
              <w14:schemeClr w14:val="tx1"/>
            </w14:solidFill>
          </w14:textFill>
        </w:rPr>
        <w:t xml:space="preserve"> 船舶废气污染物排放计算结果</w:t>
      </w:r>
    </w:p>
    <w:tbl>
      <w:tblPr>
        <w:tblStyle w:val="43"/>
        <w:tblW w:w="5003" w:type="pct"/>
        <w:tblInd w:w="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843"/>
        <w:gridCol w:w="2840"/>
        <w:gridCol w:w="2844"/>
      </w:tblGrid>
      <w:tr w14:paraId="5DAFE0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trPr>
        <w:tc>
          <w:tcPr>
            <w:tcW w:w="1667" w:type="pct"/>
            <w:vAlign w:val="center"/>
          </w:tcPr>
          <w:p w14:paraId="2AB05669">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1665" w:type="pct"/>
            <w:vAlign w:val="center"/>
          </w:tcPr>
          <w:p w14:paraId="3B520111">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SO</w:t>
            </w:r>
            <w:r>
              <w:rPr>
                <w:color w:val="000000" w:themeColor="text1"/>
                <w:sz w:val="21"/>
                <w:szCs w:val="21"/>
                <w:vertAlign w:val="subscript"/>
                <w14:textFill>
                  <w14:solidFill>
                    <w14:schemeClr w14:val="tx1"/>
                  </w14:solidFill>
                </w14:textFill>
              </w:rPr>
              <w:t>2</w:t>
            </w:r>
          </w:p>
        </w:tc>
        <w:tc>
          <w:tcPr>
            <w:tcW w:w="1667" w:type="pct"/>
            <w:vAlign w:val="center"/>
          </w:tcPr>
          <w:p w14:paraId="3BBEF474">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NO</w:t>
            </w:r>
            <w:r>
              <w:rPr>
                <w:color w:val="000000" w:themeColor="text1"/>
                <w:sz w:val="21"/>
                <w:szCs w:val="21"/>
                <w:vertAlign w:val="subscript"/>
                <w14:textFill>
                  <w14:solidFill>
                    <w14:schemeClr w14:val="tx1"/>
                  </w14:solidFill>
                </w14:textFill>
              </w:rPr>
              <w:t>X</w:t>
            </w:r>
          </w:p>
        </w:tc>
      </w:tr>
      <w:tr w14:paraId="40FD78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trPr>
        <w:tc>
          <w:tcPr>
            <w:tcW w:w="1667" w:type="pct"/>
            <w:vAlign w:val="center"/>
          </w:tcPr>
          <w:p w14:paraId="218A37DE">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排放系数kg/t</w:t>
            </w:r>
          </w:p>
        </w:tc>
        <w:tc>
          <w:tcPr>
            <w:tcW w:w="1665" w:type="pct"/>
            <w:vAlign w:val="center"/>
          </w:tcPr>
          <w:p w14:paraId="51D21710">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2.6</w:t>
            </w:r>
          </w:p>
        </w:tc>
        <w:tc>
          <w:tcPr>
            <w:tcW w:w="1667" w:type="pct"/>
            <w:vAlign w:val="center"/>
          </w:tcPr>
          <w:p w14:paraId="3EC4EF38">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8.57</w:t>
            </w:r>
          </w:p>
        </w:tc>
      </w:tr>
      <w:tr w14:paraId="454E75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trPr>
        <w:tc>
          <w:tcPr>
            <w:tcW w:w="1667" w:type="pct"/>
            <w:vAlign w:val="center"/>
          </w:tcPr>
          <w:p w14:paraId="024F7C98">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排放量t/a</w:t>
            </w:r>
          </w:p>
        </w:tc>
        <w:tc>
          <w:tcPr>
            <w:tcW w:w="1665" w:type="pct"/>
            <w:vAlign w:val="center"/>
          </w:tcPr>
          <w:p w14:paraId="35E2BBB9">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0.672</w:t>
            </w:r>
          </w:p>
        </w:tc>
        <w:tc>
          <w:tcPr>
            <w:tcW w:w="1667" w:type="pct"/>
            <w:vAlign w:val="center"/>
          </w:tcPr>
          <w:p w14:paraId="24266B05">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2.215</w:t>
            </w:r>
          </w:p>
        </w:tc>
      </w:tr>
    </w:tbl>
    <w:p w14:paraId="3BFCA6F9">
      <w:pPr>
        <w:ind w:firstLine="480"/>
        <w:rPr>
          <w:color w:val="000000" w:themeColor="text1"/>
          <w:u w:val="single"/>
          <w14:textFill>
            <w14:solidFill>
              <w14:schemeClr w14:val="tx1"/>
            </w14:solidFill>
          </w14:textFill>
        </w:rPr>
      </w:pPr>
      <w:r>
        <w:rPr>
          <w:rFonts w:cs="瀹嬩綋"/>
          <w:color w:val="000000" w:themeColor="text1"/>
          <w:kern w:val="0"/>
          <w:u w:val="single"/>
          <w:lang w:bidi="ar"/>
          <w14:textFill>
            <w14:solidFill>
              <w14:schemeClr w14:val="tx1"/>
            </w14:solidFill>
          </w14:textFill>
        </w:rPr>
        <w:t>根据货种运量</w:t>
      </w:r>
      <w:r>
        <w:rPr>
          <w:rFonts w:hint="eastAsia" w:cs="瀹嬩綋"/>
          <w:color w:val="000000" w:themeColor="text1"/>
          <w:kern w:val="0"/>
          <w:u w:val="single"/>
          <w:lang w:bidi="ar"/>
          <w14:textFill>
            <w14:solidFill>
              <w14:schemeClr w14:val="tx1"/>
            </w14:solidFill>
          </w14:textFill>
        </w:rPr>
        <w:t>，</w:t>
      </w:r>
      <w:r>
        <w:rPr>
          <w:rFonts w:hint="eastAsia"/>
          <w:color w:val="000000" w:themeColor="text1"/>
          <w:u w:val="single"/>
          <w14:textFill>
            <w14:solidFill>
              <w14:schemeClr w14:val="tx1"/>
            </w14:solidFill>
          </w14:textFill>
        </w:rPr>
        <w:t>扩建项目全年新增到港船舶共计</w:t>
      </w:r>
      <w:r>
        <w:rPr>
          <w:color w:val="000000" w:themeColor="text1"/>
          <w:u w:val="single"/>
          <w14:textFill>
            <w14:solidFill>
              <w14:schemeClr w14:val="tx1"/>
            </w14:solidFill>
          </w14:textFill>
        </w:rPr>
        <w:t>152</w:t>
      </w:r>
      <w:r>
        <w:rPr>
          <w:rFonts w:hint="eastAsia"/>
          <w:color w:val="000000" w:themeColor="text1"/>
          <w:u w:val="single"/>
          <w14:textFill>
            <w14:solidFill>
              <w14:schemeClr w14:val="tx1"/>
            </w14:solidFill>
          </w14:textFill>
        </w:rPr>
        <w:t>艘，每艘船平均在港停留按1天计算。因此，SO</w:t>
      </w:r>
      <w:r>
        <w:rPr>
          <w:rFonts w:hint="eastAsia"/>
          <w:color w:val="000000" w:themeColor="text1"/>
          <w:u w:val="single"/>
          <w:vertAlign w:val="subscript"/>
          <w14:textFill>
            <w14:solidFill>
              <w14:schemeClr w14:val="tx1"/>
            </w14:solidFill>
          </w14:textFill>
        </w:rPr>
        <w:t>2</w:t>
      </w:r>
      <w:r>
        <w:rPr>
          <w:rFonts w:hint="eastAsia"/>
          <w:color w:val="000000" w:themeColor="text1"/>
          <w:u w:val="single"/>
          <w14:textFill>
            <w14:solidFill>
              <w14:schemeClr w14:val="tx1"/>
            </w14:solidFill>
          </w14:textFill>
        </w:rPr>
        <w:t>排放量为</w:t>
      </w:r>
      <w:r>
        <w:rPr>
          <w:color w:val="000000" w:themeColor="text1"/>
          <w:u w:val="single"/>
          <w14:textFill>
            <w14:solidFill>
              <w14:schemeClr w14:val="tx1"/>
            </w14:solidFill>
          </w14:textFill>
        </w:rPr>
        <w:t>0.672</w:t>
      </w:r>
      <w:r>
        <w:rPr>
          <w:rFonts w:hint="eastAsia"/>
          <w:color w:val="000000" w:themeColor="text1"/>
          <w:u w:val="single"/>
          <w14:textFill>
            <w14:solidFill>
              <w14:schemeClr w14:val="tx1"/>
            </w14:solidFill>
          </w14:textFill>
        </w:rPr>
        <w:t>t/a，NO</w:t>
      </w:r>
      <w:r>
        <w:rPr>
          <w:rFonts w:hint="eastAsia"/>
          <w:color w:val="000000" w:themeColor="text1"/>
          <w:u w:val="single"/>
          <w:vertAlign w:val="subscript"/>
          <w14:textFill>
            <w14:solidFill>
              <w14:schemeClr w14:val="tx1"/>
            </w14:solidFill>
          </w14:textFill>
        </w:rPr>
        <w:t>x</w:t>
      </w:r>
      <w:r>
        <w:rPr>
          <w:rFonts w:hint="eastAsia"/>
          <w:color w:val="000000" w:themeColor="text1"/>
          <w:u w:val="single"/>
          <w14:textFill>
            <w14:solidFill>
              <w14:schemeClr w14:val="tx1"/>
            </w14:solidFill>
          </w14:textFill>
        </w:rPr>
        <w:t>排放量为2</w:t>
      </w:r>
      <w:r>
        <w:rPr>
          <w:color w:val="000000" w:themeColor="text1"/>
          <w:u w:val="single"/>
          <w14:textFill>
            <w14:solidFill>
              <w14:schemeClr w14:val="tx1"/>
            </w14:solidFill>
          </w14:textFill>
        </w:rPr>
        <w:t>.215</w:t>
      </w:r>
      <w:r>
        <w:rPr>
          <w:rFonts w:hint="eastAsia"/>
          <w:color w:val="000000" w:themeColor="text1"/>
          <w:u w:val="single"/>
          <w14:textFill>
            <w14:solidFill>
              <w14:schemeClr w14:val="tx1"/>
            </w14:solidFill>
          </w14:textFill>
        </w:rPr>
        <w:t>t/a。</w:t>
      </w:r>
    </w:p>
    <w:p w14:paraId="571DAA12">
      <w:pPr>
        <w:ind w:firstLine="480"/>
        <w:rPr>
          <w:snapToGrid w:val="0"/>
          <w:color w:val="000000" w:themeColor="text1"/>
          <w:u w:val="single"/>
          <w14:textFill>
            <w14:solidFill>
              <w14:schemeClr w14:val="tx1"/>
            </w14:solidFill>
          </w14:textFill>
        </w:rPr>
      </w:pPr>
    </w:p>
    <w:p w14:paraId="5A39BE1A">
      <w:pPr>
        <w:ind w:firstLine="480"/>
        <w:rPr>
          <w:snapToGrid w:val="0"/>
          <w:color w:val="000000" w:themeColor="text1"/>
          <w14:textFill>
            <w14:solidFill>
              <w14:schemeClr w14:val="tx1"/>
            </w14:solidFill>
          </w14:textFill>
        </w:rPr>
        <w:sectPr>
          <w:headerReference r:id="rId16" w:type="default"/>
          <w:pgSz w:w="11906" w:h="16838"/>
          <w:pgMar w:top="1440" w:right="1800" w:bottom="1440" w:left="1800" w:header="851" w:footer="992" w:gutter="0"/>
          <w:pgBorders>
            <w:top w:val="none" w:sz="0" w:space="0"/>
            <w:left w:val="none" w:sz="0" w:space="0"/>
            <w:bottom w:val="none" w:sz="0" w:space="0"/>
            <w:right w:val="none" w:sz="0" w:space="0"/>
          </w:pgBorders>
          <w:pgNumType w:fmt="numberInDash"/>
          <w:cols w:space="720" w:num="1"/>
          <w:docGrid w:type="lines" w:linePitch="326" w:charSpace="0"/>
        </w:sectPr>
      </w:pPr>
    </w:p>
    <w:p w14:paraId="0FD9C7A5">
      <w:pPr>
        <w:pStyle w:val="7"/>
        <w:rPr>
          <w:color w:val="000000" w:themeColor="text1"/>
          <w:sz w:val="22"/>
          <w:szCs w:val="22"/>
          <w:lang w:val="zh-CN" w:bidi="zh-CN"/>
          <w14:textFill>
            <w14:solidFill>
              <w14:schemeClr w14:val="tx1"/>
            </w14:solidFill>
          </w14:textFill>
        </w:rPr>
      </w:pPr>
      <w:r>
        <w:rPr>
          <w:color w:val="000000" w:themeColor="text1"/>
          <w:sz w:val="22"/>
          <w:szCs w:val="22"/>
          <w:lang w:val="zh-CN" w:bidi="zh-CN"/>
          <w14:textFill>
            <w14:solidFill>
              <w14:schemeClr w14:val="tx1"/>
            </w14:solidFill>
          </w14:textFill>
        </w:rPr>
        <w:t>废气产生与排放量核算</w:t>
      </w:r>
    </w:p>
    <w:tbl>
      <w:tblPr>
        <w:tblStyle w:val="43"/>
        <w:tblW w:w="1282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65"/>
        <w:gridCol w:w="696"/>
        <w:gridCol w:w="1134"/>
        <w:gridCol w:w="861"/>
        <w:gridCol w:w="992"/>
        <w:gridCol w:w="1124"/>
        <w:gridCol w:w="567"/>
        <w:gridCol w:w="1134"/>
        <w:gridCol w:w="577"/>
        <w:gridCol w:w="850"/>
        <w:gridCol w:w="993"/>
        <w:gridCol w:w="1158"/>
        <w:gridCol w:w="829"/>
        <w:gridCol w:w="1340"/>
      </w:tblGrid>
      <w:tr w14:paraId="44A738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65" w:type="dxa"/>
            <w:vMerge w:val="restart"/>
            <w:tcMar>
              <w:left w:w="0" w:type="dxa"/>
              <w:right w:w="0" w:type="dxa"/>
            </w:tcMar>
            <w:vAlign w:val="center"/>
          </w:tcPr>
          <w:p w14:paraId="28F1B5CA">
            <w:pPr>
              <w:spacing w:line="240" w:lineRule="exact"/>
              <w:ind w:firstLine="0" w:firstLineChars="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1</w:t>
            </w:r>
            <w:r>
              <w:rPr>
                <w:b/>
                <w:bCs/>
                <w:color w:val="000000" w:themeColor="text1"/>
                <w:sz w:val="21"/>
                <w:szCs w:val="21"/>
                <w14:textFill>
                  <w14:solidFill>
                    <w14:schemeClr w14:val="tx1"/>
                  </w14:solidFill>
                </w14:textFill>
              </w:rPr>
              <w:t>4</w:t>
            </w:r>
            <w:r>
              <w:rPr>
                <w:rFonts w:hint="eastAsia"/>
                <w:b/>
                <w:bCs/>
                <w:color w:val="000000" w:themeColor="text1"/>
                <w:sz w:val="21"/>
                <w:szCs w:val="21"/>
                <w14:textFill>
                  <w14:solidFill>
                    <w14:schemeClr w14:val="tx1"/>
                  </w14:solidFill>
                </w14:textFill>
              </w:rPr>
              <w:t>号</w:t>
            </w:r>
            <w:r>
              <w:rPr>
                <w:b/>
                <w:bCs/>
                <w:color w:val="000000" w:themeColor="text1"/>
                <w:sz w:val="21"/>
                <w:szCs w:val="21"/>
                <w14:textFill>
                  <w14:solidFill>
                    <w14:schemeClr w14:val="tx1"/>
                  </w14:solidFill>
                </w14:textFill>
              </w:rPr>
              <w:t>泊位</w:t>
            </w:r>
          </w:p>
        </w:tc>
        <w:tc>
          <w:tcPr>
            <w:tcW w:w="696" w:type="dxa"/>
            <w:vMerge w:val="restart"/>
            <w:tcMar>
              <w:left w:w="0" w:type="dxa"/>
              <w:right w:w="0" w:type="dxa"/>
            </w:tcMar>
            <w:vAlign w:val="center"/>
          </w:tcPr>
          <w:p w14:paraId="5C491CB4">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污染源</w:t>
            </w:r>
          </w:p>
        </w:tc>
        <w:tc>
          <w:tcPr>
            <w:tcW w:w="1134" w:type="dxa"/>
            <w:vMerge w:val="restart"/>
            <w:tcMar>
              <w:left w:w="0" w:type="dxa"/>
              <w:right w:w="0" w:type="dxa"/>
            </w:tcMar>
            <w:vAlign w:val="center"/>
          </w:tcPr>
          <w:p w14:paraId="1115DC5C">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污染物</w:t>
            </w:r>
          </w:p>
        </w:tc>
        <w:tc>
          <w:tcPr>
            <w:tcW w:w="3544" w:type="dxa"/>
            <w:gridSpan w:val="4"/>
            <w:tcMar>
              <w:left w:w="0" w:type="dxa"/>
              <w:right w:w="0" w:type="dxa"/>
            </w:tcMar>
            <w:vAlign w:val="center"/>
          </w:tcPr>
          <w:p w14:paraId="65E346B3">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废气产生情况</w:t>
            </w:r>
          </w:p>
        </w:tc>
        <w:tc>
          <w:tcPr>
            <w:tcW w:w="1134" w:type="dxa"/>
            <w:vMerge w:val="restart"/>
            <w:tcMar>
              <w:left w:w="0" w:type="dxa"/>
              <w:right w:w="0" w:type="dxa"/>
            </w:tcMar>
            <w:vAlign w:val="center"/>
          </w:tcPr>
          <w:p w14:paraId="3B3E6EC0">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处理工艺</w:t>
            </w:r>
          </w:p>
        </w:tc>
        <w:tc>
          <w:tcPr>
            <w:tcW w:w="577" w:type="dxa"/>
            <w:vMerge w:val="restart"/>
            <w:tcMar>
              <w:left w:w="0" w:type="dxa"/>
              <w:right w:w="0" w:type="dxa"/>
            </w:tcMar>
            <w:vAlign w:val="center"/>
          </w:tcPr>
          <w:p w14:paraId="5A8BD286">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去除率</w:t>
            </w:r>
          </w:p>
          <w:p w14:paraId="3D6FED3D">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w:t>
            </w:r>
          </w:p>
        </w:tc>
        <w:tc>
          <w:tcPr>
            <w:tcW w:w="3830" w:type="dxa"/>
            <w:gridSpan w:val="4"/>
            <w:tcMar>
              <w:left w:w="0" w:type="dxa"/>
              <w:right w:w="0" w:type="dxa"/>
            </w:tcMar>
            <w:vAlign w:val="center"/>
          </w:tcPr>
          <w:p w14:paraId="392DE2D1">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废气排放情况</w:t>
            </w:r>
          </w:p>
        </w:tc>
        <w:tc>
          <w:tcPr>
            <w:tcW w:w="1340" w:type="dxa"/>
            <w:vMerge w:val="restart"/>
            <w:tcMar>
              <w:left w:w="0" w:type="dxa"/>
              <w:right w:w="0" w:type="dxa"/>
            </w:tcMar>
            <w:vAlign w:val="center"/>
          </w:tcPr>
          <w:p w14:paraId="304C8303">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pacing w:val="-9"/>
                <w:sz w:val="21"/>
                <w:szCs w:val="21"/>
                <w14:textFill>
                  <w14:solidFill>
                    <w14:schemeClr w14:val="tx1"/>
                  </w14:solidFill>
                </w14:textFill>
              </w:rPr>
              <w:t>排放</w:t>
            </w:r>
            <w:r>
              <w:rPr>
                <w:b/>
                <w:bCs/>
                <w:color w:val="000000" w:themeColor="text1"/>
                <w:spacing w:val="-9"/>
                <w:w w:val="95"/>
                <w:sz w:val="21"/>
                <w:szCs w:val="21"/>
                <w14:textFill>
                  <w14:solidFill>
                    <w14:schemeClr w14:val="tx1"/>
                  </w14:solidFill>
                </w14:textFill>
              </w:rPr>
              <w:t>时间/h</w:t>
            </w:r>
          </w:p>
        </w:tc>
      </w:tr>
      <w:tr w14:paraId="78E5AC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65" w:type="dxa"/>
            <w:vMerge w:val="continue"/>
            <w:tcMar>
              <w:left w:w="0" w:type="dxa"/>
              <w:right w:w="0" w:type="dxa"/>
            </w:tcMar>
            <w:vAlign w:val="center"/>
          </w:tcPr>
          <w:p w14:paraId="011FF062">
            <w:pPr>
              <w:spacing w:line="240" w:lineRule="exact"/>
              <w:ind w:firstLine="0" w:firstLineChars="0"/>
              <w:jc w:val="center"/>
              <w:rPr>
                <w:b/>
                <w:bCs/>
                <w:color w:val="000000" w:themeColor="text1"/>
                <w:sz w:val="21"/>
                <w:szCs w:val="21"/>
                <w:lang w:eastAsia="en-US"/>
                <w14:textFill>
                  <w14:solidFill>
                    <w14:schemeClr w14:val="tx1"/>
                  </w14:solidFill>
                </w14:textFill>
              </w:rPr>
            </w:pPr>
          </w:p>
        </w:tc>
        <w:tc>
          <w:tcPr>
            <w:tcW w:w="696" w:type="dxa"/>
            <w:vMerge w:val="continue"/>
            <w:tcMar>
              <w:left w:w="0" w:type="dxa"/>
              <w:right w:w="0" w:type="dxa"/>
            </w:tcMar>
            <w:vAlign w:val="center"/>
          </w:tcPr>
          <w:p w14:paraId="56FC5DE3">
            <w:pPr>
              <w:spacing w:line="240" w:lineRule="exact"/>
              <w:ind w:firstLine="0" w:firstLineChars="0"/>
              <w:jc w:val="center"/>
              <w:rPr>
                <w:b/>
                <w:bCs/>
                <w:color w:val="000000" w:themeColor="text1"/>
                <w:sz w:val="21"/>
                <w:szCs w:val="21"/>
                <w:lang w:eastAsia="en-US"/>
                <w14:textFill>
                  <w14:solidFill>
                    <w14:schemeClr w14:val="tx1"/>
                  </w14:solidFill>
                </w14:textFill>
              </w:rPr>
            </w:pPr>
          </w:p>
        </w:tc>
        <w:tc>
          <w:tcPr>
            <w:tcW w:w="1134" w:type="dxa"/>
            <w:vMerge w:val="continue"/>
            <w:tcMar>
              <w:left w:w="0" w:type="dxa"/>
              <w:right w:w="0" w:type="dxa"/>
            </w:tcMar>
            <w:vAlign w:val="center"/>
          </w:tcPr>
          <w:p w14:paraId="24A88A91">
            <w:pPr>
              <w:spacing w:line="240" w:lineRule="exact"/>
              <w:ind w:firstLine="0" w:firstLineChars="0"/>
              <w:jc w:val="center"/>
              <w:rPr>
                <w:b/>
                <w:bCs/>
                <w:color w:val="000000" w:themeColor="text1"/>
                <w:sz w:val="21"/>
                <w:szCs w:val="21"/>
                <w:lang w:eastAsia="en-US"/>
                <w14:textFill>
                  <w14:solidFill>
                    <w14:schemeClr w14:val="tx1"/>
                  </w14:solidFill>
                </w14:textFill>
              </w:rPr>
            </w:pPr>
          </w:p>
        </w:tc>
        <w:tc>
          <w:tcPr>
            <w:tcW w:w="861" w:type="dxa"/>
            <w:tcMar>
              <w:left w:w="0" w:type="dxa"/>
              <w:right w:w="0" w:type="dxa"/>
            </w:tcMar>
            <w:vAlign w:val="center"/>
          </w:tcPr>
          <w:p w14:paraId="4F31C38B">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浓度</w:t>
            </w:r>
          </w:p>
          <w:p w14:paraId="5C968FB4">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(mg/m</w:t>
            </w:r>
            <w:r>
              <w:rPr>
                <w:b/>
                <w:bCs/>
                <w:color w:val="000000" w:themeColor="text1"/>
                <w:sz w:val="21"/>
                <w:szCs w:val="21"/>
                <w:vertAlign w:val="superscript"/>
                <w14:textFill>
                  <w14:solidFill>
                    <w14:schemeClr w14:val="tx1"/>
                  </w14:solidFill>
                </w14:textFill>
              </w:rPr>
              <w:t>3</w:t>
            </w:r>
            <w:r>
              <w:rPr>
                <w:b/>
                <w:bCs/>
                <w:color w:val="000000" w:themeColor="text1"/>
                <w:sz w:val="21"/>
                <w:szCs w:val="21"/>
                <w14:textFill>
                  <w14:solidFill>
                    <w14:schemeClr w14:val="tx1"/>
                  </w14:solidFill>
                </w14:textFill>
              </w:rPr>
              <w:t xml:space="preserve"> )</w:t>
            </w:r>
          </w:p>
        </w:tc>
        <w:tc>
          <w:tcPr>
            <w:tcW w:w="992" w:type="dxa"/>
            <w:tcMar>
              <w:left w:w="0" w:type="dxa"/>
              <w:right w:w="0" w:type="dxa"/>
            </w:tcMar>
            <w:vAlign w:val="center"/>
          </w:tcPr>
          <w:p w14:paraId="12E58EDF">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w w:val="95"/>
                <w:sz w:val="21"/>
                <w:szCs w:val="21"/>
                <w14:textFill>
                  <w14:solidFill>
                    <w14:schemeClr w14:val="tx1"/>
                  </w14:solidFill>
                </w14:textFill>
              </w:rPr>
              <w:t>速率</w:t>
            </w:r>
          </w:p>
          <w:p w14:paraId="57048A8E">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(kg/h</w:t>
            </w:r>
            <w:r>
              <w:rPr>
                <w:b/>
                <w:bCs/>
                <w:color w:val="000000" w:themeColor="text1"/>
                <w:spacing w:val="-4"/>
                <w:sz w:val="21"/>
                <w:szCs w:val="21"/>
                <w14:textFill>
                  <w14:solidFill>
                    <w14:schemeClr w14:val="tx1"/>
                  </w14:solidFill>
                </w14:textFill>
              </w:rPr>
              <w:t xml:space="preserve"> </w:t>
            </w:r>
            <w:r>
              <w:rPr>
                <w:b/>
                <w:bCs/>
                <w:color w:val="000000" w:themeColor="text1"/>
                <w:sz w:val="21"/>
                <w:szCs w:val="21"/>
                <w14:textFill>
                  <w14:solidFill>
                    <w14:schemeClr w14:val="tx1"/>
                  </w14:solidFill>
                </w14:textFill>
              </w:rPr>
              <w:t>)</w:t>
            </w:r>
          </w:p>
        </w:tc>
        <w:tc>
          <w:tcPr>
            <w:tcW w:w="1124" w:type="dxa"/>
            <w:tcMar>
              <w:left w:w="0" w:type="dxa"/>
              <w:right w:w="0" w:type="dxa"/>
            </w:tcMar>
            <w:vAlign w:val="center"/>
          </w:tcPr>
          <w:p w14:paraId="3B8BFF82">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产生量</w:t>
            </w:r>
          </w:p>
          <w:p w14:paraId="597E44FB">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(t/a)</w:t>
            </w:r>
          </w:p>
        </w:tc>
        <w:tc>
          <w:tcPr>
            <w:tcW w:w="567" w:type="dxa"/>
            <w:tcMar>
              <w:left w:w="0" w:type="dxa"/>
              <w:right w:w="0" w:type="dxa"/>
            </w:tcMar>
            <w:vAlign w:val="center"/>
          </w:tcPr>
          <w:p w14:paraId="4B0FDD78">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w w:val="95"/>
                <w:sz w:val="21"/>
                <w:szCs w:val="21"/>
                <w14:textFill>
                  <w14:solidFill>
                    <w14:schemeClr w14:val="tx1"/>
                  </w14:solidFill>
                </w14:textFill>
              </w:rPr>
              <w:t>气量</w:t>
            </w:r>
          </w:p>
          <w:p w14:paraId="2783EC6D">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Nm</w:t>
            </w:r>
            <w:r>
              <w:rPr>
                <w:b/>
                <w:bCs/>
                <w:color w:val="000000" w:themeColor="text1"/>
                <w:sz w:val="21"/>
                <w:szCs w:val="21"/>
                <w:vertAlign w:val="superscript"/>
                <w14:textFill>
                  <w14:solidFill>
                    <w14:schemeClr w14:val="tx1"/>
                  </w14:solidFill>
                </w14:textFill>
              </w:rPr>
              <w:t>3</w:t>
            </w:r>
            <w:r>
              <w:rPr>
                <w:b/>
                <w:bCs/>
                <w:color w:val="000000" w:themeColor="text1"/>
                <w:sz w:val="21"/>
                <w:szCs w:val="21"/>
                <w14:textFill>
                  <w14:solidFill>
                    <w14:schemeClr w14:val="tx1"/>
                  </w14:solidFill>
                </w14:textFill>
              </w:rPr>
              <w:t>/h</w:t>
            </w:r>
          </w:p>
        </w:tc>
        <w:tc>
          <w:tcPr>
            <w:tcW w:w="1134" w:type="dxa"/>
            <w:vMerge w:val="continue"/>
            <w:tcMar>
              <w:left w:w="0" w:type="dxa"/>
              <w:right w:w="0" w:type="dxa"/>
            </w:tcMar>
            <w:vAlign w:val="center"/>
          </w:tcPr>
          <w:p w14:paraId="23E8AA7C">
            <w:pPr>
              <w:spacing w:line="240" w:lineRule="exact"/>
              <w:ind w:firstLine="0" w:firstLineChars="0"/>
              <w:jc w:val="center"/>
              <w:rPr>
                <w:b/>
                <w:bCs/>
                <w:color w:val="000000" w:themeColor="text1"/>
                <w:sz w:val="21"/>
                <w:szCs w:val="21"/>
                <w:lang w:eastAsia="en-US"/>
                <w14:textFill>
                  <w14:solidFill>
                    <w14:schemeClr w14:val="tx1"/>
                  </w14:solidFill>
                </w14:textFill>
              </w:rPr>
            </w:pPr>
          </w:p>
        </w:tc>
        <w:tc>
          <w:tcPr>
            <w:tcW w:w="577" w:type="dxa"/>
            <w:vMerge w:val="continue"/>
            <w:tcMar>
              <w:left w:w="0" w:type="dxa"/>
              <w:right w:w="0" w:type="dxa"/>
            </w:tcMar>
            <w:vAlign w:val="center"/>
          </w:tcPr>
          <w:p w14:paraId="53340F10">
            <w:pPr>
              <w:spacing w:line="240" w:lineRule="exact"/>
              <w:ind w:firstLine="0" w:firstLineChars="0"/>
              <w:jc w:val="center"/>
              <w:rPr>
                <w:b/>
                <w:bCs/>
                <w:color w:val="000000" w:themeColor="text1"/>
                <w:sz w:val="21"/>
                <w:szCs w:val="21"/>
                <w:lang w:eastAsia="en-US"/>
                <w14:textFill>
                  <w14:solidFill>
                    <w14:schemeClr w14:val="tx1"/>
                  </w14:solidFill>
                </w14:textFill>
              </w:rPr>
            </w:pPr>
          </w:p>
        </w:tc>
        <w:tc>
          <w:tcPr>
            <w:tcW w:w="850" w:type="dxa"/>
            <w:tcMar>
              <w:left w:w="0" w:type="dxa"/>
              <w:right w:w="0" w:type="dxa"/>
            </w:tcMar>
            <w:vAlign w:val="center"/>
          </w:tcPr>
          <w:p w14:paraId="5DFAEE2D">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浓度</w:t>
            </w:r>
          </w:p>
          <w:p w14:paraId="1E55D587">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(mg/m</w:t>
            </w:r>
            <w:r>
              <w:rPr>
                <w:b/>
                <w:bCs/>
                <w:color w:val="000000" w:themeColor="text1"/>
                <w:sz w:val="21"/>
                <w:szCs w:val="21"/>
                <w:vertAlign w:val="superscript"/>
                <w14:textFill>
                  <w14:solidFill>
                    <w14:schemeClr w14:val="tx1"/>
                  </w14:solidFill>
                </w14:textFill>
              </w:rPr>
              <w:t>3</w:t>
            </w:r>
            <w:r>
              <w:rPr>
                <w:b/>
                <w:bCs/>
                <w:color w:val="000000" w:themeColor="text1"/>
                <w:sz w:val="21"/>
                <w:szCs w:val="21"/>
                <w14:textFill>
                  <w14:solidFill>
                    <w14:schemeClr w14:val="tx1"/>
                  </w14:solidFill>
                </w14:textFill>
              </w:rPr>
              <w:t>)</w:t>
            </w:r>
          </w:p>
        </w:tc>
        <w:tc>
          <w:tcPr>
            <w:tcW w:w="993" w:type="dxa"/>
            <w:tcMar>
              <w:left w:w="0" w:type="dxa"/>
              <w:right w:w="0" w:type="dxa"/>
            </w:tcMar>
            <w:vAlign w:val="center"/>
          </w:tcPr>
          <w:p w14:paraId="6439D286">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w w:val="95"/>
                <w:sz w:val="21"/>
                <w:szCs w:val="21"/>
                <w14:textFill>
                  <w14:solidFill>
                    <w14:schemeClr w14:val="tx1"/>
                  </w14:solidFill>
                </w14:textFill>
              </w:rPr>
              <w:t>速率</w:t>
            </w:r>
          </w:p>
          <w:p w14:paraId="18E4D672">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(kg/h)</w:t>
            </w:r>
          </w:p>
        </w:tc>
        <w:tc>
          <w:tcPr>
            <w:tcW w:w="1158" w:type="dxa"/>
            <w:tcMar>
              <w:left w:w="0" w:type="dxa"/>
              <w:right w:w="0" w:type="dxa"/>
            </w:tcMar>
            <w:vAlign w:val="center"/>
          </w:tcPr>
          <w:p w14:paraId="5B4C204A">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pacing w:val="-8"/>
                <w:sz w:val="21"/>
                <w:szCs w:val="21"/>
                <w14:textFill>
                  <w14:solidFill>
                    <w14:schemeClr w14:val="tx1"/>
                  </w14:solidFill>
                </w14:textFill>
              </w:rPr>
              <w:t>排放</w:t>
            </w:r>
            <w:r>
              <w:rPr>
                <w:b/>
                <w:bCs/>
                <w:color w:val="000000" w:themeColor="text1"/>
                <w:sz w:val="21"/>
                <w:szCs w:val="21"/>
                <w14:textFill>
                  <w14:solidFill>
                    <w14:schemeClr w14:val="tx1"/>
                  </w14:solidFill>
                </w14:textFill>
              </w:rPr>
              <w:t>量</w:t>
            </w:r>
          </w:p>
          <w:p w14:paraId="46DC6AF6">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(t/a)</w:t>
            </w:r>
          </w:p>
        </w:tc>
        <w:tc>
          <w:tcPr>
            <w:tcW w:w="829" w:type="dxa"/>
            <w:tcMar>
              <w:left w:w="0" w:type="dxa"/>
              <w:right w:w="0" w:type="dxa"/>
            </w:tcMar>
            <w:vAlign w:val="center"/>
          </w:tcPr>
          <w:p w14:paraId="08561ADB">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w w:val="95"/>
                <w:sz w:val="21"/>
                <w:szCs w:val="21"/>
                <w14:textFill>
                  <w14:solidFill>
                    <w14:schemeClr w14:val="tx1"/>
                  </w14:solidFill>
                </w14:textFill>
              </w:rPr>
              <w:t>气量</w:t>
            </w:r>
          </w:p>
          <w:p w14:paraId="78A651F1">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Nm</w:t>
            </w:r>
            <w:r>
              <w:rPr>
                <w:b/>
                <w:bCs/>
                <w:color w:val="000000" w:themeColor="text1"/>
                <w:sz w:val="21"/>
                <w:szCs w:val="21"/>
                <w:vertAlign w:val="superscript"/>
                <w14:textFill>
                  <w14:solidFill>
                    <w14:schemeClr w14:val="tx1"/>
                  </w14:solidFill>
                </w14:textFill>
              </w:rPr>
              <w:t>3</w:t>
            </w:r>
            <w:r>
              <w:rPr>
                <w:b/>
                <w:bCs/>
                <w:color w:val="000000" w:themeColor="text1"/>
                <w:sz w:val="21"/>
                <w:szCs w:val="21"/>
                <w14:textFill>
                  <w14:solidFill>
                    <w14:schemeClr w14:val="tx1"/>
                  </w14:solidFill>
                </w14:textFill>
              </w:rPr>
              <w:t>/h</w:t>
            </w:r>
          </w:p>
        </w:tc>
        <w:tc>
          <w:tcPr>
            <w:tcW w:w="1340" w:type="dxa"/>
            <w:vMerge w:val="continue"/>
            <w:tcMar>
              <w:left w:w="0" w:type="dxa"/>
              <w:right w:w="0" w:type="dxa"/>
            </w:tcMar>
            <w:vAlign w:val="center"/>
          </w:tcPr>
          <w:p w14:paraId="381F87F8">
            <w:pPr>
              <w:spacing w:line="240" w:lineRule="exact"/>
              <w:ind w:firstLine="0" w:firstLineChars="0"/>
              <w:jc w:val="center"/>
              <w:rPr>
                <w:b/>
                <w:bCs/>
                <w:color w:val="000000" w:themeColor="text1"/>
                <w:sz w:val="21"/>
                <w:szCs w:val="21"/>
                <w:lang w:eastAsia="en-US"/>
                <w14:textFill>
                  <w14:solidFill>
                    <w14:schemeClr w14:val="tx1"/>
                  </w14:solidFill>
                </w14:textFill>
              </w:rPr>
            </w:pPr>
          </w:p>
        </w:tc>
      </w:tr>
      <w:tr w14:paraId="48FE64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65" w:type="dxa"/>
            <w:vMerge w:val="continue"/>
            <w:tcMar>
              <w:left w:w="0" w:type="dxa"/>
              <w:right w:w="0" w:type="dxa"/>
            </w:tcMar>
            <w:vAlign w:val="center"/>
          </w:tcPr>
          <w:p w14:paraId="0523829F">
            <w:pPr>
              <w:spacing w:line="240" w:lineRule="exact"/>
              <w:ind w:firstLine="0" w:firstLineChars="0"/>
              <w:jc w:val="center"/>
              <w:rPr>
                <w:color w:val="000000" w:themeColor="text1"/>
                <w:sz w:val="21"/>
                <w:szCs w:val="21"/>
                <w14:textFill>
                  <w14:solidFill>
                    <w14:schemeClr w14:val="tx1"/>
                  </w14:solidFill>
                </w14:textFill>
              </w:rPr>
            </w:pPr>
          </w:p>
        </w:tc>
        <w:tc>
          <w:tcPr>
            <w:tcW w:w="696" w:type="dxa"/>
            <w:vMerge w:val="restart"/>
            <w:tcMar>
              <w:left w:w="0" w:type="dxa"/>
              <w:right w:w="0" w:type="dxa"/>
            </w:tcMar>
            <w:vAlign w:val="center"/>
          </w:tcPr>
          <w:p w14:paraId="441F838C">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无组织排放</w:t>
            </w:r>
          </w:p>
        </w:tc>
        <w:tc>
          <w:tcPr>
            <w:tcW w:w="1134" w:type="dxa"/>
            <w:tcMar>
              <w:left w:w="0" w:type="dxa"/>
              <w:right w:w="0" w:type="dxa"/>
            </w:tcMar>
            <w:vAlign w:val="center"/>
          </w:tcPr>
          <w:p w14:paraId="4DFAEB09">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w w:val="99"/>
                <w:sz w:val="21"/>
                <w:szCs w:val="21"/>
                <w14:textFill>
                  <w14:solidFill>
                    <w14:schemeClr w14:val="tx1"/>
                  </w14:solidFill>
                </w14:textFill>
              </w:rPr>
              <w:t>苯乙烯</w:t>
            </w:r>
          </w:p>
        </w:tc>
        <w:tc>
          <w:tcPr>
            <w:tcW w:w="861" w:type="dxa"/>
            <w:tcMar>
              <w:left w:w="0" w:type="dxa"/>
              <w:right w:w="0" w:type="dxa"/>
            </w:tcMar>
            <w:vAlign w:val="center"/>
          </w:tcPr>
          <w:p w14:paraId="465E0C71">
            <w:pPr>
              <w:spacing w:line="240" w:lineRule="exact"/>
              <w:ind w:firstLine="0" w:firstLineChars="0"/>
              <w:jc w:val="center"/>
              <w:rPr>
                <w:color w:val="000000" w:themeColor="text1"/>
                <w:sz w:val="21"/>
                <w:szCs w:val="21"/>
                <w14:textFill>
                  <w14:solidFill>
                    <w14:schemeClr w14:val="tx1"/>
                  </w14:solidFill>
                </w14:textFill>
              </w:rPr>
            </w:pPr>
            <w:r>
              <w:rPr>
                <w:color w:val="000000" w:themeColor="text1"/>
                <w:w w:val="99"/>
                <w:sz w:val="21"/>
                <w:szCs w:val="21"/>
                <w14:textFill>
                  <w14:solidFill>
                    <w14:schemeClr w14:val="tx1"/>
                  </w14:solidFill>
                </w14:textFill>
              </w:rPr>
              <w:t>/</w:t>
            </w:r>
          </w:p>
        </w:tc>
        <w:tc>
          <w:tcPr>
            <w:tcW w:w="992" w:type="dxa"/>
            <w:tcMar>
              <w:left w:w="0" w:type="dxa"/>
              <w:right w:w="0" w:type="dxa"/>
            </w:tcMar>
            <w:vAlign w:val="center"/>
          </w:tcPr>
          <w:p w14:paraId="2A72BEF5">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0.0023</w:t>
            </w:r>
          </w:p>
        </w:tc>
        <w:tc>
          <w:tcPr>
            <w:tcW w:w="1124" w:type="dxa"/>
            <w:tcMar>
              <w:left w:w="0" w:type="dxa"/>
              <w:right w:w="0" w:type="dxa"/>
            </w:tcMar>
            <w:vAlign w:val="center"/>
          </w:tcPr>
          <w:p w14:paraId="63D58318">
            <w:pPr>
              <w:spacing w:line="240" w:lineRule="exact"/>
              <w:ind w:firstLine="0" w:firstLineChars="0"/>
              <w:jc w:val="center"/>
              <w:rPr>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0.00024</w:t>
            </w:r>
          </w:p>
        </w:tc>
        <w:tc>
          <w:tcPr>
            <w:tcW w:w="567" w:type="dxa"/>
            <w:vMerge w:val="restart"/>
            <w:tcMar>
              <w:left w:w="0" w:type="dxa"/>
              <w:right w:w="0" w:type="dxa"/>
            </w:tcMar>
            <w:vAlign w:val="center"/>
          </w:tcPr>
          <w:p w14:paraId="150A457E">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134" w:type="dxa"/>
            <w:vMerge w:val="restart"/>
            <w:tcMar>
              <w:left w:w="0" w:type="dxa"/>
              <w:right w:w="0" w:type="dxa"/>
            </w:tcMar>
            <w:vAlign w:val="center"/>
          </w:tcPr>
          <w:p w14:paraId="2CBF5590">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577" w:type="dxa"/>
            <w:vMerge w:val="restart"/>
            <w:tcMar>
              <w:left w:w="0" w:type="dxa"/>
              <w:right w:w="0" w:type="dxa"/>
            </w:tcMar>
            <w:vAlign w:val="center"/>
          </w:tcPr>
          <w:p w14:paraId="48CF773E">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850" w:type="dxa"/>
            <w:tcMar>
              <w:left w:w="0" w:type="dxa"/>
              <w:right w:w="0" w:type="dxa"/>
            </w:tcMar>
            <w:vAlign w:val="center"/>
          </w:tcPr>
          <w:p w14:paraId="66F2AE9A">
            <w:pPr>
              <w:spacing w:line="240" w:lineRule="exact"/>
              <w:ind w:firstLine="0" w:firstLineChars="0"/>
              <w:jc w:val="center"/>
              <w:rPr>
                <w:color w:val="000000" w:themeColor="text1"/>
                <w:sz w:val="21"/>
                <w:szCs w:val="21"/>
                <w14:textFill>
                  <w14:solidFill>
                    <w14:schemeClr w14:val="tx1"/>
                  </w14:solidFill>
                </w14:textFill>
              </w:rPr>
            </w:pPr>
            <w:r>
              <w:rPr>
                <w:color w:val="000000" w:themeColor="text1"/>
                <w:w w:val="99"/>
                <w:sz w:val="21"/>
                <w:szCs w:val="21"/>
                <w14:textFill>
                  <w14:solidFill>
                    <w14:schemeClr w14:val="tx1"/>
                  </w14:solidFill>
                </w14:textFill>
              </w:rPr>
              <w:t>/</w:t>
            </w:r>
          </w:p>
        </w:tc>
        <w:tc>
          <w:tcPr>
            <w:tcW w:w="993" w:type="dxa"/>
            <w:tcMar>
              <w:left w:w="0" w:type="dxa"/>
              <w:right w:w="0" w:type="dxa"/>
            </w:tcMar>
            <w:vAlign w:val="center"/>
          </w:tcPr>
          <w:p w14:paraId="6CE94F2C">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0.0023</w:t>
            </w:r>
          </w:p>
        </w:tc>
        <w:tc>
          <w:tcPr>
            <w:tcW w:w="1158" w:type="dxa"/>
            <w:tcMar>
              <w:left w:w="0" w:type="dxa"/>
              <w:right w:w="0" w:type="dxa"/>
            </w:tcMar>
            <w:vAlign w:val="center"/>
          </w:tcPr>
          <w:p w14:paraId="49A1CCD5">
            <w:pPr>
              <w:spacing w:line="240" w:lineRule="exact"/>
              <w:ind w:firstLine="0" w:firstLineChars="0"/>
              <w:jc w:val="center"/>
              <w:rPr>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0.00024</w:t>
            </w:r>
          </w:p>
        </w:tc>
        <w:tc>
          <w:tcPr>
            <w:tcW w:w="829" w:type="dxa"/>
            <w:vMerge w:val="restart"/>
            <w:tcMar>
              <w:left w:w="0" w:type="dxa"/>
              <w:right w:w="0" w:type="dxa"/>
            </w:tcMar>
            <w:vAlign w:val="center"/>
          </w:tcPr>
          <w:p w14:paraId="157252D0">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40" w:type="dxa"/>
            <w:vMerge w:val="restart"/>
            <w:tcMar>
              <w:left w:w="0" w:type="dxa"/>
              <w:right w:w="0" w:type="dxa"/>
            </w:tcMar>
            <w:vAlign w:val="center"/>
          </w:tcPr>
          <w:p w14:paraId="0DC90BD6">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3168</w:t>
            </w:r>
          </w:p>
        </w:tc>
      </w:tr>
      <w:tr w14:paraId="00D278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65" w:type="dxa"/>
            <w:vMerge w:val="continue"/>
            <w:tcMar>
              <w:left w:w="0" w:type="dxa"/>
              <w:right w:w="0" w:type="dxa"/>
            </w:tcMar>
            <w:vAlign w:val="center"/>
          </w:tcPr>
          <w:p w14:paraId="45DE0E41">
            <w:pPr>
              <w:spacing w:line="240" w:lineRule="exact"/>
              <w:ind w:firstLine="0" w:firstLineChars="0"/>
              <w:jc w:val="center"/>
              <w:rPr>
                <w:color w:val="000000" w:themeColor="text1"/>
                <w:sz w:val="21"/>
                <w:szCs w:val="21"/>
                <w14:textFill>
                  <w14:solidFill>
                    <w14:schemeClr w14:val="tx1"/>
                  </w14:solidFill>
                </w14:textFill>
              </w:rPr>
            </w:pPr>
          </w:p>
        </w:tc>
        <w:tc>
          <w:tcPr>
            <w:tcW w:w="696" w:type="dxa"/>
            <w:vMerge w:val="continue"/>
            <w:tcMar>
              <w:left w:w="0" w:type="dxa"/>
              <w:right w:w="0" w:type="dxa"/>
            </w:tcMar>
            <w:vAlign w:val="center"/>
          </w:tcPr>
          <w:p w14:paraId="75E49005">
            <w:pPr>
              <w:spacing w:line="240" w:lineRule="exact"/>
              <w:ind w:firstLine="0" w:firstLineChars="0"/>
              <w:jc w:val="center"/>
              <w:rPr>
                <w:color w:val="000000" w:themeColor="text1"/>
                <w:sz w:val="21"/>
                <w:szCs w:val="21"/>
                <w14:textFill>
                  <w14:solidFill>
                    <w14:schemeClr w14:val="tx1"/>
                  </w14:solidFill>
                </w14:textFill>
              </w:rPr>
            </w:pPr>
          </w:p>
        </w:tc>
        <w:tc>
          <w:tcPr>
            <w:tcW w:w="1134" w:type="dxa"/>
            <w:tcMar>
              <w:left w:w="0" w:type="dxa"/>
              <w:right w:w="0" w:type="dxa"/>
            </w:tcMar>
            <w:vAlign w:val="center"/>
          </w:tcPr>
          <w:p w14:paraId="1753E2D4">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w w:val="99"/>
                <w:sz w:val="21"/>
                <w:szCs w:val="21"/>
                <w14:textFill>
                  <w14:solidFill>
                    <w14:schemeClr w14:val="tx1"/>
                  </w14:solidFill>
                </w14:textFill>
              </w:rPr>
              <w:t>硫酸雾</w:t>
            </w:r>
          </w:p>
        </w:tc>
        <w:tc>
          <w:tcPr>
            <w:tcW w:w="861" w:type="dxa"/>
            <w:tcMar>
              <w:left w:w="0" w:type="dxa"/>
              <w:right w:w="0" w:type="dxa"/>
            </w:tcMar>
            <w:vAlign w:val="center"/>
          </w:tcPr>
          <w:p w14:paraId="53EE6EFF">
            <w:pPr>
              <w:spacing w:line="240" w:lineRule="exact"/>
              <w:ind w:firstLine="0" w:firstLineChars="0"/>
              <w:jc w:val="center"/>
              <w:rPr>
                <w:color w:val="000000" w:themeColor="text1"/>
                <w:sz w:val="21"/>
                <w:szCs w:val="21"/>
                <w14:textFill>
                  <w14:solidFill>
                    <w14:schemeClr w14:val="tx1"/>
                  </w14:solidFill>
                </w14:textFill>
              </w:rPr>
            </w:pPr>
            <w:r>
              <w:rPr>
                <w:color w:val="000000" w:themeColor="text1"/>
                <w:w w:val="99"/>
                <w:sz w:val="21"/>
                <w:szCs w:val="21"/>
                <w14:textFill>
                  <w14:solidFill>
                    <w14:schemeClr w14:val="tx1"/>
                  </w14:solidFill>
                </w14:textFill>
              </w:rPr>
              <w:t>/</w:t>
            </w:r>
          </w:p>
        </w:tc>
        <w:tc>
          <w:tcPr>
            <w:tcW w:w="992" w:type="dxa"/>
            <w:tcMar>
              <w:left w:w="0" w:type="dxa"/>
              <w:right w:w="0" w:type="dxa"/>
            </w:tcMar>
            <w:vAlign w:val="center"/>
          </w:tcPr>
          <w:p w14:paraId="3A0FF32C">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.0311</w:t>
            </w:r>
          </w:p>
        </w:tc>
        <w:tc>
          <w:tcPr>
            <w:tcW w:w="1124" w:type="dxa"/>
            <w:tcMar>
              <w:left w:w="0" w:type="dxa"/>
              <w:right w:w="0" w:type="dxa"/>
            </w:tcMar>
            <w:vAlign w:val="center"/>
          </w:tcPr>
          <w:p w14:paraId="16FF8603">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.0011</w:t>
            </w:r>
          </w:p>
        </w:tc>
        <w:tc>
          <w:tcPr>
            <w:tcW w:w="567" w:type="dxa"/>
            <w:vMerge w:val="continue"/>
            <w:tcMar>
              <w:left w:w="0" w:type="dxa"/>
              <w:right w:w="0" w:type="dxa"/>
            </w:tcMar>
            <w:vAlign w:val="center"/>
          </w:tcPr>
          <w:p w14:paraId="1851ED7B">
            <w:pPr>
              <w:spacing w:line="240" w:lineRule="exact"/>
              <w:ind w:firstLine="0" w:firstLineChars="0"/>
              <w:jc w:val="center"/>
              <w:rPr>
                <w:color w:val="000000" w:themeColor="text1"/>
                <w:sz w:val="21"/>
                <w:szCs w:val="21"/>
                <w14:textFill>
                  <w14:solidFill>
                    <w14:schemeClr w14:val="tx1"/>
                  </w14:solidFill>
                </w14:textFill>
              </w:rPr>
            </w:pPr>
          </w:p>
        </w:tc>
        <w:tc>
          <w:tcPr>
            <w:tcW w:w="1134" w:type="dxa"/>
            <w:vMerge w:val="continue"/>
            <w:tcMar>
              <w:left w:w="0" w:type="dxa"/>
              <w:right w:w="0" w:type="dxa"/>
            </w:tcMar>
            <w:vAlign w:val="center"/>
          </w:tcPr>
          <w:p w14:paraId="388C6188">
            <w:pPr>
              <w:spacing w:line="240" w:lineRule="exact"/>
              <w:ind w:firstLine="0" w:firstLineChars="0"/>
              <w:jc w:val="center"/>
              <w:rPr>
                <w:color w:val="000000" w:themeColor="text1"/>
                <w:sz w:val="21"/>
                <w:szCs w:val="21"/>
                <w14:textFill>
                  <w14:solidFill>
                    <w14:schemeClr w14:val="tx1"/>
                  </w14:solidFill>
                </w14:textFill>
              </w:rPr>
            </w:pPr>
          </w:p>
        </w:tc>
        <w:tc>
          <w:tcPr>
            <w:tcW w:w="577" w:type="dxa"/>
            <w:vMerge w:val="continue"/>
            <w:tcMar>
              <w:left w:w="0" w:type="dxa"/>
              <w:right w:w="0" w:type="dxa"/>
            </w:tcMar>
            <w:vAlign w:val="center"/>
          </w:tcPr>
          <w:p w14:paraId="6EB6A881">
            <w:pPr>
              <w:spacing w:line="240" w:lineRule="exact"/>
              <w:ind w:firstLine="0" w:firstLineChars="0"/>
              <w:jc w:val="center"/>
              <w:rPr>
                <w:color w:val="000000" w:themeColor="text1"/>
                <w:sz w:val="21"/>
                <w:szCs w:val="21"/>
                <w14:textFill>
                  <w14:solidFill>
                    <w14:schemeClr w14:val="tx1"/>
                  </w14:solidFill>
                </w14:textFill>
              </w:rPr>
            </w:pPr>
          </w:p>
        </w:tc>
        <w:tc>
          <w:tcPr>
            <w:tcW w:w="850" w:type="dxa"/>
            <w:tcMar>
              <w:left w:w="0" w:type="dxa"/>
              <w:right w:w="0" w:type="dxa"/>
            </w:tcMar>
            <w:vAlign w:val="center"/>
          </w:tcPr>
          <w:p w14:paraId="4EC5438A">
            <w:pPr>
              <w:spacing w:line="240" w:lineRule="exact"/>
              <w:ind w:firstLine="0" w:firstLineChars="0"/>
              <w:jc w:val="center"/>
              <w:rPr>
                <w:color w:val="000000" w:themeColor="text1"/>
                <w:sz w:val="21"/>
                <w:szCs w:val="21"/>
                <w14:textFill>
                  <w14:solidFill>
                    <w14:schemeClr w14:val="tx1"/>
                  </w14:solidFill>
                </w14:textFill>
              </w:rPr>
            </w:pPr>
            <w:r>
              <w:rPr>
                <w:color w:val="000000" w:themeColor="text1"/>
                <w:w w:val="99"/>
                <w:sz w:val="21"/>
                <w:szCs w:val="21"/>
                <w14:textFill>
                  <w14:solidFill>
                    <w14:schemeClr w14:val="tx1"/>
                  </w14:solidFill>
                </w14:textFill>
              </w:rPr>
              <w:t>/</w:t>
            </w:r>
          </w:p>
        </w:tc>
        <w:tc>
          <w:tcPr>
            <w:tcW w:w="993" w:type="dxa"/>
            <w:tcMar>
              <w:left w:w="0" w:type="dxa"/>
              <w:right w:w="0" w:type="dxa"/>
            </w:tcMar>
            <w:vAlign w:val="center"/>
          </w:tcPr>
          <w:p w14:paraId="0B512AC5">
            <w:pPr>
              <w:spacing w:line="240" w:lineRule="exact"/>
              <w:ind w:firstLine="0" w:firstLineChars="0"/>
              <w:jc w:val="center"/>
              <w:rPr>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.0311</w:t>
            </w:r>
          </w:p>
        </w:tc>
        <w:tc>
          <w:tcPr>
            <w:tcW w:w="1158" w:type="dxa"/>
            <w:tcMar>
              <w:left w:w="0" w:type="dxa"/>
              <w:right w:w="0" w:type="dxa"/>
            </w:tcMar>
            <w:vAlign w:val="center"/>
          </w:tcPr>
          <w:p w14:paraId="6C4F73A8">
            <w:pPr>
              <w:spacing w:line="240" w:lineRule="exact"/>
              <w:ind w:firstLine="0" w:firstLineChars="0"/>
              <w:jc w:val="center"/>
              <w:rPr>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.0011</w:t>
            </w:r>
          </w:p>
        </w:tc>
        <w:tc>
          <w:tcPr>
            <w:tcW w:w="829" w:type="dxa"/>
            <w:vMerge w:val="continue"/>
            <w:tcMar>
              <w:left w:w="0" w:type="dxa"/>
              <w:right w:w="0" w:type="dxa"/>
            </w:tcMar>
            <w:vAlign w:val="center"/>
          </w:tcPr>
          <w:p w14:paraId="4702969F">
            <w:pPr>
              <w:spacing w:line="240" w:lineRule="exact"/>
              <w:ind w:firstLine="0" w:firstLineChars="0"/>
              <w:jc w:val="center"/>
              <w:rPr>
                <w:color w:val="000000" w:themeColor="text1"/>
                <w:sz w:val="21"/>
                <w:szCs w:val="21"/>
                <w14:textFill>
                  <w14:solidFill>
                    <w14:schemeClr w14:val="tx1"/>
                  </w14:solidFill>
                </w14:textFill>
              </w:rPr>
            </w:pPr>
          </w:p>
        </w:tc>
        <w:tc>
          <w:tcPr>
            <w:tcW w:w="1340" w:type="dxa"/>
            <w:vMerge w:val="continue"/>
            <w:tcMar>
              <w:left w:w="0" w:type="dxa"/>
              <w:right w:w="0" w:type="dxa"/>
            </w:tcMar>
            <w:vAlign w:val="center"/>
          </w:tcPr>
          <w:p w14:paraId="06A2BFCE">
            <w:pPr>
              <w:spacing w:line="240" w:lineRule="exact"/>
              <w:ind w:firstLine="0" w:firstLineChars="0"/>
              <w:jc w:val="center"/>
              <w:rPr>
                <w:color w:val="000000" w:themeColor="text1"/>
                <w:sz w:val="21"/>
                <w:szCs w:val="21"/>
                <w14:textFill>
                  <w14:solidFill>
                    <w14:schemeClr w14:val="tx1"/>
                  </w14:solidFill>
                </w14:textFill>
              </w:rPr>
            </w:pPr>
          </w:p>
        </w:tc>
      </w:tr>
      <w:tr w14:paraId="1BD637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65" w:type="dxa"/>
            <w:vMerge w:val="continue"/>
            <w:tcMar>
              <w:left w:w="0" w:type="dxa"/>
              <w:right w:w="0" w:type="dxa"/>
            </w:tcMar>
            <w:vAlign w:val="center"/>
          </w:tcPr>
          <w:p w14:paraId="2A391DD9">
            <w:pPr>
              <w:spacing w:line="240" w:lineRule="exact"/>
              <w:ind w:firstLine="0" w:firstLineChars="0"/>
              <w:jc w:val="center"/>
              <w:rPr>
                <w:color w:val="000000" w:themeColor="text1"/>
                <w:sz w:val="21"/>
                <w:szCs w:val="21"/>
                <w14:textFill>
                  <w14:solidFill>
                    <w14:schemeClr w14:val="tx1"/>
                  </w14:solidFill>
                </w14:textFill>
              </w:rPr>
            </w:pPr>
          </w:p>
        </w:tc>
        <w:tc>
          <w:tcPr>
            <w:tcW w:w="696" w:type="dxa"/>
            <w:vMerge w:val="continue"/>
            <w:tcMar>
              <w:left w:w="0" w:type="dxa"/>
              <w:right w:w="0" w:type="dxa"/>
            </w:tcMar>
            <w:vAlign w:val="center"/>
          </w:tcPr>
          <w:p w14:paraId="10EFD061">
            <w:pPr>
              <w:spacing w:line="240" w:lineRule="exact"/>
              <w:ind w:firstLine="0" w:firstLineChars="0"/>
              <w:jc w:val="center"/>
              <w:rPr>
                <w:color w:val="000000" w:themeColor="text1"/>
                <w:sz w:val="21"/>
                <w:szCs w:val="21"/>
                <w14:textFill>
                  <w14:solidFill>
                    <w14:schemeClr w14:val="tx1"/>
                  </w14:solidFill>
                </w14:textFill>
              </w:rPr>
            </w:pPr>
          </w:p>
        </w:tc>
        <w:tc>
          <w:tcPr>
            <w:tcW w:w="1134" w:type="dxa"/>
            <w:tcMar>
              <w:left w:w="0" w:type="dxa"/>
              <w:right w:w="0" w:type="dxa"/>
            </w:tcMar>
            <w:vAlign w:val="center"/>
          </w:tcPr>
          <w:p w14:paraId="67D72219">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VOCs</w:t>
            </w:r>
          </w:p>
          <w:p w14:paraId="147CA0AC">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（根据货种及标准统计）</w:t>
            </w:r>
          </w:p>
        </w:tc>
        <w:tc>
          <w:tcPr>
            <w:tcW w:w="861" w:type="dxa"/>
            <w:tcMar>
              <w:left w:w="0" w:type="dxa"/>
              <w:right w:w="0" w:type="dxa"/>
            </w:tcMar>
            <w:vAlign w:val="center"/>
          </w:tcPr>
          <w:p w14:paraId="5BF0A9AC">
            <w:pPr>
              <w:spacing w:line="240" w:lineRule="exact"/>
              <w:ind w:firstLine="0" w:firstLineChars="0"/>
              <w:jc w:val="center"/>
              <w:rPr>
                <w:color w:val="000000" w:themeColor="text1"/>
                <w:sz w:val="21"/>
                <w:szCs w:val="21"/>
                <w14:textFill>
                  <w14:solidFill>
                    <w14:schemeClr w14:val="tx1"/>
                  </w14:solidFill>
                </w14:textFill>
              </w:rPr>
            </w:pPr>
            <w:r>
              <w:rPr>
                <w:color w:val="000000" w:themeColor="text1"/>
                <w:w w:val="99"/>
                <w:sz w:val="21"/>
                <w:szCs w:val="21"/>
                <w14:textFill>
                  <w14:solidFill>
                    <w14:schemeClr w14:val="tx1"/>
                  </w14:solidFill>
                </w14:textFill>
              </w:rPr>
              <w:t>/</w:t>
            </w:r>
          </w:p>
        </w:tc>
        <w:tc>
          <w:tcPr>
            <w:tcW w:w="992" w:type="dxa"/>
            <w:tcMar>
              <w:left w:w="0" w:type="dxa"/>
              <w:right w:w="0" w:type="dxa"/>
            </w:tcMar>
            <w:vAlign w:val="center"/>
          </w:tcPr>
          <w:p w14:paraId="4C2411DB">
            <w:pPr>
              <w:spacing w:line="240" w:lineRule="exact"/>
              <w:ind w:firstLine="0" w:firstLineChars="0"/>
              <w:jc w:val="center"/>
              <w:rPr>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.0293</w:t>
            </w:r>
          </w:p>
        </w:tc>
        <w:tc>
          <w:tcPr>
            <w:tcW w:w="1124" w:type="dxa"/>
            <w:tcMar>
              <w:left w:w="0" w:type="dxa"/>
              <w:right w:w="0" w:type="dxa"/>
            </w:tcMar>
            <w:vAlign w:val="center"/>
          </w:tcPr>
          <w:p w14:paraId="20344A84">
            <w:pPr>
              <w:spacing w:line="240" w:lineRule="exact"/>
              <w:ind w:firstLine="0" w:firstLineChars="0"/>
              <w:jc w:val="center"/>
              <w:rPr>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.0141</w:t>
            </w:r>
          </w:p>
        </w:tc>
        <w:tc>
          <w:tcPr>
            <w:tcW w:w="567" w:type="dxa"/>
            <w:vMerge w:val="continue"/>
            <w:tcMar>
              <w:left w:w="0" w:type="dxa"/>
              <w:right w:w="0" w:type="dxa"/>
            </w:tcMar>
            <w:vAlign w:val="center"/>
          </w:tcPr>
          <w:p w14:paraId="30C4291D">
            <w:pPr>
              <w:spacing w:line="240" w:lineRule="exact"/>
              <w:ind w:firstLine="0" w:firstLineChars="0"/>
              <w:jc w:val="center"/>
              <w:rPr>
                <w:color w:val="000000" w:themeColor="text1"/>
                <w:sz w:val="21"/>
                <w:szCs w:val="21"/>
                <w14:textFill>
                  <w14:solidFill>
                    <w14:schemeClr w14:val="tx1"/>
                  </w14:solidFill>
                </w14:textFill>
              </w:rPr>
            </w:pPr>
          </w:p>
        </w:tc>
        <w:tc>
          <w:tcPr>
            <w:tcW w:w="1134" w:type="dxa"/>
            <w:vMerge w:val="continue"/>
            <w:tcMar>
              <w:left w:w="0" w:type="dxa"/>
              <w:right w:w="0" w:type="dxa"/>
            </w:tcMar>
            <w:vAlign w:val="center"/>
          </w:tcPr>
          <w:p w14:paraId="1DD3D8EE">
            <w:pPr>
              <w:spacing w:line="240" w:lineRule="exact"/>
              <w:ind w:firstLine="0" w:firstLineChars="0"/>
              <w:jc w:val="center"/>
              <w:rPr>
                <w:color w:val="000000" w:themeColor="text1"/>
                <w:sz w:val="21"/>
                <w:szCs w:val="21"/>
                <w14:textFill>
                  <w14:solidFill>
                    <w14:schemeClr w14:val="tx1"/>
                  </w14:solidFill>
                </w14:textFill>
              </w:rPr>
            </w:pPr>
          </w:p>
        </w:tc>
        <w:tc>
          <w:tcPr>
            <w:tcW w:w="577" w:type="dxa"/>
            <w:vMerge w:val="continue"/>
            <w:tcMar>
              <w:left w:w="0" w:type="dxa"/>
              <w:right w:w="0" w:type="dxa"/>
            </w:tcMar>
            <w:vAlign w:val="center"/>
          </w:tcPr>
          <w:p w14:paraId="71E4C698">
            <w:pPr>
              <w:spacing w:line="240" w:lineRule="exact"/>
              <w:ind w:firstLine="0" w:firstLineChars="0"/>
              <w:jc w:val="center"/>
              <w:rPr>
                <w:color w:val="000000" w:themeColor="text1"/>
                <w:sz w:val="21"/>
                <w:szCs w:val="21"/>
                <w14:textFill>
                  <w14:solidFill>
                    <w14:schemeClr w14:val="tx1"/>
                  </w14:solidFill>
                </w14:textFill>
              </w:rPr>
            </w:pPr>
          </w:p>
        </w:tc>
        <w:tc>
          <w:tcPr>
            <w:tcW w:w="850" w:type="dxa"/>
            <w:tcMar>
              <w:left w:w="0" w:type="dxa"/>
              <w:right w:w="0" w:type="dxa"/>
            </w:tcMar>
            <w:vAlign w:val="center"/>
          </w:tcPr>
          <w:p w14:paraId="442EC2AC">
            <w:pPr>
              <w:spacing w:line="240" w:lineRule="exact"/>
              <w:ind w:firstLine="0" w:firstLineChars="0"/>
              <w:jc w:val="center"/>
              <w:rPr>
                <w:color w:val="000000" w:themeColor="text1"/>
                <w:sz w:val="21"/>
                <w:szCs w:val="21"/>
                <w14:textFill>
                  <w14:solidFill>
                    <w14:schemeClr w14:val="tx1"/>
                  </w14:solidFill>
                </w14:textFill>
              </w:rPr>
            </w:pPr>
            <w:r>
              <w:rPr>
                <w:color w:val="000000" w:themeColor="text1"/>
                <w:w w:val="99"/>
                <w:sz w:val="21"/>
                <w:szCs w:val="21"/>
                <w14:textFill>
                  <w14:solidFill>
                    <w14:schemeClr w14:val="tx1"/>
                  </w14:solidFill>
                </w14:textFill>
              </w:rPr>
              <w:t>/</w:t>
            </w:r>
          </w:p>
        </w:tc>
        <w:tc>
          <w:tcPr>
            <w:tcW w:w="993" w:type="dxa"/>
            <w:tcMar>
              <w:left w:w="0" w:type="dxa"/>
              <w:right w:w="0" w:type="dxa"/>
            </w:tcMar>
            <w:vAlign w:val="center"/>
          </w:tcPr>
          <w:p w14:paraId="69B14088">
            <w:pPr>
              <w:spacing w:line="240" w:lineRule="exact"/>
              <w:ind w:firstLine="0" w:firstLineChars="0"/>
              <w:jc w:val="center"/>
              <w:rPr>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.0293</w:t>
            </w:r>
          </w:p>
        </w:tc>
        <w:tc>
          <w:tcPr>
            <w:tcW w:w="1158" w:type="dxa"/>
            <w:tcMar>
              <w:left w:w="0" w:type="dxa"/>
              <w:right w:w="0" w:type="dxa"/>
            </w:tcMar>
            <w:vAlign w:val="center"/>
          </w:tcPr>
          <w:p w14:paraId="4282F5EC">
            <w:pPr>
              <w:spacing w:line="240" w:lineRule="exact"/>
              <w:ind w:firstLine="0" w:firstLineChars="0"/>
              <w:jc w:val="center"/>
              <w:rPr>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.0141</w:t>
            </w:r>
          </w:p>
        </w:tc>
        <w:tc>
          <w:tcPr>
            <w:tcW w:w="829" w:type="dxa"/>
            <w:vMerge w:val="continue"/>
            <w:tcMar>
              <w:left w:w="0" w:type="dxa"/>
              <w:right w:w="0" w:type="dxa"/>
            </w:tcMar>
            <w:vAlign w:val="center"/>
          </w:tcPr>
          <w:p w14:paraId="1E107EAB">
            <w:pPr>
              <w:spacing w:line="240" w:lineRule="exact"/>
              <w:ind w:firstLine="0" w:firstLineChars="0"/>
              <w:jc w:val="center"/>
              <w:rPr>
                <w:color w:val="000000" w:themeColor="text1"/>
                <w:sz w:val="21"/>
                <w:szCs w:val="21"/>
                <w14:textFill>
                  <w14:solidFill>
                    <w14:schemeClr w14:val="tx1"/>
                  </w14:solidFill>
                </w14:textFill>
              </w:rPr>
            </w:pPr>
          </w:p>
        </w:tc>
        <w:tc>
          <w:tcPr>
            <w:tcW w:w="1340" w:type="dxa"/>
            <w:vMerge w:val="continue"/>
            <w:tcMar>
              <w:left w:w="0" w:type="dxa"/>
              <w:right w:w="0" w:type="dxa"/>
            </w:tcMar>
            <w:vAlign w:val="center"/>
          </w:tcPr>
          <w:p w14:paraId="4F24E8FA">
            <w:pPr>
              <w:spacing w:line="240" w:lineRule="exact"/>
              <w:ind w:firstLine="0" w:firstLineChars="0"/>
              <w:jc w:val="center"/>
              <w:rPr>
                <w:color w:val="000000" w:themeColor="text1"/>
                <w:sz w:val="21"/>
                <w:szCs w:val="21"/>
                <w14:textFill>
                  <w14:solidFill>
                    <w14:schemeClr w14:val="tx1"/>
                  </w14:solidFill>
                </w14:textFill>
              </w:rPr>
            </w:pPr>
          </w:p>
        </w:tc>
      </w:tr>
    </w:tbl>
    <w:p w14:paraId="06BE90A8">
      <w:pPr>
        <w:ind w:left="480" w:firstLine="0" w:firstLineChars="0"/>
        <w:rPr>
          <w:color w:val="000000" w:themeColor="text1"/>
          <w14:textFill>
            <w14:solidFill>
              <w14:schemeClr w14:val="tx1"/>
            </w14:solidFill>
          </w14:textFill>
        </w:rPr>
        <w:sectPr>
          <w:headerReference r:id="rId17"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720" w:num="1"/>
          <w:docGrid w:type="lines" w:linePitch="326" w:charSpace="0"/>
        </w:sectPr>
      </w:pPr>
    </w:p>
    <w:p w14:paraId="1A582B36">
      <w:pPr>
        <w:pStyle w:val="6"/>
        <w:tabs>
          <w:tab w:val="left" w:pos="561"/>
        </w:tabs>
        <w:ind w:left="141"/>
        <w:rPr>
          <w:color w:val="000000" w:themeColor="text1"/>
          <w14:textFill>
            <w14:solidFill>
              <w14:schemeClr w14:val="tx1"/>
            </w14:solidFill>
          </w14:textFill>
        </w:rPr>
      </w:pPr>
      <w:r>
        <w:rPr>
          <w:color w:val="000000" w:themeColor="text1"/>
          <w14:textFill>
            <w14:solidFill>
              <w14:schemeClr w14:val="tx1"/>
            </w14:solidFill>
          </w14:textFill>
        </w:rPr>
        <w:t>废水源强</w:t>
      </w:r>
    </w:p>
    <w:p w14:paraId="157BE221">
      <w:pPr>
        <w:ind w:firstLine="480"/>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本工程建成运营后，项目废水分码头生产废水及生活污水。</w:t>
      </w:r>
    </w:p>
    <w:p w14:paraId="3B45A94A">
      <w:pPr>
        <w:ind w:firstLine="480"/>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码头废水包括码头的船舶机舱油污水、码头冲洗水、码头初期雨水；生活污水包括在港船舶生活污水及港区生活污水</w:t>
      </w:r>
      <w:r>
        <w:rPr>
          <w:snapToGrid w:val="0"/>
          <w:color w:val="000000" w:themeColor="text1"/>
          <w:u w:val="single"/>
          <w14:textFill>
            <w14:solidFill>
              <w14:schemeClr w14:val="tx1"/>
            </w14:solidFill>
          </w14:textFill>
        </w:rPr>
        <w:t>。不对扫线阀球清洗，不产生清洗废水。</w:t>
      </w:r>
    </w:p>
    <w:p w14:paraId="45655A60">
      <w:pPr>
        <w:ind w:firstLine="482"/>
        <w:rPr>
          <w:b/>
          <w:snapToGrid w:val="0"/>
          <w:color w:val="000000" w:themeColor="text1"/>
          <w14:textFill>
            <w14:solidFill>
              <w14:schemeClr w14:val="tx1"/>
            </w14:solidFill>
          </w14:textFill>
        </w:rPr>
      </w:pPr>
      <w:r>
        <w:rPr>
          <w:b/>
          <w:snapToGrid w:val="0"/>
          <w:color w:val="000000" w:themeColor="text1"/>
          <w14:textFill>
            <w14:solidFill>
              <w14:schemeClr w14:val="tx1"/>
            </w14:solidFill>
          </w14:textFill>
        </w:rPr>
        <w:t>1、船舶废水</w:t>
      </w:r>
    </w:p>
    <w:p w14:paraId="7B7C35A3">
      <w:pPr>
        <w:ind w:firstLine="480"/>
        <w:rPr>
          <w:color w:val="000000" w:themeColor="text1"/>
          <w14:textFill>
            <w14:solidFill>
              <w14:schemeClr w14:val="tx1"/>
            </w14:solidFill>
          </w14:textFill>
        </w:rPr>
      </w:pPr>
      <w:r>
        <w:rPr>
          <w:color w:val="000000" w:themeColor="text1"/>
          <w14:textFill>
            <w14:solidFill>
              <w14:schemeClr w14:val="tx1"/>
            </w14:solidFill>
          </w14:textFill>
        </w:rPr>
        <w:t>（1）船舶机舱油污水</w:t>
      </w:r>
    </w:p>
    <w:p w14:paraId="7A8E2A3E">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到港船舶机舱油污水是机舱内各闸阀和管路中漏出的水与机器运转时漏出的润滑油、主辅机燃料油，加油时的溢出油，机舱及机舱板洗刷时产生的油污水等混合在一起的含油污水，主要污染物是石油类。</w:t>
      </w:r>
      <w:r>
        <w:rPr>
          <w:rFonts w:hint="eastAsia"/>
          <w:color w:val="000000" w:themeColor="text1"/>
          <w:u w:val="single"/>
          <w14:textFill>
            <w14:solidFill>
              <w14:schemeClr w14:val="tx1"/>
            </w14:solidFill>
          </w14:textFill>
        </w:rPr>
        <w:t>到港船舶3000吨船舶为</w:t>
      </w:r>
      <w:r>
        <w:rPr>
          <w:color w:val="000000" w:themeColor="text1"/>
          <w:u w:val="single"/>
          <w14:textFill>
            <w14:solidFill>
              <w14:schemeClr w14:val="tx1"/>
            </w14:solidFill>
          </w14:textFill>
        </w:rPr>
        <w:t>60</w:t>
      </w:r>
      <w:r>
        <w:rPr>
          <w:rFonts w:hint="eastAsia"/>
          <w:color w:val="000000" w:themeColor="text1"/>
          <w:u w:val="single"/>
          <w14:textFill>
            <w14:solidFill>
              <w14:schemeClr w14:val="tx1"/>
            </w14:solidFill>
          </w14:textFill>
        </w:rPr>
        <w:t>艘，</w:t>
      </w:r>
      <w:r>
        <w:rPr>
          <w:color w:val="000000" w:themeColor="text1"/>
          <w:u w:val="single"/>
          <w14:textFill>
            <w14:solidFill>
              <w14:schemeClr w14:val="tx1"/>
            </w14:solidFill>
          </w14:textFill>
        </w:rPr>
        <w:t>10</w:t>
      </w:r>
      <w:r>
        <w:rPr>
          <w:rFonts w:hint="eastAsia"/>
          <w:color w:val="000000" w:themeColor="text1"/>
          <w:u w:val="single"/>
          <w14:textFill>
            <w14:solidFill>
              <w14:schemeClr w14:val="tx1"/>
            </w14:solidFill>
          </w14:textFill>
        </w:rPr>
        <w:t>000吨船舶为</w:t>
      </w:r>
      <w:r>
        <w:rPr>
          <w:color w:val="000000" w:themeColor="text1"/>
          <w:u w:val="single"/>
          <w14:textFill>
            <w14:solidFill>
              <w14:schemeClr w14:val="tx1"/>
            </w14:solidFill>
          </w14:textFill>
        </w:rPr>
        <w:t>52</w:t>
      </w:r>
      <w:r>
        <w:rPr>
          <w:rFonts w:hint="eastAsia"/>
          <w:color w:val="000000" w:themeColor="text1"/>
          <w:u w:val="single"/>
          <w14:textFill>
            <w14:solidFill>
              <w14:schemeClr w14:val="tx1"/>
            </w14:solidFill>
          </w14:textFill>
        </w:rPr>
        <w:t>艘，</w:t>
      </w:r>
      <w:r>
        <w:rPr>
          <w:rFonts w:hint="eastAsia"/>
          <w:color w:val="000000" w:themeColor="text1"/>
          <w:kern w:val="0"/>
          <w:u w:val="single"/>
          <w:lang w:bidi="ar"/>
          <w14:textFill>
            <w14:solidFill>
              <w14:schemeClr w14:val="tx1"/>
            </w14:solidFill>
          </w14:textFill>
        </w:rPr>
        <w:t>5000</w:t>
      </w:r>
      <w:r>
        <w:rPr>
          <w:rFonts w:hint="eastAsia" w:ascii="宋体" w:hAnsi="宋体" w:cs="宋体"/>
          <w:color w:val="000000" w:themeColor="text1"/>
          <w:kern w:val="0"/>
          <w:u w:val="single"/>
          <w:lang w:bidi="ar"/>
          <w14:textFill>
            <w14:solidFill>
              <w14:schemeClr w14:val="tx1"/>
            </w14:solidFill>
          </w14:textFill>
        </w:rPr>
        <w:t>吨</w:t>
      </w:r>
      <w:r>
        <w:rPr>
          <w:rFonts w:hint="eastAsia"/>
          <w:color w:val="000000" w:themeColor="text1"/>
          <w:u w:val="single"/>
          <w14:textFill>
            <w14:solidFill>
              <w14:schemeClr w14:val="tx1"/>
            </w14:solidFill>
          </w14:textFill>
        </w:rPr>
        <w:t>船舶为</w:t>
      </w:r>
      <w:r>
        <w:rPr>
          <w:color w:val="000000" w:themeColor="text1"/>
          <w:u w:val="single"/>
          <w14:textFill>
            <w14:solidFill>
              <w14:schemeClr w14:val="tx1"/>
            </w14:solidFill>
          </w14:textFill>
        </w:rPr>
        <w:t>20</w:t>
      </w:r>
      <w:r>
        <w:rPr>
          <w:rFonts w:hint="eastAsia"/>
          <w:color w:val="000000" w:themeColor="text1"/>
          <w:u w:val="single"/>
          <w14:textFill>
            <w14:solidFill>
              <w14:schemeClr w14:val="tx1"/>
            </w14:solidFill>
          </w14:textFill>
        </w:rPr>
        <w:t>艘。《水运工程环境保护设计规范》（JTS149-2018）</w:t>
      </w:r>
      <w:r>
        <w:rPr>
          <w:color w:val="000000" w:themeColor="text1"/>
          <w:u w:val="single"/>
          <w14:textFill>
            <w14:solidFill>
              <w14:schemeClr w14:val="tx1"/>
            </w14:solidFill>
          </w14:textFill>
        </w:rPr>
        <w:t>船舶机舱油污水的发生量</w:t>
      </w:r>
      <w:r>
        <w:rPr>
          <w:rFonts w:hint="eastAsia"/>
          <w:color w:val="000000" w:themeColor="text1"/>
          <w:u w:val="single"/>
          <w14:textFill>
            <w14:solidFill>
              <w14:schemeClr w14:val="tx1"/>
            </w14:solidFill>
          </w14:textFill>
        </w:rPr>
        <w:t>系数，3000吨级船舶船舱油污水的发生量取0.6t/d</w:t>
      </w:r>
      <w:r>
        <w:rPr>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艘</w:t>
      </w:r>
      <w:r>
        <w:rPr>
          <w:color w:val="000000" w:themeColor="text1"/>
          <w:u w:val="single"/>
          <w14:textFill>
            <w14:solidFill>
              <w14:schemeClr w14:val="tx1"/>
            </w14:solidFill>
          </w14:textFill>
        </w:rPr>
        <w:t>，</w:t>
      </w:r>
      <w:r>
        <w:rPr>
          <w:rFonts w:hint="eastAsia"/>
          <w:color w:val="000000" w:themeColor="text1"/>
          <w:kern w:val="0"/>
          <w:u w:val="single"/>
          <w:lang w:bidi="ar"/>
          <w14:textFill>
            <w14:solidFill>
              <w14:schemeClr w14:val="tx1"/>
            </w14:solidFill>
          </w14:textFill>
        </w:rPr>
        <w:t>5000</w:t>
      </w:r>
      <w:r>
        <w:rPr>
          <w:rFonts w:hint="eastAsia" w:ascii="宋体" w:hAnsi="宋体" w:cs="宋体"/>
          <w:color w:val="000000" w:themeColor="text1"/>
          <w:kern w:val="0"/>
          <w:u w:val="single"/>
          <w:lang w:bidi="ar"/>
          <w14:textFill>
            <w14:solidFill>
              <w14:schemeClr w14:val="tx1"/>
            </w14:solidFill>
          </w14:textFill>
        </w:rPr>
        <w:t>吨</w:t>
      </w:r>
      <w:r>
        <w:rPr>
          <w:rFonts w:hint="eastAsia"/>
          <w:color w:val="000000" w:themeColor="text1"/>
          <w:u w:val="single"/>
          <w14:textFill>
            <w14:solidFill>
              <w14:schemeClr w14:val="tx1"/>
            </w14:solidFill>
          </w14:textFill>
        </w:rPr>
        <w:t>船舶船舱油污水的发生量取1.0t/d</w:t>
      </w:r>
      <w:r>
        <w:rPr>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艘，</w:t>
      </w:r>
      <w:r>
        <w:rPr>
          <w:color w:val="000000" w:themeColor="text1"/>
          <w:u w:val="single"/>
          <w14:textFill>
            <w14:solidFill>
              <w14:schemeClr w14:val="tx1"/>
            </w14:solidFill>
          </w14:textFill>
        </w:rPr>
        <w:t xml:space="preserve"> 10</w:t>
      </w:r>
      <w:r>
        <w:rPr>
          <w:rFonts w:hint="eastAsia"/>
          <w:color w:val="000000" w:themeColor="text1"/>
          <w:u w:val="single"/>
          <w14:textFill>
            <w14:solidFill>
              <w14:schemeClr w14:val="tx1"/>
            </w14:solidFill>
          </w14:textFill>
        </w:rPr>
        <w:t>000吨船舶船舱油污水的发生量取3.5t/d</w:t>
      </w:r>
      <w:r>
        <w:rPr>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艘，</w:t>
      </w:r>
      <w:r>
        <w:rPr>
          <w:color w:val="000000" w:themeColor="text1"/>
          <w:u w:val="single"/>
          <w14:textFill>
            <w14:solidFill>
              <w14:schemeClr w14:val="tx1"/>
            </w14:solidFill>
          </w14:textFill>
        </w:rPr>
        <w:t>船舶</w:t>
      </w:r>
      <w:r>
        <w:rPr>
          <w:rFonts w:hint="eastAsia"/>
          <w:color w:val="000000" w:themeColor="text1"/>
          <w:u w:val="single"/>
          <w14:textFill>
            <w14:solidFill>
              <w14:schemeClr w14:val="tx1"/>
            </w14:solidFill>
          </w14:textFill>
        </w:rPr>
        <w:t>停留一</w:t>
      </w:r>
      <w:r>
        <w:rPr>
          <w:color w:val="000000" w:themeColor="text1"/>
          <w:u w:val="single"/>
          <w14:textFill>
            <w14:solidFill>
              <w14:schemeClr w14:val="tx1"/>
            </w14:solidFill>
          </w14:textFill>
        </w:rPr>
        <w:t>天计，到港船舶机舱油污水的发生量为</w:t>
      </w:r>
      <w:r>
        <w:rPr>
          <w:rFonts w:hint="eastAsia"/>
          <w:color w:val="000000" w:themeColor="text1"/>
          <w:u w:val="single"/>
          <w14:textFill>
            <w14:solidFill>
              <w14:schemeClr w14:val="tx1"/>
            </w14:solidFill>
          </w14:textFill>
        </w:rPr>
        <w:t>238</w:t>
      </w:r>
      <w:r>
        <w:rPr>
          <w:color w:val="000000" w:themeColor="text1"/>
          <w:u w:val="single"/>
          <w14:textFill>
            <w14:solidFill>
              <w14:schemeClr w14:val="tx1"/>
            </w14:solidFill>
          </w14:textFill>
        </w:rPr>
        <w:t>t/a。机舱含油污水的平均含油浓度达到5000mg/L，石油类的发生量为</w:t>
      </w:r>
      <w:r>
        <w:rPr>
          <w:rFonts w:hint="eastAsia"/>
          <w:color w:val="000000" w:themeColor="text1"/>
          <w:u w:val="single"/>
          <w14:textFill>
            <w14:solidFill>
              <w14:schemeClr w14:val="tx1"/>
            </w14:solidFill>
          </w14:textFill>
        </w:rPr>
        <w:t>1.19</w:t>
      </w:r>
      <w:r>
        <w:rPr>
          <w:color w:val="000000" w:themeColor="text1"/>
          <w:u w:val="single"/>
          <w14:textFill>
            <w14:solidFill>
              <w14:schemeClr w14:val="tx1"/>
            </w14:solidFill>
          </w14:textFill>
        </w:rPr>
        <w:t>t/a。</w:t>
      </w:r>
    </w:p>
    <w:p w14:paraId="24E5A530">
      <w:pPr>
        <w:ind w:firstLine="480"/>
        <w:rPr>
          <w:color w:val="000000" w:themeColor="text1"/>
          <w14:textFill>
            <w14:solidFill>
              <w14:schemeClr w14:val="tx1"/>
            </w14:solidFill>
          </w14:textFill>
        </w:rPr>
      </w:pPr>
      <w:r>
        <w:rPr>
          <w:color w:val="000000" w:themeColor="text1"/>
          <w14:textFill>
            <w14:solidFill>
              <w14:schemeClr w14:val="tx1"/>
            </w14:solidFill>
          </w14:textFill>
        </w:rPr>
        <w:t>含油污水由具有相关资质的单位接收处理。</w:t>
      </w:r>
    </w:p>
    <w:p w14:paraId="6FA65CC3">
      <w:pPr>
        <w:ind w:firstLine="480"/>
        <w:rPr>
          <w:color w:val="000000" w:themeColor="text1"/>
          <w14:textFill>
            <w14:solidFill>
              <w14:schemeClr w14:val="tx1"/>
            </w14:solidFill>
          </w14:textFill>
        </w:rPr>
      </w:pPr>
      <w:r>
        <w:rPr>
          <w:color w:val="000000" w:themeColor="text1"/>
          <w14:textFill>
            <w14:solidFill>
              <w14:schemeClr w14:val="tx1"/>
            </w14:solidFill>
          </w14:textFill>
        </w:rPr>
        <w:t>（2）船舶压载水</w:t>
      </w:r>
    </w:p>
    <w:p w14:paraId="56E629FB">
      <w:pPr>
        <w:ind w:firstLine="480"/>
        <w:rPr>
          <w:color w:val="000000" w:themeColor="text1"/>
          <w14:textFill>
            <w14:solidFill>
              <w14:schemeClr w14:val="tx1"/>
            </w14:solidFill>
          </w14:textFill>
        </w:rPr>
      </w:pPr>
      <w:r>
        <w:rPr>
          <w:color w:val="000000" w:themeColor="text1"/>
          <w14:textFill>
            <w14:solidFill>
              <w14:schemeClr w14:val="tx1"/>
            </w14:solidFill>
          </w14:textFill>
        </w:rPr>
        <w:t>根据《2004年国际船舶压载水和沉积物控制和管理公约》及《2014年中国船级社压载水公约实施指南》，压载水的管理主要包括压载水置换和压载水处理两种方式。压载水置换是指要求在深海中将在港口内装载的压载水置换成深海中的水，因为深海中的水即使携带某些水生物，被排放到接收港水域内后，水生物一般因生存条件的差异性而不易存活，因而减少了或避免了对当地港口水生环境的不利影响。压载水处理则是指对加装上船的压载水在排放到另一水域内前必须对其中的水生物进行杀灭处理，使得其在压载水中的存活率达到一定的限定标准而不再会对接收港水域造成不利影响。两种管理方式分别对应D-1标准（压载水置换标准）和D-2标准（压载水排放性能标准）。公约B-3条规定2009年之后建造的压载舱容量小于5000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的船舶，或者2012年以后建造的压载舱容量大于5000m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的船舶，应于建造阶段强制实施D-2标准，其余船舶应于2016年强制实施D-2标准。D-2标准的实现途径为船舶安装获得型式认可的压载水处理系统。</w:t>
      </w:r>
    </w:p>
    <w:p w14:paraId="1ED628AA">
      <w:pPr>
        <w:ind w:firstLine="480"/>
        <w:rPr>
          <w:color w:val="000000" w:themeColor="text1"/>
          <w14:textFill>
            <w14:solidFill>
              <w14:schemeClr w14:val="tx1"/>
            </w14:solidFill>
          </w14:textFill>
        </w:rPr>
      </w:pPr>
      <w:r>
        <w:rPr>
          <w:color w:val="000000" w:themeColor="text1"/>
          <w14:textFill>
            <w14:solidFill>
              <w14:schemeClr w14:val="tx1"/>
            </w14:solidFill>
          </w14:textFill>
        </w:rPr>
        <w:t>《2004年船舶压载水及沉积物控制和管理国际公约》已于2017年9月8日起生效，未经处理的压载水不能在港内排放，本项目来港船舶均应强制实施D-2标准，安装获得型式认可的压载水处理系统。因此，本项目来港的外贸船舶压载水排放前必须对其中的水生物进行杀灭处理，不再会对接收港水域造成不利影响。</w:t>
      </w:r>
    </w:p>
    <w:p w14:paraId="06E3741D">
      <w:pPr>
        <w:ind w:firstLine="480"/>
        <w:rPr>
          <w:color w:val="000000" w:themeColor="text1"/>
          <w14:textFill>
            <w14:solidFill>
              <w14:schemeClr w14:val="tx1"/>
            </w14:solidFill>
          </w14:textFill>
        </w:rPr>
      </w:pPr>
      <w:r>
        <w:rPr>
          <w:color w:val="000000" w:themeColor="text1"/>
          <w14:textFill>
            <w14:solidFill>
              <w14:schemeClr w14:val="tx1"/>
            </w14:solidFill>
          </w14:textFill>
        </w:rPr>
        <w:t>此外，本项目运输船舶要求只使用专用压载水舱隔舱型，即船舶压载水舱与货品舱分离，压载水不受所运送的货品物料的污染。</w:t>
      </w:r>
    </w:p>
    <w:p w14:paraId="02BD5835">
      <w:pPr>
        <w:ind w:firstLine="480"/>
        <w:rPr>
          <w:color w:val="000000" w:themeColor="text1"/>
          <w14:textFill>
            <w14:solidFill>
              <w14:schemeClr w14:val="tx1"/>
            </w14:solidFill>
          </w14:textFill>
        </w:rPr>
      </w:pPr>
      <w:r>
        <w:rPr>
          <w:color w:val="000000" w:themeColor="text1"/>
          <w14:textFill>
            <w14:solidFill>
              <w14:schemeClr w14:val="tx1"/>
            </w14:solidFill>
          </w14:textFill>
        </w:rPr>
        <w:t>（3）船舶生活污水</w:t>
      </w:r>
    </w:p>
    <w:p w14:paraId="4E9B0DF2">
      <w:pPr>
        <w:ind w:firstLine="412"/>
        <w:rPr>
          <w:snapToGrid w:val="0"/>
          <w:color w:val="000000" w:themeColor="text1"/>
          <w:kern w:val="0"/>
          <w14:textFill>
            <w14:solidFill>
              <w14:schemeClr w14:val="tx1"/>
            </w14:solidFill>
          </w14:textFill>
        </w:rPr>
      </w:pPr>
      <w:r>
        <w:rPr>
          <w:color w:val="000000" w:themeColor="text1"/>
          <w:spacing w:val="-17"/>
          <w14:textFill>
            <w14:solidFill>
              <w14:schemeClr w14:val="tx1"/>
            </w14:solidFill>
          </w14:textFill>
        </w:rPr>
        <w:t xml:space="preserve">根据 </w:t>
      </w:r>
      <w:r>
        <w:rPr>
          <w:rFonts w:eastAsia="Times New Roman"/>
          <w:color w:val="000000" w:themeColor="text1"/>
          <w14:textFill>
            <w14:solidFill>
              <w14:schemeClr w14:val="tx1"/>
            </w14:solidFill>
          </w14:textFill>
        </w:rPr>
        <w:t xml:space="preserve">73/78 </w:t>
      </w:r>
      <w:r>
        <w:rPr>
          <w:color w:val="000000" w:themeColor="text1"/>
          <w14:textFill>
            <w14:solidFill>
              <w14:schemeClr w14:val="tx1"/>
            </w14:solidFill>
          </w14:textFill>
        </w:rPr>
        <w:t xml:space="preserve">国际海事组织制定的防止船舶污染海洋公约附则Ⅳ第 </w:t>
      </w:r>
      <w:r>
        <w:rPr>
          <w:rFonts w:eastAsia="Times New Roman"/>
          <w:color w:val="000000" w:themeColor="text1"/>
          <w14:textFill>
            <w14:solidFill>
              <w14:schemeClr w14:val="tx1"/>
            </w14:solidFill>
          </w14:textFill>
        </w:rPr>
        <w:t xml:space="preserve">8 </w:t>
      </w:r>
      <w:r>
        <w:rPr>
          <w:color w:val="000000" w:themeColor="text1"/>
          <w:spacing w:val="3"/>
          <w14:textFill>
            <w14:solidFill>
              <w14:schemeClr w14:val="tx1"/>
            </w14:solidFill>
          </w14:textFill>
        </w:rPr>
        <w:t>条的规定，船舶上必须</w:t>
      </w:r>
      <w:r>
        <w:rPr>
          <w:color w:val="000000" w:themeColor="text1"/>
          <w14:textFill>
            <w14:solidFill>
              <w14:schemeClr w14:val="tx1"/>
            </w14:solidFill>
          </w14:textFill>
        </w:rPr>
        <w:t>备有经主管机关认可的生活污水处理装置，且须保证生活污水处理设施的正常运转，达到</w:t>
      </w:r>
      <w:r>
        <w:rPr>
          <w:color w:val="000000" w:themeColor="text1"/>
          <w:spacing w:val="-4"/>
          <w14:textFill>
            <w14:solidFill>
              <w14:schemeClr w14:val="tx1"/>
            </w14:solidFill>
          </w14:textFill>
        </w:rPr>
        <w:t xml:space="preserve">标准后方可在航行中并且在 </w:t>
      </w:r>
      <w:r>
        <w:rPr>
          <w:rFonts w:eastAsia="Times New Roman"/>
          <w:color w:val="000000" w:themeColor="text1"/>
          <w14:textFill>
            <w14:solidFill>
              <w14:schemeClr w14:val="tx1"/>
            </w14:solidFill>
          </w14:textFill>
        </w:rPr>
        <w:t xml:space="preserve">12 </w:t>
      </w:r>
      <w:r>
        <w:rPr>
          <w:color w:val="000000" w:themeColor="text1"/>
          <w:spacing w:val="-1"/>
          <w14:textFill>
            <w14:solidFill>
              <w14:schemeClr w14:val="tx1"/>
            </w14:solidFill>
          </w14:textFill>
        </w:rPr>
        <w:t>海里以外排放，因此，本项目营运</w:t>
      </w:r>
      <w:r>
        <w:rPr>
          <w:color w:val="000000" w:themeColor="text1"/>
          <w14:textFill>
            <w14:solidFill>
              <w14:schemeClr w14:val="tx1"/>
            </w14:solidFill>
          </w14:textFill>
        </w:rPr>
        <w:t>期间船舶生活污水主要为船舶在港期间所产生的生活污水。</w:t>
      </w:r>
    </w:p>
    <w:p w14:paraId="11B84DB7">
      <w:pPr>
        <w:ind w:firstLine="480"/>
        <w:rPr>
          <w:color w:val="000000" w:themeColor="text1"/>
          <w14:textFill>
            <w14:solidFill>
              <w14:schemeClr w14:val="tx1"/>
            </w14:solidFill>
          </w14:textFill>
        </w:rPr>
      </w:pPr>
      <w:r>
        <w:rPr>
          <w:color w:val="000000" w:themeColor="text1"/>
          <w14:textFill>
            <w14:solidFill>
              <w14:schemeClr w14:val="tx1"/>
            </w14:solidFill>
          </w14:textFill>
        </w:rPr>
        <w:t xml:space="preserve">根据估算本项目全年到港船舶最大约 </w:t>
      </w:r>
      <w:r>
        <w:rPr>
          <w:rFonts w:hint="eastAsia"/>
          <w:color w:val="000000" w:themeColor="text1"/>
          <w14:textFill>
            <w14:solidFill>
              <w14:schemeClr w14:val="tx1"/>
            </w14:solidFill>
          </w14:textFill>
        </w:rPr>
        <w:t>132</w:t>
      </w:r>
      <w:r>
        <w:rPr>
          <w:color w:val="000000" w:themeColor="text1"/>
          <w14:textFill>
            <w14:solidFill>
              <w14:schemeClr w14:val="tx1"/>
            </w14:solidFill>
          </w14:textFill>
        </w:rPr>
        <w:t xml:space="preserve"> 艘，每艘船舶工作人员平均按</w:t>
      </w:r>
      <w:r>
        <w:rPr>
          <w:rFonts w:hint="eastAsia"/>
          <w:color w:val="000000" w:themeColor="text1"/>
          <w14:textFill>
            <w14:solidFill>
              <w14:schemeClr w14:val="tx1"/>
            </w14:solidFill>
          </w14:textFill>
        </w:rPr>
        <w:t>15</w:t>
      </w:r>
      <w:r>
        <w:rPr>
          <w:color w:val="000000" w:themeColor="text1"/>
          <w14:textFill>
            <w14:solidFill>
              <w14:schemeClr w14:val="tx1"/>
            </w14:solidFill>
          </w14:textFill>
        </w:rPr>
        <w:t xml:space="preserve"> 人计，生活用水量按 100L/d•人计，产污系数按 0.8 计，每人产生的生活污水量为 80L/d，按每艘船平均在港停留按</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d计算，则船舶生活污水的产生量为</w:t>
      </w:r>
      <w:r>
        <w:rPr>
          <w:rFonts w:hint="eastAsia"/>
          <w:color w:val="000000" w:themeColor="text1"/>
          <w14:textFill>
            <w14:solidFill>
              <w14:schemeClr w14:val="tx1"/>
            </w14:solidFill>
          </w14:textFill>
        </w:rPr>
        <w:t>158.4</w:t>
      </w:r>
      <w:r>
        <w:rPr>
          <w:color w:val="000000" w:themeColor="text1"/>
          <w14:textFill>
            <w14:solidFill>
              <w14:schemeClr w14:val="tx1"/>
            </w14:solidFill>
          </w14:textFill>
        </w:rPr>
        <w:t xml:space="preserve"> t/a，类比同类项目，COD、氨氮、总氮、总磷浓度分别按350mg/L、35mg/L、45mg/L、6mg/L 计，则其污染物 COD、氨氮、总氮、总磷产生量分别约为 </w:t>
      </w:r>
      <w:r>
        <w:rPr>
          <w:rFonts w:hint="eastAsia"/>
          <w:color w:val="000000" w:themeColor="text1"/>
          <w14:textFill>
            <w14:solidFill>
              <w14:schemeClr w14:val="tx1"/>
            </w14:solidFill>
          </w14:textFill>
        </w:rPr>
        <w:t>0.055</w:t>
      </w:r>
      <w:r>
        <w:rPr>
          <w:color w:val="000000" w:themeColor="text1"/>
          <w14:textFill>
            <w14:solidFill>
              <w14:schemeClr w14:val="tx1"/>
            </w14:solidFill>
          </w14:textFill>
        </w:rPr>
        <w:t>t/a、0.0</w:t>
      </w:r>
      <w:r>
        <w:rPr>
          <w:rFonts w:hint="eastAsia"/>
          <w:color w:val="000000" w:themeColor="text1"/>
          <w14:textFill>
            <w14:solidFill>
              <w14:schemeClr w14:val="tx1"/>
            </w14:solidFill>
          </w14:textFill>
        </w:rPr>
        <w:t>06</w:t>
      </w:r>
      <w:r>
        <w:rPr>
          <w:color w:val="000000" w:themeColor="text1"/>
          <w14:textFill>
            <w14:solidFill>
              <w14:schemeClr w14:val="tx1"/>
            </w14:solidFill>
          </w14:textFill>
        </w:rPr>
        <w:t>t/a、0.0</w:t>
      </w:r>
      <w:r>
        <w:rPr>
          <w:rFonts w:hint="eastAsia"/>
          <w:color w:val="000000" w:themeColor="text1"/>
          <w14:textFill>
            <w14:solidFill>
              <w14:schemeClr w14:val="tx1"/>
            </w14:solidFill>
          </w14:textFill>
        </w:rPr>
        <w:t>71</w:t>
      </w:r>
      <w:r>
        <w:rPr>
          <w:color w:val="000000" w:themeColor="text1"/>
          <w14:textFill>
            <w14:solidFill>
              <w14:schemeClr w14:val="tx1"/>
            </w14:solidFill>
          </w14:textFill>
        </w:rPr>
        <w:t>t/a、0.00</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t/a。</w:t>
      </w:r>
    </w:p>
    <w:p w14:paraId="7C4177ED">
      <w:pPr>
        <w:ind w:firstLine="480"/>
        <w:rPr>
          <w:snapToGrid w:val="0"/>
          <w:color w:val="000000" w:themeColor="text1"/>
          <w:kern w:val="0"/>
          <w14:textFill>
            <w14:solidFill>
              <w14:schemeClr w14:val="tx1"/>
            </w14:solidFill>
          </w14:textFill>
        </w:rPr>
      </w:pPr>
      <w:r>
        <w:rPr>
          <w:snapToGrid w:val="0"/>
          <w:color w:val="000000" w:themeColor="text1"/>
          <w:kern w:val="0"/>
          <w14:textFill>
            <w14:solidFill>
              <w14:schemeClr w14:val="tx1"/>
            </w14:solidFill>
          </w14:textFill>
        </w:rPr>
        <w:t>到港船舶生活污水由船舶公司委托有资质单位接收处置。</w:t>
      </w:r>
    </w:p>
    <w:p w14:paraId="0623A9AD">
      <w:pPr>
        <w:ind w:firstLine="480"/>
        <w:rPr>
          <w:color w:val="000000" w:themeColor="text1"/>
          <w14:textFill>
            <w14:solidFill>
              <w14:schemeClr w14:val="tx1"/>
            </w14:solidFill>
          </w14:textFill>
        </w:rPr>
      </w:pPr>
      <w:r>
        <w:rPr>
          <w:color w:val="000000" w:themeColor="text1"/>
          <w14:textFill>
            <w14:solidFill>
              <w14:schemeClr w14:val="tx1"/>
            </w14:solidFill>
          </w14:textFill>
        </w:rPr>
        <w:t>（4）洗舱废水</w:t>
      </w:r>
    </w:p>
    <w:p w14:paraId="5B1294EC">
      <w:pPr>
        <w:ind w:firstLine="480"/>
        <w:rPr>
          <w:bCs/>
          <w:color w:val="000000" w:themeColor="text1"/>
          <w:u w:val="single"/>
          <w14:textFill>
            <w14:solidFill>
              <w14:schemeClr w14:val="tx1"/>
            </w14:solidFill>
          </w14:textFill>
        </w:rPr>
      </w:pPr>
      <w:r>
        <w:rPr>
          <w:bCs/>
          <w:color w:val="000000" w:themeColor="text1"/>
          <w:u w:val="single"/>
          <w14:textFill>
            <w14:solidFill>
              <w14:schemeClr w14:val="tx1"/>
            </w14:solidFill>
          </w14:textFill>
        </w:rPr>
        <w:t>考虑船舶和码头难以具备洗舱条件，参考国内常规做法，主要考虑货种、航次长期固定避免洗舱作业，对于有洗舱需求的船舶，自行航行至具备洗舱作业能力的码头进行洗舱；对于非强制性预洗货种可不进行洗舱，在船舶航行中进行自然通风。</w:t>
      </w:r>
      <w:r>
        <w:rPr>
          <w:rFonts w:hint="eastAsia"/>
          <w:bCs/>
          <w:color w:val="000000" w:themeColor="text1"/>
          <w:u w:val="single"/>
          <w14:textFill>
            <w14:solidFill>
              <w14:schemeClr w14:val="tx1"/>
            </w14:solidFill>
          </w14:textFill>
        </w:rPr>
        <w:t>本次无需进行强制洗舱作业，码头亦无需接收洗舱水。</w:t>
      </w:r>
    </w:p>
    <w:p w14:paraId="6ABDABAD">
      <w:pPr>
        <w:ind w:firstLine="480"/>
        <w:rPr>
          <w:bCs/>
          <w:color w:val="000000" w:themeColor="text1"/>
          <w14:textFill>
            <w14:solidFill>
              <w14:schemeClr w14:val="tx1"/>
            </w14:solidFill>
          </w14:textFill>
        </w:rPr>
      </w:pPr>
      <w:r>
        <w:rPr>
          <w:bCs/>
          <w:color w:val="000000" w:themeColor="text1"/>
          <w14:textFill>
            <w14:solidFill>
              <w14:schemeClr w14:val="tx1"/>
            </w14:solidFill>
          </w14:textFill>
        </w:rPr>
        <w:t>本码头及靠泊船舶无洗舱废水产生。</w:t>
      </w:r>
    </w:p>
    <w:p w14:paraId="01F8FB8F">
      <w:pPr>
        <w:ind w:firstLine="480"/>
        <w:rPr>
          <w:color w:val="000000" w:themeColor="text1"/>
          <w14:textFill>
            <w14:solidFill>
              <w14:schemeClr w14:val="tx1"/>
            </w14:solidFill>
          </w14:textFill>
        </w:rPr>
      </w:pPr>
      <w:r>
        <w:rPr>
          <w:color w:val="000000" w:themeColor="text1"/>
          <w14:textFill>
            <w14:solidFill>
              <w14:schemeClr w14:val="tx1"/>
            </w14:solidFill>
          </w14:textFill>
        </w:rPr>
        <w:t>2、码头生产废水</w:t>
      </w:r>
    </w:p>
    <w:p w14:paraId="28DB9120">
      <w:pPr>
        <w:ind w:firstLine="480"/>
        <w:rPr>
          <w:color w:val="000000" w:themeColor="text1"/>
          <w14:textFill>
            <w14:solidFill>
              <w14:schemeClr w14:val="tx1"/>
            </w14:solidFill>
          </w14:textFill>
        </w:rPr>
      </w:pPr>
      <w:r>
        <w:rPr>
          <w:color w:val="000000" w:themeColor="text1"/>
          <w14:textFill>
            <w14:solidFill>
              <w14:schemeClr w14:val="tx1"/>
            </w14:solidFill>
          </w14:textFill>
        </w:rPr>
        <w:t>（1）码头冲洗废水</w:t>
      </w:r>
    </w:p>
    <w:p w14:paraId="426E894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项目采用密闭管道装卸货物，码头的冲洗依托原来项目，项目建设不新增</w:t>
      </w:r>
      <w:r>
        <w:rPr>
          <w:rFonts w:hint="eastAsia"/>
          <w:color w:val="000000" w:themeColor="text1"/>
          <w:lang w:val="en-US" w:eastAsia="zh-CN"/>
          <w14:textFill>
            <w14:solidFill>
              <w14:schemeClr w14:val="tx1"/>
            </w14:solidFill>
          </w14:textFill>
        </w:rPr>
        <w:t>冲洗</w:t>
      </w:r>
      <w:r>
        <w:rPr>
          <w:rFonts w:hint="eastAsia"/>
          <w:color w:val="000000" w:themeColor="text1"/>
          <w14:textFill>
            <w14:solidFill>
              <w14:schemeClr w14:val="tx1"/>
            </w14:solidFill>
          </w14:textFill>
        </w:rPr>
        <w:t>次数。</w:t>
      </w:r>
    </w:p>
    <w:p w14:paraId="2E99A5D8">
      <w:pPr>
        <w:ind w:firstLine="480"/>
        <w:rPr>
          <w:color w:val="000000" w:themeColor="text1"/>
          <w14:textFill>
            <w14:solidFill>
              <w14:schemeClr w14:val="tx1"/>
            </w14:solidFill>
          </w14:textFill>
        </w:rPr>
      </w:pPr>
      <w:r>
        <w:rPr>
          <w:color w:val="000000" w:themeColor="text1"/>
          <w14:textFill>
            <w14:solidFill>
              <w14:schemeClr w14:val="tx1"/>
            </w14:solidFill>
          </w14:textFill>
        </w:rPr>
        <w:t>（2）初期雨水</w:t>
      </w:r>
    </w:p>
    <w:p w14:paraId="0ABBC64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项目不新增占地，故不新增初期雨水</w:t>
      </w:r>
    </w:p>
    <w:p w14:paraId="4339122F">
      <w:pPr>
        <w:ind w:firstLine="480"/>
        <w:rPr>
          <w:color w:val="000000" w:themeColor="text1"/>
          <w14:textFill>
            <w14:solidFill>
              <w14:schemeClr w14:val="tx1"/>
            </w14:solidFill>
          </w14:textFill>
        </w:rPr>
      </w:pPr>
      <w:r>
        <w:rPr>
          <w:color w:val="000000" w:themeColor="text1"/>
          <w14:textFill>
            <w14:solidFill>
              <w14:schemeClr w14:val="tx1"/>
            </w14:solidFill>
          </w14:textFill>
        </w:rPr>
        <w:t>3、码头生活污水</w:t>
      </w:r>
    </w:p>
    <w:p w14:paraId="0BE3CB2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依托项目现有人员，不新增生活污水</w:t>
      </w:r>
      <w:r>
        <w:rPr>
          <w:color w:val="000000" w:themeColor="text1"/>
          <w14:textFill>
            <w14:solidFill>
              <w14:schemeClr w14:val="tx1"/>
            </w14:solidFill>
          </w14:textFill>
        </w:rPr>
        <w:t>。</w:t>
      </w:r>
    </w:p>
    <w:p w14:paraId="1E7F888D">
      <w:pPr>
        <w:pStyle w:val="6"/>
        <w:tabs>
          <w:tab w:val="left" w:pos="561"/>
        </w:tabs>
        <w:ind w:left="141"/>
        <w:rPr>
          <w:color w:val="000000" w:themeColor="text1"/>
          <w14:textFill>
            <w14:solidFill>
              <w14:schemeClr w14:val="tx1"/>
            </w14:solidFill>
          </w14:textFill>
        </w:rPr>
      </w:pPr>
      <w:r>
        <w:rPr>
          <w:color w:val="000000" w:themeColor="text1"/>
          <w14:textFill>
            <w14:solidFill>
              <w14:schemeClr w14:val="tx1"/>
            </w14:solidFill>
          </w14:textFill>
        </w:rPr>
        <w:t>噪声源强</w:t>
      </w:r>
    </w:p>
    <w:p w14:paraId="1A492F66">
      <w:pPr>
        <w:ind w:firstLine="480"/>
        <w:rPr>
          <w:color w:val="000000" w:themeColor="text1"/>
          <w14:textFill>
            <w14:solidFill>
              <w14:schemeClr w14:val="tx1"/>
            </w14:solidFill>
          </w14:textFill>
        </w:rPr>
      </w:pPr>
      <w:r>
        <w:rPr>
          <w:color w:val="000000" w:themeColor="text1"/>
          <w14:textFill>
            <w14:solidFill>
              <w14:schemeClr w14:val="tx1"/>
            </w14:solidFill>
          </w14:textFill>
        </w:rPr>
        <w:t>本工程主要机械设备声级如下表所示。</w:t>
      </w:r>
    </w:p>
    <w:p w14:paraId="03989FE7">
      <w:pPr>
        <w:pStyle w:val="7"/>
        <w:tabs>
          <w:tab w:val="left" w:pos="2127"/>
          <w:tab w:val="left" w:pos="2411"/>
        </w:tabs>
        <w:rPr>
          <w:color w:val="000000" w:themeColor="text1"/>
          <w14:textFill>
            <w14:solidFill>
              <w14:schemeClr w14:val="tx1"/>
            </w14:solidFill>
          </w14:textFill>
        </w:rPr>
      </w:pPr>
      <w:r>
        <w:rPr>
          <w:color w:val="000000" w:themeColor="text1"/>
          <w14:textFill>
            <w14:solidFill>
              <w14:schemeClr w14:val="tx1"/>
            </w14:solidFill>
          </w14:textFill>
        </w:rPr>
        <w:t>码头主要设备噪声值</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7" w:type="dxa"/>
          <w:bottom w:w="0" w:type="dxa"/>
          <w:right w:w="17" w:type="dxa"/>
        </w:tblCellMar>
      </w:tblPr>
      <w:tblGrid>
        <w:gridCol w:w="417"/>
        <w:gridCol w:w="1394"/>
        <w:gridCol w:w="853"/>
        <w:gridCol w:w="968"/>
        <w:gridCol w:w="1629"/>
        <w:gridCol w:w="1275"/>
        <w:gridCol w:w="1804"/>
      </w:tblGrid>
      <w:tr w14:paraId="3EDD05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7" w:type="dxa"/>
            <w:bottom w:w="0" w:type="dxa"/>
            <w:right w:w="17" w:type="dxa"/>
          </w:tblCellMar>
        </w:tblPrEx>
        <w:trPr>
          <w:trHeight w:val="340" w:hRule="atLeast"/>
          <w:jc w:val="center"/>
        </w:trPr>
        <w:tc>
          <w:tcPr>
            <w:tcW w:w="250" w:type="pct"/>
            <w:vMerge w:val="restart"/>
            <w:vAlign w:val="center"/>
          </w:tcPr>
          <w:p w14:paraId="333B0E0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序号</w:t>
            </w:r>
          </w:p>
        </w:tc>
        <w:tc>
          <w:tcPr>
            <w:tcW w:w="835" w:type="pct"/>
            <w:vMerge w:val="restart"/>
            <w:vAlign w:val="center"/>
          </w:tcPr>
          <w:p w14:paraId="15E14FD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噪声源</w:t>
            </w:r>
          </w:p>
        </w:tc>
        <w:tc>
          <w:tcPr>
            <w:tcW w:w="1091" w:type="pct"/>
            <w:gridSpan w:val="2"/>
            <w:vAlign w:val="center"/>
          </w:tcPr>
          <w:p w14:paraId="67DB3CB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（声压级/距声源距离）/（dB(A)/m）</w:t>
            </w:r>
          </w:p>
        </w:tc>
        <w:tc>
          <w:tcPr>
            <w:tcW w:w="976" w:type="pct"/>
            <w:vMerge w:val="restart"/>
            <w:vAlign w:val="center"/>
          </w:tcPr>
          <w:p w14:paraId="2CD07E9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声源控制措施</w:t>
            </w:r>
          </w:p>
        </w:tc>
        <w:tc>
          <w:tcPr>
            <w:tcW w:w="764" w:type="pct"/>
            <w:vMerge w:val="restart"/>
            <w:vAlign w:val="center"/>
          </w:tcPr>
          <w:p w14:paraId="15B92256">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采取措施后声源源强/</w:t>
            </w:r>
            <w:r>
              <w:rPr>
                <w:color w:val="000000" w:themeColor="text1"/>
                <w:sz w:val="21"/>
                <w:szCs w:val="21"/>
                <w14:textFill>
                  <w14:solidFill>
                    <w14:schemeClr w14:val="tx1"/>
                  </w14:solidFill>
                </w14:textFill>
              </w:rPr>
              <w:t>dB(A)</w:t>
            </w:r>
          </w:p>
        </w:tc>
        <w:tc>
          <w:tcPr>
            <w:tcW w:w="1081" w:type="pct"/>
            <w:vMerge w:val="restart"/>
            <w:vAlign w:val="center"/>
          </w:tcPr>
          <w:p w14:paraId="329D25F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运行时段</w:t>
            </w:r>
          </w:p>
        </w:tc>
      </w:tr>
      <w:tr w14:paraId="796ADB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7" w:type="dxa"/>
            <w:bottom w:w="0" w:type="dxa"/>
            <w:right w:w="17" w:type="dxa"/>
          </w:tblCellMar>
        </w:tblPrEx>
        <w:trPr>
          <w:trHeight w:val="340" w:hRule="atLeast"/>
          <w:jc w:val="center"/>
        </w:trPr>
        <w:tc>
          <w:tcPr>
            <w:tcW w:w="250" w:type="pct"/>
            <w:vMerge w:val="continue"/>
            <w:vAlign w:val="center"/>
          </w:tcPr>
          <w:p w14:paraId="1E76139F">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835" w:type="pct"/>
            <w:vMerge w:val="continue"/>
            <w:vAlign w:val="center"/>
          </w:tcPr>
          <w:p w14:paraId="26C56C88">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11" w:type="pct"/>
            <w:vAlign w:val="center"/>
          </w:tcPr>
          <w:p w14:paraId="04E31EF5">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声压级dB(A)</w:t>
            </w:r>
          </w:p>
        </w:tc>
        <w:tc>
          <w:tcPr>
            <w:tcW w:w="580" w:type="pct"/>
            <w:vAlign w:val="center"/>
          </w:tcPr>
          <w:p w14:paraId="7A1B9C62">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距声源距离（m）</w:t>
            </w:r>
          </w:p>
        </w:tc>
        <w:tc>
          <w:tcPr>
            <w:tcW w:w="976" w:type="pct"/>
            <w:vMerge w:val="continue"/>
            <w:vAlign w:val="center"/>
          </w:tcPr>
          <w:p w14:paraId="0005A108">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64" w:type="pct"/>
            <w:vMerge w:val="continue"/>
            <w:vAlign w:val="center"/>
          </w:tcPr>
          <w:p w14:paraId="502FEF4F">
            <w:pPr>
              <w:spacing w:line="240" w:lineRule="auto"/>
              <w:ind w:firstLine="0" w:firstLineChars="0"/>
              <w:jc w:val="center"/>
              <w:rPr>
                <w:b/>
                <w:bCs/>
                <w:color w:val="000000" w:themeColor="text1"/>
                <w:sz w:val="21"/>
                <w:szCs w:val="21"/>
                <w14:textFill>
                  <w14:solidFill>
                    <w14:schemeClr w14:val="tx1"/>
                  </w14:solidFill>
                </w14:textFill>
              </w:rPr>
            </w:pPr>
          </w:p>
        </w:tc>
        <w:tc>
          <w:tcPr>
            <w:tcW w:w="1081" w:type="pct"/>
            <w:vMerge w:val="continue"/>
            <w:vAlign w:val="center"/>
          </w:tcPr>
          <w:p w14:paraId="25DE587A">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r>
      <w:tr w14:paraId="6322D1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7" w:type="dxa"/>
            <w:bottom w:w="0" w:type="dxa"/>
            <w:right w:w="17" w:type="dxa"/>
          </w:tblCellMar>
        </w:tblPrEx>
        <w:trPr>
          <w:trHeight w:val="340" w:hRule="atLeast"/>
          <w:jc w:val="center"/>
        </w:trPr>
        <w:tc>
          <w:tcPr>
            <w:tcW w:w="250" w:type="pct"/>
            <w:vAlign w:val="center"/>
          </w:tcPr>
          <w:p w14:paraId="4925B9C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35" w:type="pct"/>
            <w:vAlign w:val="center"/>
          </w:tcPr>
          <w:p w14:paraId="22278608">
            <w:pPr>
              <w:adjustRightInd w:val="0"/>
              <w:snapToGrid w:val="0"/>
              <w:spacing w:line="240" w:lineRule="auto"/>
              <w:ind w:firstLine="0" w:firstLineChars="0"/>
              <w:jc w:val="center"/>
              <w:rPr>
                <w:rFonts w:hint="eastAsia" w:eastAsia="宋体"/>
                <w:color w:val="000000" w:themeColor="text1"/>
                <w:sz w:val="21"/>
                <w:szCs w:val="21"/>
                <w:lang w:eastAsia="zh-CN"/>
                <w14:textFill>
                  <w14:solidFill>
                    <w14:schemeClr w14:val="tx1"/>
                  </w14:solidFill>
                </w14:textFill>
              </w:rPr>
            </w:pPr>
            <w:r>
              <w:rPr>
                <w:color w:val="000000" w:themeColor="text1"/>
                <w:sz w:val="21"/>
                <w:szCs w:val="21"/>
                <w14:textFill>
                  <w14:solidFill>
                    <w14:schemeClr w14:val="tx1"/>
                  </w14:solidFill>
                </w14:textFill>
              </w:rPr>
              <w:t>装卸臂</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含扫线泵</w:t>
            </w:r>
            <w:r>
              <w:rPr>
                <w:rFonts w:hint="eastAsia"/>
                <w:color w:val="000000" w:themeColor="text1"/>
                <w:sz w:val="21"/>
                <w:szCs w:val="21"/>
                <w:lang w:eastAsia="zh-CN"/>
                <w14:textFill>
                  <w14:solidFill>
                    <w14:schemeClr w14:val="tx1"/>
                  </w14:solidFill>
                </w14:textFill>
              </w:rPr>
              <w:t>）</w:t>
            </w:r>
          </w:p>
        </w:tc>
        <w:tc>
          <w:tcPr>
            <w:tcW w:w="511" w:type="pct"/>
            <w:vAlign w:val="center"/>
          </w:tcPr>
          <w:p w14:paraId="2C087B6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w:t>
            </w:r>
          </w:p>
        </w:tc>
        <w:tc>
          <w:tcPr>
            <w:tcW w:w="580" w:type="pct"/>
            <w:vAlign w:val="center"/>
          </w:tcPr>
          <w:p w14:paraId="6600647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976" w:type="pct"/>
            <w:vMerge w:val="restart"/>
            <w:vAlign w:val="center"/>
          </w:tcPr>
          <w:p w14:paraId="33F81BA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采取减振措施</w:t>
            </w:r>
          </w:p>
        </w:tc>
        <w:tc>
          <w:tcPr>
            <w:tcW w:w="764" w:type="pct"/>
            <w:vAlign w:val="center"/>
          </w:tcPr>
          <w:p w14:paraId="709648E0">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1081" w:type="pct"/>
            <w:vMerge w:val="restart"/>
            <w:vAlign w:val="center"/>
          </w:tcPr>
          <w:p w14:paraId="188C7FD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00~24</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00</w:t>
            </w:r>
          </w:p>
        </w:tc>
      </w:tr>
      <w:tr w14:paraId="78D8AD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7" w:type="dxa"/>
            <w:bottom w:w="0" w:type="dxa"/>
            <w:right w:w="17" w:type="dxa"/>
          </w:tblCellMar>
        </w:tblPrEx>
        <w:trPr>
          <w:trHeight w:val="340" w:hRule="atLeast"/>
          <w:jc w:val="center"/>
        </w:trPr>
        <w:tc>
          <w:tcPr>
            <w:tcW w:w="250" w:type="pct"/>
            <w:vAlign w:val="center"/>
          </w:tcPr>
          <w:p w14:paraId="7B879E0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835" w:type="pct"/>
            <w:vAlign w:val="center"/>
          </w:tcPr>
          <w:p w14:paraId="2B27B7B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软管（3根）</w:t>
            </w:r>
          </w:p>
        </w:tc>
        <w:tc>
          <w:tcPr>
            <w:tcW w:w="511" w:type="pct"/>
            <w:vAlign w:val="center"/>
          </w:tcPr>
          <w:p w14:paraId="2136F71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70</w:t>
            </w:r>
          </w:p>
        </w:tc>
        <w:tc>
          <w:tcPr>
            <w:tcW w:w="580" w:type="pct"/>
            <w:vAlign w:val="center"/>
          </w:tcPr>
          <w:p w14:paraId="1A27A8E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976" w:type="pct"/>
            <w:vMerge w:val="continue"/>
            <w:vAlign w:val="center"/>
          </w:tcPr>
          <w:p w14:paraId="75F2144E">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64" w:type="pct"/>
          </w:tcPr>
          <w:p w14:paraId="638AEB79">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55</w:t>
            </w:r>
          </w:p>
        </w:tc>
        <w:tc>
          <w:tcPr>
            <w:tcW w:w="1081" w:type="pct"/>
            <w:vMerge w:val="continue"/>
            <w:vAlign w:val="center"/>
          </w:tcPr>
          <w:p w14:paraId="362B1409">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r>
    </w:tbl>
    <w:p w14:paraId="75A9E473">
      <w:pPr>
        <w:ind w:firstLine="48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根据噪声监测结果（见附件14），厂界噪声值均满足《工业企业厂界环境噪声排放标准》（GB12348-2008）。</w:t>
      </w:r>
    </w:p>
    <w:p w14:paraId="3A78586A">
      <w:pPr>
        <w:pStyle w:val="6"/>
        <w:rPr>
          <w:color w:val="000000" w:themeColor="text1"/>
          <w14:textFill>
            <w14:solidFill>
              <w14:schemeClr w14:val="tx1"/>
            </w14:solidFill>
          </w14:textFill>
        </w:rPr>
      </w:pPr>
      <w:r>
        <w:rPr>
          <w:color w:val="000000" w:themeColor="text1"/>
          <w14:textFill>
            <w14:solidFill>
              <w14:schemeClr w14:val="tx1"/>
            </w14:solidFill>
          </w14:textFill>
        </w:rPr>
        <w:t>固体废弃物源强</w:t>
      </w:r>
    </w:p>
    <w:p w14:paraId="561EA7D1">
      <w:pPr>
        <w:ind w:firstLine="470" w:firstLineChars="196"/>
        <w:rPr>
          <w:color w:val="000000" w:themeColor="text1"/>
          <w14:textFill>
            <w14:solidFill>
              <w14:schemeClr w14:val="tx1"/>
            </w14:solidFill>
          </w14:textFill>
        </w:rPr>
      </w:pPr>
      <w:r>
        <w:rPr>
          <w:color w:val="000000" w:themeColor="text1"/>
          <w14:textFill>
            <w14:solidFill>
              <w14:schemeClr w14:val="tx1"/>
            </w14:solidFill>
          </w14:textFill>
        </w:rPr>
        <w:t>1、码头</w:t>
      </w:r>
    </w:p>
    <w:p w14:paraId="3196E749">
      <w:pPr>
        <w:ind w:firstLine="480"/>
        <w:rPr>
          <w:color w:val="000000" w:themeColor="text1"/>
          <w14:textFill>
            <w14:solidFill>
              <w14:schemeClr w14:val="tx1"/>
            </w14:solidFill>
          </w14:textFill>
        </w:rPr>
      </w:pPr>
      <w:r>
        <w:rPr>
          <w:color w:val="000000" w:themeColor="text1"/>
          <w14:textFill>
            <w14:solidFill>
              <w14:schemeClr w14:val="tx1"/>
            </w14:solidFill>
          </w14:textFill>
        </w:rPr>
        <w:t>1）生活垃圾</w:t>
      </w:r>
    </w:p>
    <w:p w14:paraId="4A859574">
      <w:pPr>
        <w:ind w:firstLine="480"/>
        <w:rPr>
          <w:color w:val="000000" w:themeColor="text1"/>
          <w14:textFill>
            <w14:solidFill>
              <w14:schemeClr w14:val="tx1"/>
            </w14:solidFill>
          </w14:textFill>
        </w:rPr>
      </w:pPr>
      <w:r>
        <w:rPr>
          <w:color w:val="000000" w:themeColor="text1"/>
          <w14:textFill>
            <w14:solidFill>
              <w14:schemeClr w14:val="tx1"/>
            </w14:solidFill>
          </w14:textFill>
        </w:rPr>
        <w:t>本</w:t>
      </w:r>
      <w:r>
        <w:rPr>
          <w:rFonts w:hint="eastAsia"/>
          <w:color w:val="000000" w:themeColor="text1"/>
          <w14:textFill>
            <w14:solidFill>
              <w14:schemeClr w14:val="tx1"/>
            </w14:solidFill>
          </w14:textFill>
        </w:rPr>
        <w:t>扩建</w:t>
      </w:r>
      <w:r>
        <w:rPr>
          <w:color w:val="000000" w:themeColor="text1"/>
          <w14:textFill>
            <w14:solidFill>
              <w14:schemeClr w14:val="tx1"/>
            </w14:solidFill>
          </w14:textFill>
        </w:rPr>
        <w:t>项目无新增劳动定员，无新增生活垃圾。</w:t>
      </w:r>
    </w:p>
    <w:p w14:paraId="0FFFD6A1">
      <w:pPr>
        <w:ind w:firstLine="480"/>
        <w:rPr>
          <w:color w:val="000000" w:themeColor="text1"/>
          <w14:textFill>
            <w14:solidFill>
              <w14:schemeClr w14:val="tx1"/>
            </w14:solidFill>
          </w14:textFill>
        </w:rPr>
      </w:pPr>
      <w:r>
        <w:rPr>
          <w:color w:val="000000" w:themeColor="text1"/>
          <w14:textFill>
            <w14:solidFill>
              <w14:schemeClr w14:val="tx1"/>
            </w14:solidFill>
          </w14:textFill>
        </w:rPr>
        <w:t>2）船舶固废</w:t>
      </w:r>
    </w:p>
    <w:p w14:paraId="46CB958B">
      <w:pPr>
        <w:ind w:firstLine="480"/>
        <w:rPr>
          <w:color w:val="000000" w:themeColor="text1"/>
          <w14:textFill>
            <w14:solidFill>
              <w14:schemeClr w14:val="tx1"/>
            </w14:solidFill>
          </w14:textFill>
        </w:rPr>
      </w:pPr>
      <w:r>
        <w:rPr>
          <w:color w:val="000000" w:themeColor="text1"/>
          <w14:textFill>
            <w14:solidFill>
              <w14:schemeClr w14:val="tx1"/>
            </w14:solidFill>
          </w14:textFill>
        </w:rPr>
        <w:t>根据设计代表船型，船员生活垃圾发生量按1.5kg/天•人计算，到港船舶生活垃圾发生量约为90kg/d，年发生量为29.7t/a。维修废弃物年发生量为6.0t/a。</w:t>
      </w:r>
    </w:p>
    <w:p w14:paraId="4607BA7E">
      <w:pPr>
        <w:ind w:firstLine="480"/>
        <w:rPr>
          <w:color w:val="000000" w:themeColor="text1"/>
          <w14:textFill>
            <w14:solidFill>
              <w14:schemeClr w14:val="tx1"/>
            </w14:solidFill>
          </w14:textFill>
        </w:rPr>
      </w:pPr>
      <w:r>
        <w:rPr>
          <w:color w:val="000000" w:themeColor="text1"/>
          <w14:textFill>
            <w14:solidFill>
              <w14:schemeClr w14:val="tx1"/>
            </w14:solidFill>
          </w14:textFill>
        </w:rPr>
        <w:t>来自疫情地区的船舶生活垃圾和保养产生的固体废物由具有相应资质的卫生检验检疫部门对其进行检疫之后按相关规定处理；非疫情地区的船舶垃圾由具有相关资质的单位接收处理。</w:t>
      </w:r>
    </w:p>
    <w:p w14:paraId="30BE519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危险废物</w:t>
      </w:r>
    </w:p>
    <w:p w14:paraId="265F962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新增</w:t>
      </w:r>
      <w:r>
        <w:rPr>
          <w:color w:val="000000" w:themeColor="text1"/>
          <w14:textFill>
            <w14:solidFill>
              <w14:schemeClr w14:val="tx1"/>
            </w14:solidFill>
          </w14:textFill>
        </w:rPr>
        <w:t>管道维修过程中产生的含油或化学品的废布及棉纱属于危险固废，年产生量约0.05t/a，含油废布及棉纱</w:t>
      </w:r>
      <w:r>
        <w:rPr>
          <w:rFonts w:hint="eastAsia" w:cs="宋体"/>
          <w:snapToGrid w:val="0"/>
          <w:color w:val="000000" w:themeColor="text1"/>
          <w:kern w:val="0"/>
          <w:lang w:bidi="ar"/>
          <w14:textFill>
            <w14:solidFill>
              <w14:schemeClr w14:val="tx1"/>
            </w14:solidFill>
          </w14:textFill>
        </w:rPr>
        <w:t>属于《国家危险废物名录》（</w:t>
      </w:r>
      <w:r>
        <w:rPr>
          <w:snapToGrid w:val="0"/>
          <w:color w:val="000000" w:themeColor="text1"/>
          <w:kern w:val="0"/>
          <w:lang w:bidi="ar"/>
          <w14:textFill>
            <w14:solidFill>
              <w14:schemeClr w14:val="tx1"/>
            </w14:solidFill>
          </w14:textFill>
        </w:rPr>
        <w:t>202</w:t>
      </w:r>
      <w:r>
        <w:rPr>
          <w:rFonts w:hint="eastAsia"/>
          <w:snapToGrid w:val="0"/>
          <w:color w:val="000000" w:themeColor="text1"/>
          <w:kern w:val="0"/>
          <w:lang w:bidi="ar"/>
          <w14:textFill>
            <w14:solidFill>
              <w14:schemeClr w14:val="tx1"/>
            </w14:solidFill>
          </w14:textFill>
        </w:rPr>
        <w:t>5</w:t>
      </w:r>
      <w:r>
        <w:rPr>
          <w:rFonts w:hint="eastAsia" w:cs="宋体"/>
          <w:snapToGrid w:val="0"/>
          <w:color w:val="000000" w:themeColor="text1"/>
          <w:kern w:val="0"/>
          <w:lang w:bidi="ar"/>
          <w14:textFill>
            <w14:solidFill>
              <w14:schemeClr w14:val="tx1"/>
            </w14:solidFill>
          </w14:textFill>
        </w:rPr>
        <w:t>年版）</w:t>
      </w:r>
      <w:r>
        <w:rPr>
          <w:rFonts w:hint="eastAsia"/>
          <w:color w:val="000000" w:themeColor="text1"/>
          <w14:textFill>
            <w14:solidFill>
              <w14:schemeClr w14:val="tx1"/>
            </w14:solidFill>
          </w14:textFill>
        </w:rPr>
        <w:t>HW08“废矿物油与含矿物油废物”中“其他生产、销售、使用过程中产生的废矿物油及沾染矿物油的废弃包装物”，废物代码900-249-08。应委托具有相应危废处置资质的单位处理。</w:t>
      </w:r>
    </w:p>
    <w:p w14:paraId="458A07C3">
      <w:pPr>
        <w:ind w:firstLine="480"/>
        <w:rPr>
          <w:color w:val="000000" w:themeColor="text1"/>
          <w14:textFill>
            <w14:solidFill>
              <w14:schemeClr w14:val="tx1"/>
            </w14:solidFill>
          </w14:textFill>
        </w:rPr>
        <w:sectPr>
          <w:headerReference r:id="rId18" w:type="default"/>
          <w:pgSz w:w="11906" w:h="16838"/>
          <w:pgMar w:top="1440" w:right="1800" w:bottom="1440" w:left="1800" w:header="851" w:footer="680" w:gutter="0"/>
          <w:pgBorders>
            <w:top w:val="none" w:sz="0" w:space="0"/>
            <w:left w:val="none" w:sz="0" w:space="0"/>
            <w:bottom w:val="none" w:sz="0" w:space="0"/>
            <w:right w:val="none" w:sz="0" w:space="0"/>
          </w:pgBorders>
          <w:pgNumType w:fmt="numberInDash"/>
          <w:cols w:space="720" w:num="1"/>
          <w:docGrid w:type="lines" w:linePitch="326" w:charSpace="0"/>
        </w:sectPr>
      </w:pPr>
    </w:p>
    <w:p w14:paraId="6868630B">
      <w:pPr>
        <w:pStyle w:val="7"/>
        <w:tabs>
          <w:tab w:val="left" w:pos="2127"/>
          <w:tab w:val="left" w:pos="2411"/>
        </w:tabs>
        <w:rPr>
          <w:color w:val="000000" w:themeColor="text1"/>
          <w14:textFill>
            <w14:solidFill>
              <w14:schemeClr w14:val="tx1"/>
            </w14:solidFill>
          </w14:textFill>
        </w:rPr>
      </w:pPr>
      <w:r>
        <w:rPr>
          <w:color w:val="000000" w:themeColor="text1"/>
          <w14:textFill>
            <w14:solidFill>
              <w14:schemeClr w14:val="tx1"/>
            </w14:solidFill>
          </w14:textFill>
        </w:rPr>
        <w:t xml:space="preserve"> 大气污染源源强核算结果汇总表</w:t>
      </w:r>
    </w:p>
    <w:tbl>
      <w:tblPr>
        <w:tblStyle w:val="43"/>
        <w:tblW w:w="507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83"/>
        <w:gridCol w:w="1017"/>
        <w:gridCol w:w="1261"/>
        <w:gridCol w:w="1586"/>
        <w:gridCol w:w="1035"/>
        <w:gridCol w:w="1060"/>
        <w:gridCol w:w="959"/>
        <w:gridCol w:w="933"/>
        <w:gridCol w:w="1639"/>
        <w:gridCol w:w="1061"/>
        <w:gridCol w:w="963"/>
        <w:gridCol w:w="992"/>
      </w:tblGrid>
      <w:tr w14:paraId="744235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56" w:type="pct"/>
            <w:vMerge w:val="restart"/>
            <w:vAlign w:val="center"/>
          </w:tcPr>
          <w:p w14:paraId="3745D4ED">
            <w:pPr>
              <w:pStyle w:val="70"/>
              <w:rPr>
                <w:b/>
                <w:color w:val="000000" w:themeColor="text1"/>
                <w14:textFill>
                  <w14:solidFill>
                    <w14:schemeClr w14:val="tx1"/>
                  </w14:solidFill>
                </w14:textFill>
              </w:rPr>
            </w:pPr>
            <w:r>
              <w:rPr>
                <w:b/>
                <w:color w:val="000000" w:themeColor="text1"/>
                <w14:textFill>
                  <w14:solidFill>
                    <w14:schemeClr w14:val="tx1"/>
                  </w14:solidFill>
                </w14:textFill>
              </w:rPr>
              <w:t>工序</w:t>
            </w:r>
          </w:p>
        </w:tc>
        <w:tc>
          <w:tcPr>
            <w:tcW w:w="355" w:type="pct"/>
            <w:vMerge w:val="restart"/>
            <w:vAlign w:val="center"/>
          </w:tcPr>
          <w:p w14:paraId="0449DD77">
            <w:pPr>
              <w:pStyle w:val="70"/>
              <w:rPr>
                <w:b/>
                <w:color w:val="000000" w:themeColor="text1"/>
                <w14:textFill>
                  <w14:solidFill>
                    <w14:schemeClr w14:val="tx1"/>
                  </w14:solidFill>
                </w14:textFill>
              </w:rPr>
            </w:pPr>
            <w:r>
              <w:rPr>
                <w:b/>
                <w:color w:val="000000" w:themeColor="text1"/>
                <w14:textFill>
                  <w14:solidFill>
                    <w14:schemeClr w14:val="tx1"/>
                  </w14:solidFill>
                </w14:textFill>
              </w:rPr>
              <w:t>污染源</w:t>
            </w:r>
          </w:p>
        </w:tc>
        <w:tc>
          <w:tcPr>
            <w:tcW w:w="440" w:type="pct"/>
            <w:vMerge w:val="restart"/>
            <w:vAlign w:val="center"/>
          </w:tcPr>
          <w:p w14:paraId="35B6570E">
            <w:pPr>
              <w:pStyle w:val="70"/>
              <w:rPr>
                <w:b/>
                <w:color w:val="000000" w:themeColor="text1"/>
                <w14:textFill>
                  <w14:solidFill>
                    <w14:schemeClr w14:val="tx1"/>
                  </w14:solidFill>
                </w14:textFill>
              </w:rPr>
            </w:pPr>
            <w:r>
              <w:rPr>
                <w:b/>
                <w:color w:val="000000" w:themeColor="text1"/>
                <w14:textFill>
                  <w14:solidFill>
                    <w14:schemeClr w14:val="tx1"/>
                  </w14:solidFill>
                </w14:textFill>
              </w:rPr>
              <w:t>污染物</w:t>
            </w:r>
          </w:p>
        </w:tc>
        <w:tc>
          <w:tcPr>
            <w:tcW w:w="1265" w:type="pct"/>
            <w:gridSpan w:val="3"/>
            <w:vAlign w:val="center"/>
          </w:tcPr>
          <w:p w14:paraId="3F9F1E00">
            <w:pPr>
              <w:pStyle w:val="70"/>
              <w:rPr>
                <w:b/>
                <w:color w:val="000000" w:themeColor="text1"/>
                <w14:textFill>
                  <w14:solidFill>
                    <w14:schemeClr w14:val="tx1"/>
                  </w14:solidFill>
                </w14:textFill>
              </w:rPr>
            </w:pPr>
            <w:r>
              <w:rPr>
                <w:b/>
                <w:color w:val="000000" w:themeColor="text1"/>
                <w14:textFill>
                  <w14:solidFill>
                    <w14:schemeClr w14:val="tx1"/>
                  </w14:solidFill>
                </w14:textFill>
              </w:rPr>
              <w:t>污染物产生</w:t>
            </w:r>
          </w:p>
        </w:tc>
        <w:tc>
          <w:tcPr>
            <w:tcW w:w="661" w:type="pct"/>
            <w:gridSpan w:val="2"/>
            <w:vAlign w:val="center"/>
          </w:tcPr>
          <w:p w14:paraId="61C3D6C5">
            <w:pPr>
              <w:pStyle w:val="70"/>
              <w:rPr>
                <w:b/>
                <w:color w:val="000000" w:themeColor="text1"/>
                <w14:textFill>
                  <w14:solidFill>
                    <w14:schemeClr w14:val="tx1"/>
                  </w14:solidFill>
                </w14:textFill>
              </w:rPr>
            </w:pPr>
            <w:r>
              <w:rPr>
                <w:b/>
                <w:color w:val="000000" w:themeColor="text1"/>
                <w14:textFill>
                  <w14:solidFill>
                    <w14:schemeClr w14:val="tx1"/>
                  </w14:solidFill>
                </w14:textFill>
              </w:rPr>
              <w:t>治理措施</w:t>
            </w:r>
          </w:p>
        </w:tc>
        <w:tc>
          <w:tcPr>
            <w:tcW w:w="1277" w:type="pct"/>
            <w:gridSpan w:val="3"/>
            <w:vAlign w:val="center"/>
          </w:tcPr>
          <w:p w14:paraId="0D53AC83">
            <w:pPr>
              <w:pStyle w:val="70"/>
              <w:rPr>
                <w:b/>
                <w:color w:val="000000" w:themeColor="text1"/>
                <w14:textFill>
                  <w14:solidFill>
                    <w14:schemeClr w14:val="tx1"/>
                  </w14:solidFill>
                </w14:textFill>
              </w:rPr>
            </w:pPr>
            <w:r>
              <w:rPr>
                <w:b/>
                <w:color w:val="000000" w:themeColor="text1"/>
                <w14:textFill>
                  <w14:solidFill>
                    <w14:schemeClr w14:val="tx1"/>
                  </w14:solidFill>
                </w14:textFill>
              </w:rPr>
              <w:t>污染物排放</w:t>
            </w:r>
          </w:p>
        </w:tc>
        <w:tc>
          <w:tcPr>
            <w:tcW w:w="346" w:type="pct"/>
            <w:vMerge w:val="restart"/>
            <w:vAlign w:val="center"/>
          </w:tcPr>
          <w:p w14:paraId="3E861303">
            <w:pPr>
              <w:pStyle w:val="70"/>
              <w:rPr>
                <w:b/>
                <w:color w:val="000000" w:themeColor="text1"/>
                <w14:textFill>
                  <w14:solidFill>
                    <w14:schemeClr w14:val="tx1"/>
                  </w14:solidFill>
                </w14:textFill>
              </w:rPr>
            </w:pPr>
            <w:r>
              <w:rPr>
                <w:b/>
                <w:color w:val="000000" w:themeColor="text1"/>
                <w14:textFill>
                  <w14:solidFill>
                    <w14:schemeClr w14:val="tx1"/>
                  </w14:solidFill>
                </w14:textFill>
              </w:rPr>
              <w:t>排放时间</w:t>
            </w:r>
            <w:r>
              <w:rPr>
                <w:rFonts w:hint="eastAsia"/>
                <w:b/>
                <w:color w:val="000000" w:themeColor="text1"/>
                <w14:textFill>
                  <w14:solidFill>
                    <w14:schemeClr w14:val="tx1"/>
                  </w14:solidFill>
                </w14:textFill>
              </w:rPr>
              <w:t>（h）</w:t>
            </w:r>
          </w:p>
        </w:tc>
      </w:tr>
      <w:tr w14:paraId="395A4D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56" w:type="pct"/>
            <w:vMerge w:val="continue"/>
            <w:vAlign w:val="center"/>
          </w:tcPr>
          <w:p w14:paraId="22B4535C">
            <w:pPr>
              <w:pStyle w:val="70"/>
              <w:rPr>
                <w:b/>
                <w:color w:val="000000" w:themeColor="text1"/>
                <w14:textFill>
                  <w14:solidFill>
                    <w14:schemeClr w14:val="tx1"/>
                  </w14:solidFill>
                </w14:textFill>
              </w:rPr>
            </w:pPr>
          </w:p>
        </w:tc>
        <w:tc>
          <w:tcPr>
            <w:tcW w:w="355" w:type="pct"/>
            <w:vMerge w:val="continue"/>
            <w:vAlign w:val="center"/>
          </w:tcPr>
          <w:p w14:paraId="700FAD39">
            <w:pPr>
              <w:pStyle w:val="70"/>
              <w:rPr>
                <w:b/>
                <w:color w:val="000000" w:themeColor="text1"/>
                <w14:textFill>
                  <w14:solidFill>
                    <w14:schemeClr w14:val="tx1"/>
                  </w14:solidFill>
                </w14:textFill>
              </w:rPr>
            </w:pPr>
          </w:p>
        </w:tc>
        <w:tc>
          <w:tcPr>
            <w:tcW w:w="440" w:type="pct"/>
            <w:vMerge w:val="continue"/>
            <w:vAlign w:val="center"/>
          </w:tcPr>
          <w:p w14:paraId="6FA2A03E">
            <w:pPr>
              <w:pStyle w:val="70"/>
              <w:rPr>
                <w:b/>
                <w:color w:val="000000" w:themeColor="text1"/>
                <w14:textFill>
                  <w14:solidFill>
                    <w14:schemeClr w14:val="tx1"/>
                  </w14:solidFill>
                </w14:textFill>
              </w:rPr>
            </w:pPr>
          </w:p>
        </w:tc>
        <w:tc>
          <w:tcPr>
            <w:tcW w:w="553" w:type="pct"/>
            <w:vAlign w:val="center"/>
          </w:tcPr>
          <w:p w14:paraId="4554B9FA">
            <w:pPr>
              <w:pStyle w:val="70"/>
              <w:rPr>
                <w:b/>
                <w:color w:val="000000" w:themeColor="text1"/>
                <w14:textFill>
                  <w14:solidFill>
                    <w14:schemeClr w14:val="tx1"/>
                  </w14:solidFill>
                </w14:textFill>
              </w:rPr>
            </w:pPr>
            <w:r>
              <w:rPr>
                <w:b/>
                <w:color w:val="000000" w:themeColor="text1"/>
                <w14:textFill>
                  <w14:solidFill>
                    <w14:schemeClr w14:val="tx1"/>
                  </w14:solidFill>
                </w14:textFill>
              </w:rPr>
              <w:t>核算方法</w:t>
            </w:r>
          </w:p>
        </w:tc>
        <w:tc>
          <w:tcPr>
            <w:tcW w:w="342" w:type="pct"/>
            <w:vAlign w:val="center"/>
          </w:tcPr>
          <w:p w14:paraId="5CD24A11">
            <w:pPr>
              <w:pStyle w:val="70"/>
              <w:rPr>
                <w:b/>
                <w:color w:val="000000" w:themeColor="text1"/>
                <w14:textFill>
                  <w14:solidFill>
                    <w14:schemeClr w14:val="tx1"/>
                  </w14:solidFill>
                </w14:textFill>
              </w:rPr>
            </w:pPr>
            <w:r>
              <w:rPr>
                <w:b/>
                <w:color w:val="000000" w:themeColor="text1"/>
                <w14:textFill>
                  <w14:solidFill>
                    <w14:schemeClr w14:val="tx1"/>
                  </w14:solidFill>
                </w14:textFill>
              </w:rPr>
              <w:t>产生速率</w:t>
            </w:r>
          </w:p>
          <w:p w14:paraId="62C58759">
            <w:pPr>
              <w:pStyle w:val="70"/>
              <w:rPr>
                <w:b/>
                <w:color w:val="000000" w:themeColor="text1"/>
                <w14:textFill>
                  <w14:solidFill>
                    <w14:schemeClr w14:val="tx1"/>
                  </w14:solidFill>
                </w14:textFill>
              </w:rPr>
            </w:pPr>
            <w:r>
              <w:rPr>
                <w:b/>
                <w:color w:val="000000" w:themeColor="text1"/>
                <w14:textFill>
                  <w14:solidFill>
                    <w14:schemeClr w14:val="tx1"/>
                  </w14:solidFill>
                </w14:textFill>
              </w:rPr>
              <w:t>（kg/h）</w:t>
            </w:r>
          </w:p>
        </w:tc>
        <w:tc>
          <w:tcPr>
            <w:tcW w:w="370" w:type="pct"/>
            <w:vAlign w:val="center"/>
          </w:tcPr>
          <w:p w14:paraId="23521C54">
            <w:pPr>
              <w:pStyle w:val="70"/>
              <w:rPr>
                <w:b/>
                <w:color w:val="000000" w:themeColor="text1"/>
                <w14:textFill>
                  <w14:solidFill>
                    <w14:schemeClr w14:val="tx1"/>
                  </w14:solidFill>
                </w14:textFill>
              </w:rPr>
            </w:pPr>
            <w:r>
              <w:rPr>
                <w:b/>
                <w:color w:val="000000" w:themeColor="text1"/>
                <w14:textFill>
                  <w14:solidFill>
                    <w14:schemeClr w14:val="tx1"/>
                  </w14:solidFill>
                </w14:textFill>
              </w:rPr>
              <w:t>产生量</w:t>
            </w:r>
          </w:p>
          <w:p w14:paraId="2EAA572C">
            <w:pPr>
              <w:pStyle w:val="70"/>
              <w:rPr>
                <w:b/>
                <w:color w:val="000000" w:themeColor="text1"/>
                <w14:textFill>
                  <w14:solidFill>
                    <w14:schemeClr w14:val="tx1"/>
                  </w14:solidFill>
                </w14:textFill>
              </w:rPr>
            </w:pPr>
            <w:r>
              <w:rPr>
                <w:b/>
                <w:color w:val="000000" w:themeColor="text1"/>
                <w14:textFill>
                  <w14:solidFill>
                    <w14:schemeClr w14:val="tx1"/>
                  </w14:solidFill>
                </w14:textFill>
              </w:rPr>
              <w:t>（t/a）</w:t>
            </w:r>
          </w:p>
        </w:tc>
        <w:tc>
          <w:tcPr>
            <w:tcW w:w="335" w:type="pct"/>
            <w:vAlign w:val="center"/>
          </w:tcPr>
          <w:p w14:paraId="4AC86F20">
            <w:pPr>
              <w:pStyle w:val="70"/>
              <w:rPr>
                <w:b/>
                <w:color w:val="000000" w:themeColor="text1"/>
                <w14:textFill>
                  <w14:solidFill>
                    <w14:schemeClr w14:val="tx1"/>
                  </w14:solidFill>
                </w14:textFill>
              </w:rPr>
            </w:pPr>
            <w:r>
              <w:rPr>
                <w:b/>
                <w:color w:val="000000" w:themeColor="text1"/>
                <w14:textFill>
                  <w14:solidFill>
                    <w14:schemeClr w14:val="tx1"/>
                  </w14:solidFill>
                </w14:textFill>
              </w:rPr>
              <w:t>工艺</w:t>
            </w:r>
          </w:p>
        </w:tc>
        <w:tc>
          <w:tcPr>
            <w:tcW w:w="326" w:type="pct"/>
            <w:vAlign w:val="center"/>
          </w:tcPr>
          <w:p w14:paraId="410B3D5A">
            <w:pPr>
              <w:pStyle w:val="70"/>
              <w:rPr>
                <w:b/>
                <w:color w:val="000000" w:themeColor="text1"/>
                <w14:textFill>
                  <w14:solidFill>
                    <w14:schemeClr w14:val="tx1"/>
                  </w14:solidFill>
                </w14:textFill>
              </w:rPr>
            </w:pPr>
            <w:r>
              <w:rPr>
                <w:b/>
                <w:color w:val="000000" w:themeColor="text1"/>
                <w14:textFill>
                  <w14:solidFill>
                    <w14:schemeClr w14:val="tx1"/>
                  </w14:solidFill>
                </w14:textFill>
              </w:rPr>
              <w:t>效率</w:t>
            </w:r>
          </w:p>
        </w:tc>
        <w:tc>
          <w:tcPr>
            <w:tcW w:w="571" w:type="pct"/>
            <w:vAlign w:val="center"/>
          </w:tcPr>
          <w:p w14:paraId="6B916392">
            <w:pPr>
              <w:pStyle w:val="70"/>
              <w:rPr>
                <w:b/>
                <w:color w:val="000000" w:themeColor="text1"/>
                <w14:textFill>
                  <w14:solidFill>
                    <w14:schemeClr w14:val="tx1"/>
                  </w14:solidFill>
                </w14:textFill>
              </w:rPr>
            </w:pPr>
            <w:r>
              <w:rPr>
                <w:b/>
                <w:color w:val="000000" w:themeColor="text1"/>
                <w14:textFill>
                  <w14:solidFill>
                    <w14:schemeClr w14:val="tx1"/>
                  </w14:solidFill>
                </w14:textFill>
              </w:rPr>
              <w:t>核算方法</w:t>
            </w:r>
          </w:p>
        </w:tc>
        <w:tc>
          <w:tcPr>
            <w:tcW w:w="370" w:type="pct"/>
            <w:vAlign w:val="center"/>
          </w:tcPr>
          <w:p w14:paraId="7E748AE5">
            <w:pPr>
              <w:pStyle w:val="70"/>
              <w:rPr>
                <w:b/>
                <w:color w:val="000000" w:themeColor="text1"/>
                <w14:textFill>
                  <w14:solidFill>
                    <w14:schemeClr w14:val="tx1"/>
                  </w14:solidFill>
                </w14:textFill>
              </w:rPr>
            </w:pPr>
            <w:r>
              <w:rPr>
                <w:b/>
                <w:color w:val="000000" w:themeColor="text1"/>
                <w14:textFill>
                  <w14:solidFill>
                    <w14:schemeClr w14:val="tx1"/>
                  </w14:solidFill>
                </w14:textFill>
              </w:rPr>
              <w:t>排放速率</w:t>
            </w:r>
          </w:p>
          <w:p w14:paraId="7B3A67CE">
            <w:pPr>
              <w:pStyle w:val="70"/>
              <w:rPr>
                <w:b/>
                <w:color w:val="000000" w:themeColor="text1"/>
                <w14:textFill>
                  <w14:solidFill>
                    <w14:schemeClr w14:val="tx1"/>
                  </w14:solidFill>
                </w14:textFill>
              </w:rPr>
            </w:pPr>
            <w:r>
              <w:rPr>
                <w:b/>
                <w:color w:val="000000" w:themeColor="text1"/>
                <w14:textFill>
                  <w14:solidFill>
                    <w14:schemeClr w14:val="tx1"/>
                  </w14:solidFill>
                </w14:textFill>
              </w:rPr>
              <w:t>（kg/h）</w:t>
            </w:r>
          </w:p>
        </w:tc>
        <w:tc>
          <w:tcPr>
            <w:tcW w:w="336" w:type="pct"/>
            <w:vAlign w:val="center"/>
          </w:tcPr>
          <w:p w14:paraId="1B85D4A2">
            <w:pPr>
              <w:pStyle w:val="70"/>
              <w:rPr>
                <w:b/>
                <w:color w:val="000000" w:themeColor="text1"/>
                <w14:textFill>
                  <w14:solidFill>
                    <w14:schemeClr w14:val="tx1"/>
                  </w14:solidFill>
                </w14:textFill>
              </w:rPr>
            </w:pPr>
            <w:r>
              <w:rPr>
                <w:b/>
                <w:color w:val="000000" w:themeColor="text1"/>
                <w14:textFill>
                  <w14:solidFill>
                    <w14:schemeClr w14:val="tx1"/>
                  </w14:solidFill>
                </w14:textFill>
              </w:rPr>
              <w:t>排放量</w:t>
            </w:r>
          </w:p>
          <w:p w14:paraId="3E78F8A4">
            <w:pPr>
              <w:pStyle w:val="70"/>
              <w:rPr>
                <w:b/>
                <w:color w:val="000000" w:themeColor="text1"/>
                <w14:textFill>
                  <w14:solidFill>
                    <w14:schemeClr w14:val="tx1"/>
                  </w14:solidFill>
                </w14:textFill>
              </w:rPr>
            </w:pPr>
            <w:r>
              <w:rPr>
                <w:b/>
                <w:color w:val="000000" w:themeColor="text1"/>
                <w14:textFill>
                  <w14:solidFill>
                    <w14:schemeClr w14:val="tx1"/>
                  </w14:solidFill>
                </w14:textFill>
              </w:rPr>
              <w:t>（t/a）</w:t>
            </w:r>
          </w:p>
        </w:tc>
        <w:tc>
          <w:tcPr>
            <w:tcW w:w="346" w:type="pct"/>
            <w:vMerge w:val="continue"/>
            <w:vAlign w:val="center"/>
          </w:tcPr>
          <w:p w14:paraId="5F535668">
            <w:pPr>
              <w:pStyle w:val="70"/>
              <w:rPr>
                <w:b/>
                <w:color w:val="000000" w:themeColor="text1"/>
                <w14:textFill>
                  <w14:solidFill>
                    <w14:schemeClr w14:val="tx1"/>
                  </w14:solidFill>
                </w14:textFill>
              </w:rPr>
            </w:pPr>
          </w:p>
        </w:tc>
      </w:tr>
      <w:tr w14:paraId="6C8928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56" w:type="pct"/>
            <w:vMerge w:val="restart"/>
            <w:vAlign w:val="center"/>
          </w:tcPr>
          <w:p w14:paraId="3982069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管线密封点溢出废气</w:t>
            </w:r>
          </w:p>
        </w:tc>
        <w:tc>
          <w:tcPr>
            <w:tcW w:w="355" w:type="pct"/>
            <w:vAlign w:val="center"/>
          </w:tcPr>
          <w:p w14:paraId="6622EB5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码头前沿</w:t>
            </w:r>
          </w:p>
        </w:tc>
        <w:tc>
          <w:tcPr>
            <w:tcW w:w="440" w:type="pct"/>
            <w:vAlign w:val="center"/>
          </w:tcPr>
          <w:p w14:paraId="6EF7BF57">
            <w:pPr>
              <w:pStyle w:val="70"/>
              <w:rPr>
                <w:color w:val="000000" w:themeColor="text1"/>
                <w14:textFill>
                  <w14:solidFill>
                    <w14:schemeClr w14:val="tx1"/>
                  </w14:solidFill>
                </w14:textFill>
              </w:rPr>
            </w:pPr>
            <w:r>
              <w:rPr>
                <w:rFonts w:hint="eastAsia"/>
                <w:color w:val="000000" w:themeColor="text1"/>
                <w:w w:val="99"/>
                <w14:textFill>
                  <w14:solidFill>
                    <w14:schemeClr w14:val="tx1"/>
                  </w14:solidFill>
                </w14:textFill>
              </w:rPr>
              <w:t>苯乙烯</w:t>
            </w:r>
          </w:p>
        </w:tc>
        <w:tc>
          <w:tcPr>
            <w:tcW w:w="553" w:type="pct"/>
            <w:vAlign w:val="center"/>
          </w:tcPr>
          <w:p w14:paraId="4EA3606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平均排放系数法</w:t>
            </w:r>
          </w:p>
        </w:tc>
        <w:tc>
          <w:tcPr>
            <w:tcW w:w="342" w:type="pct"/>
            <w:vAlign w:val="center"/>
          </w:tcPr>
          <w:p w14:paraId="19F4E62F">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0.0023</w:t>
            </w:r>
          </w:p>
        </w:tc>
        <w:tc>
          <w:tcPr>
            <w:tcW w:w="370" w:type="pct"/>
            <w:vAlign w:val="center"/>
          </w:tcPr>
          <w:p w14:paraId="60DD9C45">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0.00024</w:t>
            </w:r>
          </w:p>
        </w:tc>
        <w:tc>
          <w:tcPr>
            <w:tcW w:w="335" w:type="pct"/>
            <w:vAlign w:val="center"/>
          </w:tcPr>
          <w:p w14:paraId="60CE8E0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6" w:type="pct"/>
            <w:vAlign w:val="center"/>
          </w:tcPr>
          <w:p w14:paraId="536A897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71" w:type="pct"/>
            <w:vAlign w:val="center"/>
          </w:tcPr>
          <w:p w14:paraId="764663C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平均排放系数法</w:t>
            </w:r>
          </w:p>
        </w:tc>
        <w:tc>
          <w:tcPr>
            <w:tcW w:w="370" w:type="pct"/>
            <w:vAlign w:val="center"/>
          </w:tcPr>
          <w:p w14:paraId="51080B93">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0.0023</w:t>
            </w:r>
          </w:p>
        </w:tc>
        <w:tc>
          <w:tcPr>
            <w:tcW w:w="336" w:type="pct"/>
            <w:vAlign w:val="center"/>
          </w:tcPr>
          <w:p w14:paraId="18D02BC2">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0.00024</w:t>
            </w:r>
          </w:p>
        </w:tc>
        <w:tc>
          <w:tcPr>
            <w:tcW w:w="346" w:type="pct"/>
            <w:vAlign w:val="center"/>
          </w:tcPr>
          <w:p w14:paraId="35F55DBB">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3168</w:t>
            </w:r>
          </w:p>
        </w:tc>
      </w:tr>
      <w:tr w14:paraId="6D3846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56" w:type="pct"/>
            <w:vMerge w:val="continue"/>
            <w:vAlign w:val="center"/>
          </w:tcPr>
          <w:p w14:paraId="1CC1829C">
            <w:pPr>
              <w:pStyle w:val="70"/>
              <w:rPr>
                <w:color w:val="000000" w:themeColor="text1"/>
                <w14:textFill>
                  <w14:solidFill>
                    <w14:schemeClr w14:val="tx1"/>
                  </w14:solidFill>
                </w14:textFill>
              </w:rPr>
            </w:pPr>
          </w:p>
        </w:tc>
        <w:tc>
          <w:tcPr>
            <w:tcW w:w="355" w:type="pct"/>
            <w:vAlign w:val="center"/>
          </w:tcPr>
          <w:p w14:paraId="29F3BD2F">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码头前沿</w:t>
            </w:r>
          </w:p>
        </w:tc>
        <w:tc>
          <w:tcPr>
            <w:tcW w:w="440" w:type="pct"/>
            <w:vAlign w:val="center"/>
          </w:tcPr>
          <w:p w14:paraId="4D38FC47">
            <w:pPr>
              <w:pStyle w:val="70"/>
              <w:rPr>
                <w:color w:val="000000" w:themeColor="text1"/>
                <w14:textFill>
                  <w14:solidFill>
                    <w14:schemeClr w14:val="tx1"/>
                  </w14:solidFill>
                </w14:textFill>
              </w:rPr>
            </w:pPr>
            <w:r>
              <w:rPr>
                <w:rFonts w:hint="eastAsia"/>
                <w:color w:val="000000" w:themeColor="text1"/>
                <w:w w:val="99"/>
                <w14:textFill>
                  <w14:solidFill>
                    <w14:schemeClr w14:val="tx1"/>
                  </w14:solidFill>
                </w14:textFill>
              </w:rPr>
              <w:t>硫酸雾</w:t>
            </w:r>
          </w:p>
        </w:tc>
        <w:tc>
          <w:tcPr>
            <w:tcW w:w="553" w:type="pct"/>
            <w:vAlign w:val="center"/>
          </w:tcPr>
          <w:p w14:paraId="4073D1FC">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平均排放系数法</w:t>
            </w:r>
          </w:p>
        </w:tc>
        <w:tc>
          <w:tcPr>
            <w:tcW w:w="342" w:type="pct"/>
            <w:vAlign w:val="center"/>
          </w:tcPr>
          <w:p w14:paraId="77CA2DC3">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w:t>
            </w:r>
            <w:r>
              <w:rPr>
                <w:rFonts w:eastAsia="等线"/>
                <w:color w:val="000000" w:themeColor="text1"/>
                <w14:textFill>
                  <w14:solidFill>
                    <w14:schemeClr w14:val="tx1"/>
                  </w14:solidFill>
                </w14:textFill>
              </w:rPr>
              <w:t>.0311</w:t>
            </w:r>
          </w:p>
        </w:tc>
        <w:tc>
          <w:tcPr>
            <w:tcW w:w="370" w:type="pct"/>
            <w:vAlign w:val="center"/>
          </w:tcPr>
          <w:p w14:paraId="3E46686F">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w:t>
            </w:r>
            <w:r>
              <w:rPr>
                <w:rFonts w:eastAsia="等线"/>
                <w:color w:val="000000" w:themeColor="text1"/>
                <w14:textFill>
                  <w14:solidFill>
                    <w14:schemeClr w14:val="tx1"/>
                  </w14:solidFill>
                </w14:textFill>
              </w:rPr>
              <w:t>.0011</w:t>
            </w:r>
          </w:p>
        </w:tc>
        <w:tc>
          <w:tcPr>
            <w:tcW w:w="335" w:type="pct"/>
            <w:vAlign w:val="center"/>
          </w:tcPr>
          <w:p w14:paraId="7FAA94E3">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6" w:type="pct"/>
            <w:vAlign w:val="center"/>
          </w:tcPr>
          <w:p w14:paraId="6E82AFA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71" w:type="pct"/>
            <w:vAlign w:val="center"/>
          </w:tcPr>
          <w:p w14:paraId="0B29F4F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平均排放系数法</w:t>
            </w:r>
          </w:p>
        </w:tc>
        <w:tc>
          <w:tcPr>
            <w:tcW w:w="370" w:type="pct"/>
            <w:vAlign w:val="center"/>
          </w:tcPr>
          <w:p w14:paraId="5F34243B">
            <w:pPr>
              <w:pStyle w:val="70"/>
              <w:rPr>
                <w:rFonts w:eastAsia="等线"/>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 xml:space="preserve">0.0003 </w:t>
            </w:r>
          </w:p>
        </w:tc>
        <w:tc>
          <w:tcPr>
            <w:tcW w:w="336" w:type="pct"/>
            <w:vAlign w:val="center"/>
          </w:tcPr>
          <w:p w14:paraId="5571F2BB">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w:t>
            </w:r>
            <w:r>
              <w:rPr>
                <w:rFonts w:eastAsia="等线"/>
                <w:color w:val="000000" w:themeColor="text1"/>
                <w14:textFill>
                  <w14:solidFill>
                    <w14:schemeClr w14:val="tx1"/>
                  </w14:solidFill>
                </w14:textFill>
              </w:rPr>
              <w:t>.0011</w:t>
            </w:r>
          </w:p>
        </w:tc>
        <w:tc>
          <w:tcPr>
            <w:tcW w:w="346" w:type="pct"/>
            <w:vAlign w:val="center"/>
          </w:tcPr>
          <w:p w14:paraId="668DB7E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3168</w:t>
            </w:r>
          </w:p>
        </w:tc>
      </w:tr>
      <w:tr w14:paraId="791721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56" w:type="pct"/>
            <w:vMerge w:val="continue"/>
            <w:vAlign w:val="center"/>
          </w:tcPr>
          <w:p w14:paraId="3D0156AD">
            <w:pPr>
              <w:pStyle w:val="70"/>
              <w:rPr>
                <w:color w:val="000000" w:themeColor="text1"/>
                <w14:textFill>
                  <w14:solidFill>
                    <w14:schemeClr w14:val="tx1"/>
                  </w14:solidFill>
                </w14:textFill>
              </w:rPr>
            </w:pPr>
          </w:p>
        </w:tc>
        <w:tc>
          <w:tcPr>
            <w:tcW w:w="355" w:type="pct"/>
            <w:vAlign w:val="center"/>
          </w:tcPr>
          <w:p w14:paraId="1D081533">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码头前沿</w:t>
            </w:r>
          </w:p>
        </w:tc>
        <w:tc>
          <w:tcPr>
            <w:tcW w:w="440" w:type="pct"/>
            <w:vAlign w:val="center"/>
          </w:tcPr>
          <w:p w14:paraId="2675621A">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VOCs</w:t>
            </w:r>
          </w:p>
          <w:p w14:paraId="759E163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（根据货种及标准统计）</w:t>
            </w:r>
          </w:p>
        </w:tc>
        <w:tc>
          <w:tcPr>
            <w:tcW w:w="553" w:type="pct"/>
            <w:vAlign w:val="center"/>
          </w:tcPr>
          <w:p w14:paraId="14A113DF">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平均排放系数法</w:t>
            </w:r>
          </w:p>
        </w:tc>
        <w:tc>
          <w:tcPr>
            <w:tcW w:w="342" w:type="pct"/>
            <w:vAlign w:val="center"/>
          </w:tcPr>
          <w:p w14:paraId="54EEBDA8">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w:t>
            </w:r>
            <w:r>
              <w:rPr>
                <w:rFonts w:eastAsia="等线"/>
                <w:color w:val="000000" w:themeColor="text1"/>
                <w14:textFill>
                  <w14:solidFill>
                    <w14:schemeClr w14:val="tx1"/>
                  </w14:solidFill>
                </w14:textFill>
              </w:rPr>
              <w:t>.0293</w:t>
            </w:r>
          </w:p>
        </w:tc>
        <w:tc>
          <w:tcPr>
            <w:tcW w:w="370" w:type="pct"/>
            <w:vAlign w:val="center"/>
          </w:tcPr>
          <w:p w14:paraId="1EE85468">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w:t>
            </w:r>
            <w:r>
              <w:rPr>
                <w:rFonts w:eastAsia="等线"/>
                <w:color w:val="000000" w:themeColor="text1"/>
                <w14:textFill>
                  <w14:solidFill>
                    <w14:schemeClr w14:val="tx1"/>
                  </w14:solidFill>
                </w14:textFill>
              </w:rPr>
              <w:t>.0141</w:t>
            </w:r>
          </w:p>
        </w:tc>
        <w:tc>
          <w:tcPr>
            <w:tcW w:w="335" w:type="pct"/>
            <w:vAlign w:val="center"/>
          </w:tcPr>
          <w:p w14:paraId="057C6F81">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6" w:type="pct"/>
            <w:vAlign w:val="center"/>
          </w:tcPr>
          <w:p w14:paraId="5E80CF3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71" w:type="pct"/>
            <w:vAlign w:val="center"/>
          </w:tcPr>
          <w:p w14:paraId="37CB3D6B">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平均排放系数法</w:t>
            </w:r>
          </w:p>
        </w:tc>
        <w:tc>
          <w:tcPr>
            <w:tcW w:w="370" w:type="pct"/>
            <w:vAlign w:val="center"/>
          </w:tcPr>
          <w:p w14:paraId="3D77B2CF">
            <w:pPr>
              <w:pStyle w:val="70"/>
              <w:rPr>
                <w:rFonts w:eastAsia="等线"/>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 xml:space="preserve">0.0045 </w:t>
            </w:r>
          </w:p>
        </w:tc>
        <w:tc>
          <w:tcPr>
            <w:tcW w:w="336" w:type="pct"/>
            <w:vAlign w:val="center"/>
          </w:tcPr>
          <w:p w14:paraId="57F5A6D6">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w:t>
            </w:r>
            <w:r>
              <w:rPr>
                <w:rFonts w:eastAsia="等线"/>
                <w:color w:val="000000" w:themeColor="text1"/>
                <w14:textFill>
                  <w14:solidFill>
                    <w14:schemeClr w14:val="tx1"/>
                  </w14:solidFill>
                </w14:textFill>
              </w:rPr>
              <w:t>.0141</w:t>
            </w:r>
          </w:p>
        </w:tc>
        <w:tc>
          <w:tcPr>
            <w:tcW w:w="346" w:type="pct"/>
            <w:vAlign w:val="center"/>
          </w:tcPr>
          <w:p w14:paraId="3AFAE1D1">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3168</w:t>
            </w:r>
          </w:p>
        </w:tc>
      </w:tr>
      <w:tr w14:paraId="671CDC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56" w:type="pct"/>
            <w:vMerge w:val="restart"/>
            <w:vAlign w:val="center"/>
          </w:tcPr>
          <w:p w14:paraId="14221C1F">
            <w:pPr>
              <w:pStyle w:val="70"/>
              <w:rPr>
                <w:color w:val="000000" w:themeColor="text1"/>
                <w14:textFill>
                  <w14:solidFill>
                    <w14:schemeClr w14:val="tx1"/>
                  </w14:solidFill>
                </w14:textFill>
              </w:rPr>
            </w:pPr>
            <w:r>
              <w:rPr>
                <w:color w:val="000000" w:themeColor="text1"/>
                <w14:textFill>
                  <w14:solidFill>
                    <w14:schemeClr w14:val="tx1"/>
                  </w14:solidFill>
                </w14:textFill>
              </w:rPr>
              <w:t>船舶废气</w:t>
            </w:r>
          </w:p>
        </w:tc>
        <w:tc>
          <w:tcPr>
            <w:tcW w:w="355" w:type="pct"/>
            <w:vMerge w:val="restart"/>
            <w:vAlign w:val="center"/>
          </w:tcPr>
          <w:p w14:paraId="4302EF70">
            <w:pPr>
              <w:pStyle w:val="70"/>
              <w:rPr>
                <w:color w:val="000000" w:themeColor="text1"/>
                <w14:textFill>
                  <w14:solidFill>
                    <w14:schemeClr w14:val="tx1"/>
                  </w14:solidFill>
                </w14:textFill>
              </w:rPr>
            </w:pPr>
            <w:r>
              <w:rPr>
                <w:color w:val="000000" w:themeColor="text1"/>
                <w14:textFill>
                  <w14:solidFill>
                    <w14:schemeClr w14:val="tx1"/>
                  </w14:solidFill>
                </w14:textFill>
              </w:rPr>
              <w:t>码头前沿</w:t>
            </w:r>
          </w:p>
        </w:tc>
        <w:tc>
          <w:tcPr>
            <w:tcW w:w="440" w:type="pct"/>
            <w:vAlign w:val="center"/>
          </w:tcPr>
          <w:p w14:paraId="05FDA890">
            <w:pPr>
              <w:pStyle w:val="70"/>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p>
        </w:tc>
        <w:tc>
          <w:tcPr>
            <w:tcW w:w="553" w:type="pct"/>
            <w:vAlign w:val="center"/>
          </w:tcPr>
          <w:p w14:paraId="004AB1A1">
            <w:pPr>
              <w:pStyle w:val="70"/>
              <w:rPr>
                <w:color w:val="000000" w:themeColor="text1"/>
                <w14:textFill>
                  <w14:solidFill>
                    <w14:schemeClr w14:val="tx1"/>
                  </w14:solidFill>
                </w14:textFill>
              </w:rPr>
            </w:pPr>
            <w:r>
              <w:rPr>
                <w:color w:val="000000" w:themeColor="text1"/>
                <w14:textFill>
                  <w14:solidFill>
                    <w14:schemeClr w14:val="tx1"/>
                  </w14:solidFill>
                </w14:textFill>
              </w:rPr>
              <w:t>产污系数法</w:t>
            </w:r>
          </w:p>
        </w:tc>
        <w:tc>
          <w:tcPr>
            <w:tcW w:w="342" w:type="pct"/>
            <w:vAlign w:val="center"/>
          </w:tcPr>
          <w:p w14:paraId="5D8E140D">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370" w:type="pct"/>
            <w:vAlign w:val="center"/>
          </w:tcPr>
          <w:p w14:paraId="58C3C4E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0.672</w:t>
            </w:r>
          </w:p>
        </w:tc>
        <w:tc>
          <w:tcPr>
            <w:tcW w:w="335" w:type="pct"/>
            <w:vAlign w:val="center"/>
          </w:tcPr>
          <w:p w14:paraId="6B409A9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6" w:type="pct"/>
            <w:vAlign w:val="center"/>
          </w:tcPr>
          <w:p w14:paraId="7149C081">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571" w:type="pct"/>
            <w:vAlign w:val="center"/>
          </w:tcPr>
          <w:p w14:paraId="54FDF141">
            <w:pPr>
              <w:pStyle w:val="70"/>
              <w:rPr>
                <w:color w:val="000000" w:themeColor="text1"/>
                <w14:textFill>
                  <w14:solidFill>
                    <w14:schemeClr w14:val="tx1"/>
                  </w14:solidFill>
                </w14:textFill>
              </w:rPr>
            </w:pPr>
            <w:r>
              <w:rPr>
                <w:color w:val="000000" w:themeColor="text1"/>
                <w14:textFill>
                  <w14:solidFill>
                    <w14:schemeClr w14:val="tx1"/>
                  </w14:solidFill>
                </w14:textFill>
              </w:rPr>
              <w:t>产污系数法</w:t>
            </w:r>
          </w:p>
        </w:tc>
        <w:tc>
          <w:tcPr>
            <w:tcW w:w="370" w:type="pct"/>
            <w:vAlign w:val="center"/>
          </w:tcPr>
          <w:p w14:paraId="337BB700">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336" w:type="pct"/>
            <w:vAlign w:val="center"/>
          </w:tcPr>
          <w:p w14:paraId="7594A85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0.672</w:t>
            </w:r>
          </w:p>
        </w:tc>
        <w:tc>
          <w:tcPr>
            <w:tcW w:w="346" w:type="pct"/>
            <w:vAlign w:val="center"/>
          </w:tcPr>
          <w:p w14:paraId="4C9D6C3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3168</w:t>
            </w:r>
          </w:p>
        </w:tc>
      </w:tr>
      <w:tr w14:paraId="063E00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56" w:type="pct"/>
            <w:vMerge w:val="continue"/>
            <w:vAlign w:val="center"/>
          </w:tcPr>
          <w:p w14:paraId="6AB57C7A">
            <w:pPr>
              <w:pStyle w:val="70"/>
              <w:rPr>
                <w:color w:val="000000" w:themeColor="text1"/>
                <w14:textFill>
                  <w14:solidFill>
                    <w14:schemeClr w14:val="tx1"/>
                  </w14:solidFill>
                </w14:textFill>
              </w:rPr>
            </w:pPr>
          </w:p>
        </w:tc>
        <w:tc>
          <w:tcPr>
            <w:tcW w:w="355" w:type="pct"/>
            <w:vMerge w:val="continue"/>
            <w:vAlign w:val="center"/>
          </w:tcPr>
          <w:p w14:paraId="2A038746">
            <w:pPr>
              <w:pStyle w:val="70"/>
              <w:rPr>
                <w:color w:val="000000" w:themeColor="text1"/>
                <w14:textFill>
                  <w14:solidFill>
                    <w14:schemeClr w14:val="tx1"/>
                  </w14:solidFill>
                </w14:textFill>
              </w:rPr>
            </w:pPr>
          </w:p>
        </w:tc>
        <w:tc>
          <w:tcPr>
            <w:tcW w:w="440" w:type="pct"/>
            <w:vAlign w:val="center"/>
          </w:tcPr>
          <w:p w14:paraId="6E32AEC5">
            <w:pPr>
              <w:pStyle w:val="70"/>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X</w:t>
            </w:r>
          </w:p>
        </w:tc>
        <w:tc>
          <w:tcPr>
            <w:tcW w:w="553" w:type="pct"/>
            <w:vAlign w:val="center"/>
          </w:tcPr>
          <w:p w14:paraId="60C72468">
            <w:pPr>
              <w:pStyle w:val="70"/>
              <w:rPr>
                <w:color w:val="000000" w:themeColor="text1"/>
                <w14:textFill>
                  <w14:solidFill>
                    <w14:schemeClr w14:val="tx1"/>
                  </w14:solidFill>
                </w14:textFill>
              </w:rPr>
            </w:pPr>
            <w:r>
              <w:rPr>
                <w:color w:val="000000" w:themeColor="text1"/>
                <w14:textFill>
                  <w14:solidFill>
                    <w14:schemeClr w14:val="tx1"/>
                  </w14:solidFill>
                </w14:textFill>
              </w:rPr>
              <w:t>产污系数法</w:t>
            </w:r>
          </w:p>
        </w:tc>
        <w:tc>
          <w:tcPr>
            <w:tcW w:w="342" w:type="pct"/>
            <w:vAlign w:val="center"/>
          </w:tcPr>
          <w:p w14:paraId="240CAAAF">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370" w:type="pct"/>
            <w:vAlign w:val="center"/>
          </w:tcPr>
          <w:p w14:paraId="3FC8DA5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2.215</w:t>
            </w:r>
          </w:p>
        </w:tc>
        <w:tc>
          <w:tcPr>
            <w:tcW w:w="335" w:type="pct"/>
            <w:vAlign w:val="center"/>
          </w:tcPr>
          <w:p w14:paraId="02B35E2D">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326" w:type="pct"/>
            <w:vAlign w:val="center"/>
          </w:tcPr>
          <w:p w14:paraId="720F7E12">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571" w:type="pct"/>
            <w:vAlign w:val="center"/>
          </w:tcPr>
          <w:p w14:paraId="293BB494">
            <w:pPr>
              <w:pStyle w:val="70"/>
              <w:rPr>
                <w:color w:val="000000" w:themeColor="text1"/>
                <w14:textFill>
                  <w14:solidFill>
                    <w14:schemeClr w14:val="tx1"/>
                  </w14:solidFill>
                </w14:textFill>
              </w:rPr>
            </w:pPr>
            <w:r>
              <w:rPr>
                <w:color w:val="000000" w:themeColor="text1"/>
                <w14:textFill>
                  <w14:solidFill>
                    <w14:schemeClr w14:val="tx1"/>
                  </w14:solidFill>
                </w14:textFill>
              </w:rPr>
              <w:t>产污系数法</w:t>
            </w:r>
          </w:p>
        </w:tc>
        <w:tc>
          <w:tcPr>
            <w:tcW w:w="370" w:type="pct"/>
            <w:vAlign w:val="center"/>
          </w:tcPr>
          <w:p w14:paraId="1948ECF1">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336" w:type="pct"/>
            <w:vAlign w:val="center"/>
          </w:tcPr>
          <w:p w14:paraId="001EF68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2.215</w:t>
            </w:r>
          </w:p>
        </w:tc>
        <w:tc>
          <w:tcPr>
            <w:tcW w:w="346" w:type="pct"/>
            <w:vAlign w:val="center"/>
          </w:tcPr>
          <w:p w14:paraId="6C659E73">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3168</w:t>
            </w:r>
          </w:p>
        </w:tc>
      </w:tr>
    </w:tbl>
    <w:p w14:paraId="5F2C39E6">
      <w:pPr>
        <w:pStyle w:val="7"/>
        <w:tabs>
          <w:tab w:val="left" w:pos="2127"/>
          <w:tab w:val="left" w:pos="2411"/>
        </w:tabs>
        <w:rPr>
          <w:b w:val="0"/>
          <w:bCs w:val="0"/>
          <w:color w:val="000000" w:themeColor="text1"/>
          <w14:textFill>
            <w14:solidFill>
              <w14:schemeClr w14:val="tx1"/>
            </w14:solidFill>
          </w14:textFill>
        </w:rPr>
      </w:pPr>
      <w:r>
        <w:rPr>
          <w:color w:val="000000" w:themeColor="text1"/>
          <w14:textFill>
            <w14:solidFill>
              <w14:schemeClr w14:val="tx1"/>
            </w14:solidFill>
          </w14:textFill>
        </w:rPr>
        <w:br w:type="page"/>
      </w:r>
      <w:r>
        <w:rPr>
          <w:color w:val="000000" w:themeColor="text1"/>
          <w14:textFill>
            <w14:solidFill>
              <w14:schemeClr w14:val="tx1"/>
            </w14:solidFill>
          </w14:textFill>
        </w:rPr>
        <w:t xml:space="preserve"> 水污染源源强核算结果汇总表</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63"/>
        <w:gridCol w:w="1031"/>
        <w:gridCol w:w="784"/>
        <w:gridCol w:w="1295"/>
        <w:gridCol w:w="1232"/>
        <w:gridCol w:w="3954"/>
        <w:gridCol w:w="848"/>
        <w:gridCol w:w="821"/>
        <w:gridCol w:w="1212"/>
        <w:gridCol w:w="8"/>
        <w:gridCol w:w="1326"/>
      </w:tblGrid>
      <w:tr w14:paraId="352E0F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2" w:hRule="atLeast"/>
          <w:tblHeader/>
          <w:jc w:val="center"/>
        </w:trPr>
        <w:tc>
          <w:tcPr>
            <w:tcW w:w="588" w:type="pct"/>
            <w:vMerge w:val="restart"/>
            <w:vAlign w:val="center"/>
          </w:tcPr>
          <w:p w14:paraId="3F6614DE">
            <w:pPr>
              <w:pStyle w:val="70"/>
              <w:rPr>
                <w:b/>
                <w:color w:val="000000" w:themeColor="text1"/>
                <w14:textFill>
                  <w14:solidFill>
                    <w14:schemeClr w14:val="tx1"/>
                  </w14:solidFill>
                </w14:textFill>
              </w:rPr>
            </w:pPr>
            <w:r>
              <w:rPr>
                <w:b/>
                <w:color w:val="000000" w:themeColor="text1"/>
                <w14:textFill>
                  <w14:solidFill>
                    <w14:schemeClr w14:val="tx1"/>
                  </w14:solidFill>
                </w14:textFill>
              </w:rPr>
              <w:t>污染源</w:t>
            </w:r>
          </w:p>
        </w:tc>
        <w:tc>
          <w:tcPr>
            <w:tcW w:w="365" w:type="pct"/>
            <w:vMerge w:val="restart"/>
            <w:vAlign w:val="center"/>
          </w:tcPr>
          <w:p w14:paraId="4D3CFE76">
            <w:pPr>
              <w:pStyle w:val="70"/>
              <w:rPr>
                <w:b/>
                <w:color w:val="000000" w:themeColor="text1"/>
                <w14:textFill>
                  <w14:solidFill>
                    <w14:schemeClr w14:val="tx1"/>
                  </w14:solidFill>
                </w14:textFill>
              </w:rPr>
            </w:pPr>
            <w:r>
              <w:rPr>
                <w:b/>
                <w:color w:val="000000" w:themeColor="text1"/>
                <w14:textFill>
                  <w14:solidFill>
                    <w14:schemeClr w14:val="tx1"/>
                  </w14:solidFill>
                </w14:textFill>
              </w:rPr>
              <w:t>污染物</w:t>
            </w:r>
          </w:p>
        </w:tc>
        <w:tc>
          <w:tcPr>
            <w:tcW w:w="1172" w:type="pct"/>
            <w:gridSpan w:val="3"/>
            <w:vAlign w:val="center"/>
          </w:tcPr>
          <w:p w14:paraId="742BFFC5">
            <w:pPr>
              <w:pStyle w:val="70"/>
              <w:rPr>
                <w:b/>
                <w:color w:val="000000" w:themeColor="text1"/>
                <w14:textFill>
                  <w14:solidFill>
                    <w14:schemeClr w14:val="tx1"/>
                  </w14:solidFill>
                </w14:textFill>
              </w:rPr>
            </w:pPr>
            <w:r>
              <w:rPr>
                <w:b/>
                <w:color w:val="000000" w:themeColor="text1"/>
                <w14:textFill>
                  <w14:solidFill>
                    <w14:schemeClr w14:val="tx1"/>
                  </w14:solidFill>
                </w14:textFill>
              </w:rPr>
              <w:t>污染物产生</w:t>
            </w:r>
          </w:p>
        </w:tc>
        <w:tc>
          <w:tcPr>
            <w:tcW w:w="1681" w:type="pct"/>
            <w:gridSpan w:val="2"/>
            <w:vAlign w:val="center"/>
          </w:tcPr>
          <w:p w14:paraId="7E6C38EB">
            <w:pPr>
              <w:pStyle w:val="70"/>
              <w:rPr>
                <w:b/>
                <w:color w:val="000000" w:themeColor="text1"/>
                <w14:textFill>
                  <w14:solidFill>
                    <w14:schemeClr w14:val="tx1"/>
                  </w14:solidFill>
                </w14:textFill>
              </w:rPr>
            </w:pPr>
            <w:r>
              <w:rPr>
                <w:b/>
                <w:color w:val="000000" w:themeColor="text1"/>
                <w14:textFill>
                  <w14:solidFill>
                    <w14:schemeClr w14:val="tx1"/>
                  </w14:solidFill>
                </w14:textFill>
              </w:rPr>
              <w:t>治理措施</w:t>
            </w:r>
          </w:p>
        </w:tc>
        <w:tc>
          <w:tcPr>
            <w:tcW w:w="1193" w:type="pct"/>
            <w:gridSpan w:val="4"/>
            <w:vAlign w:val="center"/>
          </w:tcPr>
          <w:p w14:paraId="089C034F">
            <w:pPr>
              <w:pStyle w:val="70"/>
              <w:rPr>
                <w:b/>
                <w:color w:val="000000" w:themeColor="text1"/>
                <w14:textFill>
                  <w14:solidFill>
                    <w14:schemeClr w14:val="tx1"/>
                  </w14:solidFill>
                </w14:textFill>
              </w:rPr>
            </w:pPr>
            <w:r>
              <w:rPr>
                <w:b/>
                <w:color w:val="000000" w:themeColor="text1"/>
                <w14:textFill>
                  <w14:solidFill>
                    <w14:schemeClr w14:val="tx1"/>
                  </w14:solidFill>
                </w14:textFill>
              </w:rPr>
              <w:t>污染物排放</w:t>
            </w:r>
          </w:p>
        </w:tc>
      </w:tr>
      <w:tr w14:paraId="0BA88B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8" w:hRule="atLeast"/>
          <w:tblHeader/>
          <w:jc w:val="center"/>
        </w:trPr>
        <w:tc>
          <w:tcPr>
            <w:tcW w:w="588" w:type="pct"/>
            <w:vMerge w:val="continue"/>
            <w:vAlign w:val="center"/>
          </w:tcPr>
          <w:p w14:paraId="7FF8441F">
            <w:pPr>
              <w:pStyle w:val="70"/>
              <w:rPr>
                <w:b/>
                <w:color w:val="000000" w:themeColor="text1"/>
                <w14:textFill>
                  <w14:solidFill>
                    <w14:schemeClr w14:val="tx1"/>
                  </w14:solidFill>
                </w14:textFill>
              </w:rPr>
            </w:pPr>
          </w:p>
        </w:tc>
        <w:tc>
          <w:tcPr>
            <w:tcW w:w="365" w:type="pct"/>
            <w:vMerge w:val="continue"/>
            <w:vAlign w:val="center"/>
          </w:tcPr>
          <w:p w14:paraId="2168BB10">
            <w:pPr>
              <w:pStyle w:val="70"/>
              <w:rPr>
                <w:b/>
                <w:color w:val="000000" w:themeColor="text1"/>
                <w14:textFill>
                  <w14:solidFill>
                    <w14:schemeClr w14:val="tx1"/>
                  </w14:solidFill>
                </w14:textFill>
              </w:rPr>
            </w:pPr>
          </w:p>
        </w:tc>
        <w:tc>
          <w:tcPr>
            <w:tcW w:w="278" w:type="pct"/>
            <w:vAlign w:val="center"/>
          </w:tcPr>
          <w:p w14:paraId="45F688D5">
            <w:pPr>
              <w:pStyle w:val="70"/>
              <w:rPr>
                <w:b/>
                <w:color w:val="000000" w:themeColor="text1"/>
                <w14:textFill>
                  <w14:solidFill>
                    <w14:schemeClr w14:val="tx1"/>
                  </w14:solidFill>
                </w14:textFill>
              </w:rPr>
            </w:pPr>
            <w:r>
              <w:rPr>
                <w:b/>
                <w:color w:val="000000" w:themeColor="text1"/>
                <w14:textFill>
                  <w14:solidFill>
                    <w14:schemeClr w14:val="tx1"/>
                  </w14:solidFill>
                </w14:textFill>
              </w:rPr>
              <w:t>核算</w:t>
            </w:r>
          </w:p>
          <w:p w14:paraId="01CA1A63">
            <w:pPr>
              <w:pStyle w:val="70"/>
              <w:rPr>
                <w:b/>
                <w:color w:val="000000" w:themeColor="text1"/>
                <w14:textFill>
                  <w14:solidFill>
                    <w14:schemeClr w14:val="tx1"/>
                  </w14:solidFill>
                </w14:textFill>
              </w:rPr>
            </w:pPr>
            <w:r>
              <w:rPr>
                <w:b/>
                <w:color w:val="000000" w:themeColor="text1"/>
                <w14:textFill>
                  <w14:solidFill>
                    <w14:schemeClr w14:val="tx1"/>
                  </w14:solidFill>
                </w14:textFill>
              </w:rPr>
              <w:t>方法</w:t>
            </w:r>
          </w:p>
        </w:tc>
        <w:tc>
          <w:tcPr>
            <w:tcW w:w="458" w:type="pct"/>
            <w:vAlign w:val="center"/>
          </w:tcPr>
          <w:p w14:paraId="7652244A">
            <w:pPr>
              <w:pStyle w:val="70"/>
              <w:rPr>
                <w:b/>
                <w:color w:val="000000" w:themeColor="text1"/>
                <w14:textFill>
                  <w14:solidFill>
                    <w14:schemeClr w14:val="tx1"/>
                  </w14:solidFill>
                </w14:textFill>
              </w:rPr>
            </w:pPr>
            <w:r>
              <w:rPr>
                <w:b/>
                <w:color w:val="000000" w:themeColor="text1"/>
                <w14:textFill>
                  <w14:solidFill>
                    <w14:schemeClr w14:val="tx1"/>
                  </w14:solidFill>
                </w14:textFill>
              </w:rPr>
              <w:t>产生浓度</w:t>
            </w:r>
          </w:p>
          <w:p w14:paraId="43A82E8F">
            <w:pPr>
              <w:pStyle w:val="70"/>
              <w:rPr>
                <w:b/>
                <w:color w:val="000000" w:themeColor="text1"/>
                <w14:textFill>
                  <w14:solidFill>
                    <w14:schemeClr w14:val="tx1"/>
                  </w14:solidFill>
                </w14:textFill>
              </w:rPr>
            </w:pPr>
            <w:r>
              <w:rPr>
                <w:b/>
                <w:color w:val="000000" w:themeColor="text1"/>
                <w14:textFill>
                  <w14:solidFill>
                    <w14:schemeClr w14:val="tx1"/>
                  </w14:solidFill>
                </w14:textFill>
              </w:rPr>
              <w:t>（mg/L）</w:t>
            </w:r>
          </w:p>
        </w:tc>
        <w:tc>
          <w:tcPr>
            <w:tcW w:w="435" w:type="pct"/>
            <w:vAlign w:val="center"/>
          </w:tcPr>
          <w:p w14:paraId="42FCB0AA">
            <w:pPr>
              <w:pStyle w:val="70"/>
              <w:rPr>
                <w:b/>
                <w:color w:val="000000" w:themeColor="text1"/>
                <w14:textFill>
                  <w14:solidFill>
                    <w14:schemeClr w14:val="tx1"/>
                  </w14:solidFill>
                </w14:textFill>
              </w:rPr>
            </w:pPr>
            <w:r>
              <w:rPr>
                <w:b/>
                <w:color w:val="000000" w:themeColor="text1"/>
                <w14:textFill>
                  <w14:solidFill>
                    <w14:schemeClr w14:val="tx1"/>
                  </w14:solidFill>
                </w14:textFill>
              </w:rPr>
              <w:t>产生量</w:t>
            </w:r>
          </w:p>
          <w:p w14:paraId="3531DB6D">
            <w:pPr>
              <w:pStyle w:val="70"/>
              <w:rPr>
                <w:b/>
                <w:color w:val="000000" w:themeColor="text1"/>
                <w14:textFill>
                  <w14:solidFill>
                    <w14:schemeClr w14:val="tx1"/>
                  </w14:solidFill>
                </w14:textFill>
              </w:rPr>
            </w:pPr>
            <w:r>
              <w:rPr>
                <w:b/>
                <w:color w:val="000000" w:themeColor="text1"/>
                <w14:textFill>
                  <w14:solidFill>
                    <w14:schemeClr w14:val="tx1"/>
                  </w14:solidFill>
                </w14:textFill>
              </w:rPr>
              <w:t>（t/a）</w:t>
            </w:r>
          </w:p>
        </w:tc>
        <w:tc>
          <w:tcPr>
            <w:tcW w:w="1396" w:type="pct"/>
            <w:vAlign w:val="center"/>
          </w:tcPr>
          <w:p w14:paraId="5F479E71">
            <w:pPr>
              <w:pStyle w:val="70"/>
              <w:rPr>
                <w:b/>
                <w:color w:val="000000" w:themeColor="text1"/>
                <w14:textFill>
                  <w14:solidFill>
                    <w14:schemeClr w14:val="tx1"/>
                  </w14:solidFill>
                </w14:textFill>
              </w:rPr>
            </w:pPr>
            <w:r>
              <w:rPr>
                <w:b/>
                <w:color w:val="000000" w:themeColor="text1"/>
                <w14:textFill>
                  <w14:solidFill>
                    <w14:schemeClr w14:val="tx1"/>
                  </w14:solidFill>
                </w14:textFill>
              </w:rPr>
              <w:t>工艺/去向</w:t>
            </w:r>
          </w:p>
        </w:tc>
        <w:tc>
          <w:tcPr>
            <w:tcW w:w="285" w:type="pct"/>
            <w:vAlign w:val="center"/>
          </w:tcPr>
          <w:p w14:paraId="38FD7B9D">
            <w:pPr>
              <w:pStyle w:val="70"/>
              <w:rPr>
                <w:b/>
                <w:color w:val="000000" w:themeColor="text1"/>
                <w14:textFill>
                  <w14:solidFill>
                    <w14:schemeClr w14:val="tx1"/>
                  </w14:solidFill>
                </w14:textFill>
              </w:rPr>
            </w:pPr>
            <w:r>
              <w:rPr>
                <w:b/>
                <w:color w:val="000000" w:themeColor="text1"/>
                <w14:textFill>
                  <w14:solidFill>
                    <w14:schemeClr w14:val="tx1"/>
                  </w14:solidFill>
                </w14:textFill>
              </w:rPr>
              <w:t>效率（%）</w:t>
            </w:r>
          </w:p>
        </w:tc>
        <w:tc>
          <w:tcPr>
            <w:tcW w:w="291" w:type="pct"/>
            <w:vAlign w:val="center"/>
          </w:tcPr>
          <w:p w14:paraId="137EE624">
            <w:pPr>
              <w:pStyle w:val="70"/>
              <w:rPr>
                <w:b/>
                <w:color w:val="000000" w:themeColor="text1"/>
                <w14:textFill>
                  <w14:solidFill>
                    <w14:schemeClr w14:val="tx1"/>
                  </w14:solidFill>
                </w14:textFill>
              </w:rPr>
            </w:pPr>
            <w:r>
              <w:rPr>
                <w:b/>
                <w:color w:val="000000" w:themeColor="text1"/>
                <w14:textFill>
                  <w14:solidFill>
                    <w14:schemeClr w14:val="tx1"/>
                  </w14:solidFill>
                </w14:textFill>
              </w:rPr>
              <w:t>核算方法</w:t>
            </w:r>
          </w:p>
        </w:tc>
        <w:tc>
          <w:tcPr>
            <w:tcW w:w="432" w:type="pct"/>
            <w:gridSpan w:val="2"/>
            <w:vAlign w:val="center"/>
          </w:tcPr>
          <w:p w14:paraId="0D8953E1">
            <w:pPr>
              <w:pStyle w:val="70"/>
              <w:rPr>
                <w:b/>
                <w:color w:val="000000" w:themeColor="text1"/>
                <w14:textFill>
                  <w14:solidFill>
                    <w14:schemeClr w14:val="tx1"/>
                  </w14:solidFill>
                </w14:textFill>
              </w:rPr>
            </w:pPr>
            <w:r>
              <w:rPr>
                <w:b/>
                <w:color w:val="000000" w:themeColor="text1"/>
                <w14:textFill>
                  <w14:solidFill>
                    <w14:schemeClr w14:val="tx1"/>
                  </w14:solidFill>
                </w14:textFill>
              </w:rPr>
              <w:t>排放浓度（mg/L）</w:t>
            </w:r>
          </w:p>
        </w:tc>
        <w:tc>
          <w:tcPr>
            <w:tcW w:w="470" w:type="pct"/>
            <w:vAlign w:val="center"/>
          </w:tcPr>
          <w:p w14:paraId="33B74A45">
            <w:pPr>
              <w:pStyle w:val="70"/>
              <w:rPr>
                <w:b/>
                <w:color w:val="000000" w:themeColor="text1"/>
                <w14:textFill>
                  <w14:solidFill>
                    <w14:schemeClr w14:val="tx1"/>
                  </w14:solidFill>
                </w14:textFill>
              </w:rPr>
            </w:pPr>
            <w:r>
              <w:rPr>
                <w:b/>
                <w:color w:val="000000" w:themeColor="text1"/>
                <w14:textFill>
                  <w14:solidFill>
                    <w14:schemeClr w14:val="tx1"/>
                  </w14:solidFill>
                </w14:textFill>
              </w:rPr>
              <w:t>排放量（t/a）</w:t>
            </w:r>
          </w:p>
        </w:tc>
      </w:tr>
      <w:tr w14:paraId="61667F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2" w:hRule="atLeast"/>
          <w:jc w:val="center"/>
        </w:trPr>
        <w:tc>
          <w:tcPr>
            <w:tcW w:w="588" w:type="pct"/>
            <w:vMerge w:val="restart"/>
            <w:vAlign w:val="center"/>
          </w:tcPr>
          <w:p w14:paraId="620690CF">
            <w:pPr>
              <w:pStyle w:val="70"/>
              <w:rPr>
                <w:color w:val="000000" w:themeColor="text1"/>
                <w14:textFill>
                  <w14:solidFill>
                    <w14:schemeClr w14:val="tx1"/>
                  </w14:solidFill>
                </w14:textFill>
              </w:rPr>
            </w:pPr>
            <w:r>
              <w:rPr>
                <w:color w:val="000000" w:themeColor="text1"/>
                <w14:textFill>
                  <w14:solidFill>
                    <w14:schemeClr w14:val="tx1"/>
                  </w14:solidFill>
                </w14:textFill>
              </w:rPr>
              <w:t>船舱油污水</w:t>
            </w:r>
          </w:p>
        </w:tc>
        <w:tc>
          <w:tcPr>
            <w:tcW w:w="365" w:type="pct"/>
            <w:vAlign w:val="center"/>
          </w:tcPr>
          <w:p w14:paraId="71EF296F">
            <w:pPr>
              <w:pStyle w:val="70"/>
              <w:rPr>
                <w:color w:val="000000" w:themeColor="text1"/>
                <w14:textFill>
                  <w14:solidFill>
                    <w14:schemeClr w14:val="tx1"/>
                  </w14:solidFill>
                </w14:textFill>
              </w:rPr>
            </w:pPr>
            <w:r>
              <w:rPr>
                <w:color w:val="000000" w:themeColor="text1"/>
                <w14:textFill>
                  <w14:solidFill>
                    <w14:schemeClr w14:val="tx1"/>
                  </w14:solidFill>
                </w14:textFill>
              </w:rPr>
              <w:t>废水量</w:t>
            </w:r>
          </w:p>
        </w:tc>
        <w:tc>
          <w:tcPr>
            <w:tcW w:w="278" w:type="pct"/>
            <w:vMerge w:val="restart"/>
            <w:vAlign w:val="center"/>
          </w:tcPr>
          <w:p w14:paraId="40D3ED34">
            <w:pPr>
              <w:pStyle w:val="70"/>
              <w:rPr>
                <w:color w:val="000000" w:themeColor="text1"/>
                <w14:textFill>
                  <w14:solidFill>
                    <w14:schemeClr w14:val="tx1"/>
                  </w14:solidFill>
                </w14:textFill>
              </w:rPr>
            </w:pPr>
            <w:r>
              <w:rPr>
                <w:color w:val="000000" w:themeColor="text1"/>
                <w14:textFill>
                  <w14:solidFill>
                    <w14:schemeClr w14:val="tx1"/>
                  </w14:solidFill>
                </w14:textFill>
              </w:rPr>
              <w:t>产排污系数法</w:t>
            </w:r>
          </w:p>
        </w:tc>
        <w:tc>
          <w:tcPr>
            <w:tcW w:w="894" w:type="pct"/>
            <w:gridSpan w:val="2"/>
            <w:vAlign w:val="center"/>
          </w:tcPr>
          <w:p w14:paraId="01703E3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238m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/a</w:t>
            </w:r>
          </w:p>
        </w:tc>
        <w:tc>
          <w:tcPr>
            <w:tcW w:w="1396" w:type="pct"/>
            <w:vMerge w:val="restart"/>
            <w:vAlign w:val="center"/>
          </w:tcPr>
          <w:p w14:paraId="0339DDA5">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委托有资质单位接收处置。</w:t>
            </w:r>
          </w:p>
        </w:tc>
        <w:tc>
          <w:tcPr>
            <w:tcW w:w="285" w:type="pct"/>
            <w:vAlign w:val="center"/>
          </w:tcPr>
          <w:p w14:paraId="2B03EE2D">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291" w:type="pct"/>
            <w:vMerge w:val="restart"/>
            <w:vAlign w:val="center"/>
          </w:tcPr>
          <w:p w14:paraId="4431E481">
            <w:pPr>
              <w:pStyle w:val="70"/>
              <w:rPr>
                <w:color w:val="000000" w:themeColor="text1"/>
                <w14:textFill>
                  <w14:solidFill>
                    <w14:schemeClr w14:val="tx1"/>
                  </w14:solidFill>
                </w14:textFill>
              </w:rPr>
            </w:pPr>
            <w:r>
              <w:rPr>
                <w:color w:val="000000" w:themeColor="text1"/>
                <w14:textFill>
                  <w14:solidFill>
                    <w14:schemeClr w14:val="tx1"/>
                  </w14:solidFill>
                </w14:textFill>
              </w:rPr>
              <w:t>产排污系数法</w:t>
            </w:r>
          </w:p>
        </w:tc>
        <w:tc>
          <w:tcPr>
            <w:tcW w:w="902" w:type="pct"/>
            <w:gridSpan w:val="3"/>
            <w:vAlign w:val="center"/>
          </w:tcPr>
          <w:p w14:paraId="0CADCBED">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0F2CBB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588" w:type="pct"/>
            <w:vMerge w:val="continue"/>
            <w:vAlign w:val="center"/>
          </w:tcPr>
          <w:p w14:paraId="7ABC40E1">
            <w:pPr>
              <w:pStyle w:val="70"/>
              <w:rPr>
                <w:color w:val="000000" w:themeColor="text1"/>
                <w14:textFill>
                  <w14:solidFill>
                    <w14:schemeClr w14:val="tx1"/>
                  </w14:solidFill>
                </w14:textFill>
              </w:rPr>
            </w:pPr>
          </w:p>
        </w:tc>
        <w:tc>
          <w:tcPr>
            <w:tcW w:w="365" w:type="pct"/>
            <w:vAlign w:val="center"/>
          </w:tcPr>
          <w:p w14:paraId="27B29578">
            <w:pPr>
              <w:pStyle w:val="70"/>
              <w:rPr>
                <w:color w:val="000000" w:themeColor="text1"/>
                <w14:textFill>
                  <w14:solidFill>
                    <w14:schemeClr w14:val="tx1"/>
                  </w14:solidFill>
                </w14:textFill>
              </w:rPr>
            </w:pPr>
            <w:r>
              <w:rPr>
                <w:color w:val="000000" w:themeColor="text1"/>
                <w14:textFill>
                  <w14:solidFill>
                    <w14:schemeClr w14:val="tx1"/>
                  </w14:solidFill>
                </w14:textFill>
              </w:rPr>
              <w:t>石油类</w:t>
            </w:r>
          </w:p>
        </w:tc>
        <w:tc>
          <w:tcPr>
            <w:tcW w:w="278" w:type="pct"/>
            <w:vMerge w:val="continue"/>
            <w:vAlign w:val="center"/>
          </w:tcPr>
          <w:p w14:paraId="3C09518A">
            <w:pPr>
              <w:pStyle w:val="70"/>
              <w:rPr>
                <w:color w:val="000000" w:themeColor="text1"/>
                <w14:textFill>
                  <w14:solidFill>
                    <w14:schemeClr w14:val="tx1"/>
                  </w14:solidFill>
                </w14:textFill>
              </w:rPr>
            </w:pPr>
          </w:p>
        </w:tc>
        <w:tc>
          <w:tcPr>
            <w:tcW w:w="458" w:type="pct"/>
            <w:vAlign w:val="center"/>
          </w:tcPr>
          <w:p w14:paraId="486C4BC3">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000</w:t>
            </w:r>
          </w:p>
        </w:tc>
        <w:tc>
          <w:tcPr>
            <w:tcW w:w="435" w:type="pct"/>
            <w:vAlign w:val="center"/>
          </w:tcPr>
          <w:p w14:paraId="0052A48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1.19</w:t>
            </w:r>
          </w:p>
        </w:tc>
        <w:tc>
          <w:tcPr>
            <w:tcW w:w="1396" w:type="pct"/>
            <w:vMerge w:val="continue"/>
            <w:vAlign w:val="center"/>
          </w:tcPr>
          <w:p w14:paraId="46AB1039">
            <w:pPr>
              <w:pStyle w:val="70"/>
              <w:rPr>
                <w:color w:val="000000" w:themeColor="text1"/>
                <w14:textFill>
                  <w14:solidFill>
                    <w14:schemeClr w14:val="tx1"/>
                  </w14:solidFill>
                </w14:textFill>
              </w:rPr>
            </w:pPr>
          </w:p>
        </w:tc>
        <w:tc>
          <w:tcPr>
            <w:tcW w:w="285" w:type="pct"/>
            <w:vAlign w:val="center"/>
          </w:tcPr>
          <w:p w14:paraId="5AFE80C2">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291" w:type="pct"/>
            <w:vMerge w:val="continue"/>
            <w:vAlign w:val="center"/>
          </w:tcPr>
          <w:p w14:paraId="590ED543">
            <w:pPr>
              <w:pStyle w:val="70"/>
              <w:rPr>
                <w:color w:val="000000" w:themeColor="text1"/>
                <w14:textFill>
                  <w14:solidFill>
                    <w14:schemeClr w14:val="tx1"/>
                  </w14:solidFill>
                </w14:textFill>
              </w:rPr>
            </w:pPr>
          </w:p>
        </w:tc>
        <w:tc>
          <w:tcPr>
            <w:tcW w:w="429" w:type="pct"/>
            <w:vAlign w:val="center"/>
          </w:tcPr>
          <w:p w14:paraId="43BFF248">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473" w:type="pct"/>
            <w:gridSpan w:val="2"/>
            <w:vAlign w:val="center"/>
          </w:tcPr>
          <w:p w14:paraId="534CBE44">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1DDE99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588" w:type="pct"/>
            <w:vMerge w:val="restart"/>
            <w:vAlign w:val="center"/>
          </w:tcPr>
          <w:p w14:paraId="0B4BC172">
            <w:pPr>
              <w:pStyle w:val="70"/>
              <w:rPr>
                <w:color w:val="000000" w:themeColor="text1"/>
                <w14:textFill>
                  <w14:solidFill>
                    <w14:schemeClr w14:val="tx1"/>
                  </w14:solidFill>
                </w14:textFill>
              </w:rPr>
            </w:pPr>
            <w:r>
              <w:rPr>
                <w:color w:val="000000" w:themeColor="text1"/>
                <w14:textFill>
                  <w14:solidFill>
                    <w14:schemeClr w14:val="tx1"/>
                  </w14:solidFill>
                </w14:textFill>
              </w:rPr>
              <w:t>船舶生活污水</w:t>
            </w:r>
          </w:p>
        </w:tc>
        <w:tc>
          <w:tcPr>
            <w:tcW w:w="365" w:type="pct"/>
            <w:vAlign w:val="center"/>
          </w:tcPr>
          <w:p w14:paraId="5BEA7216">
            <w:pPr>
              <w:pStyle w:val="70"/>
              <w:rPr>
                <w:color w:val="000000" w:themeColor="text1"/>
                <w14:textFill>
                  <w14:solidFill>
                    <w14:schemeClr w14:val="tx1"/>
                  </w14:solidFill>
                </w14:textFill>
              </w:rPr>
            </w:pPr>
            <w:r>
              <w:rPr>
                <w:color w:val="000000" w:themeColor="text1"/>
                <w14:textFill>
                  <w14:solidFill>
                    <w14:schemeClr w14:val="tx1"/>
                  </w14:solidFill>
                </w14:textFill>
              </w:rPr>
              <w:t>废水量</w:t>
            </w:r>
          </w:p>
        </w:tc>
        <w:tc>
          <w:tcPr>
            <w:tcW w:w="278" w:type="pct"/>
            <w:vMerge w:val="continue"/>
            <w:vAlign w:val="center"/>
          </w:tcPr>
          <w:p w14:paraId="0A56B1B3">
            <w:pPr>
              <w:pStyle w:val="70"/>
              <w:rPr>
                <w:color w:val="000000" w:themeColor="text1"/>
                <w14:textFill>
                  <w14:solidFill>
                    <w14:schemeClr w14:val="tx1"/>
                  </w14:solidFill>
                </w14:textFill>
              </w:rPr>
            </w:pPr>
          </w:p>
        </w:tc>
        <w:tc>
          <w:tcPr>
            <w:tcW w:w="894" w:type="pct"/>
            <w:gridSpan w:val="2"/>
            <w:vAlign w:val="center"/>
          </w:tcPr>
          <w:p w14:paraId="17BC23E5">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158.4m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/a</w:t>
            </w:r>
          </w:p>
        </w:tc>
        <w:tc>
          <w:tcPr>
            <w:tcW w:w="1396" w:type="pct"/>
            <w:vMerge w:val="continue"/>
            <w:vAlign w:val="center"/>
          </w:tcPr>
          <w:p w14:paraId="46CC2236">
            <w:pPr>
              <w:pStyle w:val="70"/>
              <w:rPr>
                <w:color w:val="000000" w:themeColor="text1"/>
                <w14:textFill>
                  <w14:solidFill>
                    <w14:schemeClr w14:val="tx1"/>
                  </w14:solidFill>
                </w14:textFill>
              </w:rPr>
            </w:pPr>
          </w:p>
          <w:p w14:paraId="00951B40">
            <w:pPr>
              <w:pStyle w:val="70"/>
              <w:rPr>
                <w:color w:val="000000" w:themeColor="text1"/>
                <w14:textFill>
                  <w14:solidFill>
                    <w14:schemeClr w14:val="tx1"/>
                  </w14:solidFill>
                </w14:textFill>
              </w:rPr>
            </w:pPr>
            <w:r>
              <w:rPr>
                <w:color w:val="000000" w:themeColor="text1"/>
                <w14:textFill>
                  <w14:solidFill>
                    <w14:schemeClr w14:val="tx1"/>
                  </w14:solidFill>
                </w14:textFill>
              </w:rPr>
              <w:t>/</w:t>
            </w:r>
          </w:p>
          <w:p w14:paraId="140F441A">
            <w:pPr>
              <w:pStyle w:val="70"/>
              <w:rPr>
                <w:color w:val="000000" w:themeColor="text1"/>
                <w14:textFill>
                  <w14:solidFill>
                    <w14:schemeClr w14:val="tx1"/>
                  </w14:solidFill>
                </w14:textFill>
              </w:rPr>
            </w:pPr>
            <w:r>
              <w:rPr>
                <w:color w:val="000000" w:themeColor="text1"/>
                <w14:textFill>
                  <w14:solidFill>
                    <w14:schemeClr w14:val="tx1"/>
                  </w14:solidFill>
                </w14:textFill>
              </w:rPr>
              <w:t>/</w:t>
            </w:r>
          </w:p>
          <w:p w14:paraId="03D39EE0">
            <w:pPr>
              <w:pStyle w:val="70"/>
              <w:rPr>
                <w:color w:val="000000" w:themeColor="text1"/>
                <w14:textFill>
                  <w14:solidFill>
                    <w14:schemeClr w14:val="tx1"/>
                  </w14:solidFill>
                </w14:textFill>
              </w:rPr>
            </w:pPr>
            <w:r>
              <w:rPr>
                <w:color w:val="000000" w:themeColor="text1"/>
                <w14:textFill>
                  <w14:solidFill>
                    <w14:schemeClr w14:val="tx1"/>
                  </w14:solidFill>
                </w14:textFill>
              </w:rPr>
              <w:t>/</w:t>
            </w:r>
          </w:p>
          <w:p w14:paraId="521C7FFE">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285" w:type="pct"/>
            <w:vAlign w:val="center"/>
          </w:tcPr>
          <w:p w14:paraId="6539FCF9">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291" w:type="pct"/>
            <w:vMerge w:val="continue"/>
            <w:vAlign w:val="center"/>
          </w:tcPr>
          <w:p w14:paraId="6F00F121">
            <w:pPr>
              <w:pStyle w:val="70"/>
              <w:rPr>
                <w:color w:val="000000" w:themeColor="text1"/>
                <w14:textFill>
                  <w14:solidFill>
                    <w14:schemeClr w14:val="tx1"/>
                  </w14:solidFill>
                </w14:textFill>
              </w:rPr>
            </w:pPr>
          </w:p>
          <w:p w14:paraId="4B370A59">
            <w:pPr>
              <w:pStyle w:val="70"/>
              <w:rPr>
                <w:color w:val="000000" w:themeColor="text1"/>
                <w14:textFill>
                  <w14:solidFill>
                    <w14:schemeClr w14:val="tx1"/>
                  </w14:solidFill>
                </w14:textFill>
              </w:rPr>
            </w:pPr>
            <w:r>
              <w:rPr>
                <w:color w:val="000000" w:themeColor="text1"/>
                <w14:textFill>
                  <w14:solidFill>
                    <w14:schemeClr w14:val="tx1"/>
                  </w14:solidFill>
                </w14:textFill>
              </w:rPr>
              <w:t>/</w:t>
            </w:r>
          </w:p>
          <w:p w14:paraId="5E0F745C">
            <w:pPr>
              <w:pStyle w:val="70"/>
              <w:rPr>
                <w:color w:val="000000" w:themeColor="text1"/>
                <w14:textFill>
                  <w14:solidFill>
                    <w14:schemeClr w14:val="tx1"/>
                  </w14:solidFill>
                </w14:textFill>
              </w:rPr>
            </w:pPr>
            <w:r>
              <w:rPr>
                <w:color w:val="000000" w:themeColor="text1"/>
                <w14:textFill>
                  <w14:solidFill>
                    <w14:schemeClr w14:val="tx1"/>
                  </w14:solidFill>
                </w14:textFill>
              </w:rPr>
              <w:t>/</w:t>
            </w:r>
          </w:p>
          <w:p w14:paraId="2FAA478F">
            <w:pPr>
              <w:pStyle w:val="70"/>
              <w:rPr>
                <w:color w:val="000000" w:themeColor="text1"/>
                <w14:textFill>
                  <w14:solidFill>
                    <w14:schemeClr w14:val="tx1"/>
                  </w14:solidFill>
                </w14:textFill>
              </w:rPr>
            </w:pPr>
            <w:r>
              <w:rPr>
                <w:color w:val="000000" w:themeColor="text1"/>
                <w14:textFill>
                  <w14:solidFill>
                    <w14:schemeClr w14:val="tx1"/>
                  </w14:solidFill>
                </w14:textFill>
              </w:rPr>
              <w:t>/</w:t>
            </w:r>
          </w:p>
          <w:p w14:paraId="3EC830C8">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02" w:type="pct"/>
            <w:gridSpan w:val="3"/>
            <w:vAlign w:val="center"/>
          </w:tcPr>
          <w:p w14:paraId="38E3E2B5">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703A48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7" w:hRule="atLeast"/>
          <w:jc w:val="center"/>
        </w:trPr>
        <w:tc>
          <w:tcPr>
            <w:tcW w:w="588" w:type="pct"/>
            <w:vMerge w:val="continue"/>
            <w:vAlign w:val="center"/>
          </w:tcPr>
          <w:p w14:paraId="01EBE2AE">
            <w:pPr>
              <w:pStyle w:val="70"/>
              <w:rPr>
                <w:color w:val="000000" w:themeColor="text1"/>
                <w14:textFill>
                  <w14:solidFill>
                    <w14:schemeClr w14:val="tx1"/>
                  </w14:solidFill>
                </w14:textFill>
              </w:rPr>
            </w:pPr>
          </w:p>
        </w:tc>
        <w:tc>
          <w:tcPr>
            <w:tcW w:w="365" w:type="pct"/>
            <w:vAlign w:val="center"/>
          </w:tcPr>
          <w:p w14:paraId="6770AC63">
            <w:pPr>
              <w:pStyle w:val="70"/>
              <w:rPr>
                <w:color w:val="000000" w:themeColor="text1"/>
                <w14:textFill>
                  <w14:solidFill>
                    <w14:schemeClr w14:val="tx1"/>
                  </w14:solidFill>
                </w14:textFill>
              </w:rPr>
            </w:pPr>
            <w:r>
              <w:rPr>
                <w:color w:val="000000" w:themeColor="text1"/>
                <w14:textFill>
                  <w14:solidFill>
                    <w14:schemeClr w14:val="tx1"/>
                  </w14:solidFill>
                </w14:textFill>
              </w:rPr>
              <w:t>COD</w:t>
            </w:r>
          </w:p>
        </w:tc>
        <w:tc>
          <w:tcPr>
            <w:tcW w:w="278" w:type="pct"/>
            <w:vMerge w:val="continue"/>
            <w:vAlign w:val="center"/>
          </w:tcPr>
          <w:p w14:paraId="73CE5323">
            <w:pPr>
              <w:pStyle w:val="70"/>
              <w:rPr>
                <w:color w:val="000000" w:themeColor="text1"/>
                <w14:textFill>
                  <w14:solidFill>
                    <w14:schemeClr w14:val="tx1"/>
                  </w14:solidFill>
                </w14:textFill>
              </w:rPr>
            </w:pPr>
          </w:p>
        </w:tc>
        <w:tc>
          <w:tcPr>
            <w:tcW w:w="458" w:type="pct"/>
            <w:vAlign w:val="center"/>
          </w:tcPr>
          <w:p w14:paraId="473A83B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350</w:t>
            </w:r>
          </w:p>
        </w:tc>
        <w:tc>
          <w:tcPr>
            <w:tcW w:w="435" w:type="pct"/>
            <w:vAlign w:val="center"/>
          </w:tcPr>
          <w:p w14:paraId="310B0FEC">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0.055</w:t>
            </w:r>
          </w:p>
        </w:tc>
        <w:tc>
          <w:tcPr>
            <w:tcW w:w="1396" w:type="pct"/>
            <w:vMerge w:val="continue"/>
            <w:vAlign w:val="center"/>
          </w:tcPr>
          <w:p w14:paraId="06FDE941">
            <w:pPr>
              <w:pStyle w:val="70"/>
              <w:rPr>
                <w:color w:val="000000" w:themeColor="text1"/>
                <w14:textFill>
                  <w14:solidFill>
                    <w14:schemeClr w14:val="tx1"/>
                  </w14:solidFill>
                </w14:textFill>
              </w:rPr>
            </w:pPr>
          </w:p>
        </w:tc>
        <w:tc>
          <w:tcPr>
            <w:tcW w:w="285" w:type="pct"/>
            <w:vAlign w:val="center"/>
          </w:tcPr>
          <w:p w14:paraId="50FA7D8F">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291" w:type="pct"/>
            <w:vMerge w:val="continue"/>
            <w:vAlign w:val="center"/>
          </w:tcPr>
          <w:p w14:paraId="7072657F">
            <w:pPr>
              <w:pStyle w:val="70"/>
              <w:rPr>
                <w:color w:val="000000" w:themeColor="text1"/>
                <w14:textFill>
                  <w14:solidFill>
                    <w14:schemeClr w14:val="tx1"/>
                  </w14:solidFill>
                </w14:textFill>
              </w:rPr>
            </w:pPr>
          </w:p>
        </w:tc>
        <w:tc>
          <w:tcPr>
            <w:tcW w:w="429" w:type="pct"/>
            <w:vAlign w:val="center"/>
          </w:tcPr>
          <w:p w14:paraId="3E95619A">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473" w:type="pct"/>
            <w:gridSpan w:val="2"/>
            <w:vAlign w:val="center"/>
          </w:tcPr>
          <w:p w14:paraId="6A840EBC">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046E8E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588" w:type="pct"/>
            <w:vMerge w:val="continue"/>
            <w:vAlign w:val="center"/>
          </w:tcPr>
          <w:p w14:paraId="05411860">
            <w:pPr>
              <w:pStyle w:val="70"/>
              <w:rPr>
                <w:color w:val="000000" w:themeColor="text1"/>
                <w14:textFill>
                  <w14:solidFill>
                    <w14:schemeClr w14:val="tx1"/>
                  </w14:solidFill>
                </w14:textFill>
              </w:rPr>
            </w:pPr>
          </w:p>
        </w:tc>
        <w:tc>
          <w:tcPr>
            <w:tcW w:w="365" w:type="pct"/>
            <w:vAlign w:val="center"/>
          </w:tcPr>
          <w:p w14:paraId="0EE5DBBC">
            <w:pPr>
              <w:pStyle w:val="70"/>
              <w:rPr>
                <w:color w:val="000000" w:themeColor="text1"/>
                <w14:textFill>
                  <w14:solidFill>
                    <w14:schemeClr w14:val="tx1"/>
                  </w14:solidFill>
                </w14:textFill>
              </w:rPr>
            </w:pPr>
            <w:r>
              <w:rPr>
                <w:color w:val="000000" w:themeColor="text1"/>
                <w14:textFill>
                  <w14:solidFill>
                    <w14:schemeClr w14:val="tx1"/>
                  </w14:solidFill>
                </w14:textFill>
              </w:rPr>
              <w:t>氨氮</w:t>
            </w:r>
          </w:p>
        </w:tc>
        <w:tc>
          <w:tcPr>
            <w:tcW w:w="278" w:type="pct"/>
            <w:vMerge w:val="continue"/>
            <w:vAlign w:val="center"/>
          </w:tcPr>
          <w:p w14:paraId="68F3A865">
            <w:pPr>
              <w:pStyle w:val="70"/>
              <w:rPr>
                <w:color w:val="000000" w:themeColor="text1"/>
                <w14:textFill>
                  <w14:solidFill>
                    <w14:schemeClr w14:val="tx1"/>
                  </w14:solidFill>
                </w14:textFill>
              </w:rPr>
            </w:pPr>
          </w:p>
        </w:tc>
        <w:tc>
          <w:tcPr>
            <w:tcW w:w="458" w:type="pct"/>
            <w:vAlign w:val="center"/>
          </w:tcPr>
          <w:p w14:paraId="5704170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35</w:t>
            </w:r>
          </w:p>
        </w:tc>
        <w:tc>
          <w:tcPr>
            <w:tcW w:w="435" w:type="pct"/>
            <w:vAlign w:val="center"/>
          </w:tcPr>
          <w:p w14:paraId="589BBE9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0.006</w:t>
            </w:r>
          </w:p>
        </w:tc>
        <w:tc>
          <w:tcPr>
            <w:tcW w:w="1396" w:type="pct"/>
            <w:vMerge w:val="continue"/>
            <w:vAlign w:val="center"/>
          </w:tcPr>
          <w:p w14:paraId="1EECAC08">
            <w:pPr>
              <w:pStyle w:val="70"/>
              <w:rPr>
                <w:color w:val="000000" w:themeColor="text1"/>
                <w14:textFill>
                  <w14:solidFill>
                    <w14:schemeClr w14:val="tx1"/>
                  </w14:solidFill>
                </w14:textFill>
              </w:rPr>
            </w:pPr>
          </w:p>
        </w:tc>
        <w:tc>
          <w:tcPr>
            <w:tcW w:w="285" w:type="pct"/>
            <w:vAlign w:val="center"/>
          </w:tcPr>
          <w:p w14:paraId="4BDB8228">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291" w:type="pct"/>
            <w:vMerge w:val="continue"/>
            <w:vAlign w:val="center"/>
          </w:tcPr>
          <w:p w14:paraId="12C3F7F6">
            <w:pPr>
              <w:pStyle w:val="70"/>
              <w:rPr>
                <w:color w:val="000000" w:themeColor="text1"/>
                <w14:textFill>
                  <w14:solidFill>
                    <w14:schemeClr w14:val="tx1"/>
                  </w14:solidFill>
                </w14:textFill>
              </w:rPr>
            </w:pPr>
          </w:p>
        </w:tc>
        <w:tc>
          <w:tcPr>
            <w:tcW w:w="429" w:type="pct"/>
            <w:vAlign w:val="center"/>
          </w:tcPr>
          <w:p w14:paraId="36C56401">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473" w:type="pct"/>
            <w:gridSpan w:val="2"/>
            <w:vAlign w:val="center"/>
          </w:tcPr>
          <w:p w14:paraId="053C0BAE">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1D58DD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6" w:hRule="atLeast"/>
          <w:jc w:val="center"/>
        </w:trPr>
        <w:tc>
          <w:tcPr>
            <w:tcW w:w="588" w:type="pct"/>
            <w:vMerge w:val="continue"/>
            <w:vAlign w:val="center"/>
          </w:tcPr>
          <w:p w14:paraId="59B688F1">
            <w:pPr>
              <w:pStyle w:val="70"/>
              <w:rPr>
                <w:color w:val="000000" w:themeColor="text1"/>
                <w14:textFill>
                  <w14:solidFill>
                    <w14:schemeClr w14:val="tx1"/>
                  </w14:solidFill>
                </w14:textFill>
              </w:rPr>
            </w:pPr>
          </w:p>
        </w:tc>
        <w:tc>
          <w:tcPr>
            <w:tcW w:w="365" w:type="pct"/>
            <w:vAlign w:val="center"/>
          </w:tcPr>
          <w:p w14:paraId="0DFE046B">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总氮</w:t>
            </w:r>
          </w:p>
        </w:tc>
        <w:tc>
          <w:tcPr>
            <w:tcW w:w="278" w:type="pct"/>
            <w:vMerge w:val="continue"/>
            <w:vAlign w:val="center"/>
          </w:tcPr>
          <w:p w14:paraId="7897CAD8">
            <w:pPr>
              <w:pStyle w:val="70"/>
              <w:rPr>
                <w:color w:val="000000" w:themeColor="text1"/>
                <w14:textFill>
                  <w14:solidFill>
                    <w14:schemeClr w14:val="tx1"/>
                  </w14:solidFill>
                </w14:textFill>
              </w:rPr>
            </w:pPr>
          </w:p>
        </w:tc>
        <w:tc>
          <w:tcPr>
            <w:tcW w:w="458" w:type="pct"/>
            <w:vAlign w:val="center"/>
          </w:tcPr>
          <w:p w14:paraId="610A020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45</w:t>
            </w:r>
          </w:p>
        </w:tc>
        <w:tc>
          <w:tcPr>
            <w:tcW w:w="435" w:type="pct"/>
            <w:vAlign w:val="center"/>
          </w:tcPr>
          <w:p w14:paraId="664D36A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0.071</w:t>
            </w:r>
          </w:p>
        </w:tc>
        <w:tc>
          <w:tcPr>
            <w:tcW w:w="1396" w:type="pct"/>
            <w:vMerge w:val="continue"/>
            <w:vAlign w:val="center"/>
          </w:tcPr>
          <w:p w14:paraId="087C140A">
            <w:pPr>
              <w:pStyle w:val="70"/>
              <w:rPr>
                <w:color w:val="000000" w:themeColor="text1"/>
                <w14:textFill>
                  <w14:solidFill>
                    <w14:schemeClr w14:val="tx1"/>
                  </w14:solidFill>
                </w14:textFill>
              </w:rPr>
            </w:pPr>
          </w:p>
        </w:tc>
        <w:tc>
          <w:tcPr>
            <w:tcW w:w="285" w:type="pct"/>
            <w:vAlign w:val="center"/>
          </w:tcPr>
          <w:p w14:paraId="11BC785D">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291" w:type="pct"/>
            <w:vMerge w:val="continue"/>
            <w:vAlign w:val="center"/>
          </w:tcPr>
          <w:p w14:paraId="7739E2E9">
            <w:pPr>
              <w:pStyle w:val="70"/>
              <w:rPr>
                <w:color w:val="000000" w:themeColor="text1"/>
                <w14:textFill>
                  <w14:solidFill>
                    <w14:schemeClr w14:val="tx1"/>
                  </w14:solidFill>
                </w14:textFill>
              </w:rPr>
            </w:pPr>
          </w:p>
        </w:tc>
        <w:tc>
          <w:tcPr>
            <w:tcW w:w="429" w:type="pct"/>
            <w:vAlign w:val="center"/>
          </w:tcPr>
          <w:p w14:paraId="02147ED7">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473" w:type="pct"/>
            <w:gridSpan w:val="2"/>
            <w:vAlign w:val="center"/>
          </w:tcPr>
          <w:p w14:paraId="15821F00">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58198B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1" w:hRule="atLeast"/>
          <w:jc w:val="center"/>
        </w:trPr>
        <w:tc>
          <w:tcPr>
            <w:tcW w:w="588" w:type="pct"/>
            <w:vMerge w:val="continue"/>
            <w:vAlign w:val="center"/>
          </w:tcPr>
          <w:p w14:paraId="35FE0426">
            <w:pPr>
              <w:pStyle w:val="70"/>
              <w:rPr>
                <w:color w:val="000000" w:themeColor="text1"/>
                <w14:textFill>
                  <w14:solidFill>
                    <w14:schemeClr w14:val="tx1"/>
                  </w14:solidFill>
                </w14:textFill>
              </w:rPr>
            </w:pPr>
          </w:p>
        </w:tc>
        <w:tc>
          <w:tcPr>
            <w:tcW w:w="365" w:type="pct"/>
            <w:vAlign w:val="center"/>
          </w:tcPr>
          <w:p w14:paraId="63A31C5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总磷</w:t>
            </w:r>
          </w:p>
        </w:tc>
        <w:tc>
          <w:tcPr>
            <w:tcW w:w="278" w:type="pct"/>
            <w:vMerge w:val="continue"/>
            <w:vAlign w:val="center"/>
          </w:tcPr>
          <w:p w14:paraId="7F1DFF2C">
            <w:pPr>
              <w:pStyle w:val="70"/>
              <w:rPr>
                <w:color w:val="000000" w:themeColor="text1"/>
                <w14:textFill>
                  <w14:solidFill>
                    <w14:schemeClr w14:val="tx1"/>
                  </w14:solidFill>
                </w14:textFill>
              </w:rPr>
            </w:pPr>
          </w:p>
        </w:tc>
        <w:tc>
          <w:tcPr>
            <w:tcW w:w="458" w:type="pct"/>
            <w:vAlign w:val="center"/>
          </w:tcPr>
          <w:p w14:paraId="5ADB7ACF">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435" w:type="pct"/>
            <w:vAlign w:val="center"/>
          </w:tcPr>
          <w:p w14:paraId="07D14D75">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0.001</w:t>
            </w:r>
          </w:p>
        </w:tc>
        <w:tc>
          <w:tcPr>
            <w:tcW w:w="1396" w:type="pct"/>
            <w:vMerge w:val="continue"/>
            <w:vAlign w:val="center"/>
          </w:tcPr>
          <w:p w14:paraId="5179235E">
            <w:pPr>
              <w:pStyle w:val="70"/>
              <w:rPr>
                <w:color w:val="000000" w:themeColor="text1"/>
                <w14:textFill>
                  <w14:solidFill>
                    <w14:schemeClr w14:val="tx1"/>
                  </w14:solidFill>
                </w14:textFill>
              </w:rPr>
            </w:pPr>
          </w:p>
        </w:tc>
        <w:tc>
          <w:tcPr>
            <w:tcW w:w="285" w:type="pct"/>
            <w:vAlign w:val="center"/>
          </w:tcPr>
          <w:p w14:paraId="5FC5D409">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291" w:type="pct"/>
            <w:vMerge w:val="continue"/>
            <w:vAlign w:val="center"/>
          </w:tcPr>
          <w:p w14:paraId="6C7383F3">
            <w:pPr>
              <w:pStyle w:val="70"/>
              <w:rPr>
                <w:color w:val="000000" w:themeColor="text1"/>
                <w14:textFill>
                  <w14:solidFill>
                    <w14:schemeClr w14:val="tx1"/>
                  </w14:solidFill>
                </w14:textFill>
              </w:rPr>
            </w:pPr>
          </w:p>
        </w:tc>
        <w:tc>
          <w:tcPr>
            <w:tcW w:w="429" w:type="pct"/>
            <w:vAlign w:val="center"/>
          </w:tcPr>
          <w:p w14:paraId="6282C074">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473" w:type="pct"/>
            <w:gridSpan w:val="2"/>
            <w:vAlign w:val="center"/>
          </w:tcPr>
          <w:p w14:paraId="104C6E4E">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bl>
    <w:p w14:paraId="1DF3B68C">
      <w:pPr>
        <w:pStyle w:val="7"/>
        <w:tabs>
          <w:tab w:val="left" w:pos="2127"/>
          <w:tab w:val="left" w:pos="2411"/>
        </w:tabs>
        <w:rPr>
          <w:color w:val="000000" w:themeColor="text1"/>
          <w14:textFill>
            <w14:solidFill>
              <w14:schemeClr w14:val="tx1"/>
            </w14:solidFill>
          </w14:textFill>
        </w:rPr>
      </w:pPr>
      <w:r>
        <w:rPr>
          <w:color w:val="000000" w:themeColor="text1"/>
          <w14:textFill>
            <w14:solidFill>
              <w14:schemeClr w14:val="tx1"/>
            </w14:solidFill>
          </w14:textFill>
        </w:rPr>
        <w:t>噪声污染源源强核算汇总表</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61"/>
        <w:gridCol w:w="1702"/>
        <w:gridCol w:w="2195"/>
        <w:gridCol w:w="1435"/>
        <w:gridCol w:w="1580"/>
        <w:gridCol w:w="1571"/>
        <w:gridCol w:w="1577"/>
        <w:gridCol w:w="1571"/>
        <w:gridCol w:w="1582"/>
      </w:tblGrid>
      <w:tr w14:paraId="0760495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339" w:type="pct"/>
            <w:vMerge w:val="restart"/>
            <w:vAlign w:val="center"/>
          </w:tcPr>
          <w:p w14:paraId="04232A23">
            <w:pPr>
              <w:pStyle w:val="70"/>
              <w:rPr>
                <w:b/>
                <w:color w:val="000000" w:themeColor="text1"/>
                <w14:textFill>
                  <w14:solidFill>
                    <w14:schemeClr w14:val="tx1"/>
                  </w14:solidFill>
                </w14:textFill>
              </w:rPr>
            </w:pPr>
            <w:r>
              <w:rPr>
                <w:b/>
                <w:color w:val="000000" w:themeColor="text1"/>
                <w14:textFill>
                  <w14:solidFill>
                    <w14:schemeClr w14:val="tx1"/>
                  </w14:solidFill>
                </w14:textFill>
              </w:rPr>
              <w:t>装置</w:t>
            </w:r>
          </w:p>
        </w:tc>
        <w:tc>
          <w:tcPr>
            <w:tcW w:w="600" w:type="pct"/>
            <w:vMerge w:val="restart"/>
            <w:vAlign w:val="center"/>
          </w:tcPr>
          <w:p w14:paraId="0056D374">
            <w:pPr>
              <w:pStyle w:val="70"/>
              <w:rPr>
                <w:b/>
                <w:color w:val="000000" w:themeColor="text1"/>
                <w14:textFill>
                  <w14:solidFill>
                    <w14:schemeClr w14:val="tx1"/>
                  </w14:solidFill>
                </w14:textFill>
              </w:rPr>
            </w:pPr>
            <w:r>
              <w:rPr>
                <w:b/>
                <w:color w:val="000000" w:themeColor="text1"/>
                <w14:textFill>
                  <w14:solidFill>
                    <w14:schemeClr w14:val="tx1"/>
                  </w14:solidFill>
                </w14:textFill>
              </w:rPr>
              <w:t>噪声源</w:t>
            </w:r>
          </w:p>
        </w:tc>
        <w:tc>
          <w:tcPr>
            <w:tcW w:w="774" w:type="pct"/>
            <w:vMerge w:val="restart"/>
            <w:vAlign w:val="center"/>
          </w:tcPr>
          <w:p w14:paraId="0685D52F">
            <w:pPr>
              <w:pStyle w:val="70"/>
              <w:rPr>
                <w:b/>
                <w:color w:val="000000" w:themeColor="text1"/>
                <w14:textFill>
                  <w14:solidFill>
                    <w14:schemeClr w14:val="tx1"/>
                  </w14:solidFill>
                </w14:textFill>
              </w:rPr>
            </w:pPr>
            <w:r>
              <w:rPr>
                <w:b/>
                <w:color w:val="000000" w:themeColor="text1"/>
                <w14:textFill>
                  <w14:solidFill>
                    <w14:schemeClr w14:val="tx1"/>
                  </w14:solidFill>
                </w14:textFill>
              </w:rPr>
              <w:t>声源类型（频发/偶发）</w:t>
            </w:r>
          </w:p>
        </w:tc>
        <w:tc>
          <w:tcPr>
            <w:tcW w:w="1063" w:type="pct"/>
            <w:gridSpan w:val="2"/>
            <w:vAlign w:val="center"/>
          </w:tcPr>
          <w:p w14:paraId="1CF89348">
            <w:pPr>
              <w:pStyle w:val="70"/>
              <w:rPr>
                <w:b/>
                <w:color w:val="000000" w:themeColor="text1"/>
                <w14:textFill>
                  <w14:solidFill>
                    <w14:schemeClr w14:val="tx1"/>
                  </w14:solidFill>
                </w14:textFill>
              </w:rPr>
            </w:pPr>
            <w:r>
              <w:rPr>
                <w:b/>
                <w:color w:val="000000" w:themeColor="text1"/>
                <w14:textFill>
                  <w14:solidFill>
                    <w14:schemeClr w14:val="tx1"/>
                  </w14:solidFill>
                </w14:textFill>
              </w:rPr>
              <w:t>噪声源强</w:t>
            </w:r>
          </w:p>
        </w:tc>
        <w:tc>
          <w:tcPr>
            <w:tcW w:w="1110" w:type="pct"/>
            <w:gridSpan w:val="2"/>
            <w:vAlign w:val="center"/>
          </w:tcPr>
          <w:p w14:paraId="4578641B">
            <w:pPr>
              <w:pStyle w:val="70"/>
              <w:rPr>
                <w:b/>
                <w:color w:val="000000" w:themeColor="text1"/>
                <w14:textFill>
                  <w14:solidFill>
                    <w14:schemeClr w14:val="tx1"/>
                  </w14:solidFill>
                </w14:textFill>
              </w:rPr>
            </w:pPr>
            <w:r>
              <w:rPr>
                <w:b/>
                <w:color w:val="000000" w:themeColor="text1"/>
                <w14:textFill>
                  <w14:solidFill>
                    <w14:schemeClr w14:val="tx1"/>
                  </w14:solidFill>
                </w14:textFill>
              </w:rPr>
              <w:t>降噪措施</w:t>
            </w:r>
          </w:p>
        </w:tc>
        <w:tc>
          <w:tcPr>
            <w:tcW w:w="1112" w:type="pct"/>
            <w:gridSpan w:val="2"/>
            <w:vAlign w:val="center"/>
          </w:tcPr>
          <w:p w14:paraId="5885448F">
            <w:pPr>
              <w:pStyle w:val="70"/>
              <w:rPr>
                <w:b/>
                <w:color w:val="000000" w:themeColor="text1"/>
                <w14:textFill>
                  <w14:solidFill>
                    <w14:schemeClr w14:val="tx1"/>
                  </w14:solidFill>
                </w14:textFill>
              </w:rPr>
            </w:pPr>
            <w:r>
              <w:rPr>
                <w:b/>
                <w:color w:val="000000" w:themeColor="text1"/>
                <w14:textFill>
                  <w14:solidFill>
                    <w14:schemeClr w14:val="tx1"/>
                  </w14:solidFill>
                </w14:textFill>
              </w:rPr>
              <w:t>噪声排放值</w:t>
            </w:r>
          </w:p>
        </w:tc>
      </w:tr>
      <w:tr w14:paraId="2941EC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9" w:hRule="atLeast"/>
          <w:jc w:val="center"/>
        </w:trPr>
        <w:tc>
          <w:tcPr>
            <w:tcW w:w="339" w:type="pct"/>
            <w:vMerge w:val="continue"/>
            <w:vAlign w:val="center"/>
          </w:tcPr>
          <w:p w14:paraId="257D32F1">
            <w:pPr>
              <w:pStyle w:val="70"/>
              <w:rPr>
                <w:b/>
                <w:color w:val="000000" w:themeColor="text1"/>
                <w14:textFill>
                  <w14:solidFill>
                    <w14:schemeClr w14:val="tx1"/>
                  </w14:solidFill>
                </w14:textFill>
              </w:rPr>
            </w:pPr>
          </w:p>
        </w:tc>
        <w:tc>
          <w:tcPr>
            <w:tcW w:w="600" w:type="pct"/>
            <w:vMerge w:val="continue"/>
            <w:vAlign w:val="center"/>
          </w:tcPr>
          <w:p w14:paraId="6A63481F">
            <w:pPr>
              <w:pStyle w:val="70"/>
              <w:rPr>
                <w:b/>
                <w:color w:val="000000" w:themeColor="text1"/>
                <w14:textFill>
                  <w14:solidFill>
                    <w14:schemeClr w14:val="tx1"/>
                  </w14:solidFill>
                </w14:textFill>
              </w:rPr>
            </w:pPr>
          </w:p>
        </w:tc>
        <w:tc>
          <w:tcPr>
            <w:tcW w:w="774" w:type="pct"/>
            <w:vMerge w:val="continue"/>
            <w:vAlign w:val="center"/>
          </w:tcPr>
          <w:p w14:paraId="2B31839B">
            <w:pPr>
              <w:pStyle w:val="70"/>
              <w:rPr>
                <w:b/>
                <w:color w:val="000000" w:themeColor="text1"/>
                <w14:textFill>
                  <w14:solidFill>
                    <w14:schemeClr w14:val="tx1"/>
                  </w14:solidFill>
                </w14:textFill>
              </w:rPr>
            </w:pPr>
          </w:p>
        </w:tc>
        <w:tc>
          <w:tcPr>
            <w:tcW w:w="506" w:type="pct"/>
            <w:vAlign w:val="center"/>
          </w:tcPr>
          <w:p w14:paraId="33E3975F">
            <w:pPr>
              <w:pStyle w:val="70"/>
              <w:rPr>
                <w:b/>
                <w:color w:val="000000" w:themeColor="text1"/>
                <w14:textFill>
                  <w14:solidFill>
                    <w14:schemeClr w14:val="tx1"/>
                  </w14:solidFill>
                </w14:textFill>
              </w:rPr>
            </w:pPr>
            <w:r>
              <w:rPr>
                <w:b/>
                <w:color w:val="000000" w:themeColor="text1"/>
                <w14:textFill>
                  <w14:solidFill>
                    <w14:schemeClr w14:val="tx1"/>
                  </w14:solidFill>
                </w14:textFill>
              </w:rPr>
              <w:t>核算方法</w:t>
            </w:r>
          </w:p>
        </w:tc>
        <w:tc>
          <w:tcPr>
            <w:tcW w:w="556" w:type="pct"/>
            <w:vAlign w:val="center"/>
          </w:tcPr>
          <w:p w14:paraId="422552C5">
            <w:pPr>
              <w:pStyle w:val="70"/>
              <w:rPr>
                <w:b/>
                <w:color w:val="000000" w:themeColor="text1"/>
                <w14:textFill>
                  <w14:solidFill>
                    <w14:schemeClr w14:val="tx1"/>
                  </w14:solidFill>
                </w14:textFill>
              </w:rPr>
            </w:pPr>
            <w:r>
              <w:rPr>
                <w:b/>
                <w:color w:val="000000" w:themeColor="text1"/>
                <w14:textFill>
                  <w14:solidFill>
                    <w14:schemeClr w14:val="tx1"/>
                  </w14:solidFill>
                </w14:textFill>
              </w:rPr>
              <w:t>噪声值</w:t>
            </w:r>
          </w:p>
          <w:p w14:paraId="06BEFFB5">
            <w:pPr>
              <w:pStyle w:val="70"/>
              <w:rPr>
                <w:b/>
                <w:color w:val="000000" w:themeColor="text1"/>
                <w14:textFill>
                  <w14:solidFill>
                    <w14:schemeClr w14:val="tx1"/>
                  </w14:solidFill>
                </w14:textFill>
              </w:rPr>
            </w:pPr>
            <w:r>
              <w:rPr>
                <w:b/>
                <w:color w:val="000000" w:themeColor="text1"/>
                <w14:textFill>
                  <w14:solidFill>
                    <w14:schemeClr w14:val="tx1"/>
                  </w14:solidFill>
                </w14:textFill>
              </w:rPr>
              <w:t>[dB(A)]</w:t>
            </w:r>
          </w:p>
        </w:tc>
        <w:tc>
          <w:tcPr>
            <w:tcW w:w="554" w:type="pct"/>
            <w:vAlign w:val="center"/>
          </w:tcPr>
          <w:p w14:paraId="6010C0FF">
            <w:pPr>
              <w:pStyle w:val="70"/>
              <w:rPr>
                <w:b/>
                <w:color w:val="000000" w:themeColor="text1"/>
                <w14:textFill>
                  <w14:solidFill>
                    <w14:schemeClr w14:val="tx1"/>
                  </w14:solidFill>
                </w14:textFill>
              </w:rPr>
            </w:pPr>
            <w:r>
              <w:rPr>
                <w:b/>
                <w:color w:val="000000" w:themeColor="text1"/>
                <w14:textFill>
                  <w14:solidFill>
                    <w14:schemeClr w14:val="tx1"/>
                  </w14:solidFill>
                </w14:textFill>
              </w:rPr>
              <w:t>工艺</w:t>
            </w:r>
          </w:p>
        </w:tc>
        <w:tc>
          <w:tcPr>
            <w:tcW w:w="556" w:type="pct"/>
            <w:vAlign w:val="center"/>
          </w:tcPr>
          <w:p w14:paraId="4A1FA5FE">
            <w:pPr>
              <w:pStyle w:val="70"/>
              <w:rPr>
                <w:b/>
                <w:color w:val="000000" w:themeColor="text1"/>
                <w14:textFill>
                  <w14:solidFill>
                    <w14:schemeClr w14:val="tx1"/>
                  </w14:solidFill>
                </w14:textFill>
              </w:rPr>
            </w:pPr>
            <w:r>
              <w:rPr>
                <w:b/>
                <w:color w:val="000000" w:themeColor="text1"/>
                <w14:textFill>
                  <w14:solidFill>
                    <w14:schemeClr w14:val="tx1"/>
                  </w14:solidFill>
                </w14:textFill>
              </w:rPr>
              <w:t>降噪效果</w:t>
            </w:r>
          </w:p>
          <w:p w14:paraId="48F1988D">
            <w:pPr>
              <w:pStyle w:val="70"/>
              <w:rPr>
                <w:b/>
                <w:color w:val="000000" w:themeColor="text1"/>
                <w14:textFill>
                  <w14:solidFill>
                    <w14:schemeClr w14:val="tx1"/>
                  </w14:solidFill>
                </w14:textFill>
              </w:rPr>
            </w:pPr>
            <w:r>
              <w:rPr>
                <w:b/>
                <w:color w:val="000000" w:themeColor="text1"/>
                <w14:textFill>
                  <w14:solidFill>
                    <w14:schemeClr w14:val="tx1"/>
                  </w14:solidFill>
                </w14:textFill>
              </w:rPr>
              <w:t>[dB(A)]</w:t>
            </w:r>
          </w:p>
        </w:tc>
        <w:tc>
          <w:tcPr>
            <w:tcW w:w="554" w:type="pct"/>
            <w:vAlign w:val="center"/>
          </w:tcPr>
          <w:p w14:paraId="5FC4CCC5">
            <w:pPr>
              <w:pStyle w:val="70"/>
              <w:rPr>
                <w:b/>
                <w:color w:val="000000" w:themeColor="text1"/>
                <w14:textFill>
                  <w14:solidFill>
                    <w14:schemeClr w14:val="tx1"/>
                  </w14:solidFill>
                </w14:textFill>
              </w:rPr>
            </w:pPr>
            <w:r>
              <w:rPr>
                <w:b/>
                <w:color w:val="000000" w:themeColor="text1"/>
                <w14:textFill>
                  <w14:solidFill>
                    <w14:schemeClr w14:val="tx1"/>
                  </w14:solidFill>
                </w14:textFill>
              </w:rPr>
              <w:t>核算方法</w:t>
            </w:r>
          </w:p>
        </w:tc>
        <w:tc>
          <w:tcPr>
            <w:tcW w:w="557" w:type="pct"/>
            <w:vAlign w:val="center"/>
          </w:tcPr>
          <w:p w14:paraId="1FEBC315">
            <w:pPr>
              <w:pStyle w:val="70"/>
              <w:rPr>
                <w:b/>
                <w:color w:val="000000" w:themeColor="text1"/>
                <w14:textFill>
                  <w14:solidFill>
                    <w14:schemeClr w14:val="tx1"/>
                  </w14:solidFill>
                </w14:textFill>
              </w:rPr>
            </w:pPr>
            <w:r>
              <w:rPr>
                <w:b/>
                <w:color w:val="000000" w:themeColor="text1"/>
                <w14:textFill>
                  <w14:solidFill>
                    <w14:schemeClr w14:val="tx1"/>
                  </w14:solidFill>
                </w14:textFill>
              </w:rPr>
              <w:t>噪声值</w:t>
            </w:r>
          </w:p>
          <w:p w14:paraId="1BF83E2E">
            <w:pPr>
              <w:pStyle w:val="70"/>
              <w:rPr>
                <w:b/>
                <w:color w:val="000000" w:themeColor="text1"/>
                <w14:textFill>
                  <w14:solidFill>
                    <w14:schemeClr w14:val="tx1"/>
                  </w14:solidFill>
                </w14:textFill>
              </w:rPr>
            </w:pPr>
            <w:r>
              <w:rPr>
                <w:b/>
                <w:color w:val="000000" w:themeColor="text1"/>
                <w14:textFill>
                  <w14:solidFill>
                    <w14:schemeClr w14:val="tx1"/>
                  </w14:solidFill>
                </w14:textFill>
              </w:rPr>
              <w:t>[dB(A)]</w:t>
            </w:r>
          </w:p>
        </w:tc>
      </w:tr>
      <w:tr w14:paraId="62E4C5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9" w:hRule="atLeast"/>
          <w:jc w:val="center"/>
        </w:trPr>
        <w:tc>
          <w:tcPr>
            <w:tcW w:w="339" w:type="pct"/>
            <w:vAlign w:val="center"/>
          </w:tcPr>
          <w:p w14:paraId="03A506D5">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600" w:type="pct"/>
            <w:vAlign w:val="center"/>
          </w:tcPr>
          <w:p w14:paraId="44BF6A47">
            <w:pPr>
              <w:pStyle w:val="70"/>
              <w:rPr>
                <w:color w:val="000000" w:themeColor="text1"/>
                <w14:textFill>
                  <w14:solidFill>
                    <w14:schemeClr w14:val="tx1"/>
                  </w14:solidFill>
                </w14:textFill>
              </w:rPr>
            </w:pPr>
            <w:r>
              <w:rPr>
                <w:color w:val="000000" w:themeColor="text1"/>
                <w14:textFill>
                  <w14:solidFill>
                    <w14:schemeClr w14:val="tx1"/>
                  </w14:solidFill>
                </w14:textFill>
              </w:rPr>
              <w:t>装卸臂液压站</w:t>
            </w:r>
          </w:p>
        </w:tc>
        <w:tc>
          <w:tcPr>
            <w:tcW w:w="774" w:type="pct"/>
            <w:vAlign w:val="center"/>
          </w:tcPr>
          <w:p w14:paraId="06E94183">
            <w:pPr>
              <w:pStyle w:val="70"/>
              <w:rPr>
                <w:color w:val="000000" w:themeColor="text1"/>
                <w14:textFill>
                  <w14:solidFill>
                    <w14:schemeClr w14:val="tx1"/>
                  </w14:solidFill>
                </w14:textFill>
              </w:rPr>
            </w:pPr>
            <w:r>
              <w:rPr>
                <w:color w:val="000000" w:themeColor="text1"/>
                <w14:textFill>
                  <w14:solidFill>
                    <w14:schemeClr w14:val="tx1"/>
                  </w14:solidFill>
                </w14:textFill>
              </w:rPr>
              <w:t>偶发</w:t>
            </w:r>
          </w:p>
        </w:tc>
        <w:tc>
          <w:tcPr>
            <w:tcW w:w="506" w:type="pct"/>
            <w:vAlign w:val="center"/>
          </w:tcPr>
          <w:p w14:paraId="06CEC4C0">
            <w:pPr>
              <w:pStyle w:val="70"/>
              <w:rPr>
                <w:color w:val="000000" w:themeColor="text1"/>
                <w14:textFill>
                  <w14:solidFill>
                    <w14:schemeClr w14:val="tx1"/>
                  </w14:solidFill>
                </w14:textFill>
              </w:rPr>
            </w:pPr>
            <w:r>
              <w:rPr>
                <w:color w:val="000000" w:themeColor="text1"/>
                <w14:textFill>
                  <w14:solidFill>
                    <w14:schemeClr w14:val="tx1"/>
                  </w14:solidFill>
                </w14:textFill>
              </w:rPr>
              <w:t>类比法</w:t>
            </w:r>
          </w:p>
        </w:tc>
        <w:tc>
          <w:tcPr>
            <w:tcW w:w="556" w:type="pct"/>
            <w:vAlign w:val="center"/>
          </w:tcPr>
          <w:p w14:paraId="7EDA1959">
            <w:pPr>
              <w:pStyle w:val="70"/>
              <w:rPr>
                <w:color w:val="000000" w:themeColor="text1"/>
                <w14:textFill>
                  <w14:solidFill>
                    <w14:schemeClr w14:val="tx1"/>
                  </w14:solidFill>
                </w14:textFill>
              </w:rPr>
            </w:pPr>
            <w:r>
              <w:rPr>
                <w:color w:val="000000" w:themeColor="text1"/>
                <w14:textFill>
                  <w14:solidFill>
                    <w14:schemeClr w14:val="tx1"/>
                  </w14:solidFill>
                </w14:textFill>
              </w:rPr>
              <w:t>80</w:t>
            </w:r>
          </w:p>
        </w:tc>
        <w:tc>
          <w:tcPr>
            <w:tcW w:w="554" w:type="pct"/>
            <w:vAlign w:val="center"/>
          </w:tcPr>
          <w:p w14:paraId="2DA1C426">
            <w:pPr>
              <w:pStyle w:val="70"/>
              <w:rPr>
                <w:color w:val="000000" w:themeColor="text1"/>
                <w14:textFill>
                  <w14:solidFill>
                    <w14:schemeClr w14:val="tx1"/>
                  </w14:solidFill>
                </w14:textFill>
              </w:rPr>
            </w:pPr>
            <w:r>
              <w:rPr>
                <w:color w:val="000000" w:themeColor="text1"/>
                <w14:textFill>
                  <w14:solidFill>
                    <w14:schemeClr w14:val="tx1"/>
                  </w14:solidFill>
                </w14:textFill>
              </w:rPr>
              <w:t>减振降噪</w:t>
            </w:r>
          </w:p>
        </w:tc>
        <w:tc>
          <w:tcPr>
            <w:tcW w:w="556" w:type="pct"/>
            <w:vAlign w:val="center"/>
          </w:tcPr>
          <w:p w14:paraId="3F03C577">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554" w:type="pct"/>
            <w:vAlign w:val="center"/>
          </w:tcPr>
          <w:p w14:paraId="15FCD8FD">
            <w:pPr>
              <w:pStyle w:val="70"/>
              <w:rPr>
                <w:color w:val="000000" w:themeColor="text1"/>
                <w14:textFill>
                  <w14:solidFill>
                    <w14:schemeClr w14:val="tx1"/>
                  </w14:solidFill>
                </w14:textFill>
              </w:rPr>
            </w:pPr>
            <w:r>
              <w:rPr>
                <w:color w:val="000000" w:themeColor="text1"/>
                <w14:textFill>
                  <w14:solidFill>
                    <w14:schemeClr w14:val="tx1"/>
                  </w14:solidFill>
                </w14:textFill>
              </w:rPr>
              <w:t>类比法</w:t>
            </w:r>
          </w:p>
        </w:tc>
        <w:tc>
          <w:tcPr>
            <w:tcW w:w="557" w:type="pct"/>
            <w:vAlign w:val="center"/>
          </w:tcPr>
          <w:p w14:paraId="002085CB">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r>
      <w:tr w14:paraId="0BC94C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9" w:hRule="atLeast"/>
          <w:jc w:val="center"/>
        </w:trPr>
        <w:tc>
          <w:tcPr>
            <w:tcW w:w="339" w:type="pct"/>
            <w:vAlign w:val="center"/>
          </w:tcPr>
          <w:p w14:paraId="50785E30">
            <w:pPr>
              <w:pStyle w:val="70"/>
              <w:rPr>
                <w:color w:val="000000" w:themeColor="text1"/>
                <w14:textFill>
                  <w14:solidFill>
                    <w14:schemeClr w14:val="tx1"/>
                  </w14:solidFill>
                </w14:textFill>
              </w:rPr>
            </w:pPr>
          </w:p>
        </w:tc>
        <w:tc>
          <w:tcPr>
            <w:tcW w:w="600" w:type="pct"/>
            <w:vAlign w:val="center"/>
          </w:tcPr>
          <w:p w14:paraId="099F1CB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软管（3根）</w:t>
            </w:r>
          </w:p>
        </w:tc>
        <w:tc>
          <w:tcPr>
            <w:tcW w:w="774" w:type="pct"/>
            <w:vAlign w:val="center"/>
          </w:tcPr>
          <w:p w14:paraId="3482116F">
            <w:pPr>
              <w:pStyle w:val="70"/>
              <w:rPr>
                <w:color w:val="000000" w:themeColor="text1"/>
                <w14:textFill>
                  <w14:solidFill>
                    <w14:schemeClr w14:val="tx1"/>
                  </w14:solidFill>
                </w14:textFill>
              </w:rPr>
            </w:pPr>
            <w:r>
              <w:rPr>
                <w:color w:val="000000" w:themeColor="text1"/>
                <w14:textFill>
                  <w14:solidFill>
                    <w14:schemeClr w14:val="tx1"/>
                  </w14:solidFill>
                </w14:textFill>
              </w:rPr>
              <w:t>偶发</w:t>
            </w:r>
          </w:p>
        </w:tc>
        <w:tc>
          <w:tcPr>
            <w:tcW w:w="506" w:type="pct"/>
            <w:vAlign w:val="center"/>
          </w:tcPr>
          <w:p w14:paraId="44ABE3D2">
            <w:pPr>
              <w:pStyle w:val="70"/>
              <w:rPr>
                <w:color w:val="000000" w:themeColor="text1"/>
                <w14:textFill>
                  <w14:solidFill>
                    <w14:schemeClr w14:val="tx1"/>
                  </w14:solidFill>
                </w14:textFill>
              </w:rPr>
            </w:pPr>
            <w:r>
              <w:rPr>
                <w:color w:val="000000" w:themeColor="text1"/>
                <w14:textFill>
                  <w14:solidFill>
                    <w14:schemeClr w14:val="tx1"/>
                  </w14:solidFill>
                </w14:textFill>
              </w:rPr>
              <w:t>类比法</w:t>
            </w:r>
          </w:p>
        </w:tc>
        <w:tc>
          <w:tcPr>
            <w:tcW w:w="556" w:type="pct"/>
            <w:vAlign w:val="center"/>
          </w:tcPr>
          <w:p w14:paraId="1A6250D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554" w:type="pct"/>
            <w:vAlign w:val="center"/>
          </w:tcPr>
          <w:p w14:paraId="733DA048">
            <w:pPr>
              <w:pStyle w:val="70"/>
              <w:rPr>
                <w:color w:val="000000" w:themeColor="text1"/>
                <w14:textFill>
                  <w14:solidFill>
                    <w14:schemeClr w14:val="tx1"/>
                  </w14:solidFill>
                </w14:textFill>
              </w:rPr>
            </w:pPr>
            <w:r>
              <w:rPr>
                <w:color w:val="000000" w:themeColor="text1"/>
                <w14:textFill>
                  <w14:solidFill>
                    <w14:schemeClr w14:val="tx1"/>
                  </w14:solidFill>
                </w14:textFill>
              </w:rPr>
              <w:t>减振降噪</w:t>
            </w:r>
          </w:p>
        </w:tc>
        <w:tc>
          <w:tcPr>
            <w:tcW w:w="556" w:type="pct"/>
            <w:vAlign w:val="center"/>
          </w:tcPr>
          <w:p w14:paraId="5F3C8F1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554" w:type="pct"/>
            <w:vAlign w:val="center"/>
          </w:tcPr>
          <w:p w14:paraId="531A7582">
            <w:pPr>
              <w:pStyle w:val="70"/>
              <w:rPr>
                <w:color w:val="000000" w:themeColor="text1"/>
                <w14:textFill>
                  <w14:solidFill>
                    <w14:schemeClr w14:val="tx1"/>
                  </w14:solidFill>
                </w14:textFill>
              </w:rPr>
            </w:pPr>
            <w:r>
              <w:rPr>
                <w:color w:val="000000" w:themeColor="text1"/>
                <w14:textFill>
                  <w14:solidFill>
                    <w14:schemeClr w14:val="tx1"/>
                  </w14:solidFill>
                </w14:textFill>
              </w:rPr>
              <w:t>类比法</w:t>
            </w:r>
          </w:p>
        </w:tc>
        <w:tc>
          <w:tcPr>
            <w:tcW w:w="557" w:type="pct"/>
            <w:vAlign w:val="center"/>
          </w:tcPr>
          <w:p w14:paraId="58A6D2F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55</w:t>
            </w:r>
          </w:p>
        </w:tc>
      </w:tr>
    </w:tbl>
    <w:p w14:paraId="6FC6CDD6">
      <w:pPr>
        <w:pStyle w:val="7"/>
        <w:tabs>
          <w:tab w:val="left" w:pos="2127"/>
          <w:tab w:val="left" w:pos="2411"/>
        </w:tabs>
        <w:rPr>
          <w:color w:val="000000" w:themeColor="text1"/>
          <w14:textFill>
            <w14:solidFill>
              <w14:schemeClr w14:val="tx1"/>
            </w14:solidFill>
          </w14:textFill>
        </w:rPr>
      </w:pPr>
      <w:r>
        <w:rPr>
          <w:color w:val="000000" w:themeColor="text1"/>
          <w14:textFill>
            <w14:solidFill>
              <w14:schemeClr w14:val="tx1"/>
            </w14:solidFill>
          </w14:textFill>
        </w:rPr>
        <w:t>固体废物污染源源强核算汇总表</w:t>
      </w:r>
    </w:p>
    <w:tbl>
      <w:tblPr>
        <w:tblStyle w:val="43"/>
        <w:tblW w:w="500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66"/>
        <w:gridCol w:w="1118"/>
        <w:gridCol w:w="1891"/>
        <w:gridCol w:w="1212"/>
        <w:gridCol w:w="1408"/>
        <w:gridCol w:w="1329"/>
        <w:gridCol w:w="940"/>
        <w:gridCol w:w="1348"/>
        <w:gridCol w:w="4082"/>
      </w:tblGrid>
      <w:tr w14:paraId="264C3B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5" w:type="pct"/>
            <w:vMerge w:val="restart"/>
            <w:vAlign w:val="center"/>
          </w:tcPr>
          <w:p w14:paraId="23AB2E39">
            <w:pPr>
              <w:pStyle w:val="70"/>
              <w:rPr>
                <w:b/>
                <w:color w:val="000000" w:themeColor="text1"/>
                <w14:textFill>
                  <w14:solidFill>
                    <w14:schemeClr w14:val="tx1"/>
                  </w14:solidFill>
                </w14:textFill>
              </w:rPr>
            </w:pPr>
            <w:r>
              <w:rPr>
                <w:b/>
                <w:color w:val="000000" w:themeColor="text1"/>
                <w14:textFill>
                  <w14:solidFill>
                    <w14:schemeClr w14:val="tx1"/>
                  </w14:solidFill>
                </w14:textFill>
              </w:rPr>
              <w:t>装置</w:t>
            </w:r>
          </w:p>
        </w:tc>
        <w:tc>
          <w:tcPr>
            <w:tcW w:w="1060" w:type="pct"/>
            <w:gridSpan w:val="2"/>
            <w:vMerge w:val="restart"/>
            <w:vAlign w:val="center"/>
          </w:tcPr>
          <w:p w14:paraId="468BA119">
            <w:pPr>
              <w:pStyle w:val="70"/>
              <w:rPr>
                <w:b/>
                <w:color w:val="000000" w:themeColor="text1"/>
                <w14:textFill>
                  <w14:solidFill>
                    <w14:schemeClr w14:val="tx1"/>
                  </w14:solidFill>
                </w14:textFill>
              </w:rPr>
            </w:pPr>
            <w:r>
              <w:rPr>
                <w:b/>
                <w:color w:val="000000" w:themeColor="text1"/>
                <w14:textFill>
                  <w14:solidFill>
                    <w14:schemeClr w14:val="tx1"/>
                  </w14:solidFill>
                </w14:textFill>
              </w:rPr>
              <w:t>固体废物名称</w:t>
            </w:r>
          </w:p>
        </w:tc>
        <w:tc>
          <w:tcPr>
            <w:tcW w:w="427" w:type="pct"/>
            <w:vMerge w:val="restart"/>
            <w:vAlign w:val="center"/>
          </w:tcPr>
          <w:p w14:paraId="564FD6EF">
            <w:pPr>
              <w:pStyle w:val="70"/>
              <w:rPr>
                <w:b/>
                <w:color w:val="000000" w:themeColor="text1"/>
                <w14:textFill>
                  <w14:solidFill>
                    <w14:schemeClr w14:val="tx1"/>
                  </w14:solidFill>
                </w14:textFill>
              </w:rPr>
            </w:pPr>
            <w:r>
              <w:rPr>
                <w:b/>
                <w:color w:val="000000" w:themeColor="text1"/>
                <w14:textFill>
                  <w14:solidFill>
                    <w14:schemeClr w14:val="tx1"/>
                  </w14:solidFill>
                </w14:textFill>
              </w:rPr>
              <w:t>属性</w:t>
            </w:r>
          </w:p>
        </w:tc>
        <w:tc>
          <w:tcPr>
            <w:tcW w:w="964" w:type="pct"/>
            <w:gridSpan w:val="2"/>
            <w:vAlign w:val="center"/>
          </w:tcPr>
          <w:p w14:paraId="4BDEB4D3">
            <w:pPr>
              <w:pStyle w:val="70"/>
              <w:rPr>
                <w:b/>
                <w:color w:val="000000" w:themeColor="text1"/>
                <w14:textFill>
                  <w14:solidFill>
                    <w14:schemeClr w14:val="tx1"/>
                  </w14:solidFill>
                </w14:textFill>
              </w:rPr>
            </w:pPr>
            <w:r>
              <w:rPr>
                <w:b/>
                <w:color w:val="000000" w:themeColor="text1"/>
                <w14:textFill>
                  <w14:solidFill>
                    <w14:schemeClr w14:val="tx1"/>
                  </w14:solidFill>
                </w14:textFill>
              </w:rPr>
              <w:t>产生情况</w:t>
            </w:r>
          </w:p>
        </w:tc>
        <w:tc>
          <w:tcPr>
            <w:tcW w:w="806" w:type="pct"/>
            <w:gridSpan w:val="2"/>
            <w:vAlign w:val="center"/>
          </w:tcPr>
          <w:p w14:paraId="30E8A6AE">
            <w:pPr>
              <w:pStyle w:val="70"/>
              <w:rPr>
                <w:b/>
                <w:color w:val="000000" w:themeColor="text1"/>
                <w14:textFill>
                  <w14:solidFill>
                    <w14:schemeClr w14:val="tx1"/>
                  </w14:solidFill>
                </w14:textFill>
              </w:rPr>
            </w:pPr>
            <w:r>
              <w:rPr>
                <w:b/>
                <w:color w:val="000000" w:themeColor="text1"/>
                <w14:textFill>
                  <w14:solidFill>
                    <w14:schemeClr w14:val="tx1"/>
                  </w14:solidFill>
                </w14:textFill>
              </w:rPr>
              <w:t>处置措施</w:t>
            </w:r>
          </w:p>
        </w:tc>
        <w:tc>
          <w:tcPr>
            <w:tcW w:w="1438" w:type="pct"/>
            <w:vMerge w:val="restart"/>
            <w:vAlign w:val="center"/>
          </w:tcPr>
          <w:p w14:paraId="24F2FE35">
            <w:pPr>
              <w:pStyle w:val="70"/>
              <w:rPr>
                <w:b/>
                <w:color w:val="000000" w:themeColor="text1"/>
                <w14:textFill>
                  <w14:solidFill>
                    <w14:schemeClr w14:val="tx1"/>
                  </w14:solidFill>
                </w14:textFill>
              </w:rPr>
            </w:pPr>
            <w:r>
              <w:rPr>
                <w:b/>
                <w:color w:val="000000" w:themeColor="text1"/>
                <w14:textFill>
                  <w14:solidFill>
                    <w14:schemeClr w14:val="tx1"/>
                  </w14:solidFill>
                </w14:textFill>
              </w:rPr>
              <w:t>最终去向</w:t>
            </w:r>
          </w:p>
        </w:tc>
      </w:tr>
      <w:tr w14:paraId="2AEB21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5" w:type="pct"/>
            <w:vMerge w:val="continue"/>
            <w:vAlign w:val="center"/>
          </w:tcPr>
          <w:p w14:paraId="174F6DFF">
            <w:pPr>
              <w:pStyle w:val="70"/>
              <w:rPr>
                <w:b/>
                <w:color w:val="000000" w:themeColor="text1"/>
                <w14:textFill>
                  <w14:solidFill>
                    <w14:schemeClr w14:val="tx1"/>
                  </w14:solidFill>
                </w14:textFill>
              </w:rPr>
            </w:pPr>
          </w:p>
        </w:tc>
        <w:tc>
          <w:tcPr>
            <w:tcW w:w="1060" w:type="pct"/>
            <w:gridSpan w:val="2"/>
            <w:vMerge w:val="continue"/>
            <w:vAlign w:val="center"/>
          </w:tcPr>
          <w:p w14:paraId="2C844DCC">
            <w:pPr>
              <w:pStyle w:val="70"/>
              <w:rPr>
                <w:b/>
                <w:color w:val="000000" w:themeColor="text1"/>
                <w14:textFill>
                  <w14:solidFill>
                    <w14:schemeClr w14:val="tx1"/>
                  </w14:solidFill>
                </w14:textFill>
              </w:rPr>
            </w:pPr>
          </w:p>
        </w:tc>
        <w:tc>
          <w:tcPr>
            <w:tcW w:w="427" w:type="pct"/>
            <w:vMerge w:val="continue"/>
            <w:vAlign w:val="center"/>
          </w:tcPr>
          <w:p w14:paraId="052D466B">
            <w:pPr>
              <w:pStyle w:val="70"/>
              <w:rPr>
                <w:b/>
                <w:color w:val="000000" w:themeColor="text1"/>
                <w14:textFill>
                  <w14:solidFill>
                    <w14:schemeClr w14:val="tx1"/>
                  </w14:solidFill>
                </w14:textFill>
              </w:rPr>
            </w:pPr>
          </w:p>
        </w:tc>
        <w:tc>
          <w:tcPr>
            <w:tcW w:w="496" w:type="pct"/>
            <w:vAlign w:val="center"/>
          </w:tcPr>
          <w:p w14:paraId="4BC8E1AF">
            <w:pPr>
              <w:pStyle w:val="70"/>
              <w:rPr>
                <w:b/>
                <w:color w:val="000000" w:themeColor="text1"/>
                <w14:textFill>
                  <w14:solidFill>
                    <w14:schemeClr w14:val="tx1"/>
                  </w14:solidFill>
                </w14:textFill>
              </w:rPr>
            </w:pPr>
            <w:r>
              <w:rPr>
                <w:b/>
                <w:color w:val="000000" w:themeColor="text1"/>
                <w14:textFill>
                  <w14:solidFill>
                    <w14:schemeClr w14:val="tx1"/>
                  </w14:solidFill>
                </w14:textFill>
              </w:rPr>
              <w:t>核算方法</w:t>
            </w:r>
          </w:p>
        </w:tc>
        <w:tc>
          <w:tcPr>
            <w:tcW w:w="468" w:type="pct"/>
            <w:vAlign w:val="center"/>
          </w:tcPr>
          <w:p w14:paraId="74B132EC">
            <w:pPr>
              <w:pStyle w:val="70"/>
              <w:rPr>
                <w:b/>
                <w:color w:val="000000" w:themeColor="text1"/>
                <w14:textFill>
                  <w14:solidFill>
                    <w14:schemeClr w14:val="tx1"/>
                  </w14:solidFill>
                </w14:textFill>
              </w:rPr>
            </w:pPr>
            <w:r>
              <w:rPr>
                <w:b/>
                <w:color w:val="000000" w:themeColor="text1"/>
                <w14:textFill>
                  <w14:solidFill>
                    <w14:schemeClr w14:val="tx1"/>
                  </w14:solidFill>
                </w14:textFill>
              </w:rPr>
              <w:t>产生量（t/a）</w:t>
            </w:r>
          </w:p>
        </w:tc>
        <w:tc>
          <w:tcPr>
            <w:tcW w:w="331" w:type="pct"/>
            <w:vAlign w:val="center"/>
          </w:tcPr>
          <w:p w14:paraId="4E7CC484">
            <w:pPr>
              <w:pStyle w:val="70"/>
              <w:rPr>
                <w:b/>
                <w:color w:val="000000" w:themeColor="text1"/>
                <w14:textFill>
                  <w14:solidFill>
                    <w14:schemeClr w14:val="tx1"/>
                  </w14:solidFill>
                </w14:textFill>
              </w:rPr>
            </w:pPr>
            <w:r>
              <w:rPr>
                <w:b/>
                <w:color w:val="000000" w:themeColor="text1"/>
                <w14:textFill>
                  <w14:solidFill>
                    <w14:schemeClr w14:val="tx1"/>
                  </w14:solidFill>
                </w14:textFill>
              </w:rPr>
              <w:t>工艺</w:t>
            </w:r>
          </w:p>
        </w:tc>
        <w:tc>
          <w:tcPr>
            <w:tcW w:w="475" w:type="pct"/>
            <w:vAlign w:val="center"/>
          </w:tcPr>
          <w:p w14:paraId="6675486B">
            <w:pPr>
              <w:pStyle w:val="70"/>
              <w:rPr>
                <w:b/>
                <w:color w:val="000000" w:themeColor="text1"/>
                <w14:textFill>
                  <w14:solidFill>
                    <w14:schemeClr w14:val="tx1"/>
                  </w14:solidFill>
                </w14:textFill>
              </w:rPr>
            </w:pPr>
            <w:r>
              <w:rPr>
                <w:b/>
                <w:color w:val="000000" w:themeColor="text1"/>
                <w14:textFill>
                  <w14:solidFill>
                    <w14:schemeClr w14:val="tx1"/>
                  </w14:solidFill>
                </w14:textFill>
              </w:rPr>
              <w:t>处置量（t/a）</w:t>
            </w:r>
          </w:p>
        </w:tc>
        <w:tc>
          <w:tcPr>
            <w:tcW w:w="1438" w:type="pct"/>
            <w:vMerge w:val="continue"/>
            <w:vAlign w:val="center"/>
          </w:tcPr>
          <w:p w14:paraId="6881A0F2">
            <w:pPr>
              <w:pStyle w:val="70"/>
              <w:rPr>
                <w:b/>
                <w:color w:val="000000" w:themeColor="text1"/>
                <w14:textFill>
                  <w14:solidFill>
                    <w14:schemeClr w14:val="tx1"/>
                  </w14:solidFill>
                </w14:textFill>
              </w:rPr>
            </w:pPr>
          </w:p>
        </w:tc>
      </w:tr>
      <w:tr w14:paraId="070FD1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5" w:type="pct"/>
            <w:vAlign w:val="center"/>
          </w:tcPr>
          <w:p w14:paraId="05BE7FDF">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394" w:type="pct"/>
            <w:vAlign w:val="center"/>
          </w:tcPr>
          <w:p w14:paraId="0D733091">
            <w:pPr>
              <w:pStyle w:val="70"/>
              <w:rPr>
                <w:color w:val="000000" w:themeColor="text1"/>
                <w14:textFill>
                  <w14:solidFill>
                    <w14:schemeClr w14:val="tx1"/>
                  </w14:solidFill>
                </w14:textFill>
              </w:rPr>
            </w:pPr>
            <w:r>
              <w:rPr>
                <w:color w:val="000000" w:themeColor="text1"/>
                <w14:textFill>
                  <w14:solidFill>
                    <w14:schemeClr w14:val="tx1"/>
                  </w14:solidFill>
                </w14:textFill>
              </w:rPr>
              <w:t>维修废物</w:t>
            </w:r>
          </w:p>
        </w:tc>
        <w:tc>
          <w:tcPr>
            <w:tcW w:w="665" w:type="pct"/>
            <w:vAlign w:val="center"/>
          </w:tcPr>
          <w:p w14:paraId="6F32E0B3">
            <w:pPr>
              <w:pStyle w:val="70"/>
              <w:rPr>
                <w:color w:val="000000" w:themeColor="text1"/>
                <w14:textFill>
                  <w14:solidFill>
                    <w14:schemeClr w14:val="tx1"/>
                  </w14:solidFill>
                </w14:textFill>
              </w:rPr>
            </w:pPr>
            <w:r>
              <w:rPr>
                <w:color w:val="000000" w:themeColor="text1"/>
                <w14:textFill>
                  <w14:solidFill>
                    <w14:schemeClr w14:val="tx1"/>
                  </w14:solidFill>
                </w14:textFill>
              </w:rPr>
              <w:t>含油废布及棉纱</w:t>
            </w:r>
          </w:p>
        </w:tc>
        <w:tc>
          <w:tcPr>
            <w:tcW w:w="427" w:type="pct"/>
            <w:vAlign w:val="center"/>
          </w:tcPr>
          <w:p w14:paraId="49468E22">
            <w:pPr>
              <w:pStyle w:val="70"/>
              <w:rPr>
                <w:color w:val="000000" w:themeColor="text1"/>
                <w14:textFill>
                  <w14:solidFill>
                    <w14:schemeClr w14:val="tx1"/>
                  </w14:solidFill>
                </w14:textFill>
              </w:rPr>
            </w:pPr>
            <w:r>
              <w:rPr>
                <w:color w:val="000000" w:themeColor="text1"/>
                <w14:textFill>
                  <w14:solidFill>
                    <w14:schemeClr w14:val="tx1"/>
                  </w14:solidFill>
                </w14:textFill>
              </w:rPr>
              <w:t>危险废物</w:t>
            </w:r>
          </w:p>
        </w:tc>
        <w:tc>
          <w:tcPr>
            <w:tcW w:w="496" w:type="pct"/>
            <w:vAlign w:val="center"/>
          </w:tcPr>
          <w:p w14:paraId="61887140">
            <w:pPr>
              <w:pStyle w:val="70"/>
              <w:rPr>
                <w:color w:val="000000" w:themeColor="text1"/>
                <w14:textFill>
                  <w14:solidFill>
                    <w14:schemeClr w14:val="tx1"/>
                  </w14:solidFill>
                </w14:textFill>
              </w:rPr>
            </w:pPr>
            <w:r>
              <w:rPr>
                <w:color w:val="000000" w:themeColor="text1"/>
                <w14:textFill>
                  <w14:solidFill>
                    <w14:schemeClr w14:val="tx1"/>
                  </w14:solidFill>
                </w14:textFill>
              </w:rPr>
              <w:t>类比法</w:t>
            </w:r>
          </w:p>
        </w:tc>
        <w:tc>
          <w:tcPr>
            <w:tcW w:w="468" w:type="pct"/>
            <w:vAlign w:val="center"/>
          </w:tcPr>
          <w:p w14:paraId="56387379">
            <w:pPr>
              <w:pStyle w:val="70"/>
              <w:rPr>
                <w:color w:val="000000" w:themeColor="text1"/>
                <w14:textFill>
                  <w14:solidFill>
                    <w14:schemeClr w14:val="tx1"/>
                  </w14:solidFill>
                </w14:textFill>
              </w:rPr>
            </w:pPr>
            <w:r>
              <w:rPr>
                <w:color w:val="000000" w:themeColor="text1"/>
                <w14:textFill>
                  <w14:solidFill>
                    <w14:schemeClr w14:val="tx1"/>
                  </w14:solidFill>
                </w14:textFill>
              </w:rPr>
              <w:t>0.05</w:t>
            </w:r>
          </w:p>
        </w:tc>
        <w:tc>
          <w:tcPr>
            <w:tcW w:w="331" w:type="pct"/>
            <w:vAlign w:val="center"/>
          </w:tcPr>
          <w:p w14:paraId="05A2A22F">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475" w:type="pct"/>
            <w:vAlign w:val="center"/>
          </w:tcPr>
          <w:p w14:paraId="129BC715">
            <w:pPr>
              <w:pStyle w:val="70"/>
              <w:rPr>
                <w:color w:val="000000" w:themeColor="text1"/>
                <w14:textFill>
                  <w14:solidFill>
                    <w14:schemeClr w14:val="tx1"/>
                  </w14:solidFill>
                </w14:textFill>
              </w:rPr>
            </w:pPr>
            <w:r>
              <w:rPr>
                <w:color w:val="000000" w:themeColor="text1"/>
                <w14:textFill>
                  <w14:solidFill>
                    <w14:schemeClr w14:val="tx1"/>
                  </w14:solidFill>
                </w14:textFill>
              </w:rPr>
              <w:t>0.05</w:t>
            </w:r>
          </w:p>
        </w:tc>
        <w:tc>
          <w:tcPr>
            <w:tcW w:w="1438" w:type="pct"/>
            <w:vAlign w:val="center"/>
          </w:tcPr>
          <w:p w14:paraId="5675EF8D">
            <w:pPr>
              <w:pStyle w:val="7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暂存在危废暂存间，定期</w:t>
            </w:r>
            <w:r>
              <w:rPr>
                <w:rFonts w:hint="eastAsia"/>
                <w:color w:val="000000" w:themeColor="text1"/>
                <w14:textFill>
                  <w14:solidFill>
                    <w14:schemeClr w14:val="tx1"/>
                  </w14:solidFill>
                </w14:textFill>
              </w:rPr>
              <w:t>委托有资质的单位处理</w:t>
            </w:r>
          </w:p>
        </w:tc>
      </w:tr>
      <w:tr w14:paraId="29857E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5" w:type="pct"/>
            <w:vAlign w:val="center"/>
          </w:tcPr>
          <w:p w14:paraId="17260DE7">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394" w:type="pct"/>
            <w:vAlign w:val="center"/>
          </w:tcPr>
          <w:p w14:paraId="2B5606ED">
            <w:pPr>
              <w:pStyle w:val="70"/>
              <w:rPr>
                <w:color w:val="000000" w:themeColor="text1"/>
                <w14:textFill>
                  <w14:solidFill>
                    <w14:schemeClr w14:val="tx1"/>
                  </w14:solidFill>
                </w14:textFill>
              </w:rPr>
            </w:pPr>
            <w:r>
              <w:rPr>
                <w:color w:val="000000" w:themeColor="text1"/>
                <w14:textFill>
                  <w14:solidFill>
                    <w14:schemeClr w14:val="tx1"/>
                  </w14:solidFill>
                </w14:textFill>
              </w:rPr>
              <w:t>船舶垃圾</w:t>
            </w:r>
          </w:p>
        </w:tc>
        <w:tc>
          <w:tcPr>
            <w:tcW w:w="665" w:type="pct"/>
            <w:vAlign w:val="center"/>
          </w:tcPr>
          <w:p w14:paraId="3DB4BAE8">
            <w:pPr>
              <w:pStyle w:val="70"/>
              <w:rPr>
                <w:color w:val="000000" w:themeColor="text1"/>
                <w14:textFill>
                  <w14:solidFill>
                    <w14:schemeClr w14:val="tx1"/>
                  </w14:solidFill>
                </w14:textFill>
              </w:rPr>
            </w:pPr>
            <w:r>
              <w:rPr>
                <w:color w:val="000000" w:themeColor="text1"/>
                <w14:textFill>
                  <w14:solidFill>
                    <w14:schemeClr w14:val="tx1"/>
                  </w14:solidFill>
                </w14:textFill>
              </w:rPr>
              <w:t>船舶生活垃圾</w:t>
            </w:r>
          </w:p>
        </w:tc>
        <w:tc>
          <w:tcPr>
            <w:tcW w:w="427" w:type="pct"/>
            <w:vAlign w:val="center"/>
          </w:tcPr>
          <w:p w14:paraId="0D13C578">
            <w:pPr>
              <w:pStyle w:val="70"/>
              <w:rPr>
                <w:color w:val="000000" w:themeColor="text1"/>
                <w14:textFill>
                  <w14:solidFill>
                    <w14:schemeClr w14:val="tx1"/>
                  </w14:solidFill>
                </w14:textFill>
              </w:rPr>
            </w:pPr>
            <w:r>
              <w:rPr>
                <w:color w:val="000000" w:themeColor="text1"/>
                <w14:textFill>
                  <w14:solidFill>
                    <w14:schemeClr w14:val="tx1"/>
                  </w14:solidFill>
                </w14:textFill>
              </w:rPr>
              <w:t>一般固废</w:t>
            </w:r>
          </w:p>
        </w:tc>
        <w:tc>
          <w:tcPr>
            <w:tcW w:w="496" w:type="pct"/>
            <w:vAlign w:val="center"/>
          </w:tcPr>
          <w:p w14:paraId="3D3AA74A">
            <w:pPr>
              <w:pStyle w:val="70"/>
              <w:rPr>
                <w:color w:val="000000" w:themeColor="text1"/>
                <w14:textFill>
                  <w14:solidFill>
                    <w14:schemeClr w14:val="tx1"/>
                  </w14:solidFill>
                </w14:textFill>
              </w:rPr>
            </w:pPr>
            <w:r>
              <w:rPr>
                <w:color w:val="000000" w:themeColor="text1"/>
                <w14:textFill>
                  <w14:solidFill>
                    <w14:schemeClr w14:val="tx1"/>
                  </w14:solidFill>
                </w14:textFill>
              </w:rPr>
              <w:t>排污系数法</w:t>
            </w:r>
          </w:p>
        </w:tc>
        <w:tc>
          <w:tcPr>
            <w:tcW w:w="468" w:type="pct"/>
            <w:vAlign w:val="center"/>
          </w:tcPr>
          <w:p w14:paraId="5C503D21">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331" w:type="pct"/>
            <w:vAlign w:val="center"/>
          </w:tcPr>
          <w:p w14:paraId="47AE7D6E">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475" w:type="pct"/>
            <w:vAlign w:val="center"/>
          </w:tcPr>
          <w:p w14:paraId="1C1A58CC">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1438" w:type="pct"/>
            <w:vAlign w:val="center"/>
          </w:tcPr>
          <w:p w14:paraId="4883072C">
            <w:pPr>
              <w:pStyle w:val="70"/>
              <w:rPr>
                <w:rFonts w:hint="default"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由</w:t>
            </w:r>
            <w:r>
              <w:rPr>
                <w:rFonts w:hint="eastAsia"/>
                <w:color w:val="000000" w:themeColor="text1"/>
                <w:lang w:val="en-US" w:eastAsia="zh-CN"/>
                <w14:textFill>
                  <w14:solidFill>
                    <w14:schemeClr w14:val="tx1"/>
                  </w14:solidFill>
                </w14:textFill>
              </w:rPr>
              <w:t>有资质单位接收</w:t>
            </w:r>
          </w:p>
        </w:tc>
      </w:tr>
    </w:tbl>
    <w:p w14:paraId="40EF62B7">
      <w:pPr>
        <w:ind w:firstLine="480"/>
        <w:rPr>
          <w:color w:val="000000" w:themeColor="text1"/>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720" w:num="1"/>
          <w:docGrid w:type="lines" w:linePitch="326" w:charSpace="0"/>
        </w:sectPr>
      </w:pPr>
    </w:p>
    <w:p w14:paraId="2314DEBA">
      <w:pPr>
        <w:pStyle w:val="6"/>
        <w:rPr>
          <w:color w:val="000000" w:themeColor="text1"/>
          <w14:textFill>
            <w14:solidFill>
              <w14:schemeClr w14:val="tx1"/>
            </w14:solidFill>
          </w14:textFill>
        </w:rPr>
      </w:pPr>
      <w:r>
        <w:rPr>
          <w:color w:val="000000" w:themeColor="text1"/>
          <w14:textFill>
            <w14:solidFill>
              <w14:schemeClr w14:val="tx1"/>
            </w14:solidFill>
          </w14:textFill>
        </w:rPr>
        <w:t>生态环境影响因素分析</w:t>
      </w:r>
    </w:p>
    <w:p w14:paraId="75BB7B48">
      <w:pPr>
        <w:ind w:firstLine="480"/>
        <w:rPr>
          <w:color w:val="000000" w:themeColor="text1"/>
          <w14:textFill>
            <w14:solidFill>
              <w14:schemeClr w14:val="tx1"/>
            </w14:solidFill>
          </w14:textFill>
        </w:rPr>
      </w:pPr>
      <w:r>
        <w:rPr>
          <w:color w:val="000000" w:themeColor="text1"/>
          <w14:textFill>
            <w14:solidFill>
              <w14:schemeClr w14:val="tx1"/>
            </w14:solidFill>
          </w14:textFill>
        </w:rPr>
        <w:t>项目不涉及水中施工，营运期生态环境影响主要来自风险事故发生对生态环境影响。其影响分析见“章节</w:t>
      </w:r>
      <w:r>
        <w:rPr>
          <w:rFonts w:hint="eastAsia"/>
          <w:color w:val="000000" w:themeColor="text1"/>
          <w14:textFill>
            <w14:solidFill>
              <w14:schemeClr w14:val="tx1"/>
            </w14:solidFill>
          </w14:textFill>
        </w:rPr>
        <w:t>5环境风险分析</w:t>
      </w:r>
      <w:r>
        <w:rPr>
          <w:color w:val="000000" w:themeColor="text1"/>
          <w14:textFill>
            <w14:solidFill>
              <w14:schemeClr w14:val="tx1"/>
            </w14:solidFill>
          </w14:textFill>
        </w:rPr>
        <w:t>”</w:t>
      </w:r>
    </w:p>
    <w:p w14:paraId="49755506">
      <w:pPr>
        <w:pStyle w:val="4"/>
        <w:rPr>
          <w:color w:val="000000" w:themeColor="text1"/>
          <w14:textFill>
            <w14:solidFill>
              <w14:schemeClr w14:val="tx1"/>
            </w14:solidFill>
          </w14:textFill>
        </w:rPr>
      </w:pPr>
      <w:bookmarkStart w:id="489" w:name="_Toc216103366"/>
      <w:bookmarkStart w:id="490" w:name="_Toc136878461"/>
      <w:bookmarkStart w:id="491" w:name="_Toc135090212"/>
      <w:bookmarkStart w:id="492" w:name="_Toc25436947"/>
      <w:bookmarkStart w:id="493" w:name="_Toc216620525"/>
      <w:bookmarkStart w:id="494" w:name="_Toc29131807"/>
      <w:bookmarkStart w:id="495" w:name="_Toc26909993"/>
      <w:r>
        <w:rPr>
          <w:color w:val="000000" w:themeColor="text1"/>
          <w14:textFill>
            <w14:solidFill>
              <w14:schemeClr w14:val="tx1"/>
            </w14:solidFill>
          </w14:textFill>
        </w:rPr>
        <w:t>环境风险事故</w:t>
      </w:r>
      <w:bookmarkEnd w:id="489"/>
      <w:bookmarkEnd w:id="490"/>
      <w:bookmarkEnd w:id="491"/>
      <w:bookmarkEnd w:id="492"/>
      <w:bookmarkEnd w:id="493"/>
      <w:bookmarkEnd w:id="494"/>
      <w:bookmarkEnd w:id="495"/>
    </w:p>
    <w:p w14:paraId="278A080A">
      <w:pPr>
        <w:ind w:firstLine="480"/>
        <w:rPr>
          <w:color w:val="000000" w:themeColor="text1"/>
          <w14:textFill>
            <w14:solidFill>
              <w14:schemeClr w14:val="tx1"/>
            </w14:solidFill>
          </w14:textFill>
        </w:rPr>
      </w:pPr>
      <w:r>
        <w:rPr>
          <w:color w:val="000000" w:themeColor="text1"/>
          <w14:textFill>
            <w14:solidFill>
              <w14:schemeClr w14:val="tx1"/>
            </w14:solidFill>
          </w14:textFill>
        </w:rPr>
        <w:t>本工程运营期环境风险主要是进出港船舶交通事故造成的水上溢油风险事故以及因管道及阀门泄漏等造成的装卸船作业液化品泄漏事故。污染源强由事故大小决定。</w:t>
      </w:r>
    </w:p>
    <w:p w14:paraId="3BACD2BF">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总体工程“三本账”</w:t>
      </w:r>
    </w:p>
    <w:p w14:paraId="4EB5488B">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现有项目排放量引用《钦州港金谷港区金鼓江作业区 14 号、15号泊位工程（重大变动）环境影响报告书》（2023.8）章节2.3.3计算结果。</w:t>
      </w:r>
    </w:p>
    <w:p w14:paraId="5037A22C">
      <w:pPr>
        <w:pStyle w:val="7"/>
        <w:tabs>
          <w:tab w:val="left" w:pos="2127"/>
          <w:tab w:val="left" w:pos="2411"/>
        </w:tabs>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项目总体工程三本账</w:t>
      </w:r>
    </w:p>
    <w:tbl>
      <w:tblPr>
        <w:tblStyle w:val="43"/>
        <w:tblW w:w="4864"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1" w:type="dxa"/>
          <w:bottom w:w="0" w:type="dxa"/>
          <w:right w:w="11" w:type="dxa"/>
        </w:tblCellMar>
      </w:tblPr>
      <w:tblGrid>
        <w:gridCol w:w="641"/>
        <w:gridCol w:w="1215"/>
        <w:gridCol w:w="946"/>
        <w:gridCol w:w="1208"/>
        <w:gridCol w:w="1281"/>
        <w:gridCol w:w="1019"/>
        <w:gridCol w:w="1212"/>
        <w:gridCol w:w="1332"/>
      </w:tblGrid>
      <w:tr w14:paraId="407CAA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rPr>
          <w:tblHeader/>
        </w:trPr>
        <w:tc>
          <w:tcPr>
            <w:tcW w:w="362" w:type="pct"/>
            <w:vAlign w:val="center"/>
          </w:tcPr>
          <w:p w14:paraId="5E23E4F8">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类别</w:t>
            </w:r>
          </w:p>
        </w:tc>
        <w:tc>
          <w:tcPr>
            <w:tcW w:w="686" w:type="pct"/>
            <w:vAlign w:val="center"/>
          </w:tcPr>
          <w:p w14:paraId="2E0267EA">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污染源</w:t>
            </w:r>
          </w:p>
        </w:tc>
        <w:tc>
          <w:tcPr>
            <w:tcW w:w="534" w:type="pct"/>
            <w:vAlign w:val="center"/>
          </w:tcPr>
          <w:p w14:paraId="7EBBD54C">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污染物</w:t>
            </w:r>
          </w:p>
        </w:tc>
        <w:tc>
          <w:tcPr>
            <w:tcW w:w="682" w:type="pct"/>
            <w:vAlign w:val="center"/>
          </w:tcPr>
          <w:p w14:paraId="0376D83B">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现有项目排放量t/a</w:t>
            </w:r>
          </w:p>
        </w:tc>
        <w:tc>
          <w:tcPr>
            <w:tcW w:w="723" w:type="pct"/>
            <w:vAlign w:val="center"/>
          </w:tcPr>
          <w:p w14:paraId="5BE8F84E">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以新带老削减量t/a</w:t>
            </w:r>
          </w:p>
        </w:tc>
        <w:tc>
          <w:tcPr>
            <w:tcW w:w="575" w:type="pct"/>
            <w:vAlign w:val="center"/>
          </w:tcPr>
          <w:p w14:paraId="35F4753F">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扩建工程排放量t/a</w:t>
            </w:r>
          </w:p>
        </w:tc>
        <w:tc>
          <w:tcPr>
            <w:tcW w:w="684" w:type="pct"/>
            <w:vAlign w:val="center"/>
          </w:tcPr>
          <w:p w14:paraId="4B3DDA79">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总体工程排放量t/a</w:t>
            </w:r>
          </w:p>
        </w:tc>
        <w:tc>
          <w:tcPr>
            <w:tcW w:w="752" w:type="pct"/>
            <w:vAlign w:val="center"/>
          </w:tcPr>
          <w:p w14:paraId="21188D6D">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排放增减量t/a</w:t>
            </w:r>
          </w:p>
        </w:tc>
      </w:tr>
      <w:tr w14:paraId="5741BC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restart"/>
            <w:vAlign w:val="center"/>
          </w:tcPr>
          <w:p w14:paraId="0E516FC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废气</w:t>
            </w:r>
          </w:p>
        </w:tc>
        <w:tc>
          <w:tcPr>
            <w:tcW w:w="686" w:type="pct"/>
            <w:vMerge w:val="restart"/>
            <w:vAlign w:val="center"/>
          </w:tcPr>
          <w:p w14:paraId="49FA1D1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有组织废气</w:t>
            </w:r>
          </w:p>
        </w:tc>
        <w:tc>
          <w:tcPr>
            <w:tcW w:w="534" w:type="pct"/>
            <w:vAlign w:val="center"/>
          </w:tcPr>
          <w:p w14:paraId="785CCC3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苯</w:t>
            </w:r>
          </w:p>
        </w:tc>
        <w:tc>
          <w:tcPr>
            <w:tcW w:w="682" w:type="pct"/>
          </w:tcPr>
          <w:p w14:paraId="7A48DFD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0.0448</w:t>
            </w:r>
          </w:p>
        </w:tc>
        <w:tc>
          <w:tcPr>
            <w:tcW w:w="723" w:type="pct"/>
            <w:vAlign w:val="center"/>
          </w:tcPr>
          <w:p w14:paraId="7C4AC74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793AA1C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shd w:val="clear" w:color="auto" w:fill="auto"/>
          </w:tcPr>
          <w:p w14:paraId="31CB955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0.0448</w:t>
            </w:r>
          </w:p>
        </w:tc>
        <w:tc>
          <w:tcPr>
            <w:tcW w:w="752" w:type="pct"/>
            <w:vAlign w:val="center"/>
          </w:tcPr>
          <w:p w14:paraId="4396A44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52E43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6F1DAA6F">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46F10A7C">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vAlign w:val="center"/>
          </w:tcPr>
          <w:p w14:paraId="46B7178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甲苯</w:t>
            </w:r>
          </w:p>
        </w:tc>
        <w:tc>
          <w:tcPr>
            <w:tcW w:w="682" w:type="pct"/>
          </w:tcPr>
          <w:p w14:paraId="5CE2DC4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0.0061</w:t>
            </w:r>
          </w:p>
        </w:tc>
        <w:tc>
          <w:tcPr>
            <w:tcW w:w="723" w:type="pct"/>
            <w:vAlign w:val="center"/>
          </w:tcPr>
          <w:p w14:paraId="4FD9038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18BB023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shd w:val="clear" w:color="auto" w:fill="auto"/>
          </w:tcPr>
          <w:p w14:paraId="08EDBC6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0.0061</w:t>
            </w:r>
          </w:p>
        </w:tc>
        <w:tc>
          <w:tcPr>
            <w:tcW w:w="752" w:type="pct"/>
            <w:vAlign w:val="center"/>
          </w:tcPr>
          <w:p w14:paraId="14F5BA5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7AC724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1959139B">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0379B164">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vAlign w:val="center"/>
          </w:tcPr>
          <w:p w14:paraId="788FBE4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二甲苯</w:t>
            </w:r>
          </w:p>
        </w:tc>
        <w:tc>
          <w:tcPr>
            <w:tcW w:w="682" w:type="pct"/>
          </w:tcPr>
          <w:p w14:paraId="44CFA1C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0.0132</w:t>
            </w:r>
          </w:p>
        </w:tc>
        <w:tc>
          <w:tcPr>
            <w:tcW w:w="723" w:type="pct"/>
            <w:vAlign w:val="center"/>
          </w:tcPr>
          <w:p w14:paraId="137E012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6215B89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shd w:val="clear" w:color="auto" w:fill="auto"/>
          </w:tcPr>
          <w:p w14:paraId="1B02504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0.0132</w:t>
            </w:r>
          </w:p>
        </w:tc>
        <w:tc>
          <w:tcPr>
            <w:tcW w:w="752" w:type="pct"/>
            <w:vAlign w:val="center"/>
          </w:tcPr>
          <w:p w14:paraId="73B3256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22110E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55F0E33C">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75EAF889">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vAlign w:val="center"/>
          </w:tcPr>
          <w:p w14:paraId="57FFA54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甲醇</w:t>
            </w:r>
          </w:p>
        </w:tc>
        <w:tc>
          <w:tcPr>
            <w:tcW w:w="682" w:type="pct"/>
          </w:tcPr>
          <w:p w14:paraId="73AECE2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0.0131</w:t>
            </w:r>
          </w:p>
        </w:tc>
        <w:tc>
          <w:tcPr>
            <w:tcW w:w="723" w:type="pct"/>
            <w:vAlign w:val="center"/>
          </w:tcPr>
          <w:p w14:paraId="38F055E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7958923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shd w:val="clear" w:color="auto" w:fill="auto"/>
          </w:tcPr>
          <w:p w14:paraId="1B3B2C7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0.0131</w:t>
            </w:r>
          </w:p>
        </w:tc>
        <w:tc>
          <w:tcPr>
            <w:tcW w:w="752" w:type="pct"/>
            <w:vAlign w:val="center"/>
          </w:tcPr>
          <w:p w14:paraId="1D34C12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7960D6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23D51A62">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4A7969F2">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vAlign w:val="center"/>
          </w:tcPr>
          <w:p w14:paraId="0B93911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VOCs</w:t>
            </w:r>
          </w:p>
        </w:tc>
        <w:tc>
          <w:tcPr>
            <w:tcW w:w="682" w:type="pct"/>
          </w:tcPr>
          <w:p w14:paraId="22D7F78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0.1087</w:t>
            </w:r>
          </w:p>
        </w:tc>
        <w:tc>
          <w:tcPr>
            <w:tcW w:w="723" w:type="pct"/>
            <w:vAlign w:val="center"/>
          </w:tcPr>
          <w:p w14:paraId="7A0AC70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54EAE79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shd w:val="clear" w:color="auto" w:fill="auto"/>
          </w:tcPr>
          <w:p w14:paraId="4082877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0.1087</w:t>
            </w:r>
          </w:p>
        </w:tc>
        <w:tc>
          <w:tcPr>
            <w:tcW w:w="752" w:type="pct"/>
            <w:vAlign w:val="center"/>
          </w:tcPr>
          <w:p w14:paraId="0D97FF7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2995E6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37482FE1">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restart"/>
            <w:vAlign w:val="center"/>
          </w:tcPr>
          <w:p w14:paraId="43883E6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无组织废气</w:t>
            </w:r>
          </w:p>
        </w:tc>
        <w:tc>
          <w:tcPr>
            <w:tcW w:w="534" w:type="pct"/>
            <w:vAlign w:val="center"/>
          </w:tcPr>
          <w:p w14:paraId="034B4B2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苯</w:t>
            </w:r>
          </w:p>
        </w:tc>
        <w:tc>
          <w:tcPr>
            <w:tcW w:w="682" w:type="pct"/>
          </w:tcPr>
          <w:p w14:paraId="44A857A8">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0.49</w:t>
            </w:r>
            <w:r>
              <w:rPr>
                <w:rFonts w:hint="eastAsia"/>
                <w:color w:val="000000" w:themeColor="text1"/>
                <w:sz w:val="21"/>
                <w:szCs w:val="21"/>
                <w:lang w:val="en-US" w:eastAsia="zh-CN"/>
                <w14:textFill>
                  <w14:solidFill>
                    <w14:schemeClr w14:val="tx1"/>
                  </w14:solidFill>
                </w14:textFill>
              </w:rPr>
              <w:t>40</w:t>
            </w:r>
          </w:p>
        </w:tc>
        <w:tc>
          <w:tcPr>
            <w:tcW w:w="723" w:type="pct"/>
            <w:vAlign w:val="center"/>
          </w:tcPr>
          <w:p w14:paraId="21496EAE">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0.0823</w:t>
            </w:r>
          </w:p>
        </w:tc>
        <w:tc>
          <w:tcPr>
            <w:tcW w:w="575" w:type="pct"/>
            <w:vAlign w:val="center"/>
          </w:tcPr>
          <w:p w14:paraId="4AEC0BA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40C201E8">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w:t>
            </w:r>
            <w:r>
              <w:rPr>
                <w:rFonts w:hint="eastAsia"/>
                <w:color w:val="000000" w:themeColor="text1"/>
                <w:sz w:val="21"/>
                <w:szCs w:val="21"/>
                <w:lang w:val="en-US" w:eastAsia="zh-CN"/>
                <w14:textFill>
                  <w14:solidFill>
                    <w14:schemeClr w14:val="tx1"/>
                  </w14:solidFill>
                </w14:textFill>
              </w:rPr>
              <w:t>4117</w:t>
            </w:r>
          </w:p>
        </w:tc>
        <w:tc>
          <w:tcPr>
            <w:tcW w:w="752" w:type="pct"/>
            <w:vAlign w:val="center"/>
          </w:tcPr>
          <w:p w14:paraId="4DFF70C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-0.0823</w:t>
            </w:r>
          </w:p>
        </w:tc>
      </w:tr>
      <w:tr w14:paraId="416C2B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2FC0CF46">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55A74CA5">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vAlign w:val="center"/>
          </w:tcPr>
          <w:p w14:paraId="2E8BDAF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甲苯</w:t>
            </w:r>
          </w:p>
        </w:tc>
        <w:tc>
          <w:tcPr>
            <w:tcW w:w="682" w:type="pct"/>
          </w:tcPr>
          <w:p w14:paraId="4EFD7DC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0.4335</w:t>
            </w:r>
          </w:p>
        </w:tc>
        <w:tc>
          <w:tcPr>
            <w:tcW w:w="723" w:type="pct"/>
            <w:vAlign w:val="center"/>
          </w:tcPr>
          <w:p w14:paraId="68BED9B3">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0.2167</w:t>
            </w:r>
          </w:p>
        </w:tc>
        <w:tc>
          <w:tcPr>
            <w:tcW w:w="575" w:type="pct"/>
            <w:vAlign w:val="center"/>
          </w:tcPr>
          <w:p w14:paraId="249756A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1E74888A">
            <w:pPr>
              <w:adjustRightInd w:val="0"/>
              <w:snapToGrid w:val="0"/>
              <w:spacing w:line="240" w:lineRule="auto"/>
              <w:ind w:firstLine="0" w:firstLineChars="0"/>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0.216</w:t>
            </w:r>
            <w:r>
              <w:rPr>
                <w:rFonts w:hint="eastAsia"/>
                <w:color w:val="000000" w:themeColor="text1"/>
                <w:sz w:val="21"/>
                <w:szCs w:val="21"/>
                <w:lang w:val="en-US" w:eastAsia="zh-CN"/>
                <w14:textFill>
                  <w14:solidFill>
                    <w14:schemeClr w14:val="tx1"/>
                  </w14:solidFill>
                </w14:textFill>
              </w:rPr>
              <w:t>8</w:t>
            </w:r>
          </w:p>
        </w:tc>
        <w:tc>
          <w:tcPr>
            <w:tcW w:w="752" w:type="pct"/>
            <w:vAlign w:val="center"/>
          </w:tcPr>
          <w:p w14:paraId="69FED2D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r>
              <w:rPr>
                <w:rFonts w:hint="eastAsia"/>
                <w:color w:val="000000" w:themeColor="text1"/>
                <w:sz w:val="21"/>
                <w:szCs w:val="21"/>
                <w14:textFill>
                  <w14:solidFill>
                    <w14:schemeClr w14:val="tx1"/>
                  </w14:solidFill>
                </w14:textFill>
              </w:rPr>
              <w:t>0.2167</w:t>
            </w:r>
          </w:p>
        </w:tc>
      </w:tr>
      <w:tr w14:paraId="004D39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4D8BBE31">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622A9546">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vAlign w:val="center"/>
          </w:tcPr>
          <w:p w14:paraId="2AF9909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二甲苯</w:t>
            </w:r>
          </w:p>
        </w:tc>
        <w:tc>
          <w:tcPr>
            <w:tcW w:w="682" w:type="pct"/>
          </w:tcPr>
          <w:p w14:paraId="46E9AFB9">
            <w:pPr>
              <w:adjustRightInd w:val="0"/>
              <w:snapToGrid w:val="0"/>
              <w:spacing w:line="240" w:lineRule="auto"/>
              <w:ind w:firstLine="0" w:firstLineChars="0"/>
              <w:jc w:val="center"/>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14:textFill>
                  <w14:solidFill>
                    <w14:schemeClr w14:val="tx1"/>
                  </w14:solidFill>
                </w14:textFill>
              </w:rPr>
              <w:t>0.878</w:t>
            </w:r>
            <w:r>
              <w:rPr>
                <w:rFonts w:hint="eastAsia"/>
                <w:color w:val="000000" w:themeColor="text1"/>
                <w:sz w:val="21"/>
                <w:szCs w:val="21"/>
                <w:lang w:val="en-US" w:eastAsia="zh-CN"/>
                <w14:textFill>
                  <w14:solidFill>
                    <w14:schemeClr w14:val="tx1"/>
                  </w14:solidFill>
                </w14:textFill>
              </w:rPr>
              <w:t>6</w:t>
            </w:r>
          </w:p>
        </w:tc>
        <w:tc>
          <w:tcPr>
            <w:tcW w:w="723" w:type="pct"/>
            <w:vAlign w:val="center"/>
          </w:tcPr>
          <w:p w14:paraId="15465C0B">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0.5857</w:t>
            </w:r>
          </w:p>
        </w:tc>
        <w:tc>
          <w:tcPr>
            <w:tcW w:w="575" w:type="pct"/>
            <w:vAlign w:val="center"/>
          </w:tcPr>
          <w:p w14:paraId="1B6E8C1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302C1D6A">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0.2929</w:t>
            </w:r>
          </w:p>
        </w:tc>
        <w:tc>
          <w:tcPr>
            <w:tcW w:w="752" w:type="pct"/>
            <w:vAlign w:val="center"/>
          </w:tcPr>
          <w:p w14:paraId="027951AC">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-0.5857</w:t>
            </w:r>
          </w:p>
        </w:tc>
      </w:tr>
      <w:tr w14:paraId="7FD253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460672C0">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3E042195">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vAlign w:val="center"/>
          </w:tcPr>
          <w:p w14:paraId="44EBFAB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甲醇</w:t>
            </w:r>
          </w:p>
        </w:tc>
        <w:tc>
          <w:tcPr>
            <w:tcW w:w="682" w:type="pct"/>
          </w:tcPr>
          <w:p w14:paraId="00CCFE1E">
            <w:pPr>
              <w:adjustRightInd w:val="0"/>
              <w:snapToGrid w:val="0"/>
              <w:spacing w:line="240" w:lineRule="auto"/>
              <w:ind w:firstLine="0" w:firstLineChars="0"/>
              <w:jc w:val="center"/>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14:textFill>
                  <w14:solidFill>
                    <w14:schemeClr w14:val="tx1"/>
                  </w14:solidFill>
                </w14:textFill>
              </w:rPr>
              <w:t>0.444</w:t>
            </w:r>
            <w:r>
              <w:rPr>
                <w:rFonts w:hint="eastAsia"/>
                <w:color w:val="000000" w:themeColor="text1"/>
                <w:sz w:val="21"/>
                <w:szCs w:val="21"/>
                <w:lang w:val="en-US" w:eastAsia="zh-CN"/>
                <w14:textFill>
                  <w14:solidFill>
                    <w14:schemeClr w14:val="tx1"/>
                  </w14:solidFill>
                </w14:textFill>
              </w:rPr>
              <w:t>6</w:t>
            </w:r>
          </w:p>
        </w:tc>
        <w:tc>
          <w:tcPr>
            <w:tcW w:w="723" w:type="pct"/>
            <w:vAlign w:val="center"/>
          </w:tcPr>
          <w:p w14:paraId="4C100F2A">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0.2964</w:t>
            </w:r>
          </w:p>
        </w:tc>
        <w:tc>
          <w:tcPr>
            <w:tcW w:w="575" w:type="pct"/>
            <w:vAlign w:val="center"/>
          </w:tcPr>
          <w:p w14:paraId="6A84B93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316295B7">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0.1482</w:t>
            </w:r>
          </w:p>
        </w:tc>
        <w:tc>
          <w:tcPr>
            <w:tcW w:w="752" w:type="pct"/>
            <w:vAlign w:val="center"/>
          </w:tcPr>
          <w:p w14:paraId="3230D928">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-0.2964</w:t>
            </w:r>
          </w:p>
        </w:tc>
      </w:tr>
      <w:tr w14:paraId="337E5E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0D1E8643">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7C2B0E55">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vAlign w:val="center"/>
          </w:tcPr>
          <w:p w14:paraId="146616D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氨</w:t>
            </w:r>
          </w:p>
        </w:tc>
        <w:tc>
          <w:tcPr>
            <w:tcW w:w="682" w:type="pct"/>
          </w:tcPr>
          <w:p w14:paraId="52620AE1">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0.1</w:t>
            </w:r>
            <w:r>
              <w:rPr>
                <w:rFonts w:hint="eastAsia"/>
                <w:color w:val="000000" w:themeColor="text1"/>
                <w:sz w:val="21"/>
                <w:szCs w:val="21"/>
                <w:lang w:val="en-US" w:eastAsia="zh-CN"/>
                <w14:textFill>
                  <w14:solidFill>
                    <w14:schemeClr w14:val="tx1"/>
                  </w14:solidFill>
                </w14:textFill>
              </w:rPr>
              <w:t>200</w:t>
            </w:r>
          </w:p>
        </w:tc>
        <w:tc>
          <w:tcPr>
            <w:tcW w:w="723" w:type="pct"/>
            <w:vAlign w:val="center"/>
          </w:tcPr>
          <w:p w14:paraId="690E6AB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70986A9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4C4381FF">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0.1</w:t>
            </w:r>
            <w:r>
              <w:rPr>
                <w:rFonts w:hint="eastAsia"/>
                <w:color w:val="000000" w:themeColor="text1"/>
                <w:sz w:val="21"/>
                <w:szCs w:val="21"/>
                <w:lang w:val="en-US" w:eastAsia="zh-CN"/>
                <w14:textFill>
                  <w14:solidFill>
                    <w14:schemeClr w14:val="tx1"/>
                  </w14:solidFill>
                </w14:textFill>
              </w:rPr>
              <w:t>200</w:t>
            </w:r>
          </w:p>
        </w:tc>
        <w:tc>
          <w:tcPr>
            <w:tcW w:w="752" w:type="pct"/>
            <w:vAlign w:val="center"/>
          </w:tcPr>
          <w:p w14:paraId="2A18EC5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783B5E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67FB49FE">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59351FDF">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vAlign w:val="center"/>
          </w:tcPr>
          <w:p w14:paraId="2A508A5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苯乙烯</w:t>
            </w:r>
          </w:p>
        </w:tc>
        <w:tc>
          <w:tcPr>
            <w:tcW w:w="682" w:type="pct"/>
            <w:vAlign w:val="center"/>
          </w:tcPr>
          <w:p w14:paraId="447A05F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23" w:type="pct"/>
            <w:vAlign w:val="center"/>
          </w:tcPr>
          <w:p w14:paraId="7736A40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003A6D28">
            <w:pPr>
              <w:spacing w:line="240" w:lineRule="exact"/>
              <w:ind w:firstLine="0" w:firstLineChars="0"/>
              <w:jc w:val="center"/>
              <w:rPr>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0.00024</w:t>
            </w:r>
          </w:p>
        </w:tc>
        <w:tc>
          <w:tcPr>
            <w:tcW w:w="684" w:type="pct"/>
            <w:vAlign w:val="center"/>
          </w:tcPr>
          <w:p w14:paraId="6DC01086">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0.00024</w:t>
            </w:r>
          </w:p>
        </w:tc>
        <w:tc>
          <w:tcPr>
            <w:tcW w:w="752" w:type="pct"/>
            <w:vAlign w:val="center"/>
          </w:tcPr>
          <w:p w14:paraId="10ACEE38">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0.00024</w:t>
            </w:r>
          </w:p>
        </w:tc>
      </w:tr>
      <w:tr w14:paraId="053F5B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2E1F6F08">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7A0E6038">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vAlign w:val="center"/>
          </w:tcPr>
          <w:p w14:paraId="49C45A1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硫酸雾</w:t>
            </w:r>
          </w:p>
        </w:tc>
        <w:tc>
          <w:tcPr>
            <w:tcW w:w="682" w:type="pct"/>
            <w:vAlign w:val="center"/>
          </w:tcPr>
          <w:p w14:paraId="6AA875C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23" w:type="pct"/>
            <w:vAlign w:val="center"/>
          </w:tcPr>
          <w:p w14:paraId="701BA11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2B7B5338">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w:t>
            </w:r>
            <w:r>
              <w:rPr>
                <w:rFonts w:eastAsia="等线"/>
                <w:color w:val="000000" w:themeColor="text1"/>
                <w14:textFill>
                  <w14:solidFill>
                    <w14:schemeClr w14:val="tx1"/>
                  </w14:solidFill>
                </w14:textFill>
              </w:rPr>
              <w:t>.0011</w:t>
            </w:r>
          </w:p>
        </w:tc>
        <w:tc>
          <w:tcPr>
            <w:tcW w:w="684" w:type="pct"/>
            <w:vAlign w:val="center"/>
          </w:tcPr>
          <w:p w14:paraId="5C19A21E">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w:t>
            </w:r>
            <w:r>
              <w:rPr>
                <w:rFonts w:eastAsia="等线"/>
                <w:color w:val="000000" w:themeColor="text1"/>
                <w14:textFill>
                  <w14:solidFill>
                    <w14:schemeClr w14:val="tx1"/>
                  </w14:solidFill>
                </w14:textFill>
              </w:rPr>
              <w:t>.0011</w:t>
            </w:r>
          </w:p>
        </w:tc>
        <w:tc>
          <w:tcPr>
            <w:tcW w:w="752" w:type="pct"/>
            <w:vAlign w:val="center"/>
          </w:tcPr>
          <w:p w14:paraId="139C5C99">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w:t>
            </w:r>
            <w:r>
              <w:rPr>
                <w:rFonts w:eastAsia="等线"/>
                <w:color w:val="000000" w:themeColor="text1"/>
                <w14:textFill>
                  <w14:solidFill>
                    <w14:schemeClr w14:val="tx1"/>
                  </w14:solidFill>
                </w14:textFill>
              </w:rPr>
              <w:t>.0011</w:t>
            </w:r>
          </w:p>
        </w:tc>
      </w:tr>
      <w:tr w14:paraId="49F3CF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4B12AAF0">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03040C78">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vAlign w:val="center"/>
          </w:tcPr>
          <w:p w14:paraId="1486DE6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VOCs</w:t>
            </w:r>
          </w:p>
        </w:tc>
        <w:tc>
          <w:tcPr>
            <w:tcW w:w="682" w:type="pct"/>
            <w:vAlign w:val="center"/>
          </w:tcPr>
          <w:p w14:paraId="7D68AAAE">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eastAsia="Times New Roman"/>
                <w:color w:val="000000" w:themeColor="text1"/>
                <w:spacing w:val="-1"/>
                <w:sz w:val="21"/>
                <w:szCs w:val="21"/>
                <w14:textFill>
                  <w14:solidFill>
                    <w14:schemeClr w14:val="tx1"/>
                  </w14:solidFill>
                </w14:textFill>
              </w:rPr>
              <w:t>4.03</w:t>
            </w:r>
            <w:r>
              <w:rPr>
                <w:rFonts w:hint="eastAsia"/>
                <w:color w:val="000000" w:themeColor="text1"/>
                <w:spacing w:val="-1"/>
                <w:sz w:val="21"/>
                <w:szCs w:val="21"/>
                <w:lang w:val="en-US" w:eastAsia="zh-CN"/>
                <w14:textFill>
                  <w14:solidFill>
                    <w14:schemeClr w14:val="tx1"/>
                  </w14:solidFill>
                </w14:textFill>
              </w:rPr>
              <w:t>20</w:t>
            </w:r>
          </w:p>
        </w:tc>
        <w:tc>
          <w:tcPr>
            <w:tcW w:w="723" w:type="pct"/>
            <w:vAlign w:val="center"/>
          </w:tcPr>
          <w:p w14:paraId="7C122D8F">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3.0666</w:t>
            </w:r>
          </w:p>
        </w:tc>
        <w:tc>
          <w:tcPr>
            <w:tcW w:w="575" w:type="pct"/>
            <w:vAlign w:val="center"/>
          </w:tcPr>
          <w:p w14:paraId="40E31ED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0.0141</w:t>
            </w:r>
          </w:p>
        </w:tc>
        <w:tc>
          <w:tcPr>
            <w:tcW w:w="684" w:type="pct"/>
            <w:vAlign w:val="center"/>
          </w:tcPr>
          <w:p w14:paraId="3832B197">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0.9795</w:t>
            </w:r>
          </w:p>
        </w:tc>
        <w:tc>
          <w:tcPr>
            <w:tcW w:w="752" w:type="pct"/>
            <w:vAlign w:val="center"/>
          </w:tcPr>
          <w:p w14:paraId="5DECD45A">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-3.0525</w:t>
            </w:r>
          </w:p>
        </w:tc>
      </w:tr>
      <w:tr w14:paraId="11468F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restart"/>
            <w:vAlign w:val="center"/>
          </w:tcPr>
          <w:p w14:paraId="04DAD91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废水</w:t>
            </w:r>
          </w:p>
        </w:tc>
        <w:tc>
          <w:tcPr>
            <w:tcW w:w="686" w:type="pct"/>
            <w:vMerge w:val="restart"/>
            <w:vAlign w:val="center"/>
          </w:tcPr>
          <w:p w14:paraId="1194B55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生活污水</w:t>
            </w:r>
          </w:p>
        </w:tc>
        <w:tc>
          <w:tcPr>
            <w:tcW w:w="534" w:type="pct"/>
          </w:tcPr>
          <w:p w14:paraId="294E6D4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COD</w:t>
            </w:r>
          </w:p>
        </w:tc>
        <w:tc>
          <w:tcPr>
            <w:tcW w:w="682" w:type="pct"/>
          </w:tcPr>
          <w:p w14:paraId="7DF40E6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0.177</w:t>
            </w:r>
          </w:p>
        </w:tc>
        <w:tc>
          <w:tcPr>
            <w:tcW w:w="723" w:type="pct"/>
            <w:vAlign w:val="center"/>
          </w:tcPr>
          <w:p w14:paraId="5B06C58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7BCFF9B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5D1CAB4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0.177</w:t>
            </w:r>
          </w:p>
        </w:tc>
        <w:tc>
          <w:tcPr>
            <w:tcW w:w="752" w:type="pct"/>
            <w:vAlign w:val="center"/>
          </w:tcPr>
          <w:p w14:paraId="721D039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7B5A81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7D5C2313">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760B7677">
            <w:pPr>
              <w:pStyle w:val="70"/>
              <w:rPr>
                <w:color w:val="000000" w:themeColor="text1"/>
                <w14:textFill>
                  <w14:solidFill>
                    <w14:schemeClr w14:val="tx1"/>
                  </w14:solidFill>
                </w14:textFill>
              </w:rPr>
            </w:pPr>
          </w:p>
        </w:tc>
        <w:tc>
          <w:tcPr>
            <w:tcW w:w="534" w:type="pct"/>
          </w:tcPr>
          <w:p w14:paraId="2FA3705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氨氮</w:t>
            </w:r>
          </w:p>
        </w:tc>
        <w:tc>
          <w:tcPr>
            <w:tcW w:w="682" w:type="pct"/>
          </w:tcPr>
          <w:p w14:paraId="521E8BA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0.018</w:t>
            </w:r>
          </w:p>
        </w:tc>
        <w:tc>
          <w:tcPr>
            <w:tcW w:w="723" w:type="pct"/>
            <w:vAlign w:val="center"/>
          </w:tcPr>
          <w:p w14:paraId="7A869F6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654BA05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13DD16E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0.018</w:t>
            </w:r>
          </w:p>
        </w:tc>
        <w:tc>
          <w:tcPr>
            <w:tcW w:w="752" w:type="pct"/>
            <w:vAlign w:val="center"/>
          </w:tcPr>
          <w:p w14:paraId="391A3F5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3E35EB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3A9DAA61">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2CBF16F9">
            <w:pPr>
              <w:pStyle w:val="70"/>
              <w:rPr>
                <w:color w:val="000000" w:themeColor="text1"/>
                <w14:textFill>
                  <w14:solidFill>
                    <w14:schemeClr w14:val="tx1"/>
                  </w14:solidFill>
                </w14:textFill>
              </w:rPr>
            </w:pPr>
          </w:p>
        </w:tc>
        <w:tc>
          <w:tcPr>
            <w:tcW w:w="534" w:type="pct"/>
          </w:tcPr>
          <w:p w14:paraId="7EFDD5F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总氮</w:t>
            </w:r>
          </w:p>
        </w:tc>
        <w:tc>
          <w:tcPr>
            <w:tcW w:w="682" w:type="pct"/>
          </w:tcPr>
          <w:p w14:paraId="4511D93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0.023</w:t>
            </w:r>
          </w:p>
        </w:tc>
        <w:tc>
          <w:tcPr>
            <w:tcW w:w="723" w:type="pct"/>
            <w:vAlign w:val="center"/>
          </w:tcPr>
          <w:p w14:paraId="5C2F815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63810FF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3ABA2D2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0.023</w:t>
            </w:r>
          </w:p>
        </w:tc>
        <w:tc>
          <w:tcPr>
            <w:tcW w:w="752" w:type="pct"/>
            <w:vAlign w:val="center"/>
          </w:tcPr>
          <w:p w14:paraId="396FCCA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61FD5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55D43F6B">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4A5D9E0D">
            <w:pPr>
              <w:pStyle w:val="70"/>
              <w:rPr>
                <w:color w:val="000000" w:themeColor="text1"/>
                <w14:textFill>
                  <w14:solidFill>
                    <w14:schemeClr w14:val="tx1"/>
                  </w14:solidFill>
                </w14:textFill>
              </w:rPr>
            </w:pPr>
          </w:p>
        </w:tc>
        <w:tc>
          <w:tcPr>
            <w:tcW w:w="534" w:type="pct"/>
          </w:tcPr>
          <w:p w14:paraId="0E86C5F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总磷</w:t>
            </w:r>
          </w:p>
        </w:tc>
        <w:tc>
          <w:tcPr>
            <w:tcW w:w="682" w:type="pct"/>
          </w:tcPr>
          <w:p w14:paraId="3E66167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0.003</w:t>
            </w:r>
          </w:p>
        </w:tc>
        <w:tc>
          <w:tcPr>
            <w:tcW w:w="723" w:type="pct"/>
            <w:vAlign w:val="center"/>
          </w:tcPr>
          <w:p w14:paraId="4B4C475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74A254F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5350A19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0.003</w:t>
            </w:r>
          </w:p>
        </w:tc>
        <w:tc>
          <w:tcPr>
            <w:tcW w:w="752" w:type="pct"/>
            <w:vAlign w:val="center"/>
          </w:tcPr>
          <w:p w14:paraId="4385AB6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0B023C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3BB654A4">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restart"/>
            <w:vAlign w:val="center"/>
          </w:tcPr>
          <w:p w14:paraId="048CDF8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初期雨水</w:t>
            </w:r>
          </w:p>
        </w:tc>
        <w:tc>
          <w:tcPr>
            <w:tcW w:w="534" w:type="pct"/>
          </w:tcPr>
          <w:p w14:paraId="5A4E04C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COD</w:t>
            </w:r>
          </w:p>
        </w:tc>
        <w:tc>
          <w:tcPr>
            <w:tcW w:w="682" w:type="pct"/>
          </w:tcPr>
          <w:p w14:paraId="32AFB99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14.95</w:t>
            </w:r>
          </w:p>
        </w:tc>
        <w:tc>
          <w:tcPr>
            <w:tcW w:w="723" w:type="pct"/>
            <w:vAlign w:val="center"/>
          </w:tcPr>
          <w:p w14:paraId="536F936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20B9521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45BE930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14.95</w:t>
            </w:r>
          </w:p>
        </w:tc>
        <w:tc>
          <w:tcPr>
            <w:tcW w:w="752" w:type="pct"/>
            <w:vAlign w:val="center"/>
          </w:tcPr>
          <w:p w14:paraId="0A8B814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38E385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271850B7">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0024D736">
            <w:pPr>
              <w:pStyle w:val="70"/>
              <w:rPr>
                <w:color w:val="000000" w:themeColor="text1"/>
                <w14:textFill>
                  <w14:solidFill>
                    <w14:schemeClr w14:val="tx1"/>
                  </w14:solidFill>
                </w14:textFill>
              </w:rPr>
            </w:pPr>
          </w:p>
        </w:tc>
        <w:tc>
          <w:tcPr>
            <w:tcW w:w="534" w:type="pct"/>
          </w:tcPr>
          <w:p w14:paraId="0B4A1F6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SS</w:t>
            </w:r>
          </w:p>
        </w:tc>
        <w:tc>
          <w:tcPr>
            <w:tcW w:w="682" w:type="pct"/>
          </w:tcPr>
          <w:p w14:paraId="4390840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5.98</w:t>
            </w:r>
          </w:p>
        </w:tc>
        <w:tc>
          <w:tcPr>
            <w:tcW w:w="723" w:type="pct"/>
            <w:vAlign w:val="center"/>
          </w:tcPr>
          <w:p w14:paraId="6C992E3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069A9A5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4BD4264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5.98</w:t>
            </w:r>
          </w:p>
        </w:tc>
        <w:tc>
          <w:tcPr>
            <w:tcW w:w="752" w:type="pct"/>
            <w:vAlign w:val="center"/>
          </w:tcPr>
          <w:p w14:paraId="2DD7D94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21D8E3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47E1F2D0">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69646AC4">
            <w:pPr>
              <w:pStyle w:val="70"/>
              <w:rPr>
                <w:color w:val="000000" w:themeColor="text1"/>
                <w14:textFill>
                  <w14:solidFill>
                    <w14:schemeClr w14:val="tx1"/>
                  </w14:solidFill>
                </w14:textFill>
              </w:rPr>
            </w:pPr>
          </w:p>
        </w:tc>
        <w:tc>
          <w:tcPr>
            <w:tcW w:w="534" w:type="pct"/>
          </w:tcPr>
          <w:p w14:paraId="5238D05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有机碳</w:t>
            </w:r>
          </w:p>
        </w:tc>
        <w:tc>
          <w:tcPr>
            <w:tcW w:w="682" w:type="pct"/>
          </w:tcPr>
          <w:p w14:paraId="49C3A58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2.99</w:t>
            </w:r>
          </w:p>
        </w:tc>
        <w:tc>
          <w:tcPr>
            <w:tcW w:w="723" w:type="pct"/>
            <w:vAlign w:val="center"/>
          </w:tcPr>
          <w:p w14:paraId="70ACD42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5C4CCA9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4D56854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2.99</w:t>
            </w:r>
          </w:p>
        </w:tc>
        <w:tc>
          <w:tcPr>
            <w:tcW w:w="752" w:type="pct"/>
            <w:vAlign w:val="center"/>
          </w:tcPr>
          <w:p w14:paraId="5B2CE7B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58FF25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0E8E2E01">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restart"/>
            <w:vAlign w:val="center"/>
          </w:tcPr>
          <w:p w14:paraId="3DD22CC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冲洗废水</w:t>
            </w:r>
          </w:p>
        </w:tc>
        <w:tc>
          <w:tcPr>
            <w:tcW w:w="534" w:type="pct"/>
          </w:tcPr>
          <w:p w14:paraId="76F8B8B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COD</w:t>
            </w:r>
          </w:p>
        </w:tc>
        <w:tc>
          <w:tcPr>
            <w:tcW w:w="682" w:type="pct"/>
          </w:tcPr>
          <w:p w14:paraId="10FCE25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0.31</w:t>
            </w:r>
          </w:p>
        </w:tc>
        <w:tc>
          <w:tcPr>
            <w:tcW w:w="723" w:type="pct"/>
            <w:vAlign w:val="center"/>
          </w:tcPr>
          <w:p w14:paraId="497174B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3216351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44A9FD0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0.31</w:t>
            </w:r>
          </w:p>
        </w:tc>
        <w:tc>
          <w:tcPr>
            <w:tcW w:w="752" w:type="pct"/>
            <w:vAlign w:val="center"/>
          </w:tcPr>
          <w:p w14:paraId="41F2604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69CF92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0F7EBA9B">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2D6BB3B8">
            <w:pPr>
              <w:pStyle w:val="70"/>
              <w:rPr>
                <w:color w:val="000000" w:themeColor="text1"/>
                <w14:textFill>
                  <w14:solidFill>
                    <w14:schemeClr w14:val="tx1"/>
                  </w14:solidFill>
                </w14:textFill>
              </w:rPr>
            </w:pPr>
          </w:p>
        </w:tc>
        <w:tc>
          <w:tcPr>
            <w:tcW w:w="534" w:type="pct"/>
          </w:tcPr>
          <w:p w14:paraId="517FF9A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SS</w:t>
            </w:r>
          </w:p>
        </w:tc>
        <w:tc>
          <w:tcPr>
            <w:tcW w:w="682" w:type="pct"/>
          </w:tcPr>
          <w:p w14:paraId="609C4D1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0.13</w:t>
            </w:r>
          </w:p>
        </w:tc>
        <w:tc>
          <w:tcPr>
            <w:tcW w:w="723" w:type="pct"/>
            <w:vAlign w:val="center"/>
          </w:tcPr>
          <w:p w14:paraId="01F99F5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4617B47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7019528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0.13</w:t>
            </w:r>
          </w:p>
        </w:tc>
        <w:tc>
          <w:tcPr>
            <w:tcW w:w="752" w:type="pct"/>
            <w:vAlign w:val="center"/>
          </w:tcPr>
          <w:p w14:paraId="32E471E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40F96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39A9A0E1">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48105FB6">
            <w:pPr>
              <w:pStyle w:val="70"/>
              <w:rPr>
                <w:color w:val="000000" w:themeColor="text1"/>
                <w14:textFill>
                  <w14:solidFill>
                    <w14:schemeClr w14:val="tx1"/>
                  </w14:solidFill>
                </w14:textFill>
              </w:rPr>
            </w:pPr>
          </w:p>
        </w:tc>
        <w:tc>
          <w:tcPr>
            <w:tcW w:w="534" w:type="pct"/>
          </w:tcPr>
          <w:p w14:paraId="76179ED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有机碳</w:t>
            </w:r>
          </w:p>
        </w:tc>
        <w:tc>
          <w:tcPr>
            <w:tcW w:w="682" w:type="pct"/>
          </w:tcPr>
          <w:p w14:paraId="023A5E7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0.06</w:t>
            </w:r>
          </w:p>
        </w:tc>
        <w:tc>
          <w:tcPr>
            <w:tcW w:w="723" w:type="pct"/>
            <w:vAlign w:val="center"/>
          </w:tcPr>
          <w:p w14:paraId="65C1993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724AFD1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2521FCE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0.06</w:t>
            </w:r>
          </w:p>
        </w:tc>
        <w:tc>
          <w:tcPr>
            <w:tcW w:w="752" w:type="pct"/>
            <w:vAlign w:val="center"/>
          </w:tcPr>
          <w:p w14:paraId="496E411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2A158F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38C98061">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Align w:val="center"/>
          </w:tcPr>
          <w:p w14:paraId="4B01C8D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洗罐废水</w:t>
            </w:r>
          </w:p>
        </w:tc>
        <w:tc>
          <w:tcPr>
            <w:tcW w:w="534" w:type="pct"/>
          </w:tcPr>
          <w:p w14:paraId="000B0AD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石油类</w:t>
            </w:r>
          </w:p>
        </w:tc>
        <w:tc>
          <w:tcPr>
            <w:tcW w:w="682" w:type="pct"/>
          </w:tcPr>
          <w:p w14:paraId="6702183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23" w:type="pct"/>
            <w:vAlign w:val="center"/>
          </w:tcPr>
          <w:p w14:paraId="4CCB48E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575" w:type="pct"/>
            <w:vAlign w:val="center"/>
          </w:tcPr>
          <w:p w14:paraId="7F27831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684" w:type="pct"/>
            <w:vAlign w:val="center"/>
          </w:tcPr>
          <w:p w14:paraId="2FA5425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52" w:type="pct"/>
            <w:vAlign w:val="center"/>
          </w:tcPr>
          <w:p w14:paraId="0D07A7C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14:paraId="47B96F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07380EE7">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restart"/>
            <w:vAlign w:val="center"/>
          </w:tcPr>
          <w:p w14:paraId="1245CC2F">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碱洗废水</w:t>
            </w:r>
          </w:p>
        </w:tc>
        <w:tc>
          <w:tcPr>
            <w:tcW w:w="534" w:type="pct"/>
          </w:tcPr>
          <w:p w14:paraId="2AFAADF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pH</w:t>
            </w:r>
          </w:p>
        </w:tc>
        <w:tc>
          <w:tcPr>
            <w:tcW w:w="682" w:type="pct"/>
          </w:tcPr>
          <w:p w14:paraId="6241F05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23" w:type="pct"/>
            <w:vAlign w:val="center"/>
          </w:tcPr>
          <w:p w14:paraId="68484D5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575" w:type="pct"/>
            <w:vAlign w:val="center"/>
          </w:tcPr>
          <w:p w14:paraId="421FA68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684" w:type="pct"/>
            <w:vAlign w:val="center"/>
          </w:tcPr>
          <w:p w14:paraId="75E0680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52" w:type="pct"/>
            <w:vAlign w:val="center"/>
          </w:tcPr>
          <w:p w14:paraId="10BAC1B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14:paraId="4D7101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3F8289F0">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30ADE68D">
            <w:pPr>
              <w:pStyle w:val="70"/>
              <w:rPr>
                <w:color w:val="000000" w:themeColor="text1"/>
                <w14:textFill>
                  <w14:solidFill>
                    <w14:schemeClr w14:val="tx1"/>
                  </w14:solidFill>
                </w14:textFill>
              </w:rPr>
            </w:pPr>
          </w:p>
        </w:tc>
        <w:tc>
          <w:tcPr>
            <w:tcW w:w="534" w:type="pct"/>
          </w:tcPr>
          <w:p w14:paraId="790EAFC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TDS</w:t>
            </w:r>
          </w:p>
        </w:tc>
        <w:tc>
          <w:tcPr>
            <w:tcW w:w="682" w:type="pct"/>
          </w:tcPr>
          <w:p w14:paraId="031A4EA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23" w:type="pct"/>
            <w:vAlign w:val="center"/>
          </w:tcPr>
          <w:p w14:paraId="73225D9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575" w:type="pct"/>
            <w:vAlign w:val="center"/>
          </w:tcPr>
          <w:p w14:paraId="76CC066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684" w:type="pct"/>
            <w:vAlign w:val="center"/>
          </w:tcPr>
          <w:p w14:paraId="4570770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52" w:type="pct"/>
            <w:vAlign w:val="center"/>
          </w:tcPr>
          <w:p w14:paraId="091949D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14:paraId="3C2DC8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0608BA64">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restart"/>
            <w:vAlign w:val="center"/>
          </w:tcPr>
          <w:p w14:paraId="2257CFC1">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船舶生活污水</w:t>
            </w:r>
          </w:p>
        </w:tc>
        <w:tc>
          <w:tcPr>
            <w:tcW w:w="534" w:type="pct"/>
          </w:tcPr>
          <w:p w14:paraId="59D0A23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COD</w:t>
            </w:r>
          </w:p>
        </w:tc>
        <w:tc>
          <w:tcPr>
            <w:tcW w:w="682" w:type="pct"/>
          </w:tcPr>
          <w:p w14:paraId="4389CD0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0.457</w:t>
            </w:r>
          </w:p>
        </w:tc>
        <w:tc>
          <w:tcPr>
            <w:tcW w:w="723" w:type="pct"/>
            <w:vAlign w:val="center"/>
          </w:tcPr>
          <w:p w14:paraId="43E71CA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3A5C9B4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0.055</w:t>
            </w:r>
          </w:p>
        </w:tc>
        <w:tc>
          <w:tcPr>
            <w:tcW w:w="684" w:type="pct"/>
            <w:vAlign w:val="center"/>
          </w:tcPr>
          <w:p w14:paraId="12280A4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0.512</w:t>
            </w:r>
          </w:p>
        </w:tc>
        <w:tc>
          <w:tcPr>
            <w:tcW w:w="752" w:type="pct"/>
            <w:vAlign w:val="center"/>
          </w:tcPr>
          <w:p w14:paraId="3C0CA4C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0.055</w:t>
            </w:r>
          </w:p>
        </w:tc>
      </w:tr>
      <w:tr w14:paraId="77F526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25E8B236">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21CDD32E">
            <w:pPr>
              <w:pStyle w:val="70"/>
              <w:rPr>
                <w:color w:val="000000" w:themeColor="text1"/>
                <w14:textFill>
                  <w14:solidFill>
                    <w14:schemeClr w14:val="tx1"/>
                  </w14:solidFill>
                </w14:textFill>
              </w:rPr>
            </w:pPr>
          </w:p>
        </w:tc>
        <w:tc>
          <w:tcPr>
            <w:tcW w:w="534" w:type="pct"/>
          </w:tcPr>
          <w:p w14:paraId="1B3D56E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氨氮</w:t>
            </w:r>
          </w:p>
        </w:tc>
        <w:tc>
          <w:tcPr>
            <w:tcW w:w="682" w:type="pct"/>
          </w:tcPr>
          <w:p w14:paraId="26B06B4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0.046</w:t>
            </w:r>
          </w:p>
        </w:tc>
        <w:tc>
          <w:tcPr>
            <w:tcW w:w="723" w:type="pct"/>
            <w:vAlign w:val="center"/>
          </w:tcPr>
          <w:p w14:paraId="64446F3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42A74E3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0.006</w:t>
            </w:r>
          </w:p>
        </w:tc>
        <w:tc>
          <w:tcPr>
            <w:tcW w:w="684" w:type="pct"/>
            <w:vAlign w:val="center"/>
          </w:tcPr>
          <w:p w14:paraId="62464FB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0.052</w:t>
            </w:r>
          </w:p>
        </w:tc>
        <w:tc>
          <w:tcPr>
            <w:tcW w:w="752" w:type="pct"/>
            <w:vAlign w:val="center"/>
          </w:tcPr>
          <w:p w14:paraId="2181D60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0.006</w:t>
            </w:r>
          </w:p>
        </w:tc>
      </w:tr>
      <w:tr w14:paraId="0A7136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2530DD09">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2B6F7D8E">
            <w:pPr>
              <w:pStyle w:val="70"/>
              <w:rPr>
                <w:color w:val="000000" w:themeColor="text1"/>
                <w14:textFill>
                  <w14:solidFill>
                    <w14:schemeClr w14:val="tx1"/>
                  </w14:solidFill>
                </w14:textFill>
              </w:rPr>
            </w:pPr>
          </w:p>
        </w:tc>
        <w:tc>
          <w:tcPr>
            <w:tcW w:w="534" w:type="pct"/>
          </w:tcPr>
          <w:p w14:paraId="19A7EF4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总氮</w:t>
            </w:r>
          </w:p>
        </w:tc>
        <w:tc>
          <w:tcPr>
            <w:tcW w:w="682" w:type="pct"/>
          </w:tcPr>
          <w:p w14:paraId="1F71903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0.059</w:t>
            </w:r>
          </w:p>
        </w:tc>
        <w:tc>
          <w:tcPr>
            <w:tcW w:w="723" w:type="pct"/>
            <w:vAlign w:val="center"/>
          </w:tcPr>
          <w:p w14:paraId="101873B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58B4988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0.071</w:t>
            </w:r>
          </w:p>
        </w:tc>
        <w:tc>
          <w:tcPr>
            <w:tcW w:w="684" w:type="pct"/>
            <w:vAlign w:val="center"/>
          </w:tcPr>
          <w:p w14:paraId="63A75AE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0.13</w:t>
            </w:r>
          </w:p>
        </w:tc>
        <w:tc>
          <w:tcPr>
            <w:tcW w:w="752" w:type="pct"/>
            <w:vAlign w:val="center"/>
          </w:tcPr>
          <w:p w14:paraId="62E4BEE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0.071</w:t>
            </w:r>
          </w:p>
        </w:tc>
      </w:tr>
      <w:tr w14:paraId="034368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7857EC23">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7D51BFC0">
            <w:pPr>
              <w:pStyle w:val="70"/>
              <w:rPr>
                <w:color w:val="000000" w:themeColor="text1"/>
                <w14:textFill>
                  <w14:solidFill>
                    <w14:schemeClr w14:val="tx1"/>
                  </w14:solidFill>
                </w14:textFill>
              </w:rPr>
            </w:pPr>
          </w:p>
        </w:tc>
        <w:tc>
          <w:tcPr>
            <w:tcW w:w="534" w:type="pct"/>
          </w:tcPr>
          <w:p w14:paraId="2556E9F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总磷</w:t>
            </w:r>
          </w:p>
        </w:tc>
        <w:tc>
          <w:tcPr>
            <w:tcW w:w="682" w:type="pct"/>
          </w:tcPr>
          <w:p w14:paraId="4D2846A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0.008</w:t>
            </w:r>
          </w:p>
        </w:tc>
        <w:tc>
          <w:tcPr>
            <w:tcW w:w="723" w:type="pct"/>
            <w:vAlign w:val="center"/>
          </w:tcPr>
          <w:p w14:paraId="316AFFD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1E57E71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0.001</w:t>
            </w:r>
          </w:p>
        </w:tc>
        <w:tc>
          <w:tcPr>
            <w:tcW w:w="684" w:type="pct"/>
            <w:vAlign w:val="center"/>
          </w:tcPr>
          <w:p w14:paraId="29A0EDF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0.009</w:t>
            </w:r>
          </w:p>
        </w:tc>
        <w:tc>
          <w:tcPr>
            <w:tcW w:w="752" w:type="pct"/>
            <w:vAlign w:val="center"/>
          </w:tcPr>
          <w:p w14:paraId="033EC03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0.001</w:t>
            </w:r>
          </w:p>
        </w:tc>
      </w:tr>
      <w:tr w14:paraId="64484A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7BF5596A">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Align w:val="center"/>
          </w:tcPr>
          <w:p w14:paraId="61D4B0F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船舶含油污水</w:t>
            </w:r>
          </w:p>
        </w:tc>
        <w:tc>
          <w:tcPr>
            <w:tcW w:w="534" w:type="pct"/>
          </w:tcPr>
          <w:p w14:paraId="037611F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石油类</w:t>
            </w:r>
          </w:p>
        </w:tc>
        <w:tc>
          <w:tcPr>
            <w:tcW w:w="682" w:type="pct"/>
          </w:tcPr>
          <w:p w14:paraId="7FB9BB4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41.63</w:t>
            </w:r>
          </w:p>
        </w:tc>
        <w:tc>
          <w:tcPr>
            <w:tcW w:w="723" w:type="pct"/>
            <w:vAlign w:val="center"/>
          </w:tcPr>
          <w:p w14:paraId="7D0243A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4284ACE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1.19</w:t>
            </w:r>
          </w:p>
        </w:tc>
        <w:tc>
          <w:tcPr>
            <w:tcW w:w="684" w:type="pct"/>
            <w:vAlign w:val="center"/>
          </w:tcPr>
          <w:p w14:paraId="484583C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42.82</w:t>
            </w:r>
          </w:p>
        </w:tc>
        <w:tc>
          <w:tcPr>
            <w:tcW w:w="752" w:type="pct"/>
            <w:vAlign w:val="center"/>
          </w:tcPr>
          <w:p w14:paraId="43A1B37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1.19</w:t>
            </w:r>
          </w:p>
        </w:tc>
      </w:tr>
      <w:tr w14:paraId="305C0D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restart"/>
            <w:vAlign w:val="center"/>
          </w:tcPr>
          <w:p w14:paraId="5CD6DB9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固体废物</w:t>
            </w:r>
          </w:p>
        </w:tc>
        <w:tc>
          <w:tcPr>
            <w:tcW w:w="686" w:type="pct"/>
            <w:vMerge w:val="restart"/>
            <w:vAlign w:val="center"/>
          </w:tcPr>
          <w:p w14:paraId="5BCEEA6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一般固废</w:t>
            </w:r>
          </w:p>
        </w:tc>
        <w:tc>
          <w:tcPr>
            <w:tcW w:w="534" w:type="pct"/>
            <w:shd w:val="clear" w:color="auto" w:fill="auto"/>
            <w:vAlign w:val="center"/>
          </w:tcPr>
          <w:p w14:paraId="21CA689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682" w:type="pct"/>
            <w:vAlign w:val="center"/>
          </w:tcPr>
          <w:p w14:paraId="3DD9C08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10.5</w:t>
            </w:r>
          </w:p>
        </w:tc>
        <w:tc>
          <w:tcPr>
            <w:tcW w:w="723" w:type="pct"/>
            <w:vAlign w:val="center"/>
          </w:tcPr>
          <w:p w14:paraId="35885E81">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575" w:type="pct"/>
            <w:vAlign w:val="center"/>
          </w:tcPr>
          <w:p w14:paraId="7D3E2F6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vAlign w:val="center"/>
          </w:tcPr>
          <w:p w14:paraId="4D153FF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10.5</w:t>
            </w:r>
          </w:p>
        </w:tc>
        <w:tc>
          <w:tcPr>
            <w:tcW w:w="752" w:type="pct"/>
            <w:vAlign w:val="center"/>
          </w:tcPr>
          <w:p w14:paraId="64C2768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93F70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4545B33F">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1DB83982">
            <w:pPr>
              <w:pStyle w:val="70"/>
              <w:rPr>
                <w:color w:val="000000" w:themeColor="text1"/>
                <w14:textFill>
                  <w14:solidFill>
                    <w14:schemeClr w14:val="tx1"/>
                  </w14:solidFill>
                </w14:textFill>
              </w:rPr>
            </w:pPr>
          </w:p>
        </w:tc>
        <w:tc>
          <w:tcPr>
            <w:tcW w:w="534" w:type="pct"/>
            <w:shd w:val="clear" w:color="auto" w:fill="auto"/>
            <w:vAlign w:val="center"/>
          </w:tcPr>
          <w:p w14:paraId="43F45173">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船舶生活垃圾</w:t>
            </w:r>
          </w:p>
        </w:tc>
        <w:tc>
          <w:tcPr>
            <w:tcW w:w="682" w:type="pct"/>
            <w:vAlign w:val="center"/>
          </w:tcPr>
          <w:p w14:paraId="489AF65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29.7</w:t>
            </w:r>
          </w:p>
        </w:tc>
        <w:tc>
          <w:tcPr>
            <w:tcW w:w="723" w:type="pct"/>
            <w:vAlign w:val="center"/>
          </w:tcPr>
          <w:p w14:paraId="0343605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5F2F838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684" w:type="pct"/>
            <w:vAlign w:val="center"/>
          </w:tcPr>
          <w:p w14:paraId="0284CF0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35.7</w:t>
            </w:r>
          </w:p>
        </w:tc>
        <w:tc>
          <w:tcPr>
            <w:tcW w:w="752" w:type="pct"/>
            <w:vAlign w:val="center"/>
          </w:tcPr>
          <w:p w14:paraId="02BA624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r>
      <w:tr w14:paraId="33232E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629CAE1D">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restart"/>
            <w:vAlign w:val="center"/>
          </w:tcPr>
          <w:p w14:paraId="1D7E7817">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534" w:type="pct"/>
            <w:shd w:val="clear" w:color="auto" w:fill="auto"/>
            <w:vAlign w:val="center"/>
          </w:tcPr>
          <w:p w14:paraId="4E201043">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清罐固废</w:t>
            </w:r>
          </w:p>
        </w:tc>
        <w:tc>
          <w:tcPr>
            <w:tcW w:w="682" w:type="pct"/>
            <w:vAlign w:val="center"/>
          </w:tcPr>
          <w:p w14:paraId="07FC38E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4.15</w:t>
            </w:r>
          </w:p>
        </w:tc>
        <w:tc>
          <w:tcPr>
            <w:tcW w:w="723" w:type="pct"/>
            <w:vAlign w:val="center"/>
          </w:tcPr>
          <w:p w14:paraId="0F2B3BF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4D868F0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vAlign w:val="center"/>
          </w:tcPr>
          <w:p w14:paraId="1D50793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4.15</w:t>
            </w:r>
          </w:p>
        </w:tc>
        <w:tc>
          <w:tcPr>
            <w:tcW w:w="752" w:type="pct"/>
            <w:vAlign w:val="center"/>
          </w:tcPr>
          <w:p w14:paraId="76F5860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5B1721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3D13708B">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335C4EE9">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shd w:val="clear" w:color="auto" w:fill="auto"/>
            <w:vAlign w:val="center"/>
          </w:tcPr>
          <w:p w14:paraId="729F236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含油废布及棉纱</w:t>
            </w:r>
          </w:p>
        </w:tc>
        <w:tc>
          <w:tcPr>
            <w:tcW w:w="682" w:type="pct"/>
            <w:vAlign w:val="center"/>
          </w:tcPr>
          <w:p w14:paraId="6F59023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723" w:type="pct"/>
            <w:vAlign w:val="center"/>
          </w:tcPr>
          <w:p w14:paraId="42DCD71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5E53237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0.05</w:t>
            </w:r>
          </w:p>
        </w:tc>
        <w:tc>
          <w:tcPr>
            <w:tcW w:w="684" w:type="pct"/>
            <w:vAlign w:val="center"/>
          </w:tcPr>
          <w:p w14:paraId="11F3901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2.05</w:t>
            </w:r>
          </w:p>
        </w:tc>
        <w:tc>
          <w:tcPr>
            <w:tcW w:w="752" w:type="pct"/>
            <w:vAlign w:val="center"/>
          </w:tcPr>
          <w:p w14:paraId="642C4D0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0.05</w:t>
            </w:r>
          </w:p>
        </w:tc>
      </w:tr>
      <w:tr w14:paraId="1D6664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0562B3C5">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02C54895">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shd w:val="clear" w:color="auto" w:fill="auto"/>
            <w:vAlign w:val="center"/>
          </w:tcPr>
          <w:p w14:paraId="0E03105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废机油</w:t>
            </w:r>
          </w:p>
        </w:tc>
        <w:tc>
          <w:tcPr>
            <w:tcW w:w="682" w:type="pct"/>
            <w:vAlign w:val="center"/>
          </w:tcPr>
          <w:p w14:paraId="446396F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723" w:type="pct"/>
            <w:vAlign w:val="center"/>
          </w:tcPr>
          <w:p w14:paraId="31CDB74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2FF9D1F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vAlign w:val="center"/>
          </w:tcPr>
          <w:p w14:paraId="7ED7B67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752" w:type="pct"/>
            <w:vAlign w:val="center"/>
          </w:tcPr>
          <w:p w14:paraId="68CB066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bl>
    <w:p w14:paraId="4FC81E39">
      <w:pPr>
        <w:ind w:firstLine="480"/>
        <w:rPr>
          <w:color w:val="000000" w:themeColor="text1"/>
          <w14:textFill>
            <w14:solidFill>
              <w14:schemeClr w14:val="tx1"/>
            </w14:solidFill>
          </w14:textFill>
        </w:rPr>
        <w:sectPr>
          <w:headerReference r:id="rId20" w:type="first"/>
          <w:footerReference r:id="rId22" w:type="first"/>
          <w:headerReference r:id="rId19" w:type="even"/>
          <w:footerReference r:id="rId21" w:type="even"/>
          <w:pgSz w:w="11906" w:h="16838"/>
          <w:pgMar w:top="1417" w:right="1417" w:bottom="1417" w:left="1417" w:header="720" w:footer="720" w:gutter="0"/>
          <w:pgBorders>
            <w:top w:val="none" w:sz="0" w:space="0"/>
            <w:left w:val="none" w:sz="0" w:space="0"/>
            <w:bottom w:val="none" w:sz="0" w:space="0"/>
            <w:right w:val="none" w:sz="0" w:space="0"/>
          </w:pgBorders>
          <w:pgNumType w:fmt="numberInDash"/>
          <w:cols w:space="720" w:num="1"/>
        </w:sectPr>
      </w:pPr>
    </w:p>
    <w:p w14:paraId="01E701B2">
      <w:pPr>
        <w:pStyle w:val="3"/>
        <w:rPr>
          <w:color w:val="000000" w:themeColor="text1"/>
          <w14:textFill>
            <w14:solidFill>
              <w14:schemeClr w14:val="tx1"/>
            </w14:solidFill>
          </w14:textFill>
        </w:rPr>
      </w:pPr>
      <w:bookmarkStart w:id="496" w:name="_Toc216620526"/>
      <w:r>
        <w:rPr>
          <w:color w:val="000000" w:themeColor="text1"/>
          <w14:textFill>
            <w14:solidFill>
              <w14:schemeClr w14:val="tx1"/>
            </w14:solidFill>
          </w14:textFill>
        </w:rPr>
        <w:t>环境现状调查与评价</w:t>
      </w:r>
      <w:bookmarkEnd w:id="496"/>
    </w:p>
    <w:p w14:paraId="0F270CE6">
      <w:pPr>
        <w:pStyle w:val="5"/>
        <w:rPr>
          <w:color w:val="000000" w:themeColor="text1"/>
          <w14:textFill>
            <w14:solidFill>
              <w14:schemeClr w14:val="tx1"/>
            </w14:solidFill>
          </w14:textFill>
        </w:rPr>
      </w:pPr>
      <w:bookmarkStart w:id="497" w:name="_Toc25436951"/>
      <w:bookmarkEnd w:id="497"/>
      <w:bookmarkStart w:id="498" w:name="_Toc216620527"/>
      <w:r>
        <w:rPr>
          <w:color w:val="000000" w:themeColor="text1"/>
          <w14:textFill>
            <w14:solidFill>
              <w14:schemeClr w14:val="tx1"/>
            </w14:solidFill>
          </w14:textFill>
        </w:rPr>
        <w:t>自然环境概况</w:t>
      </w:r>
      <w:bookmarkEnd w:id="498"/>
    </w:p>
    <w:p w14:paraId="60D91474">
      <w:pPr>
        <w:pStyle w:val="4"/>
        <w:rPr>
          <w:color w:val="000000" w:themeColor="text1"/>
          <w14:textFill>
            <w14:solidFill>
              <w14:schemeClr w14:val="tx1"/>
            </w14:solidFill>
          </w14:textFill>
        </w:rPr>
      </w:pPr>
      <w:bookmarkStart w:id="499" w:name="_Toc216620528"/>
      <w:bookmarkStart w:id="500" w:name="_Toc29131812"/>
      <w:bookmarkStart w:id="501" w:name="_Toc135090215"/>
      <w:bookmarkStart w:id="502" w:name="_Toc136878464"/>
      <w:bookmarkStart w:id="503" w:name="_Toc26909998"/>
      <w:bookmarkStart w:id="504" w:name="_Toc25436955"/>
      <w:bookmarkStart w:id="505" w:name="_Toc216103369"/>
      <w:r>
        <w:rPr>
          <w:color w:val="000000" w:themeColor="text1"/>
          <w14:textFill>
            <w14:solidFill>
              <w14:schemeClr w14:val="tx1"/>
            </w14:solidFill>
          </w14:textFill>
        </w:rPr>
        <w:t>地理位置</w:t>
      </w:r>
      <w:bookmarkEnd w:id="499"/>
      <w:bookmarkEnd w:id="500"/>
      <w:bookmarkEnd w:id="501"/>
      <w:bookmarkEnd w:id="502"/>
      <w:bookmarkEnd w:id="503"/>
      <w:bookmarkEnd w:id="504"/>
      <w:bookmarkEnd w:id="505"/>
    </w:p>
    <w:p w14:paraId="31F9CE5F">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本项目拟建厂址位于广西钦州港经济技术开发区内的石化产业园区。钦州市东与北海市、玉林市相连，西与防城港市毗邻，北与南宁市接壤，位于北纬20°54′至22°41′，东经107°27′至109°56′之间。钦州市区距南宁市、北海市、防城港市的距离分别约为119km、99km 和63km。钦州地处广西沿海地区中心位置，是华南经济圈、西南经济圈与东盟经济圈的结合部，是连接中国西南、华南、中南与东盟大市场的重要枢纽。</w:t>
      </w:r>
    </w:p>
    <w:p w14:paraId="660724FF">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钦州港经济技术开发区距钦州市中心城区约30km，面向钦州湾和北部湾，距北海港48海里，防城港35海里，海口港150海里，湛江港250海里，香港430海里，越南海防港155海里，是我国大西南最便捷的出海通道之一。</w:t>
      </w:r>
    </w:p>
    <w:p w14:paraId="2F863502">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石化产业园位于钦州港经济技术开发区内，其西面为港口生活区与七十二泾旅游区，东面为大榄坪工业区、大榄坪作业区及大环作业区、犀牛脚旅游度假区（三娘湾旅游度假区），南面为港口作业区，北面为对坎龙、碰龙江水库。</w:t>
      </w:r>
    </w:p>
    <w:p w14:paraId="42349DFA">
      <w:pPr>
        <w:pStyle w:val="4"/>
        <w:rPr>
          <w:color w:val="000000" w:themeColor="text1"/>
          <w14:textFill>
            <w14:solidFill>
              <w14:schemeClr w14:val="tx1"/>
            </w14:solidFill>
          </w14:textFill>
        </w:rPr>
      </w:pPr>
      <w:bookmarkStart w:id="506" w:name="_Toc136878465"/>
      <w:bookmarkStart w:id="507" w:name="_Toc26909999"/>
      <w:bookmarkStart w:id="508" w:name="_Toc216620529"/>
      <w:bookmarkStart w:id="509" w:name="_Toc135090216"/>
      <w:bookmarkStart w:id="510" w:name="_Toc25436956"/>
      <w:bookmarkStart w:id="511" w:name="_Toc29131813"/>
      <w:bookmarkStart w:id="512" w:name="_Toc216103370"/>
      <w:r>
        <w:rPr>
          <w:color w:val="000000" w:themeColor="text1"/>
          <w14:textFill>
            <w14:solidFill>
              <w14:schemeClr w14:val="tx1"/>
            </w14:solidFill>
          </w14:textFill>
        </w:rPr>
        <w:t>地形地貌</w:t>
      </w:r>
      <w:bookmarkEnd w:id="506"/>
      <w:bookmarkEnd w:id="507"/>
      <w:bookmarkEnd w:id="508"/>
      <w:bookmarkEnd w:id="509"/>
      <w:bookmarkEnd w:id="510"/>
      <w:bookmarkEnd w:id="511"/>
      <w:bookmarkEnd w:id="512"/>
    </w:p>
    <w:p w14:paraId="07EF5668">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（1）钦州市地形、地貌</w:t>
      </w:r>
    </w:p>
    <w:p w14:paraId="7E4742A0">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市正处于广西中部钦江和茅岭江入海口，有相对较多的沿海平原。钦州全市地势北高南低，地貌类型多样，由北往南有规律地分布山地、丘陵、台地、平原。茅尾海北部接纳钦江与茅岭江入海，南部散落众多岛屿。</w:t>
      </w:r>
    </w:p>
    <w:p w14:paraId="42A59DB0">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（2）钦州湾地形、地貌</w:t>
      </w:r>
    </w:p>
    <w:p w14:paraId="03268494">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湾湾口朝南，东、北、西三面丘陵环抱，是一个半封闭的天然海湾。该湾由内湾（茅尾海）、龙门水道和外湾（狭义的钦州湾）构成，其特点是，中间狭窄、两端宽阔。整个海湾呈低山丘陵、微斜平原及海漫滩地貌。钦州湾由于受地质构造影响以及海水长期</w:t>
      </w:r>
      <w:r>
        <w:rPr>
          <w:rFonts w:hint="eastAsia"/>
          <w:color w:val="000000" w:themeColor="text1"/>
          <w:kern w:val="0"/>
          <w:szCs w:val="22"/>
          <w:lang w:eastAsia="zh-CN"/>
          <w14:textFill>
            <w14:solidFill>
              <w14:schemeClr w14:val="tx1"/>
            </w14:solidFill>
          </w14:textFill>
        </w:rPr>
        <w:t>侵蚀</w:t>
      </w:r>
      <w:r>
        <w:rPr>
          <w:color w:val="000000" w:themeColor="text1"/>
          <w:kern w:val="0"/>
          <w:szCs w:val="22"/>
          <w14:textFill>
            <w14:solidFill>
              <w14:schemeClr w14:val="tx1"/>
            </w14:solidFill>
          </w14:textFill>
        </w:rPr>
        <w:t>，基本上没有大片宽阔平坦陆域，湾内大多为砂砾质岩岸。从青菜头至亚公山一带（即内湾南段）礁岛星罗棋布，港汊繁多，蜿蜒曲折，成为典型的台地溺谷。总的来说，该湾段分成东、西两汊，东汊为主，贯通全段，其陆岸为众多弯弯曲曲的小海汊分隔的低丘小岛，从岸线至钦州市约 33km，多为低丘地貌，其间除零星散落一些村庄以外，尚无</w:t>
      </w:r>
      <w:r>
        <w:rPr>
          <w:rFonts w:hint="eastAsia"/>
          <w:color w:val="000000" w:themeColor="text1"/>
          <w:kern w:val="0"/>
          <w:szCs w:val="22"/>
          <w:lang w:eastAsia="zh-CN"/>
          <w14:textFill>
            <w14:solidFill>
              <w14:schemeClr w14:val="tx1"/>
            </w14:solidFill>
          </w14:textFill>
        </w:rPr>
        <w:t>其他重要</w:t>
      </w:r>
      <w:r>
        <w:rPr>
          <w:color w:val="000000" w:themeColor="text1"/>
          <w:kern w:val="0"/>
          <w:szCs w:val="22"/>
          <w14:textFill>
            <w14:solidFill>
              <w14:schemeClr w14:val="tx1"/>
            </w14:solidFill>
          </w14:textFill>
        </w:rPr>
        <w:t>建筑。</w:t>
      </w:r>
    </w:p>
    <w:p w14:paraId="5DDCB136">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（3）海岸及海岸类型、海底地貌</w:t>
      </w:r>
    </w:p>
    <w:p w14:paraId="3394E298">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湾的地貌类型比较复杂。按照地貌成因类型和形态特征，钦州湾沿岸地貌和海底地貌，可划分为：侵蚀-剥蚀构造地貌、古洪积-冲积地貌、河流冲积地貌、河海混合堆积地貌~三角洲、海蚀地貌、海积地貌和海底地貌等7种类型。</w:t>
      </w:r>
    </w:p>
    <w:p w14:paraId="3AAC5693">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（4）岸线与陆域</w:t>
      </w:r>
    </w:p>
    <w:p w14:paraId="3AA89FE4">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湾内自青菜头至亚公山一带，海阔水深，具有良好的建港条件。陆域边缘滩地平坦，港汊发育，形态蜿蜒曲折，弱谷型的低丘岛屿星罗棋布，分布纵深达3km，其高度20~50m。岸线以内，丘陵起伏，绵延数十公里，田地较少，村落稀疏，可开发潜力很大，是建设大型海港和工业区的理想之地。厂址附近均为填海造地区域，地势平坦开阔。</w:t>
      </w:r>
    </w:p>
    <w:p w14:paraId="3C2371FD">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（5）钦州石化产业园地形地貌</w:t>
      </w:r>
    </w:p>
    <w:p w14:paraId="386C8A25">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项目所在的钦州石化产业园区域地貌上原属海叉丘陵地貌，大部分区域为低山丘陵谷和浅滩，北高南低。丘陵山体不大，多为孤丘，坡度较小，平均海拔15~20m，其中以对坎龙水库周围的山体较为密集，平均高度60~70m，最高的山体高达140m。东部临金鼓江，南部为沿海滩涂，地势低洼。经过多年地开发建设，钦州石化产业园区南面已形成港口作业区，路网已基本完善。</w:t>
      </w:r>
    </w:p>
    <w:p w14:paraId="4996D2CA">
      <w:pPr>
        <w:pStyle w:val="4"/>
        <w:rPr>
          <w:color w:val="000000" w:themeColor="text1"/>
          <w14:textFill>
            <w14:solidFill>
              <w14:schemeClr w14:val="tx1"/>
            </w14:solidFill>
          </w14:textFill>
        </w:rPr>
      </w:pPr>
      <w:bookmarkStart w:id="513" w:name="_Toc136878466"/>
      <w:bookmarkStart w:id="514" w:name="_Toc216620530"/>
      <w:bookmarkStart w:id="515" w:name="_Toc216103371"/>
      <w:bookmarkStart w:id="516" w:name="_Toc29131814"/>
      <w:bookmarkStart w:id="517" w:name="_Toc135090217"/>
      <w:bookmarkStart w:id="518" w:name="_Toc25436957"/>
      <w:bookmarkStart w:id="519" w:name="_Toc26910000"/>
      <w:r>
        <w:rPr>
          <w:color w:val="000000" w:themeColor="text1"/>
          <w14:textFill>
            <w14:solidFill>
              <w14:schemeClr w14:val="tx1"/>
            </w14:solidFill>
          </w14:textFill>
        </w:rPr>
        <w:t>地质概况</w:t>
      </w:r>
      <w:bookmarkEnd w:id="513"/>
      <w:bookmarkEnd w:id="514"/>
      <w:bookmarkEnd w:id="515"/>
      <w:bookmarkEnd w:id="516"/>
      <w:bookmarkEnd w:id="517"/>
      <w:bookmarkEnd w:id="518"/>
      <w:bookmarkEnd w:id="519"/>
    </w:p>
    <w:p w14:paraId="16C41A7D">
      <w:pPr>
        <w:pStyle w:val="6"/>
        <w:rPr>
          <w:color w:val="000000" w:themeColor="text1"/>
          <w14:textFill>
            <w14:solidFill>
              <w14:schemeClr w14:val="tx1"/>
            </w14:solidFill>
          </w14:textFill>
        </w:rPr>
      </w:pPr>
      <w:r>
        <w:rPr>
          <w:color w:val="000000" w:themeColor="text1"/>
          <w14:textFill>
            <w14:solidFill>
              <w14:schemeClr w14:val="tx1"/>
            </w14:solidFill>
          </w14:textFill>
        </w:rPr>
        <w:t>地层岩性</w:t>
      </w:r>
    </w:p>
    <w:p w14:paraId="4601BFFF">
      <w:pPr>
        <w:adjustRightInd w:val="0"/>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评价区主要地层有：下志留统连滩群第五组（S</w:t>
      </w:r>
      <w:r>
        <w:rPr>
          <w:color w:val="000000" w:themeColor="text1"/>
          <w:kern w:val="0"/>
          <w:szCs w:val="22"/>
          <w:vertAlign w:val="subscript"/>
          <w14:textFill>
            <w14:solidFill>
              <w14:schemeClr w14:val="tx1"/>
            </w14:solidFill>
          </w14:textFill>
        </w:rPr>
        <w:t>1ln</w:t>
      </w:r>
      <w:r>
        <w:rPr>
          <w:color w:val="000000" w:themeColor="text1"/>
          <w:kern w:val="0"/>
          <w:szCs w:val="22"/>
          <w:vertAlign w:val="superscript"/>
          <w14:textFill>
            <w14:solidFill>
              <w14:schemeClr w14:val="tx1"/>
            </w14:solidFill>
          </w14:textFill>
        </w:rPr>
        <w:t>e</w:t>
      </w:r>
      <w:r>
        <w:rPr>
          <w:color w:val="000000" w:themeColor="text1"/>
          <w:kern w:val="0"/>
          <w:szCs w:val="22"/>
          <w14:textFill>
            <w14:solidFill>
              <w14:schemeClr w14:val="tx1"/>
            </w14:solidFill>
          </w14:textFill>
        </w:rPr>
        <w:t>）、现代海相沉积（Q</w:t>
      </w:r>
      <w:r>
        <w:rPr>
          <w:color w:val="000000" w:themeColor="text1"/>
          <w:kern w:val="0"/>
          <w:szCs w:val="22"/>
          <w:vertAlign w:val="subscript"/>
          <w14:textFill>
            <w14:solidFill>
              <w14:schemeClr w14:val="tx1"/>
            </w14:solidFill>
          </w14:textFill>
        </w:rPr>
        <w:t>4－2</w:t>
      </w:r>
      <w:r>
        <w:rPr>
          <w:color w:val="000000" w:themeColor="text1"/>
          <w:kern w:val="0"/>
          <w:szCs w:val="22"/>
          <w:vertAlign w:val="superscript"/>
          <w14:textFill>
            <w14:solidFill>
              <w14:schemeClr w14:val="tx1"/>
            </w14:solidFill>
          </w14:textFill>
        </w:rPr>
        <w:t>m</w:t>
      </w:r>
      <w:r>
        <w:rPr>
          <w:color w:val="000000" w:themeColor="text1"/>
          <w:kern w:val="0"/>
          <w:szCs w:val="22"/>
          <w14:textFill>
            <w14:solidFill>
              <w14:schemeClr w14:val="tx1"/>
            </w14:solidFill>
          </w14:textFill>
        </w:rPr>
        <w:t>）和人工填海堆积（Q</w:t>
      </w:r>
      <w:r>
        <w:rPr>
          <w:color w:val="000000" w:themeColor="text1"/>
          <w:kern w:val="0"/>
          <w:szCs w:val="22"/>
          <w:vertAlign w:val="subscript"/>
          <w14:textFill>
            <w14:solidFill>
              <w14:schemeClr w14:val="tx1"/>
            </w14:solidFill>
          </w14:textFill>
        </w:rPr>
        <w:t>4</w:t>
      </w:r>
      <w:r>
        <w:rPr>
          <w:color w:val="000000" w:themeColor="text1"/>
          <w:kern w:val="0"/>
          <w:szCs w:val="22"/>
          <w:vertAlign w:val="superscript"/>
          <w14:textFill>
            <w14:solidFill>
              <w14:schemeClr w14:val="tx1"/>
            </w14:solidFill>
          </w14:textFill>
        </w:rPr>
        <w:t>ml</w:t>
      </w:r>
      <w:r>
        <w:rPr>
          <w:color w:val="000000" w:themeColor="text1"/>
          <w:kern w:val="0"/>
          <w:szCs w:val="22"/>
          <w14:textFill>
            <w14:solidFill>
              <w14:schemeClr w14:val="tx1"/>
            </w14:solidFill>
          </w14:textFill>
        </w:rPr>
        <w:t>），岩性由老到新描述如下：</w:t>
      </w:r>
    </w:p>
    <w:p w14:paraId="27AA476D">
      <w:pPr>
        <w:adjustRightInd w:val="0"/>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（1）下志留统连滩群第五组（S</w:t>
      </w:r>
      <w:r>
        <w:rPr>
          <w:color w:val="000000" w:themeColor="text1"/>
          <w:kern w:val="0"/>
          <w:szCs w:val="22"/>
          <w:vertAlign w:val="subscript"/>
          <w14:textFill>
            <w14:solidFill>
              <w14:schemeClr w14:val="tx1"/>
            </w14:solidFill>
          </w14:textFill>
        </w:rPr>
        <w:t>1ln</w:t>
      </w:r>
      <w:r>
        <w:rPr>
          <w:color w:val="000000" w:themeColor="text1"/>
          <w:kern w:val="0"/>
          <w:szCs w:val="22"/>
          <w:vertAlign w:val="superscript"/>
          <w14:textFill>
            <w14:solidFill>
              <w14:schemeClr w14:val="tx1"/>
            </w14:solidFill>
          </w14:textFill>
        </w:rPr>
        <w:t>e</w:t>
      </w:r>
      <w:r>
        <w:rPr>
          <w:color w:val="000000" w:themeColor="text1"/>
          <w:kern w:val="0"/>
          <w:szCs w:val="22"/>
          <w14:textFill>
            <w14:solidFill>
              <w14:schemeClr w14:val="tx1"/>
            </w14:solidFill>
          </w14:textFill>
        </w:rPr>
        <w:t>）</w:t>
      </w:r>
    </w:p>
    <w:p w14:paraId="7A7EC117">
      <w:pPr>
        <w:adjustRightInd w:val="0"/>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出露于那丁断裂以南，旧营盘以上一带，岩性为中至厚层状细（中细）粒岩屑质砂岩夹泥质粉砂岩、粉砂质页岩、页岩及少量石英砂岩。厚度为1837~1993m。</w:t>
      </w:r>
    </w:p>
    <w:p w14:paraId="16C8F8B5">
      <w:pPr>
        <w:adjustRightInd w:val="0"/>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（2）现代海相沉积（Q</w:t>
      </w:r>
      <w:r>
        <w:rPr>
          <w:color w:val="000000" w:themeColor="text1"/>
          <w:kern w:val="0"/>
          <w:szCs w:val="22"/>
          <w:vertAlign w:val="subscript"/>
          <w14:textFill>
            <w14:solidFill>
              <w14:schemeClr w14:val="tx1"/>
            </w14:solidFill>
          </w14:textFill>
        </w:rPr>
        <w:t>4－2</w:t>
      </w:r>
      <w:r>
        <w:rPr>
          <w:color w:val="000000" w:themeColor="text1"/>
          <w:kern w:val="0"/>
          <w:szCs w:val="22"/>
          <w:vertAlign w:val="superscript"/>
          <w14:textFill>
            <w14:solidFill>
              <w14:schemeClr w14:val="tx1"/>
            </w14:solidFill>
          </w14:textFill>
        </w:rPr>
        <w:t>m</w:t>
      </w:r>
      <w:r>
        <w:rPr>
          <w:color w:val="000000" w:themeColor="text1"/>
          <w:kern w:val="0"/>
          <w:szCs w:val="22"/>
          <w14:textFill>
            <w14:solidFill>
              <w14:schemeClr w14:val="tx1"/>
            </w14:solidFill>
          </w14:textFill>
        </w:rPr>
        <w:t>）</w:t>
      </w:r>
    </w:p>
    <w:p w14:paraId="678CC8E7">
      <w:pPr>
        <w:adjustRightInd w:val="0"/>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分布于评价区南部淡水湾、钦州湾一带沿海滩涂，主要为潮间带沉积，岩性为砂质淤泥或淤泥质砂层，厚度为2~5m。</w:t>
      </w:r>
    </w:p>
    <w:p w14:paraId="34E88CFB">
      <w:pPr>
        <w:adjustRightInd w:val="0"/>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（3）人工填海堆积（Q</w:t>
      </w:r>
      <w:r>
        <w:rPr>
          <w:color w:val="000000" w:themeColor="text1"/>
          <w:kern w:val="0"/>
          <w:szCs w:val="22"/>
          <w:vertAlign w:val="subscript"/>
          <w14:textFill>
            <w14:solidFill>
              <w14:schemeClr w14:val="tx1"/>
            </w14:solidFill>
          </w14:textFill>
        </w:rPr>
        <w:t>4</w:t>
      </w:r>
      <w:r>
        <w:rPr>
          <w:color w:val="000000" w:themeColor="text1"/>
          <w:kern w:val="0"/>
          <w:szCs w:val="22"/>
          <w:vertAlign w:val="superscript"/>
          <w14:textFill>
            <w14:solidFill>
              <w14:schemeClr w14:val="tx1"/>
            </w14:solidFill>
          </w14:textFill>
        </w:rPr>
        <w:t>ml</w:t>
      </w:r>
      <w:r>
        <w:rPr>
          <w:color w:val="000000" w:themeColor="text1"/>
          <w:kern w:val="0"/>
          <w:szCs w:val="22"/>
          <w14:textFill>
            <w14:solidFill>
              <w14:schemeClr w14:val="tx1"/>
            </w14:solidFill>
          </w14:textFill>
        </w:rPr>
        <w:t>）</w:t>
      </w:r>
    </w:p>
    <w:p w14:paraId="21730370">
      <w:pPr>
        <w:adjustRightInd w:val="0"/>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分布于旧营盘以东及以南一带，主要岩性为素填土，杂色，以粉质粘土为主，含少量粉砂岩碎块，松散，回填时间10年左右，厚度为1.80~7.90m。</w:t>
      </w:r>
    </w:p>
    <w:p w14:paraId="2511FECD">
      <w:pPr>
        <w:pStyle w:val="6"/>
        <w:rPr>
          <w:color w:val="000000" w:themeColor="text1"/>
          <w14:textFill>
            <w14:solidFill>
              <w14:schemeClr w14:val="tx1"/>
            </w14:solidFill>
          </w14:textFill>
        </w:rPr>
      </w:pPr>
      <w:r>
        <w:rPr>
          <w:color w:val="000000" w:themeColor="text1"/>
          <w14:textFill>
            <w14:solidFill>
              <w14:schemeClr w14:val="tx1"/>
            </w14:solidFill>
          </w14:textFill>
        </w:rPr>
        <w:t>地质构造</w:t>
      </w:r>
    </w:p>
    <w:p w14:paraId="19A4EFD4">
      <w:pPr>
        <w:adjustRightInd w:val="0"/>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根据区域地质资料，钦州位于新华夏系第二巨型沉降带的西南端与南岭纬向构造带的复合地带，按照各类构造形迹的性质、规模和组合排列关系，项目场地则位属东西向构造体系。主要出露那丽背斜和那丁断裂。</w:t>
      </w:r>
    </w:p>
    <w:p w14:paraId="4BCDDEEB">
      <w:pPr>
        <w:adjustRightInd w:val="0"/>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根据区域地质资料，钦州位于新华夏系第二巨型沉降带的西南端与南岭纬向构造带的复合地带，按照各类构造形迹的性质、规模和组合排列关系，项目场地则位属东西向构造体系。主要出露那丽背斜(15)和那丁断裂</w:t>
      </w:r>
      <w:r>
        <w:rPr>
          <w:color w:val="000000" w:themeColor="text1"/>
          <w:kern w:val="0"/>
          <w:szCs w:val="22"/>
          <w14:textFill>
            <w14:solidFill>
              <w14:schemeClr w14:val="tx1"/>
            </w14:solidFill>
          </w14:textFill>
        </w:rPr>
        <w:fldChar w:fldCharType="begin"/>
      </w:r>
      <w:r>
        <w:rPr>
          <w:color w:val="000000" w:themeColor="text1"/>
          <w:kern w:val="0"/>
          <w:szCs w:val="22"/>
          <w14:textFill>
            <w14:solidFill>
              <w14:schemeClr w14:val="tx1"/>
            </w14:solidFill>
          </w14:textFill>
        </w:rPr>
        <w:instrText xml:space="preserve">eq \o\ac(</w:instrText>
      </w:r>
      <w:r>
        <w:rPr>
          <w:color w:val="000000" w:themeColor="text1"/>
          <w:kern w:val="0"/>
          <w:position w:val="-4"/>
          <w:sz w:val="36"/>
          <w:szCs w:val="22"/>
          <w14:textFill>
            <w14:solidFill>
              <w14:schemeClr w14:val="tx1"/>
            </w14:solidFill>
          </w14:textFill>
        </w:rPr>
        <w:instrText xml:space="preserve">○</w:instrText>
      </w:r>
      <w:r>
        <w:rPr>
          <w:color w:val="000000" w:themeColor="text1"/>
          <w:kern w:val="0"/>
          <w:szCs w:val="22"/>
          <w14:textFill>
            <w14:solidFill>
              <w14:schemeClr w14:val="tx1"/>
            </w14:solidFill>
          </w14:textFill>
        </w:rPr>
        <w:instrText xml:space="preserve">,41)</w:instrText>
      </w:r>
      <w:r>
        <w:rPr>
          <w:color w:val="000000" w:themeColor="text1"/>
          <w:kern w:val="0"/>
          <w:szCs w:val="22"/>
          <w14:textFill>
            <w14:solidFill>
              <w14:schemeClr w14:val="tx1"/>
            </w14:solidFill>
          </w14:textFill>
        </w:rPr>
        <w:fldChar w:fldCharType="end"/>
      </w:r>
      <w:r>
        <w:rPr>
          <w:color w:val="000000" w:themeColor="text1"/>
          <w:kern w:val="0"/>
          <w:szCs w:val="22"/>
          <w14:textFill>
            <w14:solidFill>
              <w14:schemeClr w14:val="tx1"/>
            </w14:solidFill>
          </w14:textFill>
        </w:rPr>
        <w:t>。</w:t>
      </w:r>
    </w:p>
    <w:p w14:paraId="2E8A9A36">
      <w:pPr>
        <w:adjustRightInd w:val="0"/>
        <w:snapToGrid w:val="0"/>
        <w:ind w:firstLine="482"/>
        <w:rPr>
          <w:b/>
          <w:color w:val="000000" w:themeColor="text1"/>
          <w:kern w:val="0"/>
          <w:szCs w:val="22"/>
          <w14:textFill>
            <w14:solidFill>
              <w14:schemeClr w14:val="tx1"/>
            </w14:solidFill>
          </w14:textFill>
        </w:rPr>
      </w:pPr>
      <w:r>
        <w:rPr>
          <w:b/>
          <w:color w:val="000000" w:themeColor="text1"/>
          <w:kern w:val="0"/>
          <w:szCs w:val="22"/>
          <w14:textFill>
            <w14:solidFill>
              <w14:schemeClr w14:val="tx1"/>
            </w14:solidFill>
          </w14:textFill>
        </w:rPr>
        <w:t>（1）褶皱构造</w:t>
      </w:r>
    </w:p>
    <w:p w14:paraId="772C6905">
      <w:pPr>
        <w:adjustRightInd w:val="0"/>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区域主要分布有那丽背斜(15)，属加里东期构造，分布于那丽－大番坡一带，长76km，宽4－13km，轴向略呈反“S”形东北－西南向展布，次级褶皱发育，呈紧密线状，倾角较陡，局部倒转。轴部受那丁断层</w:t>
      </w:r>
      <w:r>
        <w:rPr>
          <w:color w:val="000000" w:themeColor="text1"/>
          <w:kern w:val="0"/>
          <w:szCs w:val="22"/>
          <w14:textFill>
            <w14:solidFill>
              <w14:schemeClr w14:val="tx1"/>
            </w14:solidFill>
          </w14:textFill>
        </w:rPr>
        <w:fldChar w:fldCharType="begin"/>
      </w:r>
      <w:r>
        <w:rPr>
          <w:color w:val="000000" w:themeColor="text1"/>
          <w:kern w:val="0"/>
          <w:szCs w:val="22"/>
          <w14:textFill>
            <w14:solidFill>
              <w14:schemeClr w14:val="tx1"/>
            </w14:solidFill>
          </w14:textFill>
        </w:rPr>
        <w:instrText xml:space="preserve">eq \o\ac(</w:instrText>
      </w:r>
      <w:r>
        <w:rPr>
          <w:color w:val="000000" w:themeColor="text1"/>
          <w:kern w:val="0"/>
          <w:position w:val="-4"/>
          <w:sz w:val="36"/>
          <w:szCs w:val="22"/>
          <w14:textFill>
            <w14:solidFill>
              <w14:schemeClr w14:val="tx1"/>
            </w14:solidFill>
          </w14:textFill>
        </w:rPr>
        <w:instrText xml:space="preserve">○</w:instrText>
      </w:r>
      <w:r>
        <w:rPr>
          <w:color w:val="000000" w:themeColor="text1"/>
          <w:kern w:val="0"/>
          <w:szCs w:val="22"/>
          <w14:textFill>
            <w14:solidFill>
              <w14:schemeClr w14:val="tx1"/>
            </w14:solidFill>
          </w14:textFill>
        </w:rPr>
        <w:instrText xml:space="preserve">,41)</w:instrText>
      </w:r>
      <w:r>
        <w:rPr>
          <w:color w:val="000000" w:themeColor="text1"/>
          <w:kern w:val="0"/>
          <w:szCs w:val="22"/>
          <w14:textFill>
            <w14:solidFill>
              <w14:schemeClr w14:val="tx1"/>
            </w14:solidFill>
          </w14:textFill>
        </w:rPr>
        <w:fldChar w:fldCharType="end"/>
      </w:r>
      <w:r>
        <w:rPr>
          <w:color w:val="000000" w:themeColor="text1"/>
          <w:kern w:val="0"/>
          <w:szCs w:val="22"/>
          <w14:textFill>
            <w14:solidFill>
              <w14:schemeClr w14:val="tx1"/>
            </w14:solidFill>
          </w14:textFill>
        </w:rPr>
        <w:t>所切，南翼全未出露。核部由下志留统连滩群第二组（S</w:t>
      </w:r>
      <w:r>
        <w:rPr>
          <w:color w:val="000000" w:themeColor="text1"/>
          <w:kern w:val="0"/>
          <w:szCs w:val="22"/>
          <w:vertAlign w:val="subscript"/>
          <w14:textFill>
            <w14:solidFill>
              <w14:schemeClr w14:val="tx1"/>
            </w14:solidFill>
          </w14:textFill>
        </w:rPr>
        <w:t>1ln</w:t>
      </w:r>
      <w:r>
        <w:rPr>
          <w:color w:val="000000" w:themeColor="text1"/>
          <w:kern w:val="0"/>
          <w:szCs w:val="22"/>
          <w:vertAlign w:val="superscript"/>
          <w14:textFill>
            <w14:solidFill>
              <w14:schemeClr w14:val="tx1"/>
            </w14:solidFill>
          </w14:textFill>
        </w:rPr>
        <w:t>b</w:t>
      </w:r>
      <w:r>
        <w:rPr>
          <w:color w:val="000000" w:themeColor="text1"/>
          <w:kern w:val="0"/>
          <w:szCs w:val="22"/>
          <w14:textFill>
            <w14:solidFill>
              <w14:schemeClr w14:val="tx1"/>
            </w14:solidFill>
          </w14:textFill>
        </w:rPr>
        <w:t>）组成、倾角40~70度，翼部由下志留统连滩群第三组（S</w:t>
      </w:r>
      <w:r>
        <w:rPr>
          <w:color w:val="000000" w:themeColor="text1"/>
          <w:kern w:val="0"/>
          <w:szCs w:val="22"/>
          <w:vertAlign w:val="subscript"/>
          <w14:textFill>
            <w14:solidFill>
              <w14:schemeClr w14:val="tx1"/>
            </w14:solidFill>
          </w14:textFill>
        </w:rPr>
        <w:t>1ln</w:t>
      </w:r>
      <w:r>
        <w:rPr>
          <w:color w:val="000000" w:themeColor="text1"/>
          <w:kern w:val="0"/>
          <w:szCs w:val="22"/>
          <w:vertAlign w:val="superscript"/>
          <w14:textFill>
            <w14:solidFill>
              <w14:schemeClr w14:val="tx1"/>
            </w14:solidFill>
          </w14:textFill>
        </w:rPr>
        <w:t>c</w:t>
      </w:r>
      <w:r>
        <w:rPr>
          <w:color w:val="000000" w:themeColor="text1"/>
          <w:kern w:val="0"/>
          <w:szCs w:val="22"/>
          <w14:textFill>
            <w14:solidFill>
              <w14:schemeClr w14:val="tx1"/>
            </w14:solidFill>
          </w14:textFill>
        </w:rPr>
        <w:t>）组成、倾角35－75度。后期被4条北西向断层所切割产生错移。但是那丽背斜由于离项目场地距离大于10km，对项目场地的影响甚微。</w:t>
      </w:r>
    </w:p>
    <w:p w14:paraId="50D1A120">
      <w:pPr>
        <w:adjustRightInd w:val="0"/>
        <w:snapToGrid w:val="0"/>
        <w:ind w:firstLine="482"/>
        <w:rPr>
          <w:b/>
          <w:color w:val="000000" w:themeColor="text1"/>
          <w:kern w:val="0"/>
          <w:szCs w:val="22"/>
          <w14:textFill>
            <w14:solidFill>
              <w14:schemeClr w14:val="tx1"/>
            </w14:solidFill>
          </w14:textFill>
        </w:rPr>
      </w:pPr>
      <w:r>
        <w:rPr>
          <w:b/>
          <w:color w:val="000000" w:themeColor="text1"/>
          <w:kern w:val="0"/>
          <w:szCs w:val="22"/>
          <w14:textFill>
            <w14:solidFill>
              <w14:schemeClr w14:val="tx1"/>
            </w14:solidFill>
          </w14:textFill>
        </w:rPr>
        <w:t>（2）断裂构造</w:t>
      </w:r>
    </w:p>
    <w:p w14:paraId="14D5D5FB">
      <w:pPr>
        <w:adjustRightInd w:val="0"/>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区域主要分布有那丁断裂</w:t>
      </w:r>
      <w:r>
        <w:rPr>
          <w:color w:val="000000" w:themeColor="text1"/>
          <w:kern w:val="0"/>
          <w:szCs w:val="22"/>
          <w14:textFill>
            <w14:solidFill>
              <w14:schemeClr w14:val="tx1"/>
            </w14:solidFill>
          </w14:textFill>
        </w:rPr>
        <w:fldChar w:fldCharType="begin"/>
      </w:r>
      <w:r>
        <w:rPr>
          <w:color w:val="000000" w:themeColor="text1"/>
          <w:kern w:val="0"/>
          <w:szCs w:val="22"/>
          <w14:textFill>
            <w14:solidFill>
              <w14:schemeClr w14:val="tx1"/>
            </w14:solidFill>
          </w14:textFill>
        </w:rPr>
        <w:instrText xml:space="preserve">eq \o\ac(</w:instrText>
      </w:r>
      <w:r>
        <w:rPr>
          <w:color w:val="000000" w:themeColor="text1"/>
          <w:kern w:val="0"/>
          <w:position w:val="-4"/>
          <w:sz w:val="36"/>
          <w:szCs w:val="22"/>
          <w14:textFill>
            <w14:solidFill>
              <w14:schemeClr w14:val="tx1"/>
            </w14:solidFill>
          </w14:textFill>
        </w:rPr>
        <w:instrText xml:space="preserve">○</w:instrText>
      </w:r>
      <w:r>
        <w:rPr>
          <w:color w:val="000000" w:themeColor="text1"/>
          <w:kern w:val="0"/>
          <w:szCs w:val="22"/>
          <w14:textFill>
            <w14:solidFill>
              <w14:schemeClr w14:val="tx1"/>
            </w14:solidFill>
          </w14:textFill>
        </w:rPr>
        <w:instrText xml:space="preserve">,41)</w:instrText>
      </w:r>
      <w:r>
        <w:rPr>
          <w:color w:val="000000" w:themeColor="text1"/>
          <w:kern w:val="0"/>
          <w:szCs w:val="22"/>
          <w14:textFill>
            <w14:solidFill>
              <w14:schemeClr w14:val="tx1"/>
            </w14:solidFill>
          </w14:textFill>
        </w:rPr>
        <w:fldChar w:fldCharType="end"/>
      </w:r>
      <w:r>
        <w:rPr>
          <w:color w:val="000000" w:themeColor="text1"/>
          <w:kern w:val="0"/>
          <w:szCs w:val="22"/>
          <w14:textFill>
            <w14:solidFill>
              <w14:schemeClr w14:val="tx1"/>
            </w14:solidFill>
          </w14:textFill>
        </w:rPr>
        <w:t>，分布于那丽背斜南侧，与背斜轴线平行延伸，是褶皱发展强度达到极限的破裂形变，断面舒缓挠曲，西南段倾向南东，倾角35度；东北段倾向北或北北西，倾角46~80度；切割S~D</w:t>
      </w:r>
      <w:r>
        <w:rPr>
          <w:color w:val="000000" w:themeColor="text1"/>
          <w:kern w:val="0"/>
          <w:szCs w:val="22"/>
          <w:vertAlign w:val="subscript"/>
          <w14:textFill>
            <w14:solidFill>
              <w14:schemeClr w14:val="tx1"/>
            </w14:solidFill>
          </w14:textFill>
        </w:rPr>
        <w:t>1</w:t>
      </w:r>
      <w:r>
        <w:rPr>
          <w:color w:val="000000" w:themeColor="text1"/>
          <w:kern w:val="0"/>
          <w:szCs w:val="22"/>
          <w14:textFill>
            <w14:solidFill>
              <w14:schemeClr w14:val="tx1"/>
            </w14:solidFill>
          </w14:textFill>
        </w:rPr>
        <w:t>地层，断距5.7~8.4km，属压性逆断层，断裂带岩石挤压破碎、硅化，强烈拖褶，具斜冲擦痕。由于那丁断裂</w:t>
      </w:r>
      <w:r>
        <w:rPr>
          <w:color w:val="000000" w:themeColor="text1"/>
          <w:kern w:val="0"/>
          <w:szCs w:val="22"/>
          <w14:textFill>
            <w14:solidFill>
              <w14:schemeClr w14:val="tx1"/>
            </w14:solidFill>
          </w14:textFill>
        </w:rPr>
        <w:fldChar w:fldCharType="begin"/>
      </w:r>
      <w:r>
        <w:rPr>
          <w:color w:val="000000" w:themeColor="text1"/>
          <w:kern w:val="0"/>
          <w:szCs w:val="22"/>
          <w14:textFill>
            <w14:solidFill>
              <w14:schemeClr w14:val="tx1"/>
            </w14:solidFill>
          </w14:textFill>
        </w:rPr>
        <w:instrText xml:space="preserve">eq \o\ac(</w:instrText>
      </w:r>
      <w:r>
        <w:rPr>
          <w:color w:val="000000" w:themeColor="text1"/>
          <w:kern w:val="0"/>
          <w:position w:val="-4"/>
          <w:sz w:val="36"/>
          <w:szCs w:val="22"/>
          <w14:textFill>
            <w14:solidFill>
              <w14:schemeClr w14:val="tx1"/>
            </w14:solidFill>
          </w14:textFill>
        </w:rPr>
        <w:instrText xml:space="preserve">○</w:instrText>
      </w:r>
      <w:r>
        <w:rPr>
          <w:color w:val="000000" w:themeColor="text1"/>
          <w:kern w:val="0"/>
          <w:szCs w:val="22"/>
          <w14:textFill>
            <w14:solidFill>
              <w14:schemeClr w14:val="tx1"/>
            </w14:solidFill>
          </w14:textFill>
        </w:rPr>
        <w:instrText xml:space="preserve">,41)</w:instrText>
      </w:r>
      <w:r>
        <w:rPr>
          <w:color w:val="000000" w:themeColor="text1"/>
          <w:kern w:val="0"/>
          <w:szCs w:val="22"/>
          <w14:textFill>
            <w14:solidFill>
              <w14:schemeClr w14:val="tx1"/>
            </w14:solidFill>
          </w14:textFill>
        </w:rPr>
        <w:fldChar w:fldCharType="end"/>
      </w:r>
      <w:r>
        <w:rPr>
          <w:color w:val="000000" w:themeColor="text1"/>
          <w:kern w:val="0"/>
          <w:szCs w:val="22"/>
          <w14:textFill>
            <w14:solidFill>
              <w14:schemeClr w14:val="tx1"/>
            </w14:solidFill>
          </w14:textFill>
        </w:rPr>
        <w:t>离项目场地距离大于15km，所以对项目场地的影响甚微。</w:t>
      </w:r>
    </w:p>
    <w:p w14:paraId="4A98C324">
      <w:pPr>
        <w:spacing w:line="240" w:lineRule="atLeast"/>
        <w:ind w:firstLine="480"/>
        <w:rPr>
          <w:color w:val="000000" w:themeColor="text1"/>
          <w:kern w:val="0"/>
          <w:sz w:val="28"/>
          <w:szCs w:val="28"/>
          <w14:textFill>
            <w14:solidFill>
              <w14:schemeClr w14:val="tx1"/>
            </w14:solidFill>
          </w14:textFill>
        </w:rPr>
      </w:pPr>
      <w:r>
        <w:rPr>
          <w:color w:val="000000" w:themeColor="text1"/>
          <w:szCs w:val="22"/>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3783965</wp:posOffset>
                </wp:positionH>
                <wp:positionV relativeFrom="paragraph">
                  <wp:posOffset>5365750</wp:posOffset>
                </wp:positionV>
                <wp:extent cx="118745" cy="118745"/>
                <wp:effectExtent l="0" t="0" r="14605" b="14605"/>
                <wp:wrapNone/>
                <wp:docPr id="28" name="矩形 85"/>
                <wp:cNvGraphicFramePr/>
                <a:graphic xmlns:a="http://schemas.openxmlformats.org/drawingml/2006/main">
                  <a:graphicData uri="http://schemas.microsoft.com/office/word/2010/wordprocessingShape">
                    <wps:wsp>
                      <wps:cNvSpPr>
                        <a:spLocks noChangeArrowheads="1"/>
                      </wps:cNvSpPr>
                      <wps:spPr bwMode="auto">
                        <a:xfrm>
                          <a:off x="0" y="0"/>
                          <a:ext cx="118745" cy="118745"/>
                        </a:xfrm>
                        <a:prstGeom prst="rect">
                          <a:avLst/>
                        </a:prstGeom>
                        <a:solidFill>
                          <a:srgbClr val="FF0000"/>
                        </a:solidFill>
                        <a:ln w="9525" algn="ctr">
                          <a:solidFill>
                            <a:srgbClr val="FF0000"/>
                          </a:solidFill>
                          <a:miter lim="800000"/>
                        </a:ln>
                        <a:effectLst/>
                      </wps:spPr>
                      <wps:bodyPr rot="0" vert="horz" wrap="square" lIns="91440" tIns="45720" rIns="91440" bIns="45720" anchor="t" anchorCtr="0" upright="1">
                        <a:noAutofit/>
                      </wps:bodyPr>
                    </wps:wsp>
                  </a:graphicData>
                </a:graphic>
              </wp:anchor>
            </w:drawing>
          </mc:Choice>
          <mc:Fallback>
            <w:pict>
              <v:rect id="矩形 85" o:spid="_x0000_s1026" o:spt="1" style="position:absolute;left:0pt;margin-left:297.95pt;margin-top:422.5pt;height:9.35pt;width:9.35pt;z-index:251661312;mso-width-relative:page;mso-height-relative:page;" fillcolor="#FF0000" filled="t" stroked="t" coordsize="21600,21600" o:gfxdata="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WMAU3bAAAACwEAAA8AAAAAAAAAAQAgAAAAIgAAAGRy&#10;cy9kb3ducmV2LnhtbFBLAQIUABQAAAAIAIdO4kBBdIzOOwIAAIkEAAAOAAAAAAAAAAEAIAAAACoB&#10;AABkcnMvZTJvRG9jLnhtbFBLBQYAAAAABgAGAFkBAADXBQAAAAA=&#10;">
                <v:fill on="t" focussize="0,0"/>
                <v:stroke color="#FF0000" miterlimit="8" joinstyle="miter"/>
                <v:imagedata o:title=""/>
                <o:lock v:ext="edit" aspectratio="f"/>
              </v:rect>
            </w:pict>
          </mc:Fallback>
        </mc:AlternateContent>
      </w:r>
      <w:r>
        <w:rPr>
          <w:color w:val="000000" w:themeColor="text1"/>
          <w:szCs w:val="22"/>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3730625</wp:posOffset>
                </wp:positionH>
                <wp:positionV relativeFrom="paragraph">
                  <wp:posOffset>5923280</wp:posOffset>
                </wp:positionV>
                <wp:extent cx="607060" cy="280035"/>
                <wp:effectExtent l="0" t="552450" r="21590" b="24765"/>
                <wp:wrapNone/>
                <wp:docPr id="29" name="圆角矩形标注 84"/>
                <wp:cNvGraphicFramePr/>
                <a:graphic xmlns:a="http://schemas.openxmlformats.org/drawingml/2006/main">
                  <a:graphicData uri="http://schemas.microsoft.com/office/word/2010/wordprocessingShape">
                    <wps:wsp>
                      <wps:cNvSpPr>
                        <a:spLocks noChangeArrowheads="1"/>
                      </wps:cNvSpPr>
                      <wps:spPr bwMode="auto">
                        <a:xfrm>
                          <a:off x="0" y="0"/>
                          <a:ext cx="607060" cy="280035"/>
                        </a:xfrm>
                        <a:prstGeom prst="wedgeRoundRectCallout">
                          <a:avLst>
                            <a:gd name="adj1" fmla="val -32319"/>
                            <a:gd name="adj2" fmla="val -228921"/>
                            <a:gd name="adj3" fmla="val 16667"/>
                          </a:avLst>
                        </a:prstGeom>
                        <a:solidFill>
                          <a:srgbClr val="FFFFFF">
                            <a:alpha val="52000"/>
                          </a:srgbClr>
                        </a:solidFill>
                        <a:ln w="9525" algn="ctr">
                          <a:solidFill>
                            <a:srgbClr val="FF0000"/>
                          </a:solidFill>
                          <a:miter lim="800000"/>
                        </a:ln>
                        <a:effectLst/>
                      </wps:spPr>
                      <wps:txbx>
                        <w:txbxContent>
                          <w:p w14:paraId="17286264">
                            <w:pPr>
                              <w:spacing w:line="240" w:lineRule="auto"/>
                              <w:ind w:firstLine="0" w:firstLineChars="0"/>
                              <w:rPr>
                                <w:color w:val="FF0000"/>
                                <w:spacing w:val="-10"/>
                                <w:sz w:val="21"/>
                              </w:rPr>
                            </w:pPr>
                            <w:r>
                              <w:rPr>
                                <w:rFonts w:hint="eastAsia"/>
                                <w:color w:val="FF0000"/>
                                <w:spacing w:val="-10"/>
                                <w:sz w:val="21"/>
                              </w:rPr>
                              <w:t>项目位置</w:t>
                            </w:r>
                          </w:p>
                        </w:txbxContent>
                      </wps:txbx>
                      <wps:bodyPr rot="0" vert="horz" wrap="square" lIns="0" tIns="45720" rIns="0" bIns="45720" anchor="t" anchorCtr="0" upright="1">
                        <a:noAutofit/>
                      </wps:bodyPr>
                    </wps:wsp>
                  </a:graphicData>
                </a:graphic>
              </wp:anchor>
            </w:drawing>
          </mc:Choice>
          <mc:Fallback>
            <w:pict>
              <v:shape id="圆角矩形标注 84" o:spid="_x0000_s1026" o:spt="62" type="#_x0000_t62" style="position:absolute;left:0pt;margin-left:293.75pt;margin-top:466.4pt;height:22.05pt;width:47.8pt;z-index:251659264;mso-width-relative:page;mso-height-relative:page;" fillcolor="#FFFFFF" filled="t" stroked="t" coordsize="21600,21600" o:gfxdata="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Ct6UWQ2gAAAAsBAAAPAAAAAAAAAAEAIAAAACIAAABkcnMvZG93&#10;bnJldi54bWxQSwECFAAUAAAACACHTuJAQzLRU6kCAABCBQAADgAAAAAAAAABACAAAAApAQAAZHJz&#10;L2Uyb0RvYy54bWxQSwUGAAAAAAYABgBZAQAARAYAAAAA&#10;" adj="3819,-38647,14400">
                <v:fill on="t" opacity="34078f" focussize="0,0"/>
                <v:stroke color="#FF0000" miterlimit="8" joinstyle="miter"/>
                <v:imagedata o:title=""/>
                <o:lock v:ext="edit" aspectratio="f"/>
                <v:textbox inset="0mm,1.27mm,0mm,1.27mm">
                  <w:txbxContent>
                    <w:p w14:paraId="17286264">
                      <w:pPr>
                        <w:spacing w:line="240" w:lineRule="auto"/>
                        <w:ind w:firstLine="0" w:firstLineChars="0"/>
                        <w:rPr>
                          <w:color w:val="FF0000"/>
                          <w:spacing w:val="-10"/>
                          <w:sz w:val="21"/>
                        </w:rPr>
                      </w:pPr>
                      <w:r>
                        <w:rPr>
                          <w:rFonts w:hint="eastAsia"/>
                          <w:color w:val="FF0000"/>
                          <w:spacing w:val="-10"/>
                          <w:sz w:val="21"/>
                        </w:rPr>
                        <w:t>项目位置</w:t>
                      </w:r>
                    </w:p>
                  </w:txbxContent>
                </v:textbox>
              </v:shape>
            </w:pict>
          </mc:Fallback>
        </mc:AlternateContent>
      </w:r>
      <w:r>
        <w:rPr>
          <w:color w:val="000000" w:themeColor="text1"/>
          <w:kern w:val="0"/>
          <w:sz w:val="28"/>
          <w:szCs w:val="28"/>
          <w14:textFill>
            <w14:solidFill>
              <w14:schemeClr w14:val="tx1"/>
            </w14:solidFill>
          </w14:textFill>
        </w:rPr>
        <w:drawing>
          <wp:inline distT="0" distB="0" distL="0" distR="0">
            <wp:extent cx="5505450" cy="8515350"/>
            <wp:effectExtent l="0" t="0" r="0" b="0"/>
            <wp:docPr id="39" name="图片 8" descr="构造纲要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 descr="构造纲要图"/>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5505450" cy="8515350"/>
                    </a:xfrm>
                    <a:prstGeom prst="rect">
                      <a:avLst/>
                    </a:prstGeom>
                    <a:solidFill>
                      <a:srgbClr val="FFFFFF"/>
                    </a:solidFill>
                    <a:ln>
                      <a:noFill/>
                    </a:ln>
                  </pic:spPr>
                </pic:pic>
              </a:graphicData>
            </a:graphic>
          </wp:inline>
        </w:drawing>
      </w:r>
      <w:r>
        <w:rPr>
          <w:color w:val="000000" w:themeColor="text1"/>
          <w:szCs w:val="22"/>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2210435</wp:posOffset>
                </wp:positionH>
                <wp:positionV relativeFrom="paragraph">
                  <wp:posOffset>7613015</wp:posOffset>
                </wp:positionV>
                <wp:extent cx="1400175" cy="99060"/>
                <wp:effectExtent l="0" t="0" r="9525" b="0"/>
                <wp:wrapNone/>
                <wp:docPr id="27" name="矩形 79"/>
                <wp:cNvGraphicFramePr/>
                <a:graphic xmlns:a="http://schemas.openxmlformats.org/drawingml/2006/main">
                  <a:graphicData uri="http://schemas.microsoft.com/office/word/2010/wordprocessingShape">
                    <wps:wsp>
                      <wps:cNvSpPr>
                        <a:spLocks noChangeArrowheads="1"/>
                      </wps:cNvSpPr>
                      <wps:spPr bwMode="auto">
                        <a:xfrm>
                          <a:off x="0" y="0"/>
                          <a:ext cx="1400175" cy="99060"/>
                        </a:xfrm>
                        <a:prstGeom prst="rect">
                          <a:avLst/>
                        </a:prstGeom>
                        <a:solidFill>
                          <a:srgbClr val="FFFFFF"/>
                        </a:solidFill>
                        <a:ln>
                          <a:noFill/>
                        </a:ln>
                        <a:effectLst/>
                      </wps:spPr>
                      <wps:bodyPr rot="0" vert="horz" wrap="square" lIns="91440" tIns="45720" rIns="91440" bIns="45720" anchor="t" anchorCtr="0" upright="1">
                        <a:noAutofit/>
                      </wps:bodyPr>
                    </wps:wsp>
                  </a:graphicData>
                </a:graphic>
              </wp:anchor>
            </w:drawing>
          </mc:Choice>
          <mc:Fallback>
            <w:pict>
              <v:rect id="矩形 79" o:spid="_x0000_s1026" o:spt="1" style="position:absolute;left:0pt;margin-left:174.05pt;margin-top:599.45pt;height:7.8pt;width:110.25pt;z-index:251660288;mso-width-relative:page;mso-height-relative:page;" fillcolor="#FFFFFF" filled="t" stroked="f" coordsize="21600,21600" o:gfxdata="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IZF&#10;g/vaAAAADQEAAA8AAAAAAAAAAQAgAAAAIgAAAGRycy9kb3ducmV2LnhtbFBLAQIUABQAAAAIAIdO&#10;4kDqh7NdIQIAADUEAAAOAAAAAAAAAAEAIAAAACkBAABkcnMvZTJvRG9jLnhtbFBLBQYAAAAABgAG&#10;AFkBAAC8BQAAAAA=&#10;">
                <v:fill on="t" focussize="0,0"/>
                <v:stroke on="f"/>
                <v:imagedata o:title=""/>
                <o:lock v:ext="edit" aspectratio="f"/>
              </v:rect>
            </w:pict>
          </mc:Fallback>
        </mc:AlternateContent>
      </w:r>
    </w:p>
    <w:p w14:paraId="3356781E">
      <w:pPr>
        <w:pStyle w:val="8"/>
        <w:rPr>
          <w:color w:val="000000" w:themeColor="text1"/>
          <w14:textFill>
            <w14:solidFill>
              <w14:schemeClr w14:val="tx1"/>
            </w14:solidFill>
          </w14:textFill>
        </w:rPr>
      </w:pPr>
      <w:r>
        <w:rPr>
          <w:color w:val="000000" w:themeColor="text1"/>
          <w14:textFill>
            <w14:solidFill>
              <w14:schemeClr w14:val="tx1"/>
            </w14:solidFill>
          </w14:textFill>
        </w:rPr>
        <w:t>区域地质构造图</w:t>
      </w:r>
    </w:p>
    <w:p w14:paraId="6B657F45">
      <w:pPr>
        <w:pStyle w:val="6"/>
        <w:rPr>
          <w:color w:val="000000" w:themeColor="text1"/>
          <w14:textFill>
            <w14:solidFill>
              <w14:schemeClr w14:val="tx1"/>
            </w14:solidFill>
          </w14:textFill>
        </w:rPr>
      </w:pPr>
      <w:r>
        <w:rPr>
          <w:color w:val="000000" w:themeColor="text1"/>
          <w14:textFill>
            <w14:solidFill>
              <w14:schemeClr w14:val="tx1"/>
            </w14:solidFill>
          </w14:textFill>
        </w:rPr>
        <w:t>区域水文地质条件</w:t>
      </w:r>
    </w:p>
    <w:p w14:paraId="6815CBDD">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（1）水文地质单元</w:t>
      </w:r>
    </w:p>
    <w:p w14:paraId="7F2733DD">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评价区位于金鼓江流域的入海口处，金鼓江是评价区的主要排泄基准面；评价区东部、西部和南部均以钦州湾海域为界，北部被碎屑岩所包围，地下分水岭与地表分水岭一致，形成一个相对独立的水文地质单元，汇水面积约40km</w:t>
      </w:r>
      <w:r>
        <w:rPr>
          <w:color w:val="000000" w:themeColor="text1"/>
          <w:kern w:val="0"/>
          <w:szCs w:val="22"/>
          <w:vertAlign w:val="superscript"/>
          <w14:textFill>
            <w14:solidFill>
              <w14:schemeClr w14:val="tx1"/>
            </w14:solidFill>
          </w14:textFill>
        </w:rPr>
        <w:t>2</w:t>
      </w:r>
      <w:r>
        <w:rPr>
          <w:color w:val="000000" w:themeColor="text1"/>
          <w:kern w:val="0"/>
          <w:szCs w:val="22"/>
          <w14:textFill>
            <w14:solidFill>
              <w14:schemeClr w14:val="tx1"/>
            </w14:solidFill>
          </w14:textFill>
        </w:rPr>
        <w:t>。</w:t>
      </w:r>
    </w:p>
    <w:p w14:paraId="2F1E55A2">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（2）含水岩组及分布特征</w:t>
      </w:r>
    </w:p>
    <w:p w14:paraId="313DE177">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将含水介质、储水空间相同或相近的地层，进行归并组合，评价区含水岩组划分为松散岩类含水岩组、碎屑岩类含水岩组</w:t>
      </w:r>
      <w:r>
        <w:rPr>
          <w:rFonts w:hint="eastAsia"/>
          <w:color w:val="000000" w:themeColor="text1"/>
          <w:kern w:val="0"/>
          <w:szCs w:val="22"/>
          <w:lang w:eastAsia="zh-CN"/>
          <w14:textFill>
            <w14:solidFill>
              <w14:schemeClr w14:val="tx1"/>
            </w14:solidFill>
          </w14:textFill>
        </w:rPr>
        <w:t>两大类</w:t>
      </w:r>
      <w:r>
        <w:rPr>
          <w:color w:val="000000" w:themeColor="text1"/>
          <w:kern w:val="0"/>
          <w:szCs w:val="22"/>
          <w14:textFill>
            <w14:solidFill>
              <w14:schemeClr w14:val="tx1"/>
            </w14:solidFill>
          </w14:textFill>
        </w:rPr>
        <w:t>。</w:t>
      </w:r>
    </w:p>
    <w:p w14:paraId="3483316B">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松散岩类含水岩组为现代海相沉积（Q</w:t>
      </w:r>
      <w:r>
        <w:rPr>
          <w:color w:val="000000" w:themeColor="text1"/>
          <w:kern w:val="0"/>
          <w:szCs w:val="22"/>
          <w:vertAlign w:val="subscript"/>
          <w14:textFill>
            <w14:solidFill>
              <w14:schemeClr w14:val="tx1"/>
            </w14:solidFill>
          </w14:textFill>
        </w:rPr>
        <w:t>4－2</w:t>
      </w:r>
      <w:r>
        <w:rPr>
          <w:color w:val="000000" w:themeColor="text1"/>
          <w:kern w:val="0"/>
          <w:szCs w:val="22"/>
          <w:vertAlign w:val="superscript"/>
          <w14:textFill>
            <w14:solidFill>
              <w14:schemeClr w14:val="tx1"/>
            </w14:solidFill>
          </w14:textFill>
        </w:rPr>
        <w:t>m</w:t>
      </w:r>
      <w:r>
        <w:rPr>
          <w:color w:val="000000" w:themeColor="text1"/>
          <w:kern w:val="0"/>
          <w:szCs w:val="22"/>
          <w14:textFill>
            <w14:solidFill>
              <w14:schemeClr w14:val="tx1"/>
            </w14:solidFill>
          </w14:textFill>
        </w:rPr>
        <w:t>）和人工填海堆积（Q</w:t>
      </w:r>
      <w:r>
        <w:rPr>
          <w:color w:val="000000" w:themeColor="text1"/>
          <w:kern w:val="0"/>
          <w:szCs w:val="22"/>
          <w:vertAlign w:val="subscript"/>
          <w14:textFill>
            <w14:solidFill>
              <w14:schemeClr w14:val="tx1"/>
            </w14:solidFill>
          </w14:textFill>
        </w:rPr>
        <w:t>4</w:t>
      </w:r>
      <w:r>
        <w:rPr>
          <w:color w:val="000000" w:themeColor="text1"/>
          <w:kern w:val="0"/>
          <w:szCs w:val="22"/>
          <w:vertAlign w:val="superscript"/>
          <w14:textFill>
            <w14:solidFill>
              <w14:schemeClr w14:val="tx1"/>
            </w14:solidFill>
          </w14:textFill>
        </w:rPr>
        <w:t>ml</w:t>
      </w:r>
      <w:r>
        <w:rPr>
          <w:color w:val="000000" w:themeColor="text1"/>
          <w:kern w:val="0"/>
          <w:szCs w:val="22"/>
          <w14:textFill>
            <w14:solidFill>
              <w14:schemeClr w14:val="tx1"/>
            </w14:solidFill>
          </w14:textFill>
        </w:rPr>
        <w:t>），岩性为砂质淤泥或淤泥质砂层、含砾粉质粘土，主要分布于旧营盘以东及以南一带，底部主要为潮间带沉积，上部为人工填土，分布面积较广。</w:t>
      </w:r>
    </w:p>
    <w:p w14:paraId="1F5891E9">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粉砂岩、泥岩、页岩含水岩组为下志留统连滩群第五组（S</w:t>
      </w:r>
      <w:r>
        <w:rPr>
          <w:color w:val="000000" w:themeColor="text1"/>
          <w:kern w:val="0"/>
          <w:szCs w:val="22"/>
          <w:vertAlign w:val="subscript"/>
          <w14:textFill>
            <w14:solidFill>
              <w14:schemeClr w14:val="tx1"/>
            </w14:solidFill>
          </w14:textFill>
        </w:rPr>
        <w:t>1</w:t>
      </w:r>
      <w:r>
        <w:rPr>
          <w:color w:val="000000" w:themeColor="text1"/>
          <w:kern w:val="0"/>
          <w:szCs w:val="22"/>
          <w14:textFill>
            <w14:solidFill>
              <w14:schemeClr w14:val="tx1"/>
            </w14:solidFill>
          </w14:textFill>
        </w:rPr>
        <w:t>ln</w:t>
      </w:r>
      <w:r>
        <w:rPr>
          <w:color w:val="000000" w:themeColor="text1"/>
          <w:kern w:val="0"/>
          <w:szCs w:val="22"/>
          <w:vertAlign w:val="superscript"/>
          <w14:textFill>
            <w14:solidFill>
              <w14:schemeClr w14:val="tx1"/>
            </w14:solidFill>
          </w14:textFill>
        </w:rPr>
        <w:t>e</w:t>
      </w:r>
      <w:r>
        <w:rPr>
          <w:color w:val="000000" w:themeColor="text1"/>
          <w:kern w:val="0"/>
          <w:szCs w:val="22"/>
          <w14:textFill>
            <w14:solidFill>
              <w14:schemeClr w14:val="tx1"/>
            </w14:solidFill>
          </w14:textFill>
        </w:rPr>
        <w:t>），岩性主要为细粒岩屑质砂岩、粉砂岩夹泥质粉砂岩、页岩、泥岩，分布在评价区中部及北部分地区，分布面积广。</w:t>
      </w:r>
    </w:p>
    <w:p w14:paraId="5B3D300B">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（3）地下水类型及富水性</w:t>
      </w:r>
    </w:p>
    <w:p w14:paraId="7ACD9A8E">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项目所在区域地下水主要为松散层孔隙潜水和基岩裂隙水。由于松散层孔隙含水层分布面积小，基岩裂隙含水层补给及储存条件较差，含水层富水性极不均匀，本地区地下水不能作为城市集中供水水源。地下水主要为裂隙孔隙承压水，地下水的补给主要是降雨的垂直补给和地表水(山塘、水库)侧向补给，其径流排泄总体上是由北向南，由东西两侧向中部钦江河径流排泄。目前，钦州市主要的生活和工业用水以地表水为主，地下水开采量约占总用水量的20%。区域评价内无集中式地下水水源保护区。</w:t>
      </w:r>
    </w:p>
    <w:p w14:paraId="129030D3">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根据岩性及含水介质特征，评价区可划分松散岩类含水岩组、碎屑岩类含水岩组</w:t>
      </w:r>
      <w:r>
        <w:rPr>
          <w:rFonts w:hint="eastAsia"/>
          <w:color w:val="000000" w:themeColor="text1"/>
          <w:kern w:val="0"/>
          <w:szCs w:val="22"/>
          <w:lang w:eastAsia="zh-CN"/>
          <w14:textFill>
            <w14:solidFill>
              <w14:schemeClr w14:val="tx1"/>
            </w14:solidFill>
          </w14:textFill>
        </w:rPr>
        <w:t>两大类</w:t>
      </w:r>
      <w:r>
        <w:rPr>
          <w:color w:val="000000" w:themeColor="text1"/>
          <w:kern w:val="0"/>
          <w:szCs w:val="22"/>
          <w14:textFill>
            <w14:solidFill>
              <w14:schemeClr w14:val="tx1"/>
            </w14:solidFill>
          </w14:textFill>
        </w:rPr>
        <w:t>。根据含水岩组及地下水赋存条件，相应的评价区地下水类型可划分为松散岩类孔隙水、基岩构造裂隙水两大类。</w:t>
      </w:r>
    </w:p>
    <w:p w14:paraId="0F20E14E">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根据1:20万钦州合浦幅区域水文地质普查报告（广西地质矿产局广西水文工程地质队，1986年）资料，结合本次调查结果，评价区各类地下水的富水性如下：</w:t>
      </w:r>
    </w:p>
    <w:p w14:paraId="52937FD7">
      <w:pPr>
        <w:ind w:firstLine="480"/>
        <w:rPr>
          <w:color w:val="000000" w:themeColor="text1"/>
          <w:kern w:val="0"/>
          <w:szCs w:val="22"/>
          <w14:textFill>
            <w14:solidFill>
              <w14:schemeClr w14:val="tx1"/>
            </w14:solidFill>
          </w14:textFill>
        </w:rPr>
      </w:pPr>
      <w:r>
        <w:rPr>
          <w:rFonts w:hint="eastAsia" w:ascii="宋体" w:hAnsi="宋体" w:cs="宋体"/>
          <w:color w:val="000000" w:themeColor="text1"/>
          <w:kern w:val="0"/>
          <w:szCs w:val="22"/>
          <w14:textFill>
            <w14:solidFill>
              <w14:schemeClr w14:val="tx1"/>
            </w14:solidFill>
          </w14:textFill>
        </w:rPr>
        <w:t>①</w:t>
      </w:r>
      <w:r>
        <w:rPr>
          <w:color w:val="000000" w:themeColor="text1"/>
          <w:kern w:val="0"/>
          <w:szCs w:val="22"/>
          <w14:textFill>
            <w14:solidFill>
              <w14:schemeClr w14:val="tx1"/>
            </w14:solidFill>
          </w14:textFill>
        </w:rPr>
        <w:t>松散岩类孔隙水的富水性</w:t>
      </w:r>
    </w:p>
    <w:p w14:paraId="5F1BC552">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该类型地下水赋存于评价区南部现代海相沉积（Q</w:t>
      </w:r>
      <w:r>
        <w:rPr>
          <w:color w:val="000000" w:themeColor="text1"/>
          <w:kern w:val="0"/>
          <w:szCs w:val="22"/>
          <w:vertAlign w:val="subscript"/>
          <w14:textFill>
            <w14:solidFill>
              <w14:schemeClr w14:val="tx1"/>
            </w14:solidFill>
          </w14:textFill>
        </w:rPr>
        <w:t>4－2</w:t>
      </w:r>
      <w:r>
        <w:rPr>
          <w:color w:val="000000" w:themeColor="text1"/>
          <w:kern w:val="0"/>
          <w:szCs w:val="22"/>
          <w:vertAlign w:val="superscript"/>
          <w14:textFill>
            <w14:solidFill>
              <w14:schemeClr w14:val="tx1"/>
            </w14:solidFill>
          </w14:textFill>
        </w:rPr>
        <w:t>m</w:t>
      </w:r>
      <w:r>
        <w:rPr>
          <w:color w:val="000000" w:themeColor="text1"/>
          <w:kern w:val="0"/>
          <w:szCs w:val="22"/>
          <w14:textFill>
            <w14:solidFill>
              <w14:schemeClr w14:val="tx1"/>
            </w14:solidFill>
          </w14:textFill>
        </w:rPr>
        <w:t>）地层及人工填海地层的孔隙中，单孔涌水量区间值为2.04~167.0t/d，平均47.57 t/d；泉流量区间值为0.079~3.59 L/s，平均0.861 L/s；富水性等级为贫乏。</w:t>
      </w:r>
    </w:p>
    <w:p w14:paraId="393696D7">
      <w:pPr>
        <w:ind w:firstLine="480"/>
        <w:rPr>
          <w:color w:val="000000" w:themeColor="text1"/>
          <w:kern w:val="0"/>
          <w:szCs w:val="22"/>
          <w14:textFill>
            <w14:solidFill>
              <w14:schemeClr w14:val="tx1"/>
            </w14:solidFill>
          </w14:textFill>
        </w:rPr>
      </w:pPr>
      <w:r>
        <w:rPr>
          <w:rFonts w:hint="eastAsia" w:ascii="宋体" w:hAnsi="宋体" w:cs="宋体"/>
          <w:color w:val="000000" w:themeColor="text1"/>
          <w:kern w:val="0"/>
          <w:szCs w:val="22"/>
          <w14:textFill>
            <w14:solidFill>
              <w14:schemeClr w14:val="tx1"/>
            </w14:solidFill>
          </w14:textFill>
        </w:rPr>
        <w:t>②</w:t>
      </w:r>
      <w:r>
        <w:rPr>
          <w:color w:val="000000" w:themeColor="text1"/>
          <w:kern w:val="0"/>
          <w:szCs w:val="22"/>
          <w14:textFill>
            <w14:solidFill>
              <w14:schemeClr w14:val="tx1"/>
            </w14:solidFill>
          </w14:textFill>
        </w:rPr>
        <w:t>基岩构造裂隙水的富水性</w:t>
      </w:r>
    </w:p>
    <w:p w14:paraId="31388849">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该类型地下水赋存于下志留统连滩群第五组（S</w:t>
      </w:r>
      <w:r>
        <w:rPr>
          <w:color w:val="000000" w:themeColor="text1"/>
          <w:kern w:val="0"/>
          <w:szCs w:val="22"/>
          <w:vertAlign w:val="subscript"/>
          <w14:textFill>
            <w14:solidFill>
              <w14:schemeClr w14:val="tx1"/>
            </w14:solidFill>
          </w14:textFill>
        </w:rPr>
        <w:t>1</w:t>
      </w:r>
      <w:r>
        <w:rPr>
          <w:color w:val="000000" w:themeColor="text1"/>
          <w:kern w:val="0"/>
          <w:szCs w:val="22"/>
          <w14:textFill>
            <w14:solidFill>
              <w14:schemeClr w14:val="tx1"/>
            </w14:solidFill>
          </w14:textFill>
        </w:rPr>
        <w:t>ln</w:t>
      </w:r>
      <w:r>
        <w:rPr>
          <w:color w:val="000000" w:themeColor="text1"/>
          <w:kern w:val="0"/>
          <w:szCs w:val="22"/>
          <w:vertAlign w:val="superscript"/>
          <w14:textFill>
            <w14:solidFill>
              <w14:schemeClr w14:val="tx1"/>
            </w14:solidFill>
          </w14:textFill>
        </w:rPr>
        <w:t>e</w:t>
      </w:r>
      <w:r>
        <w:rPr>
          <w:color w:val="000000" w:themeColor="text1"/>
          <w:kern w:val="0"/>
          <w:szCs w:val="22"/>
          <w14:textFill>
            <w14:solidFill>
              <w14:schemeClr w14:val="tx1"/>
            </w14:solidFill>
          </w14:textFill>
        </w:rPr>
        <w:t>）地层构造裂隙中，岩性主要为细粒岩屑质砂岩、粉砂岩夹泥质粉砂岩、页岩、泥岩，受断裂、褶皱的影响和风化作用，构造、风化裂隙比较发育，但区内残坡积覆盖层较厚，植被稀疏，补给条件差，泉流量区间值为0.007~1.094 L/s，常见值为0.069~0.369L/s，平均0.183 L/s；枯季径流模数值区间修值为0.079~15.00 L/s·km</w:t>
      </w:r>
      <w:r>
        <w:rPr>
          <w:color w:val="000000" w:themeColor="text1"/>
          <w:kern w:val="0"/>
          <w:szCs w:val="22"/>
          <w:vertAlign w:val="superscript"/>
          <w14:textFill>
            <w14:solidFill>
              <w14:schemeClr w14:val="tx1"/>
            </w14:solidFill>
          </w14:textFill>
        </w:rPr>
        <w:t>2</w:t>
      </w:r>
      <w:r>
        <w:rPr>
          <w:color w:val="000000" w:themeColor="text1"/>
          <w:kern w:val="0"/>
          <w:szCs w:val="22"/>
          <w14:textFill>
            <w14:solidFill>
              <w14:schemeClr w14:val="tx1"/>
            </w14:solidFill>
          </w14:textFill>
        </w:rPr>
        <w:t>，常见值为3.409~13.14 L/s·km</w:t>
      </w:r>
      <w:r>
        <w:rPr>
          <w:color w:val="000000" w:themeColor="text1"/>
          <w:kern w:val="0"/>
          <w:szCs w:val="22"/>
          <w:vertAlign w:val="superscript"/>
          <w14:textFill>
            <w14:solidFill>
              <w14:schemeClr w14:val="tx1"/>
            </w14:solidFill>
          </w14:textFill>
        </w:rPr>
        <w:t>2</w:t>
      </w:r>
      <w:r>
        <w:rPr>
          <w:color w:val="000000" w:themeColor="text1"/>
          <w:kern w:val="0"/>
          <w:szCs w:val="22"/>
          <w14:textFill>
            <w14:solidFill>
              <w14:schemeClr w14:val="tx1"/>
            </w14:solidFill>
          </w14:textFill>
        </w:rPr>
        <w:t>，平均5.933 L/s·km</w:t>
      </w:r>
      <w:r>
        <w:rPr>
          <w:color w:val="000000" w:themeColor="text1"/>
          <w:kern w:val="0"/>
          <w:szCs w:val="22"/>
          <w:vertAlign w:val="superscript"/>
          <w14:textFill>
            <w14:solidFill>
              <w14:schemeClr w14:val="tx1"/>
            </w14:solidFill>
          </w14:textFill>
        </w:rPr>
        <w:t>2</w:t>
      </w:r>
      <w:r>
        <w:rPr>
          <w:color w:val="000000" w:themeColor="text1"/>
          <w:kern w:val="0"/>
          <w:szCs w:val="22"/>
          <w14:textFill>
            <w14:solidFill>
              <w14:schemeClr w14:val="tx1"/>
            </w14:solidFill>
          </w14:textFill>
        </w:rPr>
        <w:t>；富水性等级为贫乏。</w:t>
      </w:r>
    </w:p>
    <w:p w14:paraId="470EDC29">
      <w:pPr>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（4）地下水补径排特征</w:t>
      </w:r>
    </w:p>
    <w:p w14:paraId="53B8C0C8">
      <w:pPr>
        <w:snapToGrid w:val="0"/>
        <w:ind w:firstLine="480"/>
        <w:rPr>
          <w:color w:val="000000" w:themeColor="text1"/>
          <w:kern w:val="0"/>
          <w:szCs w:val="22"/>
          <w14:textFill>
            <w14:solidFill>
              <w14:schemeClr w14:val="tx1"/>
            </w14:solidFill>
          </w14:textFill>
        </w:rPr>
      </w:pPr>
      <w:r>
        <w:rPr>
          <w:rFonts w:hint="eastAsia" w:ascii="宋体" w:hAnsi="宋体" w:cs="宋体"/>
          <w:color w:val="000000" w:themeColor="text1"/>
          <w:kern w:val="0"/>
          <w:szCs w:val="22"/>
          <w14:textFill>
            <w14:solidFill>
              <w14:schemeClr w14:val="tx1"/>
            </w14:solidFill>
          </w14:textFill>
        </w:rPr>
        <w:t>①</w:t>
      </w:r>
      <w:r>
        <w:rPr>
          <w:color w:val="000000" w:themeColor="text1"/>
          <w:kern w:val="0"/>
          <w:szCs w:val="22"/>
          <w14:textFill>
            <w14:solidFill>
              <w14:schemeClr w14:val="tx1"/>
            </w14:solidFill>
          </w14:textFill>
        </w:rPr>
        <w:t>补给条件</w:t>
      </w:r>
    </w:p>
    <w:p w14:paraId="5E871497">
      <w:pPr>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a.松散岩类孔隙水</w:t>
      </w:r>
    </w:p>
    <w:p w14:paraId="4671CD9D">
      <w:pPr>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主要赋存于人工填海区及滨海沿岸地带的松散岩类含水岩组中，直接受降水的垂向入渗补给由于地势平坦，补给条件良好，据1：20万钦州合浦幅区域水文地质普查报告观测资料，大气降水入渗系数达到0.26。</w:t>
      </w:r>
    </w:p>
    <w:p w14:paraId="73009885">
      <w:pPr>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b.基岩构造裂隙水</w:t>
      </w:r>
    </w:p>
    <w:p w14:paraId="62C1A916">
      <w:pPr>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主要赋存于下志留统连滩群第五组（S</w:t>
      </w:r>
      <w:r>
        <w:rPr>
          <w:color w:val="000000" w:themeColor="text1"/>
          <w:kern w:val="0"/>
          <w:szCs w:val="22"/>
          <w:vertAlign w:val="subscript"/>
          <w14:textFill>
            <w14:solidFill>
              <w14:schemeClr w14:val="tx1"/>
            </w14:solidFill>
          </w14:textFill>
        </w:rPr>
        <w:t>1</w:t>
      </w:r>
      <w:r>
        <w:rPr>
          <w:color w:val="000000" w:themeColor="text1"/>
          <w:kern w:val="0"/>
          <w:szCs w:val="22"/>
          <w14:textFill>
            <w14:solidFill>
              <w14:schemeClr w14:val="tx1"/>
            </w14:solidFill>
          </w14:textFill>
        </w:rPr>
        <w:t>ln</w:t>
      </w:r>
      <w:r>
        <w:rPr>
          <w:color w:val="000000" w:themeColor="text1"/>
          <w:kern w:val="0"/>
          <w:szCs w:val="22"/>
          <w:vertAlign w:val="superscript"/>
          <w14:textFill>
            <w14:solidFill>
              <w14:schemeClr w14:val="tx1"/>
            </w14:solidFill>
          </w14:textFill>
        </w:rPr>
        <w:t>e</w:t>
      </w:r>
      <w:r>
        <w:rPr>
          <w:color w:val="000000" w:themeColor="text1"/>
          <w:kern w:val="0"/>
          <w:szCs w:val="22"/>
          <w14:textFill>
            <w14:solidFill>
              <w14:schemeClr w14:val="tx1"/>
            </w14:solidFill>
          </w14:textFill>
        </w:rPr>
        <w:t>）粉砂岩、泥岩、页岩含水岩组中，主要受降水补给，由于评价区主要为陇状低丘地貌为主，地势平坦，风化残坡积层一般较厚，植被发育差，不利于地下水的补给，据1：20万钦州合浦幅区域水文地质普查报告观测资料，大气降水入渗系数达到0.16。</w:t>
      </w:r>
    </w:p>
    <w:p w14:paraId="245DBE71">
      <w:pPr>
        <w:snapToGrid w:val="0"/>
        <w:ind w:firstLine="480"/>
        <w:rPr>
          <w:color w:val="000000" w:themeColor="text1"/>
          <w:kern w:val="0"/>
          <w:szCs w:val="22"/>
          <w14:textFill>
            <w14:solidFill>
              <w14:schemeClr w14:val="tx1"/>
            </w14:solidFill>
          </w14:textFill>
        </w:rPr>
      </w:pPr>
      <w:r>
        <w:rPr>
          <w:rFonts w:hint="eastAsia" w:ascii="宋体" w:hAnsi="宋体" w:cs="宋体"/>
          <w:color w:val="000000" w:themeColor="text1"/>
          <w:kern w:val="0"/>
          <w:szCs w:val="22"/>
          <w14:textFill>
            <w14:solidFill>
              <w14:schemeClr w14:val="tx1"/>
            </w14:solidFill>
          </w14:textFill>
        </w:rPr>
        <w:t>②</w:t>
      </w:r>
      <w:r>
        <w:rPr>
          <w:color w:val="000000" w:themeColor="text1"/>
          <w:kern w:val="0"/>
          <w:szCs w:val="22"/>
          <w14:textFill>
            <w14:solidFill>
              <w14:schemeClr w14:val="tx1"/>
            </w14:solidFill>
          </w14:textFill>
        </w:rPr>
        <w:t>径流、排泄特征</w:t>
      </w:r>
    </w:p>
    <w:p w14:paraId="7D09901E">
      <w:pPr>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整个评价区地下水主要为基岩构造裂隙水，少量分布松散岩类孔隙水，多为分散式排泄，以散流形式排泄于沟谷、漫滩，具有循环深度浅，径流途径短特点。</w:t>
      </w:r>
    </w:p>
    <w:p w14:paraId="47B4B40C">
      <w:pPr>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a. 松散岩类孔隙水</w:t>
      </w:r>
    </w:p>
    <w:p w14:paraId="29BA9C97">
      <w:pPr>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场地松散岩类孔隙水仅分布旧营盘以南及以东的人工填海区和钦州湾一带沿海滩涂，范围较广，地下水通常在含水层中作层状渗流运动，水流受钦州湾潮汐影响显著，涨潮时受海水入侵形成回流，由河口上溯到内河漫滩中，落潮时顺潮流流向由内河漫滩流向海滩，流向大致与海岸线或河口湾内水槽的走向平行，通常直接排泄入海，部分在沙堤两侧成泉出露。</w:t>
      </w:r>
    </w:p>
    <w:p w14:paraId="723CA49A">
      <w:pPr>
        <w:snapToGrid w:val="0"/>
        <w:ind w:firstLine="480"/>
        <w:rPr>
          <w:color w:val="000000" w:themeColor="text1"/>
          <w:kern w:val="0"/>
          <w14:textFill>
            <w14:solidFill>
              <w14:schemeClr w14:val="tx1"/>
            </w14:solidFill>
          </w14:textFill>
        </w:rPr>
      </w:pPr>
      <w:r>
        <w:rPr>
          <w:color w:val="000000" w:themeColor="text1"/>
          <w:kern w:val="0"/>
          <w:szCs w:val="22"/>
          <w14:textFill>
            <w14:solidFill>
              <w14:schemeClr w14:val="tx1"/>
            </w14:solidFill>
          </w14:textFill>
        </w:rPr>
        <w:t>b.</w:t>
      </w:r>
      <w:r>
        <w:rPr>
          <w:rFonts w:eastAsia="仿宋_GB2312"/>
          <w:b/>
          <w:color w:val="000000" w:themeColor="text1"/>
          <w:kern w:val="0"/>
          <w14:textFill>
            <w14:solidFill>
              <w14:schemeClr w14:val="tx1"/>
            </w14:solidFill>
          </w14:textFill>
        </w:rPr>
        <w:t xml:space="preserve"> </w:t>
      </w:r>
      <w:r>
        <w:rPr>
          <w:color w:val="000000" w:themeColor="text1"/>
          <w:kern w:val="0"/>
          <w14:textFill>
            <w14:solidFill>
              <w14:schemeClr w14:val="tx1"/>
            </w14:solidFill>
          </w14:textFill>
        </w:rPr>
        <w:t>基岩构造裂隙水</w:t>
      </w:r>
    </w:p>
    <w:p w14:paraId="76A0235C">
      <w:pPr>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基岩构造裂隙水是场地的主要含水层，地下水在含水层中通常作隙流运动，其分水岭与地形分水岭基本一致，通常由陇状低丘中间高地以散流形式分别就近排入两侧的溪沟，大部分地下水最终汇入金鼓江或者侧向补给松散岩类孔隙水，主流方向与金鼓江一致。</w:t>
      </w:r>
    </w:p>
    <w:p w14:paraId="6AAACC03">
      <w:pPr>
        <w:spacing w:line="240" w:lineRule="atLeast"/>
        <w:ind w:firstLine="0" w:firstLineChars="0"/>
        <w:jc w:val="center"/>
        <w:rPr>
          <w:rFonts w:eastAsia="仿宋_GB2312"/>
          <w:color w:val="000000" w:themeColor="text1"/>
          <w:kern w:val="0"/>
          <w:szCs w:val="22"/>
          <w14:textFill>
            <w14:solidFill>
              <w14:schemeClr w14:val="tx1"/>
            </w14:solidFill>
          </w14:textFill>
        </w:rPr>
      </w:pPr>
      <w:r>
        <w:rPr>
          <w:rFonts w:eastAsia="仿宋_GB2312"/>
          <w:color w:val="000000" w:themeColor="text1"/>
          <w:kern w:val="0"/>
          <w:szCs w:val="22"/>
          <w14:textFill>
            <w14:solidFill>
              <w14:schemeClr w14:val="tx1"/>
            </w14:solidFill>
          </w14:textFill>
        </w:rPr>
        <w:drawing>
          <wp:inline distT="0" distB="0" distL="0" distR="0">
            <wp:extent cx="5410200" cy="4267200"/>
            <wp:effectExtent l="0" t="0" r="0" b="0"/>
            <wp:docPr id="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5410200" cy="4267200"/>
                    </a:xfrm>
                    <a:prstGeom prst="rect">
                      <a:avLst/>
                    </a:prstGeom>
                    <a:noFill/>
                    <a:ln>
                      <a:noFill/>
                    </a:ln>
                  </pic:spPr>
                </pic:pic>
              </a:graphicData>
            </a:graphic>
          </wp:inline>
        </w:drawing>
      </w:r>
    </w:p>
    <w:p w14:paraId="268159A4">
      <w:pPr>
        <w:pStyle w:val="8"/>
        <w:rPr>
          <w:color w:val="000000" w:themeColor="text1"/>
          <w14:textFill>
            <w14:solidFill>
              <w14:schemeClr w14:val="tx1"/>
            </w14:solidFill>
          </w14:textFill>
        </w:rPr>
      </w:pPr>
      <w:r>
        <w:rPr>
          <w:color w:val="000000" w:themeColor="text1"/>
          <w14:textFill>
            <w14:solidFill>
              <w14:schemeClr w14:val="tx1"/>
            </w14:solidFill>
          </w14:textFill>
        </w:rPr>
        <w:t>地下水类型分布示意图</w:t>
      </w:r>
    </w:p>
    <w:p w14:paraId="595A95C4">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（5）地下水动态变化特征</w:t>
      </w:r>
    </w:p>
    <w:p w14:paraId="70767062">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松散岩类孔隙水分布于滨海沿岸潮间带，主要受降水及基岩构造裂隙水的侧向补给，其动态明显地受潮汐影响，涨落潮时水位变幅可达2－3米。</w:t>
      </w:r>
    </w:p>
    <w:p w14:paraId="6D0BA574">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基岩构造裂隙水主要受降水补给，具有季节性动态变化特征，枯水期泉流量和溪沟流量小，丰水期泉流量和溪沟排泄的地下水量增大，年变化系数2.1－7倍，民井的水位变化幅度，因其所处地貌位置不同，具有很大差异，水位变幅可在1－3米之间。</w:t>
      </w:r>
    </w:p>
    <w:p w14:paraId="589D41A3">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（6）地下水化学特征</w:t>
      </w:r>
    </w:p>
    <w:p w14:paraId="634308BD">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地下水的化学特征，取决于含水层的岩性和地下水循环交替的速度，测区地下水主要为矿化度极低的中性－弱酸性极软水。</w:t>
      </w:r>
    </w:p>
    <w:p w14:paraId="4B274A83">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基岩构造裂隙水一般为中性－弱酸性极软水。由于测区雨量丰沛，地下水具有就近补排的特点，循环交替极为活跃，所以其矿化度甚低，通常小于0.05克/升。基岩构造裂隙水的化学类型以HCO</w:t>
      </w:r>
      <w:r>
        <w:rPr>
          <w:color w:val="000000" w:themeColor="text1"/>
          <w:kern w:val="0"/>
          <w:szCs w:val="22"/>
          <w:vertAlign w:val="subscript"/>
          <w14:textFill>
            <w14:solidFill>
              <w14:schemeClr w14:val="tx1"/>
            </w14:solidFill>
          </w14:textFill>
        </w:rPr>
        <w:t>3</w:t>
      </w:r>
      <w:r>
        <w:rPr>
          <w:color w:val="000000" w:themeColor="text1"/>
          <w:kern w:val="0"/>
          <w:szCs w:val="22"/>
          <w14:textFill>
            <w14:solidFill>
              <w14:schemeClr w14:val="tx1"/>
            </w14:solidFill>
          </w14:textFill>
        </w:rPr>
        <w:t>∙Cl－Ca∙Na型居多，次为HCO</w:t>
      </w:r>
      <w:r>
        <w:rPr>
          <w:color w:val="000000" w:themeColor="text1"/>
          <w:kern w:val="0"/>
          <w:szCs w:val="22"/>
          <w:vertAlign w:val="subscript"/>
          <w14:textFill>
            <w14:solidFill>
              <w14:schemeClr w14:val="tx1"/>
            </w14:solidFill>
          </w14:textFill>
        </w:rPr>
        <w:t>3</w:t>
      </w:r>
      <w:r>
        <w:rPr>
          <w:color w:val="000000" w:themeColor="text1"/>
          <w:kern w:val="0"/>
          <w:szCs w:val="22"/>
          <w14:textFill>
            <w14:solidFill>
              <w14:schemeClr w14:val="tx1"/>
            </w14:solidFill>
          </w14:textFill>
        </w:rPr>
        <w:t>－Ca（Ca∙Na）型，濒海地带分布有Cl－Na型。</w:t>
      </w:r>
    </w:p>
    <w:p w14:paraId="5114A441">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松散岩类孔隙水主要为弱酸性－中性极软水，地下水化学类型通常属HCO</w:t>
      </w:r>
      <w:r>
        <w:rPr>
          <w:color w:val="000000" w:themeColor="text1"/>
          <w:kern w:val="0"/>
          <w:szCs w:val="22"/>
          <w:vertAlign w:val="subscript"/>
          <w14:textFill>
            <w14:solidFill>
              <w14:schemeClr w14:val="tx1"/>
            </w14:solidFill>
          </w14:textFill>
        </w:rPr>
        <w:t>3</w:t>
      </w:r>
      <w:r>
        <w:rPr>
          <w:color w:val="000000" w:themeColor="text1"/>
          <w:kern w:val="0"/>
          <w:szCs w:val="22"/>
          <w14:textFill>
            <w14:solidFill>
              <w14:schemeClr w14:val="tx1"/>
            </w14:solidFill>
          </w14:textFill>
        </w:rPr>
        <w:t>－Cl(或Cl－HCO</w:t>
      </w:r>
      <w:r>
        <w:rPr>
          <w:color w:val="000000" w:themeColor="text1"/>
          <w:kern w:val="0"/>
          <w:szCs w:val="22"/>
          <w:vertAlign w:val="subscript"/>
          <w14:textFill>
            <w14:solidFill>
              <w14:schemeClr w14:val="tx1"/>
            </w14:solidFill>
          </w14:textFill>
        </w:rPr>
        <w:t>3</w:t>
      </w:r>
      <w:r>
        <w:rPr>
          <w:color w:val="000000" w:themeColor="text1"/>
          <w:kern w:val="0"/>
          <w:szCs w:val="22"/>
          <w14:textFill>
            <w14:solidFill>
              <w14:schemeClr w14:val="tx1"/>
            </w14:solidFill>
          </w14:textFill>
        </w:rPr>
        <w:t>)－Na∙Ca(或Ca∙Na)型和Cl－Na型。由于含水层底板低于海平面，受海水入侵影响，含水层下部咸化。</w:t>
      </w:r>
    </w:p>
    <w:p w14:paraId="70885A23">
      <w:pPr>
        <w:pStyle w:val="4"/>
        <w:rPr>
          <w:color w:val="000000" w:themeColor="text1"/>
          <w14:textFill>
            <w14:solidFill>
              <w14:schemeClr w14:val="tx1"/>
            </w14:solidFill>
          </w14:textFill>
        </w:rPr>
      </w:pPr>
      <w:bookmarkStart w:id="520" w:name="_Toc136878467"/>
      <w:bookmarkStart w:id="521" w:name="_Toc26910001"/>
      <w:bookmarkStart w:id="522" w:name="_Toc29131815"/>
      <w:bookmarkStart w:id="523" w:name="_Toc25436958"/>
      <w:bookmarkStart w:id="524" w:name="_Toc135090218"/>
      <w:bookmarkStart w:id="525" w:name="_Toc216620531"/>
      <w:bookmarkStart w:id="526" w:name="_Toc216103372"/>
      <w:r>
        <w:rPr>
          <w:color w:val="000000" w:themeColor="text1"/>
          <w14:textFill>
            <w14:solidFill>
              <w14:schemeClr w14:val="tx1"/>
            </w14:solidFill>
          </w14:textFill>
        </w:rPr>
        <w:t>气候特征</w:t>
      </w:r>
      <w:bookmarkEnd w:id="520"/>
      <w:bookmarkEnd w:id="521"/>
      <w:bookmarkEnd w:id="522"/>
      <w:bookmarkEnd w:id="523"/>
      <w:bookmarkEnd w:id="524"/>
      <w:bookmarkEnd w:id="525"/>
      <w:bookmarkEnd w:id="526"/>
    </w:p>
    <w:p w14:paraId="273ABA6A">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本项目所在的钦州市地处北回归线以南，属亚热带气候区。该区域气候，主要受季风环流的影响；其次还受北部十万大山地形屏障的作用。由于季风环流作用和特定的海陆位置及青藏高原的影响，本地的季节变化明显。</w:t>
      </w:r>
    </w:p>
    <w:p w14:paraId="3633085A">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冬季，受北方干冷的大陆气团控制，干燥且寒冷的气流盛行，形成东北季风，常带来降温、寒潮、冷阴雨和霜冻和偏北大风等天气。夏季，受暖湿的海洋气团控制，高温高湿的偏南气流盛行，形成西南或东南季风，常出现阵风、雷电、暴雨、台风等天气。春、秋季，为季风转换的过渡季节。春季，北方干冷的大陆气团减弱而北退，海洋气团增强北伸，使调查区域雨水渐增，气温回升。秋季，海洋气团开始减弱而南缩，北方冷气团又增强南伸，使气温下降，雨水减少。此外，干湿分明、冬暖夏凉明显。冬半年(10 月－翌年 3 月)，温度低而湿度小，雨水稀少，相对湿度有时可低于 5～10％，此即为干季。夏半年(4 月～9 月)，温度高湿度大，雨水较多，相对湿度有时高达 93—98％，甚至可达 100％，此即为湿季。</w:t>
      </w:r>
    </w:p>
    <w:p w14:paraId="50799C96">
      <w:pPr>
        <w:pStyle w:val="6"/>
        <w:rPr>
          <w:color w:val="000000" w:themeColor="text1"/>
          <w14:textFill>
            <w14:solidFill>
              <w14:schemeClr w14:val="tx1"/>
            </w14:solidFill>
          </w14:textFill>
        </w:rPr>
      </w:pPr>
      <w:r>
        <w:rPr>
          <w:color w:val="000000" w:themeColor="text1"/>
          <w14:textFill>
            <w14:solidFill>
              <w14:schemeClr w14:val="tx1"/>
            </w14:solidFill>
          </w14:textFill>
        </w:rPr>
        <w:t>气温</w:t>
      </w:r>
    </w:p>
    <w:p w14:paraId="26230C4E">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根据钦州气象站的统计资料（1998年至2017年），钦州气象站累年月平均气温7月气温最高（28.84℃），1月气温最低（14.07℃）。累年极端最高气温为36.8℃，极值出现在2005年7月19日（37.9℃），累年极端最低气温为5.0℃，极值出现在2016年1月24日（1.6℃）。近20年气温无明显变化趋势，2015年年平均气温最高（23.80℃），2011年年平均气温最低（22.20℃），周期为5年。</w:t>
      </w:r>
    </w:p>
    <w:p w14:paraId="6EC4EED6">
      <w:pPr>
        <w:pStyle w:val="6"/>
        <w:rPr>
          <w:color w:val="000000" w:themeColor="text1"/>
          <w14:textFill>
            <w14:solidFill>
              <w14:schemeClr w14:val="tx1"/>
            </w14:solidFill>
          </w14:textFill>
        </w:rPr>
      </w:pPr>
      <w:r>
        <w:rPr>
          <w:color w:val="000000" w:themeColor="text1"/>
          <w14:textFill>
            <w14:solidFill>
              <w14:schemeClr w14:val="tx1"/>
            </w14:solidFill>
          </w14:textFill>
        </w:rPr>
        <w:t>降水</w:t>
      </w:r>
    </w:p>
    <w:p w14:paraId="0A23B3FF">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本项目所在的区域雨量充沛，多年平均降水量为 2057.7 mm，平均降水日数在169.8 d 至135.5 d。降水量的季节变化很大，全年降水量多集中在4～10月份，约占全年雨量的90%，雨量高峰期相对集中在6～8月，这三个月的雨量占全年雨量的57%。据多年钦州市气象站降水资料统计可知，历史年最大降水量为 2807.7 mm（1970年），月最大降雨量为848.7 mm，一日最大降雨量为313 mm（出现在1985年8月28日），一小时降水量最大达99.6 mm（1962年6月7日）。年最小降水量为1255.2 mm（1977年）。犀牛脚最大年降雨量为2824.7 mm（1987年），最少年降雨量为1232.6 mm（1962年）。</w:t>
      </w:r>
    </w:p>
    <w:p w14:paraId="749CD186">
      <w:pPr>
        <w:pStyle w:val="6"/>
        <w:rPr>
          <w:color w:val="000000" w:themeColor="text1"/>
          <w14:textFill>
            <w14:solidFill>
              <w14:schemeClr w14:val="tx1"/>
            </w14:solidFill>
          </w14:textFill>
        </w:rPr>
      </w:pPr>
      <w:r>
        <w:rPr>
          <w:color w:val="000000" w:themeColor="text1"/>
          <w14:textFill>
            <w14:solidFill>
              <w14:schemeClr w14:val="tx1"/>
            </w14:solidFill>
          </w14:textFill>
        </w:rPr>
        <w:t>风况</w:t>
      </w:r>
    </w:p>
    <w:p w14:paraId="7B6DC510">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根据钦州气象站常规气象统计（1998~2017），区域季风分布特征比较明显，每年5~8月多偏S向风，尤以6~7月最多，9月至翌年3月多偏N向风，4月为偏N向气旋和偏S向气旋交替时期。</w:t>
      </w:r>
    </w:p>
    <w:p w14:paraId="6733666B">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多年主导风向为N向，频率为16.5%，次常风向为NNE向，频率为10%；强风向为N向，多年平均风速2.2m/s，2016年年平均风速最大（3.07 米/秒），2014年年平均风速最小（1.80 米/秒）。</w:t>
      </w:r>
    </w:p>
    <w:p w14:paraId="5CAB22E4">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区域每年5~11月份受台风影响，其中7、8、9三月较为严重，据历史资料统计，影响本地区的台风平均每年为2~4次，最多为5次。</w:t>
      </w:r>
      <w:r>
        <w:rPr>
          <w:color w:val="000000" w:themeColor="text1"/>
          <w14:textFill>
            <w14:solidFill>
              <w14:schemeClr w14:val="tx1"/>
            </w14:solidFill>
          </w14:textFill>
        </w:rPr>
        <w:t>钦州气象站年风向频率</w:t>
      </w:r>
      <w:r>
        <w:rPr>
          <w:color w:val="000000" w:themeColor="text1"/>
          <w:kern w:val="0"/>
          <w:szCs w:val="22"/>
          <w14:textFill>
            <w14:solidFill>
              <w14:schemeClr w14:val="tx1"/>
            </w14:solidFill>
          </w14:textFill>
        </w:rPr>
        <w:t>见表3.1-1。</w:t>
      </w:r>
    </w:p>
    <w:p w14:paraId="649CAE1A">
      <w:pPr>
        <w:pStyle w:val="7"/>
        <w:rPr>
          <w:color w:val="000000" w:themeColor="text1"/>
          <w14:textFill>
            <w14:solidFill>
              <w14:schemeClr w14:val="tx1"/>
            </w14:solidFill>
          </w14:textFill>
        </w:rPr>
      </w:pPr>
      <w:r>
        <w:rPr>
          <w:color w:val="000000" w:themeColor="text1"/>
          <w14:textFill>
            <w14:solidFill>
              <w14:schemeClr w14:val="tx1"/>
            </w14:solidFill>
          </w14:textFill>
        </w:rPr>
        <w:t>钦州气象站年风向频率统计</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6" w:type="dxa"/>
          <w:bottom w:w="0" w:type="dxa"/>
          <w:right w:w="6" w:type="dxa"/>
        </w:tblCellMar>
      </w:tblPr>
      <w:tblGrid>
        <w:gridCol w:w="839"/>
        <w:gridCol w:w="439"/>
        <w:gridCol w:w="535"/>
        <w:gridCol w:w="360"/>
        <w:gridCol w:w="473"/>
        <w:gridCol w:w="472"/>
        <w:gridCol w:w="472"/>
        <w:gridCol w:w="472"/>
        <w:gridCol w:w="472"/>
        <w:gridCol w:w="472"/>
        <w:gridCol w:w="472"/>
        <w:gridCol w:w="472"/>
        <w:gridCol w:w="585"/>
        <w:gridCol w:w="359"/>
        <w:gridCol w:w="637"/>
        <w:gridCol w:w="589"/>
        <w:gridCol w:w="589"/>
        <w:gridCol w:w="333"/>
      </w:tblGrid>
      <w:tr w14:paraId="1AED80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3" w:hRule="atLeast"/>
          <w:jc w:val="center"/>
        </w:trPr>
        <w:tc>
          <w:tcPr>
            <w:tcW w:w="839" w:type="dxa"/>
            <w:tcBorders>
              <w:bottom w:val="single" w:color="auto" w:sz="4" w:space="0"/>
              <w:right w:val="single" w:color="auto" w:sz="4" w:space="0"/>
            </w:tcBorders>
            <w:tcMar>
              <w:top w:w="0" w:type="dxa"/>
              <w:left w:w="11" w:type="dxa"/>
              <w:bottom w:w="0" w:type="dxa"/>
              <w:right w:w="11" w:type="dxa"/>
            </w:tcMar>
            <w:vAlign w:val="center"/>
          </w:tcPr>
          <w:p w14:paraId="2A3C6CB7">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风向</w:t>
            </w:r>
          </w:p>
        </w:tc>
        <w:tc>
          <w:tcPr>
            <w:tcW w:w="439" w:type="dxa"/>
            <w:tcBorders>
              <w:left w:val="single" w:color="auto" w:sz="4" w:space="0"/>
              <w:bottom w:val="single" w:color="auto" w:sz="4" w:space="0"/>
              <w:right w:val="single" w:color="auto" w:sz="4" w:space="0"/>
            </w:tcBorders>
            <w:vAlign w:val="center"/>
          </w:tcPr>
          <w:p w14:paraId="52B51484">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N</w:t>
            </w:r>
          </w:p>
        </w:tc>
        <w:tc>
          <w:tcPr>
            <w:tcW w:w="535" w:type="dxa"/>
            <w:tcBorders>
              <w:left w:val="single" w:color="auto" w:sz="4" w:space="0"/>
              <w:bottom w:val="single" w:color="auto" w:sz="4" w:space="0"/>
              <w:right w:val="single" w:color="auto" w:sz="4" w:space="0"/>
            </w:tcBorders>
            <w:vAlign w:val="center"/>
          </w:tcPr>
          <w:p w14:paraId="0F626BEF">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NNE</w:t>
            </w:r>
          </w:p>
        </w:tc>
        <w:tc>
          <w:tcPr>
            <w:tcW w:w="360" w:type="dxa"/>
            <w:tcBorders>
              <w:left w:val="single" w:color="auto" w:sz="4" w:space="0"/>
              <w:bottom w:val="single" w:color="auto" w:sz="4" w:space="0"/>
              <w:right w:val="single" w:color="auto" w:sz="4" w:space="0"/>
            </w:tcBorders>
            <w:vAlign w:val="center"/>
          </w:tcPr>
          <w:p w14:paraId="3B942C19">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NE</w:t>
            </w:r>
          </w:p>
        </w:tc>
        <w:tc>
          <w:tcPr>
            <w:tcW w:w="473" w:type="dxa"/>
            <w:tcBorders>
              <w:left w:val="single" w:color="auto" w:sz="4" w:space="0"/>
              <w:bottom w:val="single" w:color="auto" w:sz="4" w:space="0"/>
              <w:right w:val="single" w:color="auto" w:sz="4" w:space="0"/>
            </w:tcBorders>
            <w:vAlign w:val="center"/>
          </w:tcPr>
          <w:p w14:paraId="0AB422EA">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ENE</w:t>
            </w:r>
          </w:p>
        </w:tc>
        <w:tc>
          <w:tcPr>
            <w:tcW w:w="472" w:type="dxa"/>
            <w:tcBorders>
              <w:left w:val="single" w:color="auto" w:sz="4" w:space="0"/>
              <w:bottom w:val="single" w:color="auto" w:sz="4" w:space="0"/>
              <w:right w:val="single" w:color="auto" w:sz="4" w:space="0"/>
            </w:tcBorders>
            <w:vAlign w:val="center"/>
          </w:tcPr>
          <w:p w14:paraId="2FE81C40">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E</w:t>
            </w:r>
          </w:p>
        </w:tc>
        <w:tc>
          <w:tcPr>
            <w:tcW w:w="472" w:type="dxa"/>
            <w:tcBorders>
              <w:left w:val="single" w:color="auto" w:sz="4" w:space="0"/>
              <w:bottom w:val="single" w:color="auto" w:sz="4" w:space="0"/>
              <w:right w:val="single" w:color="auto" w:sz="4" w:space="0"/>
            </w:tcBorders>
            <w:vAlign w:val="center"/>
          </w:tcPr>
          <w:p w14:paraId="687FB5D5">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ESE</w:t>
            </w:r>
          </w:p>
        </w:tc>
        <w:tc>
          <w:tcPr>
            <w:tcW w:w="472" w:type="dxa"/>
            <w:tcBorders>
              <w:left w:val="single" w:color="auto" w:sz="4" w:space="0"/>
              <w:bottom w:val="single" w:color="auto" w:sz="4" w:space="0"/>
              <w:right w:val="single" w:color="auto" w:sz="4" w:space="0"/>
            </w:tcBorders>
            <w:vAlign w:val="center"/>
          </w:tcPr>
          <w:p w14:paraId="272C38A0">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SE</w:t>
            </w:r>
          </w:p>
        </w:tc>
        <w:tc>
          <w:tcPr>
            <w:tcW w:w="472" w:type="dxa"/>
            <w:tcBorders>
              <w:left w:val="single" w:color="auto" w:sz="4" w:space="0"/>
              <w:bottom w:val="single" w:color="auto" w:sz="4" w:space="0"/>
              <w:right w:val="single" w:color="auto" w:sz="4" w:space="0"/>
            </w:tcBorders>
            <w:vAlign w:val="center"/>
          </w:tcPr>
          <w:p w14:paraId="3E6272DA">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SSE</w:t>
            </w:r>
          </w:p>
        </w:tc>
        <w:tc>
          <w:tcPr>
            <w:tcW w:w="472" w:type="dxa"/>
            <w:tcBorders>
              <w:left w:val="single" w:color="auto" w:sz="4" w:space="0"/>
              <w:bottom w:val="single" w:color="auto" w:sz="4" w:space="0"/>
              <w:right w:val="single" w:color="auto" w:sz="4" w:space="0"/>
            </w:tcBorders>
            <w:vAlign w:val="center"/>
          </w:tcPr>
          <w:p w14:paraId="363A0DDE">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S</w:t>
            </w:r>
          </w:p>
        </w:tc>
        <w:tc>
          <w:tcPr>
            <w:tcW w:w="472" w:type="dxa"/>
            <w:tcBorders>
              <w:left w:val="single" w:color="auto" w:sz="4" w:space="0"/>
              <w:bottom w:val="single" w:color="auto" w:sz="4" w:space="0"/>
              <w:right w:val="single" w:color="auto" w:sz="4" w:space="0"/>
            </w:tcBorders>
            <w:vAlign w:val="center"/>
          </w:tcPr>
          <w:p w14:paraId="14FF6D93">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SSW</w:t>
            </w:r>
          </w:p>
        </w:tc>
        <w:tc>
          <w:tcPr>
            <w:tcW w:w="472" w:type="dxa"/>
            <w:tcBorders>
              <w:left w:val="single" w:color="auto" w:sz="4" w:space="0"/>
              <w:bottom w:val="single" w:color="auto" w:sz="4" w:space="0"/>
              <w:right w:val="single" w:color="auto" w:sz="4" w:space="0"/>
            </w:tcBorders>
            <w:vAlign w:val="center"/>
          </w:tcPr>
          <w:p w14:paraId="07848DA5">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SW</w:t>
            </w:r>
          </w:p>
        </w:tc>
        <w:tc>
          <w:tcPr>
            <w:tcW w:w="585" w:type="dxa"/>
            <w:tcBorders>
              <w:left w:val="single" w:color="auto" w:sz="4" w:space="0"/>
              <w:bottom w:val="single" w:color="auto" w:sz="4" w:space="0"/>
              <w:right w:val="single" w:color="auto" w:sz="4" w:space="0"/>
            </w:tcBorders>
            <w:vAlign w:val="center"/>
          </w:tcPr>
          <w:p w14:paraId="03FB1945">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WSW</w:t>
            </w:r>
          </w:p>
        </w:tc>
        <w:tc>
          <w:tcPr>
            <w:tcW w:w="359" w:type="dxa"/>
            <w:tcBorders>
              <w:left w:val="single" w:color="auto" w:sz="4" w:space="0"/>
              <w:bottom w:val="single" w:color="auto" w:sz="4" w:space="0"/>
              <w:right w:val="single" w:color="auto" w:sz="4" w:space="0"/>
            </w:tcBorders>
            <w:vAlign w:val="center"/>
          </w:tcPr>
          <w:p w14:paraId="7E4DCC31">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W</w:t>
            </w:r>
          </w:p>
        </w:tc>
        <w:tc>
          <w:tcPr>
            <w:tcW w:w="637" w:type="dxa"/>
            <w:tcBorders>
              <w:left w:val="single" w:color="auto" w:sz="4" w:space="0"/>
              <w:bottom w:val="single" w:color="auto" w:sz="4" w:space="0"/>
              <w:right w:val="single" w:color="auto" w:sz="4" w:space="0"/>
            </w:tcBorders>
            <w:vAlign w:val="center"/>
          </w:tcPr>
          <w:p w14:paraId="6A37EC84">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WNW</w:t>
            </w:r>
          </w:p>
        </w:tc>
        <w:tc>
          <w:tcPr>
            <w:tcW w:w="589" w:type="dxa"/>
            <w:tcBorders>
              <w:left w:val="single" w:color="auto" w:sz="4" w:space="0"/>
              <w:bottom w:val="single" w:color="auto" w:sz="4" w:space="0"/>
              <w:right w:val="single" w:color="auto" w:sz="4" w:space="0"/>
            </w:tcBorders>
            <w:vAlign w:val="center"/>
          </w:tcPr>
          <w:p w14:paraId="4604D53E">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NW</w:t>
            </w:r>
          </w:p>
        </w:tc>
        <w:tc>
          <w:tcPr>
            <w:tcW w:w="589" w:type="dxa"/>
            <w:tcBorders>
              <w:left w:val="single" w:color="auto" w:sz="4" w:space="0"/>
              <w:bottom w:val="single" w:color="auto" w:sz="4" w:space="0"/>
              <w:right w:val="single" w:color="auto" w:sz="4" w:space="0"/>
            </w:tcBorders>
            <w:vAlign w:val="center"/>
          </w:tcPr>
          <w:p w14:paraId="7CB7B66B">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NNW</w:t>
            </w:r>
          </w:p>
        </w:tc>
        <w:tc>
          <w:tcPr>
            <w:tcW w:w="333" w:type="dxa"/>
            <w:tcBorders>
              <w:left w:val="single" w:color="auto" w:sz="4" w:space="0"/>
              <w:bottom w:val="single" w:color="auto" w:sz="4" w:space="0"/>
            </w:tcBorders>
            <w:vAlign w:val="center"/>
          </w:tcPr>
          <w:p w14:paraId="4DBF5031">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C</w:t>
            </w:r>
          </w:p>
        </w:tc>
      </w:tr>
      <w:tr w14:paraId="5448D4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3" w:hRule="atLeast"/>
          <w:jc w:val="center"/>
        </w:trPr>
        <w:tc>
          <w:tcPr>
            <w:tcW w:w="839" w:type="dxa"/>
            <w:tcBorders>
              <w:top w:val="single" w:color="auto" w:sz="4" w:space="0"/>
              <w:right w:val="single" w:color="auto" w:sz="4" w:space="0"/>
            </w:tcBorders>
            <w:tcMar>
              <w:top w:w="0" w:type="dxa"/>
              <w:left w:w="11" w:type="dxa"/>
              <w:bottom w:w="0" w:type="dxa"/>
              <w:right w:w="11" w:type="dxa"/>
            </w:tcMar>
            <w:vAlign w:val="center"/>
          </w:tcPr>
          <w:p w14:paraId="3A90B989">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频率%</w:t>
            </w:r>
          </w:p>
        </w:tc>
        <w:tc>
          <w:tcPr>
            <w:tcW w:w="439" w:type="dxa"/>
            <w:tcBorders>
              <w:top w:val="single" w:color="auto" w:sz="4" w:space="0"/>
              <w:left w:val="single" w:color="auto" w:sz="4" w:space="0"/>
              <w:right w:val="single" w:color="auto" w:sz="4" w:space="0"/>
            </w:tcBorders>
            <w:vAlign w:val="center"/>
          </w:tcPr>
          <w:p w14:paraId="0AB9237C">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16.5</w:t>
            </w:r>
          </w:p>
        </w:tc>
        <w:tc>
          <w:tcPr>
            <w:tcW w:w="535" w:type="dxa"/>
            <w:tcBorders>
              <w:top w:val="single" w:color="auto" w:sz="4" w:space="0"/>
              <w:left w:val="single" w:color="auto" w:sz="4" w:space="0"/>
              <w:right w:val="single" w:color="auto" w:sz="4" w:space="0"/>
            </w:tcBorders>
            <w:vAlign w:val="center"/>
          </w:tcPr>
          <w:p w14:paraId="047D0F7C">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10.0</w:t>
            </w:r>
          </w:p>
        </w:tc>
        <w:tc>
          <w:tcPr>
            <w:tcW w:w="360" w:type="dxa"/>
            <w:tcBorders>
              <w:top w:val="single" w:color="auto" w:sz="4" w:space="0"/>
              <w:left w:val="single" w:color="auto" w:sz="4" w:space="0"/>
              <w:right w:val="single" w:color="auto" w:sz="4" w:space="0"/>
            </w:tcBorders>
            <w:vAlign w:val="center"/>
          </w:tcPr>
          <w:p w14:paraId="66DA0225">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5.8</w:t>
            </w:r>
          </w:p>
        </w:tc>
        <w:tc>
          <w:tcPr>
            <w:tcW w:w="473" w:type="dxa"/>
            <w:tcBorders>
              <w:top w:val="single" w:color="auto" w:sz="4" w:space="0"/>
              <w:left w:val="single" w:color="auto" w:sz="4" w:space="0"/>
              <w:right w:val="single" w:color="auto" w:sz="4" w:space="0"/>
            </w:tcBorders>
            <w:vAlign w:val="center"/>
          </w:tcPr>
          <w:p w14:paraId="3B8F1F5B">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3.4</w:t>
            </w:r>
          </w:p>
        </w:tc>
        <w:tc>
          <w:tcPr>
            <w:tcW w:w="472" w:type="dxa"/>
            <w:tcBorders>
              <w:top w:val="single" w:color="auto" w:sz="4" w:space="0"/>
              <w:left w:val="single" w:color="auto" w:sz="4" w:space="0"/>
              <w:right w:val="single" w:color="auto" w:sz="4" w:space="0"/>
            </w:tcBorders>
            <w:vAlign w:val="center"/>
          </w:tcPr>
          <w:p w14:paraId="5194C1D9">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3.7</w:t>
            </w:r>
          </w:p>
        </w:tc>
        <w:tc>
          <w:tcPr>
            <w:tcW w:w="472" w:type="dxa"/>
            <w:tcBorders>
              <w:top w:val="single" w:color="auto" w:sz="4" w:space="0"/>
              <w:left w:val="single" w:color="auto" w:sz="4" w:space="0"/>
              <w:right w:val="single" w:color="auto" w:sz="4" w:space="0"/>
            </w:tcBorders>
            <w:vAlign w:val="center"/>
          </w:tcPr>
          <w:p w14:paraId="21A4EB7E">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4.6</w:t>
            </w:r>
          </w:p>
        </w:tc>
        <w:tc>
          <w:tcPr>
            <w:tcW w:w="472" w:type="dxa"/>
            <w:tcBorders>
              <w:top w:val="single" w:color="auto" w:sz="4" w:space="0"/>
              <w:left w:val="single" w:color="auto" w:sz="4" w:space="0"/>
              <w:right w:val="single" w:color="auto" w:sz="4" w:space="0"/>
            </w:tcBorders>
            <w:vAlign w:val="center"/>
          </w:tcPr>
          <w:p w14:paraId="6A1E027C">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4.6</w:t>
            </w:r>
          </w:p>
        </w:tc>
        <w:tc>
          <w:tcPr>
            <w:tcW w:w="472" w:type="dxa"/>
            <w:tcBorders>
              <w:top w:val="single" w:color="auto" w:sz="4" w:space="0"/>
              <w:left w:val="single" w:color="auto" w:sz="4" w:space="0"/>
              <w:right w:val="single" w:color="auto" w:sz="4" w:space="0"/>
            </w:tcBorders>
            <w:vAlign w:val="center"/>
          </w:tcPr>
          <w:p w14:paraId="22134E7B">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6.3</w:t>
            </w:r>
          </w:p>
        </w:tc>
        <w:tc>
          <w:tcPr>
            <w:tcW w:w="472" w:type="dxa"/>
            <w:tcBorders>
              <w:top w:val="single" w:color="auto" w:sz="4" w:space="0"/>
              <w:left w:val="single" w:color="auto" w:sz="4" w:space="0"/>
              <w:right w:val="single" w:color="auto" w:sz="4" w:space="0"/>
            </w:tcBorders>
            <w:vAlign w:val="center"/>
          </w:tcPr>
          <w:p w14:paraId="7A50D714">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7.9</w:t>
            </w:r>
          </w:p>
        </w:tc>
        <w:tc>
          <w:tcPr>
            <w:tcW w:w="472" w:type="dxa"/>
            <w:tcBorders>
              <w:top w:val="single" w:color="auto" w:sz="4" w:space="0"/>
              <w:left w:val="single" w:color="auto" w:sz="4" w:space="0"/>
              <w:right w:val="single" w:color="auto" w:sz="4" w:space="0"/>
            </w:tcBorders>
            <w:vAlign w:val="center"/>
          </w:tcPr>
          <w:p w14:paraId="783DD8E6">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8.0</w:t>
            </w:r>
          </w:p>
        </w:tc>
        <w:tc>
          <w:tcPr>
            <w:tcW w:w="472" w:type="dxa"/>
            <w:tcBorders>
              <w:top w:val="single" w:color="auto" w:sz="4" w:space="0"/>
              <w:left w:val="single" w:color="auto" w:sz="4" w:space="0"/>
              <w:right w:val="single" w:color="auto" w:sz="4" w:space="0"/>
            </w:tcBorders>
            <w:vAlign w:val="center"/>
          </w:tcPr>
          <w:p w14:paraId="136F2D49">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2.8</w:t>
            </w:r>
          </w:p>
        </w:tc>
        <w:tc>
          <w:tcPr>
            <w:tcW w:w="585" w:type="dxa"/>
            <w:tcBorders>
              <w:top w:val="single" w:color="auto" w:sz="4" w:space="0"/>
              <w:left w:val="single" w:color="auto" w:sz="4" w:space="0"/>
              <w:right w:val="single" w:color="auto" w:sz="4" w:space="0"/>
            </w:tcBorders>
            <w:vAlign w:val="center"/>
          </w:tcPr>
          <w:p w14:paraId="6BBF20FF">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1.8</w:t>
            </w:r>
          </w:p>
        </w:tc>
        <w:tc>
          <w:tcPr>
            <w:tcW w:w="359" w:type="dxa"/>
            <w:tcBorders>
              <w:top w:val="single" w:color="auto" w:sz="4" w:space="0"/>
              <w:left w:val="single" w:color="auto" w:sz="4" w:space="0"/>
              <w:right w:val="single" w:color="auto" w:sz="4" w:space="0"/>
            </w:tcBorders>
            <w:vAlign w:val="center"/>
          </w:tcPr>
          <w:p w14:paraId="4E7261D8">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1.2</w:t>
            </w:r>
          </w:p>
        </w:tc>
        <w:tc>
          <w:tcPr>
            <w:tcW w:w="637" w:type="dxa"/>
            <w:tcBorders>
              <w:top w:val="single" w:color="auto" w:sz="4" w:space="0"/>
              <w:left w:val="single" w:color="auto" w:sz="4" w:space="0"/>
              <w:right w:val="single" w:color="auto" w:sz="4" w:space="0"/>
            </w:tcBorders>
            <w:vAlign w:val="center"/>
          </w:tcPr>
          <w:p w14:paraId="1B0CC420">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1.5</w:t>
            </w:r>
          </w:p>
        </w:tc>
        <w:tc>
          <w:tcPr>
            <w:tcW w:w="589" w:type="dxa"/>
            <w:tcBorders>
              <w:top w:val="single" w:color="auto" w:sz="4" w:space="0"/>
              <w:left w:val="single" w:color="auto" w:sz="4" w:space="0"/>
              <w:right w:val="single" w:color="auto" w:sz="4" w:space="0"/>
            </w:tcBorders>
            <w:vAlign w:val="center"/>
          </w:tcPr>
          <w:p w14:paraId="46CCAA1E">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3.3</w:t>
            </w:r>
          </w:p>
        </w:tc>
        <w:tc>
          <w:tcPr>
            <w:tcW w:w="589" w:type="dxa"/>
            <w:tcBorders>
              <w:top w:val="single" w:color="auto" w:sz="4" w:space="0"/>
              <w:left w:val="single" w:color="auto" w:sz="4" w:space="0"/>
              <w:right w:val="single" w:color="auto" w:sz="4" w:space="0"/>
            </w:tcBorders>
            <w:vAlign w:val="center"/>
          </w:tcPr>
          <w:p w14:paraId="395D4B9C">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11.0</w:t>
            </w:r>
          </w:p>
        </w:tc>
        <w:tc>
          <w:tcPr>
            <w:tcW w:w="333" w:type="dxa"/>
            <w:tcBorders>
              <w:top w:val="single" w:color="auto" w:sz="4" w:space="0"/>
              <w:left w:val="single" w:color="auto" w:sz="4" w:space="0"/>
            </w:tcBorders>
            <w:vAlign w:val="center"/>
          </w:tcPr>
          <w:p w14:paraId="302604FF">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7.6</w:t>
            </w:r>
          </w:p>
        </w:tc>
      </w:tr>
    </w:tbl>
    <w:p w14:paraId="3555A4FF">
      <w:pPr>
        <w:pStyle w:val="6"/>
        <w:rPr>
          <w:color w:val="000000" w:themeColor="text1"/>
          <w14:textFill>
            <w14:solidFill>
              <w14:schemeClr w14:val="tx1"/>
            </w14:solidFill>
          </w14:textFill>
        </w:rPr>
      </w:pPr>
      <w:r>
        <w:rPr>
          <w:color w:val="000000" w:themeColor="text1"/>
          <w14:textFill>
            <w14:solidFill>
              <w14:schemeClr w14:val="tx1"/>
            </w14:solidFill>
          </w14:textFill>
        </w:rPr>
        <w:t>雾、相对湿度及蒸发量</w:t>
      </w:r>
    </w:p>
    <w:p w14:paraId="4CBEB082">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湾的雾以锋面雾和平流雾为主，辐射雾次之。钦州湾的雾日与廉州湾相近，多年平均为13.4d，历年最多雾日达30d，最少为6d。一年中多雾日时段为12月至翌年3月，在此期间月平均雾日为2d至3d。一天中雾主要出现在傍晚至次日清晨。冬春季节，大雾常出现在冷空气南下之前。</w:t>
      </w:r>
    </w:p>
    <w:p w14:paraId="253C44FE">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区域相对湿度以春季3月和雨季6~8月为最大，10月到次年1月为相对湿度低值期。多年平均相对湿度为82%，历史最大相对湿度达100%，历史最小相对湿度为22%。</w:t>
      </w:r>
    </w:p>
    <w:p w14:paraId="5D35223E">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钦州湾历年平均年蒸发量：1502.9mm，极端最低年蒸发量：1260.5mm。</w:t>
      </w:r>
    </w:p>
    <w:p w14:paraId="60630E13">
      <w:pPr>
        <w:pStyle w:val="4"/>
        <w:rPr>
          <w:color w:val="000000" w:themeColor="text1"/>
          <w14:textFill>
            <w14:solidFill>
              <w14:schemeClr w14:val="tx1"/>
            </w14:solidFill>
          </w14:textFill>
        </w:rPr>
      </w:pPr>
      <w:bookmarkStart w:id="527" w:name="_Toc25436959"/>
      <w:bookmarkStart w:id="528" w:name="_Toc136878468"/>
      <w:bookmarkStart w:id="529" w:name="_Toc216620532"/>
      <w:bookmarkStart w:id="530" w:name="_Toc26910002"/>
      <w:bookmarkStart w:id="531" w:name="_Toc29131816"/>
      <w:bookmarkStart w:id="532" w:name="_Toc216103373"/>
      <w:bookmarkStart w:id="533" w:name="_Toc135090219"/>
      <w:r>
        <w:rPr>
          <w:color w:val="000000" w:themeColor="text1"/>
          <w14:textFill>
            <w14:solidFill>
              <w14:schemeClr w14:val="tx1"/>
            </w14:solidFill>
          </w14:textFill>
        </w:rPr>
        <w:t>自然资源</w:t>
      </w:r>
      <w:bookmarkEnd w:id="527"/>
      <w:bookmarkEnd w:id="528"/>
      <w:bookmarkEnd w:id="529"/>
      <w:bookmarkEnd w:id="530"/>
      <w:bookmarkEnd w:id="531"/>
      <w:bookmarkEnd w:id="532"/>
      <w:bookmarkEnd w:id="533"/>
    </w:p>
    <w:p w14:paraId="496F15A5">
      <w:pPr>
        <w:pStyle w:val="6"/>
        <w:rPr>
          <w:color w:val="000000" w:themeColor="text1"/>
          <w14:textFill>
            <w14:solidFill>
              <w14:schemeClr w14:val="tx1"/>
            </w14:solidFill>
          </w14:textFill>
        </w:rPr>
      </w:pPr>
      <w:r>
        <w:rPr>
          <w:color w:val="000000" w:themeColor="text1"/>
          <w14:textFill>
            <w14:solidFill>
              <w14:schemeClr w14:val="tx1"/>
            </w14:solidFill>
          </w14:textFill>
        </w:rPr>
        <w:t>土壤资源</w:t>
      </w:r>
    </w:p>
    <w:p w14:paraId="22A2B6B0">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市土壤的成土母岩和母质主要有砂页岩、花岗岩、砂岩、紫色岩系、浅海沉积物、第四纪红土和河流冲积物等七种，此外还有页岩、粉砂岩、灰岩、石灰岩等。由于成土母质较多，形成的土壤种类也较多。成土母质主要是沙页岩与花岗岩，呈带状相间分布。地势平缓，大部分已垦殖为耕作土壤。其分布规律是：从垌田到丘陵依次为沙页岩或花岗岩母质潴育性水稻土‐淹育性水稻土‐耕型砂页岩或花岗岩赤（砖）红壤‐沙页岩或花岗岩赤（砖）红岩（林业土壤）。山间有较多的潜底田。</w:t>
      </w:r>
    </w:p>
    <w:p w14:paraId="195B96D6">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拟建项目所在地的旱地土壤以耕型砖红壤、耕型滨海沙土为主；自然土土质以风沙土及沼泽土为主。</w:t>
      </w:r>
    </w:p>
    <w:p w14:paraId="5B3D9A06">
      <w:pPr>
        <w:pStyle w:val="6"/>
        <w:rPr>
          <w:color w:val="000000" w:themeColor="text1"/>
          <w14:textFill>
            <w14:solidFill>
              <w14:schemeClr w14:val="tx1"/>
            </w14:solidFill>
          </w14:textFill>
        </w:rPr>
      </w:pPr>
      <w:r>
        <w:rPr>
          <w:color w:val="000000" w:themeColor="text1"/>
          <w14:textFill>
            <w14:solidFill>
              <w14:schemeClr w14:val="tx1"/>
            </w14:solidFill>
          </w14:textFill>
        </w:rPr>
        <w:t>动物资源</w:t>
      </w:r>
    </w:p>
    <w:p w14:paraId="7DE95462">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市自然分布的陆生野生脊椎动物76科271种。其中，两栖类7种，主要有青蛙、山蛙、沼蛙、蟾蜍等；爬行类21种，主要有眼镜蛇、金环蛇、银环蛇、百步蛇、三素锦蛇、水律蛇、蛤蚧、龟等；鸟类186种，主要有画眉、鹧鸪、鹩哥、鹦鹉、山雀、白鹭、大白鹭、牛背鹭等；哺乳类62种，主要有野猪、豪猪、果子狸、猪獾、抓鸡虎、松鼠、竹鼠等。钦州湾及其邻近海域的多毛类、软体动物、甲壳动物、棘皮动物、底栖鱼类等底栖动物共有800余种，隶属 212 科 478 属。本海区的经济底栖生物种有马氏珠母贝、杂色鲃、近江牡蛎（大蚝）、花刺参、长助日月贝、花日本日月贝、文蛤和毛蚶等。国家公布的一级、二级陆生野生动物主要分布在浦北县的六万山、钦北区的王岗山及广西茅尾海红树林自治区级自然保护区。</w:t>
      </w:r>
    </w:p>
    <w:p w14:paraId="7F2E7041">
      <w:pPr>
        <w:topLinePunct/>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据调查，本项目东面约16.4km处的三娘湾海域分布有中华白海豚，未设置中华白海豚自然保护区，但距离较近。白海豚是我国I级保护动物，属于暖水性鲸豚类，隶属于鲸目齿鲸亚目海豚科，现存北部湾白海豚的主要分布区域为大风江口南部海域（共约350平方千米），其中三墩沙一线以东至钦州-北海交界一线以西水深不超过8m的海域为其密集分布区（共约180平方千米）。</w:t>
      </w:r>
    </w:p>
    <w:p w14:paraId="1E44FB48">
      <w:pPr>
        <w:pStyle w:val="6"/>
        <w:rPr>
          <w:color w:val="000000" w:themeColor="text1"/>
          <w14:textFill>
            <w14:solidFill>
              <w14:schemeClr w14:val="tx1"/>
            </w14:solidFill>
          </w14:textFill>
        </w:rPr>
      </w:pPr>
      <w:r>
        <w:rPr>
          <w:color w:val="000000" w:themeColor="text1"/>
          <w14:textFill>
            <w14:solidFill>
              <w14:schemeClr w14:val="tx1"/>
            </w14:solidFill>
          </w14:textFill>
        </w:rPr>
        <w:t>植物资源</w:t>
      </w:r>
    </w:p>
    <w:p w14:paraId="39CC5B8D">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钦州市植被茂盛，天然植被分区属桂南热带雨林和亚热带季雨林区。植被类型和植物群落多种多样，大致分为季雨林、常绿阔叶林、针叶林、针阔叶混交林和稀树矮草等5 大类植被类型。植被分布极不平衡，在西部、北部及东部部分地区，原生植被大部分已受</w:t>
      </w:r>
      <w:r>
        <w:rPr>
          <w:rFonts w:hint="eastAsia"/>
          <w:color w:val="000000" w:themeColor="text1"/>
          <w:kern w:val="0"/>
          <w:szCs w:val="22"/>
          <w:lang w:eastAsia="zh-CN"/>
          <w14:textFill>
            <w14:solidFill>
              <w14:schemeClr w14:val="tx1"/>
            </w14:solidFill>
          </w14:textFill>
        </w:rPr>
        <w:t>破坏</w:t>
      </w:r>
      <w:r>
        <w:rPr>
          <w:color w:val="000000" w:themeColor="text1"/>
          <w:kern w:val="0"/>
          <w:szCs w:val="22"/>
          <w14:textFill>
            <w14:solidFill>
              <w14:schemeClr w14:val="tx1"/>
            </w14:solidFill>
          </w14:textFill>
        </w:rPr>
        <w:t>，现有森林是以松、杉树为主的次生杂木林，杂木有椎、樟、楠、荷、格、紫荆等。地表以桃金娘、芒箕群落为主。中南部地区属灌木低草群落，灌木以岗松为主，低草以鸭咀草为主，其次也有桃金娘、芒箕、鹧鸪草等。另在海河交汇处及浅海滩涂分布有热带海岸特有的植被——红树林。</w:t>
      </w:r>
    </w:p>
    <w:p w14:paraId="68F213A3">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项目评价区域森林植被以松杉和天然阔叶林为主。由于土壤、气候、地形条件的不同，植被分布有区域性差异：东、西北部地区以桃金娘芒箕群落为主，草类以绒草为主，覆盖率 80～90%，乔木以松杉为主；南部、中部地区以灌木、岗松及低草群落的鸭嘴草为主，覆盖率 50～60%，乔木以松为主；沿海地区以矮生鹧鸪草群落为主，覆盖率 30～40%，乔木以松为主。</w:t>
      </w:r>
    </w:p>
    <w:p w14:paraId="585B940B">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据调查，距离拟建项目西北5.4km处的七十二泾风景区内分布着大片野生红树林，目前已经被列为自治区级红树林自然保护区。</w:t>
      </w:r>
    </w:p>
    <w:p w14:paraId="51FEF4B9">
      <w:pPr>
        <w:pStyle w:val="6"/>
        <w:rPr>
          <w:color w:val="000000" w:themeColor="text1"/>
          <w14:textFill>
            <w14:solidFill>
              <w14:schemeClr w14:val="tx1"/>
            </w14:solidFill>
          </w14:textFill>
        </w:rPr>
      </w:pPr>
      <w:r>
        <w:rPr>
          <w:color w:val="000000" w:themeColor="text1"/>
          <w14:textFill>
            <w14:solidFill>
              <w14:schemeClr w14:val="tx1"/>
            </w14:solidFill>
          </w14:textFill>
        </w:rPr>
        <w:t>矿产资源</w:t>
      </w:r>
    </w:p>
    <w:p w14:paraId="539EF6A5">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市有46种矿产，矿床及矿点共176处，小型规模以上有46处，其中大型石膏矿床一处（钦灵石膏矿床），中型铅锌矿床和稀土矿床各1处，煤、陶瓷土、油页岩、锰、铁、钛、磷、高岭土、水泥用灰岩、水泥配料用页岩、建筑材料用灰岩、建筑材料用花岗岩等矿床130处。已经开发利用的主要矿种有铅锌矿、煤矿、锰矿（氧化锰）、陶瓷土、石膏矿、钛铁砂矿、石灰岩、花岗岩及建筑用砂等。</w:t>
      </w:r>
    </w:p>
    <w:p w14:paraId="166CA0A0">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据调查，拟建项目评价区域内未发现可供利用矿床和采矿点。</w:t>
      </w:r>
    </w:p>
    <w:p w14:paraId="26C6BF3D">
      <w:pPr>
        <w:pStyle w:val="6"/>
        <w:rPr>
          <w:color w:val="000000" w:themeColor="text1"/>
          <w14:textFill>
            <w14:solidFill>
              <w14:schemeClr w14:val="tx1"/>
            </w14:solidFill>
          </w14:textFill>
        </w:rPr>
      </w:pPr>
      <w:r>
        <w:rPr>
          <w:color w:val="000000" w:themeColor="text1"/>
          <w14:textFill>
            <w14:solidFill>
              <w14:schemeClr w14:val="tx1"/>
            </w14:solidFill>
          </w14:textFill>
        </w:rPr>
        <w:t>自然保护区、风景名胜区及文物古迹</w:t>
      </w:r>
    </w:p>
    <w:p w14:paraId="4A8EDD31">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市旅游资源丰富，具有独特的人文景观和自然景观。三娘湾旅游景区在北部湾最具发展潜力的旅游胜地，国家AAAA景区；尾茅海的“七十二泾”被誉为“南国蓬莱”；坐落在钦州市城区的民族英雄刘永福、冯子材故居是国家级重点保护文物单位，国家AAAA景区。评价区域内未发现国家保护珍稀野生动植物。</w:t>
      </w:r>
    </w:p>
    <w:p w14:paraId="1559839B">
      <w:pPr>
        <w:pStyle w:val="4"/>
        <w:rPr>
          <w:color w:val="000000" w:themeColor="text1"/>
          <w14:textFill>
            <w14:solidFill>
              <w14:schemeClr w14:val="tx1"/>
            </w14:solidFill>
          </w14:textFill>
        </w:rPr>
      </w:pPr>
      <w:bookmarkStart w:id="534" w:name="_Toc135090220"/>
      <w:bookmarkStart w:id="535" w:name="_Toc216620533"/>
      <w:bookmarkStart w:id="536" w:name="_Toc136878469"/>
      <w:bookmarkStart w:id="537" w:name="_Toc216103374"/>
      <w:r>
        <w:rPr>
          <w:color w:val="000000" w:themeColor="text1"/>
          <w14:textFill>
            <w14:solidFill>
              <w14:schemeClr w14:val="tx1"/>
            </w14:solidFill>
          </w14:textFill>
        </w:rPr>
        <w:t>水文</w:t>
      </w:r>
      <w:bookmarkEnd w:id="534"/>
      <w:bookmarkEnd w:id="535"/>
      <w:bookmarkEnd w:id="536"/>
      <w:bookmarkEnd w:id="537"/>
    </w:p>
    <w:p w14:paraId="57EBB925">
      <w:pPr>
        <w:pStyle w:val="6"/>
        <w:rPr>
          <w:color w:val="000000" w:themeColor="text1"/>
          <w14:textFill>
            <w14:solidFill>
              <w14:schemeClr w14:val="tx1"/>
            </w14:solidFill>
          </w14:textFill>
        </w:rPr>
      </w:pPr>
      <w:r>
        <w:rPr>
          <w:color w:val="000000" w:themeColor="text1"/>
          <w14:textFill>
            <w14:solidFill>
              <w14:schemeClr w14:val="tx1"/>
            </w14:solidFill>
          </w14:textFill>
        </w:rPr>
        <w:t>地表水</w:t>
      </w:r>
    </w:p>
    <w:p w14:paraId="719F861E">
      <w:pPr>
        <w:ind w:firstLine="480"/>
        <w:rPr>
          <w:bCs/>
          <w:color w:val="000000" w:themeColor="text1"/>
          <w14:textFill>
            <w14:solidFill>
              <w14:schemeClr w14:val="tx1"/>
            </w14:solidFill>
          </w14:textFill>
        </w:rPr>
      </w:pPr>
      <w:r>
        <w:rPr>
          <w:color w:val="000000" w:themeColor="text1"/>
          <w14:textFill>
            <w14:solidFill>
              <w14:schemeClr w14:val="tx1"/>
            </w14:solidFill>
          </w14:textFill>
        </w:rPr>
        <w:t>钦州境内河流众多，计有大小独流入海河流32条，河流总长2794km，河网密度为0.6 km/km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。流域面积在1800km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以上的河流主要有钦江、茅岭江和大风江，均属桂南沿海独流入海水系。三江在市境内干流总长307.4km，市内流域面积4164km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，年径流总量64.8亿m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/年。</w:t>
      </w:r>
    </w:p>
    <w:p w14:paraId="402FDC5B">
      <w:pPr>
        <w:ind w:firstLine="480"/>
        <w:rPr>
          <w:color w:val="000000" w:themeColor="text1"/>
          <w14:textFill>
            <w14:solidFill>
              <w14:schemeClr w14:val="tx1"/>
            </w14:solidFill>
          </w14:textFill>
        </w:rPr>
      </w:pPr>
      <w:r>
        <w:rPr>
          <w:color w:val="000000" w:themeColor="text1"/>
          <w14:textFill>
            <w14:solidFill>
              <w14:schemeClr w14:val="tx1"/>
            </w14:solidFill>
          </w14:textFill>
        </w:rPr>
        <w:t>流入钦州湾的河流有钦江、茅岭江、金鼓江、鹿耳环江等。其中，钦江、茅岭江为流入钦州湾的主要河流，且为常年性河流，它们分别从东北、西北向汇入钦州湾海域，对钦州湾及其邻近水域的泥沙来源、航道、污染和水文环境等都有重要影响。金鼓江、鹿耳环江为海岔，其水文状况受海洋潮汐影响极大。</w:t>
      </w:r>
    </w:p>
    <w:p w14:paraId="55C05B1E">
      <w:pPr>
        <w:pStyle w:val="6"/>
        <w:rPr>
          <w:color w:val="000000" w:themeColor="text1"/>
          <w14:textFill>
            <w14:solidFill>
              <w14:schemeClr w14:val="tx1"/>
            </w14:solidFill>
          </w14:textFill>
        </w:rPr>
      </w:pPr>
      <w:r>
        <w:rPr>
          <w:color w:val="000000" w:themeColor="text1"/>
          <w14:textFill>
            <w14:solidFill>
              <w14:schemeClr w14:val="tx1"/>
            </w14:solidFill>
          </w14:textFill>
        </w:rPr>
        <w:t>地下水</w:t>
      </w:r>
    </w:p>
    <w:p w14:paraId="11320E0A">
      <w:pPr>
        <w:ind w:firstLine="480"/>
        <w:rPr>
          <w:color w:val="000000" w:themeColor="text1"/>
          <w14:textFill>
            <w14:solidFill>
              <w14:schemeClr w14:val="tx1"/>
            </w14:solidFill>
          </w14:textFill>
        </w:rPr>
      </w:pPr>
      <w:r>
        <w:rPr>
          <w:color w:val="000000" w:themeColor="text1"/>
          <w14:textFill>
            <w14:solidFill>
              <w14:schemeClr w14:val="tx1"/>
            </w14:solidFill>
          </w14:textFill>
        </w:rPr>
        <w:t>根据区域1/20万钦州幅水文地图分析，钦州市地下水类型主要为松散岩类孔隙水、碎屑岩类裂隙孔隙水、泥质粉砂岩类构造裂隙水和基岩裂隙水等四大类型。区域地下水主要为裂隙孔隙承压水，地下水补给主要是降雨的垂直补给和地表水(山塘、水库)侧向补给，其径流排泄总体上是由北向南，由东西两侧向中部钦江河径流排泄。目前，钦州市主要的生活和工业用水以地表水为主，地下水开采量约占总用水量的20%。</w:t>
      </w:r>
    </w:p>
    <w:p w14:paraId="7D342CA9">
      <w:pPr>
        <w:pStyle w:val="6"/>
        <w:rPr>
          <w:color w:val="000000" w:themeColor="text1"/>
          <w14:textFill>
            <w14:solidFill>
              <w14:schemeClr w14:val="tx1"/>
            </w14:solidFill>
          </w14:textFill>
        </w:rPr>
      </w:pPr>
      <w:r>
        <w:rPr>
          <w:color w:val="000000" w:themeColor="text1"/>
          <w14:textFill>
            <w14:solidFill>
              <w14:schemeClr w14:val="tx1"/>
            </w14:solidFill>
          </w14:textFill>
        </w:rPr>
        <w:t>海洋</w:t>
      </w:r>
    </w:p>
    <w:p w14:paraId="4EE6E373">
      <w:pPr>
        <w:ind w:firstLine="480"/>
        <w:rPr>
          <w:color w:val="000000" w:themeColor="text1"/>
          <w14:textFill>
            <w14:solidFill>
              <w14:schemeClr w14:val="tx1"/>
            </w14:solidFill>
          </w14:textFill>
        </w:rPr>
      </w:pPr>
      <w:r>
        <w:rPr>
          <w:color w:val="000000" w:themeColor="text1"/>
          <w14:textFill>
            <w14:solidFill>
              <w14:schemeClr w14:val="tx1"/>
            </w14:solidFill>
          </w14:textFill>
        </w:rPr>
        <w:t>（1）潮汐</w:t>
      </w:r>
    </w:p>
    <w:p w14:paraId="4BF27453">
      <w:pPr>
        <w:ind w:firstLine="480"/>
        <w:rPr>
          <w:color w:val="000000" w:themeColor="text1"/>
          <w14:textFill>
            <w14:solidFill>
              <w14:schemeClr w14:val="tx1"/>
            </w14:solidFill>
          </w14:textFill>
        </w:rPr>
      </w:pPr>
      <w:r>
        <w:rPr>
          <w:color w:val="000000" w:themeColor="text1"/>
          <w14:textFill>
            <w14:solidFill>
              <w14:schemeClr w14:val="tx1"/>
            </w14:solidFill>
          </w14:textFill>
        </w:rPr>
        <w:t>钦州湾潮汐类型属不正规全日潮型。钦州湾自1966年起在龙门港设有潮汐站，根据该站多年实测潮汐资料统计，钦州湾潮位特征见下表。</w:t>
      </w:r>
    </w:p>
    <w:p w14:paraId="313C8B3A">
      <w:pPr>
        <w:pStyle w:val="7"/>
        <w:rPr>
          <w:color w:val="000000" w:themeColor="text1"/>
          <w14:textFill>
            <w14:solidFill>
              <w14:schemeClr w14:val="tx1"/>
            </w14:solidFill>
          </w14:textFill>
        </w:rPr>
      </w:pPr>
      <w:r>
        <w:rPr>
          <w:color w:val="000000" w:themeColor="text1"/>
          <w14:textFill>
            <w14:solidFill>
              <w14:schemeClr w14:val="tx1"/>
            </w14:solidFill>
          </w14:textFill>
        </w:rPr>
        <w:t>钦州湾潮位特征表</w:t>
      </w:r>
    </w:p>
    <w:tbl>
      <w:tblPr>
        <w:tblStyle w:val="43"/>
        <w:tblW w:w="8533"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82"/>
        <w:gridCol w:w="1278"/>
        <w:gridCol w:w="1280"/>
        <w:gridCol w:w="1168"/>
        <w:gridCol w:w="1104"/>
        <w:gridCol w:w="1134"/>
        <w:gridCol w:w="1187"/>
      </w:tblGrid>
      <w:tr w14:paraId="2E4287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82" w:type="dxa"/>
            <w:tcBorders>
              <w:bottom w:val="single" w:color="auto" w:sz="4" w:space="0"/>
              <w:right w:val="single" w:color="auto" w:sz="4" w:space="0"/>
            </w:tcBorders>
            <w:vAlign w:val="center"/>
          </w:tcPr>
          <w:p w14:paraId="1D83EC86">
            <w:pPr>
              <w:snapToGrid w:val="0"/>
              <w:spacing w:line="240" w:lineRule="exact"/>
              <w:ind w:firstLine="0" w:firstLineChars="0"/>
              <w:jc w:val="center"/>
              <w:rPr>
                <w:rFonts w:eastAsia="Times New Roman"/>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最高高潮位</w:t>
            </w:r>
          </w:p>
        </w:tc>
        <w:tc>
          <w:tcPr>
            <w:tcW w:w="1278" w:type="dxa"/>
            <w:tcBorders>
              <w:left w:val="single" w:color="auto" w:sz="4" w:space="0"/>
              <w:bottom w:val="single" w:color="auto" w:sz="4" w:space="0"/>
              <w:right w:val="single" w:color="auto" w:sz="4" w:space="0"/>
            </w:tcBorders>
            <w:vAlign w:val="center"/>
          </w:tcPr>
          <w:p w14:paraId="14D5E33E">
            <w:pPr>
              <w:snapToGrid w:val="0"/>
              <w:spacing w:line="240" w:lineRule="exact"/>
              <w:ind w:firstLine="0" w:firstLineChars="0"/>
              <w:jc w:val="center"/>
              <w:rPr>
                <w:rFonts w:eastAsia="Times New Roman"/>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最低低潮位</w:t>
            </w:r>
          </w:p>
        </w:tc>
        <w:tc>
          <w:tcPr>
            <w:tcW w:w="1280" w:type="dxa"/>
            <w:tcBorders>
              <w:left w:val="single" w:color="auto" w:sz="4" w:space="0"/>
              <w:bottom w:val="single" w:color="auto" w:sz="4" w:space="0"/>
              <w:right w:val="single" w:color="auto" w:sz="4" w:space="0"/>
            </w:tcBorders>
            <w:vAlign w:val="center"/>
          </w:tcPr>
          <w:p w14:paraId="528A9817">
            <w:pPr>
              <w:snapToGrid w:val="0"/>
              <w:spacing w:line="240" w:lineRule="exact"/>
              <w:ind w:firstLine="0" w:firstLineChars="0"/>
              <w:jc w:val="center"/>
              <w:rPr>
                <w:rFonts w:eastAsia="Times New Roman"/>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多年平均潮位</w:t>
            </w:r>
          </w:p>
        </w:tc>
        <w:tc>
          <w:tcPr>
            <w:tcW w:w="1168" w:type="dxa"/>
            <w:tcBorders>
              <w:left w:val="single" w:color="auto" w:sz="4" w:space="0"/>
              <w:bottom w:val="single" w:color="auto" w:sz="4" w:space="0"/>
              <w:right w:val="single" w:color="auto" w:sz="4" w:space="0"/>
            </w:tcBorders>
            <w:vAlign w:val="center"/>
          </w:tcPr>
          <w:p w14:paraId="7289B16D">
            <w:pPr>
              <w:snapToGrid w:val="0"/>
              <w:spacing w:line="240" w:lineRule="exact"/>
              <w:ind w:firstLine="0" w:firstLineChars="0"/>
              <w:jc w:val="center"/>
              <w:rPr>
                <w:rFonts w:eastAsia="Times New Roman"/>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多年平均高潮位</w:t>
            </w:r>
          </w:p>
        </w:tc>
        <w:tc>
          <w:tcPr>
            <w:tcW w:w="1104" w:type="dxa"/>
            <w:tcBorders>
              <w:left w:val="single" w:color="auto" w:sz="4" w:space="0"/>
              <w:bottom w:val="single" w:color="auto" w:sz="4" w:space="0"/>
              <w:right w:val="single" w:color="auto" w:sz="4" w:space="0"/>
            </w:tcBorders>
            <w:vAlign w:val="center"/>
          </w:tcPr>
          <w:p w14:paraId="7B38348D">
            <w:pPr>
              <w:snapToGrid w:val="0"/>
              <w:spacing w:line="240" w:lineRule="exact"/>
              <w:ind w:firstLine="0" w:firstLineChars="0"/>
              <w:jc w:val="center"/>
              <w:rPr>
                <w:rFonts w:eastAsia="Times New Roman"/>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多年平均低潮位</w:t>
            </w:r>
          </w:p>
        </w:tc>
        <w:tc>
          <w:tcPr>
            <w:tcW w:w="1134" w:type="dxa"/>
            <w:tcBorders>
              <w:left w:val="single" w:color="auto" w:sz="4" w:space="0"/>
              <w:bottom w:val="single" w:color="auto" w:sz="4" w:space="0"/>
              <w:right w:val="single" w:color="auto" w:sz="4" w:space="0"/>
            </w:tcBorders>
            <w:vAlign w:val="center"/>
          </w:tcPr>
          <w:p w14:paraId="6CF5087C">
            <w:pPr>
              <w:snapToGrid w:val="0"/>
              <w:spacing w:line="240" w:lineRule="exact"/>
              <w:ind w:firstLine="0" w:firstLineChars="0"/>
              <w:jc w:val="center"/>
              <w:rPr>
                <w:rFonts w:eastAsia="Times New Roman"/>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最大潮差</w:t>
            </w:r>
          </w:p>
        </w:tc>
        <w:tc>
          <w:tcPr>
            <w:tcW w:w="1187" w:type="dxa"/>
            <w:tcBorders>
              <w:left w:val="single" w:color="auto" w:sz="4" w:space="0"/>
              <w:bottom w:val="single" w:color="auto" w:sz="4" w:space="0"/>
            </w:tcBorders>
            <w:vAlign w:val="center"/>
          </w:tcPr>
          <w:p w14:paraId="4EC5C388">
            <w:pPr>
              <w:snapToGrid w:val="0"/>
              <w:spacing w:line="240" w:lineRule="exact"/>
              <w:ind w:firstLine="0" w:firstLineChars="0"/>
              <w:jc w:val="center"/>
              <w:rPr>
                <w:rFonts w:eastAsia="Times New Roman"/>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平均潮差</w:t>
            </w:r>
          </w:p>
        </w:tc>
      </w:tr>
      <w:tr w14:paraId="7101C3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82" w:type="dxa"/>
            <w:tcBorders>
              <w:top w:val="single" w:color="auto" w:sz="4" w:space="0"/>
              <w:right w:val="single" w:color="auto" w:sz="4" w:space="0"/>
            </w:tcBorders>
            <w:vAlign w:val="center"/>
          </w:tcPr>
          <w:p w14:paraId="10240D9B">
            <w:pPr>
              <w:snapToGrid w:val="0"/>
              <w:spacing w:line="240" w:lineRule="exact"/>
              <w:ind w:firstLine="0" w:firstLineChars="0"/>
              <w:jc w:val="center"/>
              <w:rPr>
                <w:rFonts w:eastAsia="Times New Roman"/>
                <w:color w:val="000000" w:themeColor="text1"/>
                <w:sz w:val="21"/>
                <w:szCs w:val="21"/>
                <w14:textFill>
                  <w14:solidFill>
                    <w14:schemeClr w14:val="tx1"/>
                  </w14:solidFill>
                </w14:textFill>
              </w:rPr>
            </w:pPr>
            <w:r>
              <w:rPr>
                <w:rFonts w:eastAsia="Times New Roman"/>
                <w:color w:val="000000" w:themeColor="text1"/>
                <w:sz w:val="21"/>
                <w:szCs w:val="21"/>
                <w14:textFill>
                  <w14:solidFill>
                    <w14:schemeClr w14:val="tx1"/>
                  </w14:solidFill>
                </w14:textFill>
              </w:rPr>
              <w:t>+5.83m</w:t>
            </w:r>
          </w:p>
        </w:tc>
        <w:tc>
          <w:tcPr>
            <w:tcW w:w="1278" w:type="dxa"/>
            <w:tcBorders>
              <w:top w:val="single" w:color="auto" w:sz="4" w:space="0"/>
              <w:left w:val="single" w:color="auto" w:sz="4" w:space="0"/>
              <w:right w:val="single" w:color="auto" w:sz="4" w:space="0"/>
            </w:tcBorders>
            <w:vAlign w:val="center"/>
          </w:tcPr>
          <w:p w14:paraId="343C8619">
            <w:pPr>
              <w:snapToGrid w:val="0"/>
              <w:spacing w:line="240" w:lineRule="exact"/>
              <w:ind w:firstLine="0" w:firstLineChars="0"/>
              <w:jc w:val="center"/>
              <w:rPr>
                <w:rFonts w:eastAsia="Times New Roman"/>
                <w:color w:val="000000" w:themeColor="text1"/>
                <w:sz w:val="21"/>
                <w:szCs w:val="21"/>
                <w14:textFill>
                  <w14:solidFill>
                    <w14:schemeClr w14:val="tx1"/>
                  </w14:solidFill>
                </w14:textFill>
              </w:rPr>
            </w:pPr>
            <w:r>
              <w:rPr>
                <w:rFonts w:eastAsia="Times New Roman"/>
                <w:color w:val="000000" w:themeColor="text1"/>
                <w:sz w:val="21"/>
                <w:szCs w:val="21"/>
                <w14:textFill>
                  <w14:solidFill>
                    <w14:schemeClr w14:val="tx1"/>
                  </w14:solidFill>
                </w14:textFill>
              </w:rPr>
              <w:t>-0.69m</w:t>
            </w:r>
          </w:p>
        </w:tc>
        <w:tc>
          <w:tcPr>
            <w:tcW w:w="1280" w:type="dxa"/>
            <w:tcBorders>
              <w:top w:val="single" w:color="auto" w:sz="4" w:space="0"/>
              <w:left w:val="single" w:color="auto" w:sz="4" w:space="0"/>
              <w:right w:val="single" w:color="auto" w:sz="4" w:space="0"/>
            </w:tcBorders>
            <w:vAlign w:val="center"/>
          </w:tcPr>
          <w:p w14:paraId="7CEB9C56">
            <w:pPr>
              <w:snapToGrid w:val="0"/>
              <w:spacing w:line="240" w:lineRule="exact"/>
              <w:ind w:firstLine="0" w:firstLineChars="0"/>
              <w:jc w:val="center"/>
              <w:rPr>
                <w:rFonts w:eastAsia="Times New Roman"/>
                <w:color w:val="000000" w:themeColor="text1"/>
                <w:sz w:val="21"/>
                <w:szCs w:val="21"/>
                <w14:textFill>
                  <w14:solidFill>
                    <w14:schemeClr w14:val="tx1"/>
                  </w14:solidFill>
                </w14:textFill>
              </w:rPr>
            </w:pPr>
            <w:r>
              <w:rPr>
                <w:rFonts w:eastAsia="Times New Roman"/>
                <w:color w:val="000000" w:themeColor="text1"/>
                <w:sz w:val="21"/>
                <w:szCs w:val="21"/>
                <w14:textFill>
                  <w14:solidFill>
                    <w14:schemeClr w14:val="tx1"/>
                  </w14:solidFill>
                </w14:textFill>
              </w:rPr>
              <w:t>+2.39m</w:t>
            </w:r>
          </w:p>
        </w:tc>
        <w:tc>
          <w:tcPr>
            <w:tcW w:w="1168" w:type="dxa"/>
            <w:tcBorders>
              <w:top w:val="single" w:color="auto" w:sz="4" w:space="0"/>
              <w:left w:val="single" w:color="auto" w:sz="4" w:space="0"/>
              <w:right w:val="single" w:color="auto" w:sz="4" w:space="0"/>
            </w:tcBorders>
            <w:vAlign w:val="center"/>
          </w:tcPr>
          <w:p w14:paraId="03416040">
            <w:pPr>
              <w:snapToGrid w:val="0"/>
              <w:spacing w:line="240" w:lineRule="exact"/>
              <w:ind w:firstLine="0" w:firstLineChars="0"/>
              <w:jc w:val="center"/>
              <w:rPr>
                <w:rFonts w:eastAsia="Times New Roman"/>
                <w:color w:val="000000" w:themeColor="text1"/>
                <w:sz w:val="21"/>
                <w:szCs w:val="21"/>
                <w14:textFill>
                  <w14:solidFill>
                    <w14:schemeClr w14:val="tx1"/>
                  </w14:solidFill>
                </w14:textFill>
              </w:rPr>
            </w:pPr>
            <w:r>
              <w:rPr>
                <w:rFonts w:eastAsia="Times New Roman"/>
                <w:color w:val="000000" w:themeColor="text1"/>
                <w:sz w:val="21"/>
                <w:szCs w:val="21"/>
                <w14:textFill>
                  <w14:solidFill>
                    <w14:schemeClr w14:val="tx1"/>
                  </w14:solidFill>
                </w14:textFill>
              </w:rPr>
              <w:t>+3.66m</w:t>
            </w:r>
          </w:p>
        </w:tc>
        <w:tc>
          <w:tcPr>
            <w:tcW w:w="1104" w:type="dxa"/>
            <w:tcBorders>
              <w:top w:val="single" w:color="auto" w:sz="4" w:space="0"/>
              <w:left w:val="single" w:color="auto" w:sz="4" w:space="0"/>
              <w:right w:val="single" w:color="auto" w:sz="4" w:space="0"/>
            </w:tcBorders>
            <w:vAlign w:val="center"/>
          </w:tcPr>
          <w:p w14:paraId="39AE0941">
            <w:pPr>
              <w:snapToGrid w:val="0"/>
              <w:spacing w:line="240" w:lineRule="exact"/>
              <w:ind w:firstLine="0" w:firstLineChars="0"/>
              <w:jc w:val="center"/>
              <w:rPr>
                <w:rFonts w:eastAsia="Times New Roman"/>
                <w:color w:val="000000" w:themeColor="text1"/>
                <w:sz w:val="21"/>
                <w:szCs w:val="21"/>
                <w14:textFill>
                  <w14:solidFill>
                    <w14:schemeClr w14:val="tx1"/>
                  </w14:solidFill>
                </w14:textFill>
              </w:rPr>
            </w:pPr>
            <w:r>
              <w:rPr>
                <w:rFonts w:eastAsia="Times New Roman"/>
                <w:color w:val="000000" w:themeColor="text1"/>
                <w:sz w:val="21"/>
                <w:szCs w:val="21"/>
                <w14:textFill>
                  <w14:solidFill>
                    <w14:schemeClr w14:val="tx1"/>
                  </w14:solidFill>
                </w14:textFill>
              </w:rPr>
              <w:t>+1.15m</w:t>
            </w:r>
          </w:p>
        </w:tc>
        <w:tc>
          <w:tcPr>
            <w:tcW w:w="1134" w:type="dxa"/>
            <w:tcBorders>
              <w:top w:val="single" w:color="auto" w:sz="4" w:space="0"/>
              <w:left w:val="single" w:color="auto" w:sz="4" w:space="0"/>
              <w:right w:val="single" w:color="auto" w:sz="4" w:space="0"/>
            </w:tcBorders>
            <w:vAlign w:val="center"/>
          </w:tcPr>
          <w:p w14:paraId="73757B0D">
            <w:pPr>
              <w:snapToGrid w:val="0"/>
              <w:spacing w:line="240" w:lineRule="exact"/>
              <w:ind w:firstLine="0" w:firstLineChars="0"/>
              <w:jc w:val="center"/>
              <w:rPr>
                <w:rFonts w:eastAsia="Times New Roman"/>
                <w:color w:val="000000" w:themeColor="text1"/>
                <w:sz w:val="21"/>
                <w:szCs w:val="21"/>
                <w14:textFill>
                  <w14:solidFill>
                    <w14:schemeClr w14:val="tx1"/>
                  </w14:solidFill>
                </w14:textFill>
              </w:rPr>
            </w:pPr>
            <w:r>
              <w:rPr>
                <w:rFonts w:eastAsia="Times New Roman"/>
                <w:color w:val="000000" w:themeColor="text1"/>
                <w:sz w:val="21"/>
                <w:szCs w:val="21"/>
                <w14:textFill>
                  <w14:solidFill>
                    <w14:schemeClr w14:val="tx1"/>
                  </w14:solidFill>
                </w14:textFill>
              </w:rPr>
              <w:t>5.52m</w:t>
            </w:r>
          </w:p>
        </w:tc>
        <w:tc>
          <w:tcPr>
            <w:tcW w:w="1187" w:type="dxa"/>
            <w:tcBorders>
              <w:top w:val="single" w:color="auto" w:sz="4" w:space="0"/>
              <w:left w:val="single" w:color="auto" w:sz="4" w:space="0"/>
            </w:tcBorders>
            <w:vAlign w:val="center"/>
          </w:tcPr>
          <w:p w14:paraId="44F56746">
            <w:pPr>
              <w:snapToGrid w:val="0"/>
              <w:spacing w:line="240" w:lineRule="exact"/>
              <w:ind w:firstLine="0" w:firstLineChars="0"/>
              <w:jc w:val="center"/>
              <w:rPr>
                <w:rFonts w:eastAsia="Times New Roman"/>
                <w:color w:val="000000" w:themeColor="text1"/>
                <w:sz w:val="21"/>
                <w:szCs w:val="21"/>
                <w14:textFill>
                  <w14:solidFill>
                    <w14:schemeClr w14:val="tx1"/>
                  </w14:solidFill>
                </w14:textFill>
              </w:rPr>
            </w:pPr>
            <w:r>
              <w:rPr>
                <w:rFonts w:eastAsia="Times New Roman"/>
                <w:color w:val="000000" w:themeColor="text1"/>
                <w:sz w:val="21"/>
                <w:szCs w:val="21"/>
                <w14:textFill>
                  <w14:solidFill>
                    <w14:schemeClr w14:val="tx1"/>
                  </w14:solidFill>
                </w14:textFill>
              </w:rPr>
              <w:t>2.51m</w:t>
            </w:r>
          </w:p>
        </w:tc>
      </w:tr>
    </w:tbl>
    <w:p w14:paraId="001240B9">
      <w:pPr>
        <w:spacing w:line="240" w:lineRule="exact"/>
        <w:ind w:firstLine="36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注：以果子山理论深度基面为潮位起算面，该基面比国家 85 黄海高程基面低1.86m。</w:t>
      </w:r>
    </w:p>
    <w:p w14:paraId="509CC8A9">
      <w:pPr>
        <w:ind w:firstLine="480"/>
        <w:rPr>
          <w:color w:val="000000" w:themeColor="text1"/>
          <w14:textFill>
            <w14:solidFill>
              <w14:schemeClr w14:val="tx1"/>
            </w14:solidFill>
          </w14:textFill>
        </w:rPr>
      </w:pPr>
      <w:r>
        <w:rPr>
          <w:color w:val="000000" w:themeColor="text1"/>
          <w14:textFill>
            <w14:solidFill>
              <w14:schemeClr w14:val="tx1"/>
            </w14:solidFill>
          </w14:textFill>
        </w:rPr>
        <w:t>（2）潮流</w:t>
      </w:r>
    </w:p>
    <w:p w14:paraId="7255D787">
      <w:pPr>
        <w:ind w:firstLine="480"/>
        <w:rPr>
          <w:color w:val="000000" w:themeColor="text1"/>
          <w14:textFill>
            <w14:solidFill>
              <w14:schemeClr w14:val="tx1"/>
            </w14:solidFill>
          </w14:textFill>
        </w:rPr>
      </w:pPr>
      <w:r>
        <w:rPr>
          <w:color w:val="000000" w:themeColor="text1"/>
          <w14:textFill>
            <w14:solidFill>
              <w14:schemeClr w14:val="tx1"/>
            </w14:solidFill>
          </w14:textFill>
        </w:rPr>
        <w:t>钦州湾为不正规全日潮型，系由太平洋潮传入南海后进入北部湾，受北部湾反射波的干涉及地理条件影响而形成。其主要特征表现为：大潮汛时潮汐一天一次涨落，小潮汛时一天两次涨落，据资料统计，一个月一天一次涨落时间约为19～25天。</w:t>
      </w:r>
    </w:p>
    <w:p w14:paraId="06BCCBE3">
      <w:pPr>
        <w:ind w:firstLine="480"/>
        <w:rPr>
          <w:color w:val="000000" w:themeColor="text1"/>
          <w14:textFill>
            <w14:solidFill>
              <w14:schemeClr w14:val="tx1"/>
            </w14:solidFill>
          </w14:textFill>
        </w:rPr>
      </w:pPr>
      <w:r>
        <w:rPr>
          <w:color w:val="000000" w:themeColor="text1"/>
          <w14:textFill>
            <w14:solidFill>
              <w14:schemeClr w14:val="tx1"/>
            </w14:solidFill>
          </w14:textFill>
        </w:rPr>
        <w:t>潮流</w:t>
      </w:r>
      <w:r>
        <w:rPr>
          <w:color w:val="000000" w:themeColor="text1"/>
          <w:szCs w:val="21"/>
          <w14:textFill>
            <w14:solidFill>
              <w14:schemeClr w14:val="tx1"/>
            </w14:solidFill>
          </w14:textFill>
        </w:rPr>
        <w:t>具有往复流性质，流向基本与深槽一致，退潮快，涨潮慢，</w:t>
      </w:r>
      <w:r>
        <w:rPr>
          <w:color w:val="000000" w:themeColor="text1"/>
          <w14:textFill>
            <w14:solidFill>
              <w14:schemeClr w14:val="tx1"/>
            </w14:solidFill>
          </w14:textFill>
        </w:rPr>
        <w:t>流以全日潮为主，仍存在半日不等现象，</w:t>
      </w:r>
      <w:r>
        <w:rPr>
          <w:color w:val="000000" w:themeColor="text1"/>
          <w:szCs w:val="21"/>
          <w14:textFill>
            <w14:solidFill>
              <w14:schemeClr w14:val="tx1"/>
            </w14:solidFill>
          </w14:textFill>
        </w:rPr>
        <w:t>退潮历时4</w:t>
      </w:r>
      <w:r>
        <w:rPr>
          <w:color w:val="000000" w:themeColor="text1"/>
          <w14:textFill>
            <w14:solidFill>
              <w14:schemeClr w14:val="tx1"/>
            </w14:solidFill>
          </w14:textFill>
        </w:rPr>
        <w:t>～</w:t>
      </w:r>
      <w:r>
        <w:rPr>
          <w:color w:val="000000" w:themeColor="text1"/>
          <w:szCs w:val="21"/>
          <w14:textFill>
            <w14:solidFill>
              <w14:schemeClr w14:val="tx1"/>
            </w14:solidFill>
          </w14:textFill>
        </w:rPr>
        <w:t>12h，平均8h，涨潮6</w:t>
      </w:r>
      <w:r>
        <w:rPr>
          <w:color w:val="000000" w:themeColor="text1"/>
          <w14:textFill>
            <w14:solidFill>
              <w14:schemeClr w14:val="tx1"/>
            </w14:solidFill>
          </w14:textFill>
        </w:rPr>
        <w:t>～</w:t>
      </w:r>
      <w:r>
        <w:rPr>
          <w:color w:val="000000" w:themeColor="text1"/>
          <w:szCs w:val="21"/>
          <w14:textFill>
            <w14:solidFill>
              <w14:schemeClr w14:val="tx1"/>
            </w14:solidFill>
          </w14:textFill>
        </w:rPr>
        <w:t>18h，平均 9h</w:t>
      </w:r>
      <w:r>
        <w:rPr>
          <w:color w:val="000000" w:themeColor="text1"/>
          <w14:textFill>
            <w14:solidFill>
              <w14:schemeClr w14:val="tx1"/>
            </w14:solidFill>
          </w14:textFill>
        </w:rPr>
        <w:t>；流速的分布为西部大于东部，近岸大于外海，表层大于底层。钦州湾内涨潮平均流速为0.08～0.28m/s，最大流速为0.54m/s；落潮平均流速为0.09～0.55m/s，最大流速为0.95m/s。本码头处涨潮最大流速0.54m/s，落潮最大流速为0.7m/s。</w:t>
      </w:r>
    </w:p>
    <w:p w14:paraId="20292DAF">
      <w:pPr>
        <w:ind w:firstLine="480"/>
        <w:rPr>
          <w:color w:val="000000" w:themeColor="text1"/>
          <w14:textFill>
            <w14:solidFill>
              <w14:schemeClr w14:val="tx1"/>
            </w14:solidFill>
          </w14:textFill>
        </w:rPr>
      </w:pPr>
      <w:r>
        <w:rPr>
          <w:color w:val="000000" w:themeColor="text1"/>
          <w14:textFill>
            <w14:solidFill>
              <w14:schemeClr w14:val="tx1"/>
            </w14:solidFill>
          </w14:textFill>
        </w:rPr>
        <w:t>（3）乘潮水位</w:t>
      </w:r>
    </w:p>
    <w:p w14:paraId="57D3C358">
      <w:pPr>
        <w:ind w:firstLine="480"/>
        <w:rPr>
          <w:color w:val="000000" w:themeColor="text1"/>
          <w14:textFill>
            <w14:solidFill>
              <w14:schemeClr w14:val="tx1"/>
            </w14:solidFill>
          </w14:textFill>
        </w:rPr>
      </w:pPr>
      <w:r>
        <w:rPr>
          <w:color w:val="000000" w:themeColor="text1"/>
          <w14:textFill>
            <w14:solidFill>
              <w14:schemeClr w14:val="tx1"/>
            </w14:solidFill>
          </w14:textFill>
        </w:rPr>
        <w:t>钦州港极端高水位为5.77m（50年一遇高潮位），极端低水位为-0.89m（50年一遇低潮位），各乘潮历时不同保证率乘潮水位如下表。</w:t>
      </w:r>
    </w:p>
    <w:p w14:paraId="4A0EF25B">
      <w:pPr>
        <w:pStyle w:val="7"/>
        <w:rPr>
          <w:color w:val="000000" w:themeColor="text1"/>
          <w14:textFill>
            <w14:solidFill>
              <w14:schemeClr w14:val="tx1"/>
            </w14:solidFill>
          </w14:textFill>
        </w:rPr>
      </w:pPr>
      <w:r>
        <w:rPr>
          <w:color w:val="000000" w:themeColor="text1"/>
          <w14:textFill>
            <w14:solidFill>
              <w14:schemeClr w14:val="tx1"/>
            </w14:solidFill>
          </w14:textFill>
        </w:rPr>
        <w:t>乘潮水位表（果子山理论深度基准面）</w:t>
      </w:r>
    </w:p>
    <w:tbl>
      <w:tblPr>
        <w:tblStyle w:val="43"/>
        <w:tblW w:w="852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496"/>
        <w:gridCol w:w="1687"/>
        <w:gridCol w:w="1571"/>
        <w:gridCol w:w="1454"/>
        <w:gridCol w:w="1314"/>
      </w:tblGrid>
      <w:tr w14:paraId="51F6D3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86" w:hRule="atLeast"/>
          <w:tblHeader/>
          <w:jc w:val="center"/>
        </w:trPr>
        <w:tc>
          <w:tcPr>
            <w:tcW w:w="2496" w:type="dxa"/>
            <w:vAlign w:val="center"/>
          </w:tcPr>
          <w:p w14:paraId="59AC0B7A">
            <w:pPr>
              <w:snapToGrid w:val="0"/>
              <w:spacing w:line="240" w:lineRule="exact"/>
              <w:ind w:firstLine="420"/>
              <w:rPr>
                <w:b/>
                <w:bCs/>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-57150</wp:posOffset>
                      </wp:positionH>
                      <wp:positionV relativeFrom="paragraph">
                        <wp:posOffset>15240</wp:posOffset>
                      </wp:positionV>
                      <wp:extent cx="916305" cy="546100"/>
                      <wp:effectExtent l="0" t="0" r="36195" b="25400"/>
                      <wp:wrapNone/>
                      <wp:docPr id="148" name="直接连接符 148"/>
                      <wp:cNvGraphicFramePr/>
                      <a:graphic xmlns:a="http://schemas.openxmlformats.org/drawingml/2006/main">
                        <a:graphicData uri="http://schemas.microsoft.com/office/word/2010/wordprocessingShape">
                          <wps:wsp>
                            <wps:cNvCnPr>
                              <a:cxnSpLocks noChangeShapeType="1"/>
                            </wps:cNvCnPr>
                            <wps:spPr bwMode="auto">
                              <a:xfrm>
                                <a:off x="0" y="0"/>
                                <a:ext cx="916305" cy="54610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4.5pt;margin-top:1.2pt;height:43pt;width:72.15pt;z-index:251667456;mso-width-relative:page;mso-height-relative:page;" filled="f" stroked="t" coordsize="21600,21600" o:gfxdata="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3KRVo1gAAAAcBAAAPAAAAAAAAAAEAIAAAACIAAABkcnMvZG93bnJldi54bWxQSwECFAAUAAAA&#10;CACHTuJAXSPyrfABAADAAwAADgAAAAAAAAABACAAAAAlAQAAZHJzL2Uyb0RvYy54bWxQSwUGAAAA&#10;AAYABgBZAQAAhwUAAAAA&#10;">
                      <v:fill on="f" focussize="0,0"/>
                      <v:stroke color="#000000" joinstyle="round"/>
                      <v:imagedata o:title=""/>
                      <o:lock v:ext="edit" aspectratio="f"/>
                    </v:line>
                  </w:pict>
                </mc:Fallback>
              </mc:AlternateContent>
            </w:r>
            <w:r>
              <w:rPr>
                <w:color w:val="000000" w:themeColor="text1"/>
                <w:sz w:val="21"/>
                <w:szCs w:val="21"/>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-69215</wp:posOffset>
                      </wp:positionH>
                      <wp:positionV relativeFrom="paragraph">
                        <wp:posOffset>16510</wp:posOffset>
                      </wp:positionV>
                      <wp:extent cx="1593215" cy="466725"/>
                      <wp:effectExtent l="0" t="0" r="26035" b="28575"/>
                      <wp:wrapNone/>
                      <wp:docPr id="147" name="直接连接符 147"/>
                      <wp:cNvGraphicFramePr/>
                      <a:graphic xmlns:a="http://schemas.openxmlformats.org/drawingml/2006/main">
                        <a:graphicData uri="http://schemas.microsoft.com/office/word/2010/wordprocessingShape">
                          <wps:wsp>
                            <wps:cNvCnPr>
                              <a:cxnSpLocks noChangeShapeType="1"/>
                            </wps:cNvCnPr>
                            <wps:spPr bwMode="auto">
                              <a:xfrm>
                                <a:off x="0" y="0"/>
                                <a:ext cx="1593215" cy="466725"/>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5.45pt;margin-top:1.3pt;height:36.75pt;width:125.45pt;z-index:251666432;mso-width-relative:page;mso-height-relative:page;" filled="f" stroked="t" coordsize="21600,21600" o:gfxdata="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Jwb&#10;uuXXAAAACAEAAA8AAAAAAAAAAQAgAAAAIgAAAGRycy9kb3ducmV2LnhtbFBLAQIUABQAAAAIAIdO&#10;4kBshqnx6wEAALMDAAAOAAAAAAAAAAEAIAAAACYBAABkcnMvZTJvRG9jLnhtbFBLBQYAAAAABgAG&#10;AFkBAACDBQAAAAA=&#10;">
                      <v:fill on="f" focussize="0,0"/>
                      <v:stroke color="#000000" joinstyle="round"/>
                      <v:imagedata o:title=""/>
                      <o:lock v:ext="edit" aspectratio="f"/>
                    </v:line>
                  </w:pict>
                </mc:Fallback>
              </mc:AlternateContent>
            </w:r>
            <w:r>
              <w:rPr>
                <w:b/>
                <w:bCs/>
                <w:color w:val="000000" w:themeColor="text1"/>
                <w:sz w:val="21"/>
                <w:szCs w:val="21"/>
                <w14:textFill>
                  <w14:solidFill>
                    <w14:schemeClr w14:val="tx1"/>
                  </w14:solidFill>
                </w14:textFill>
              </w:rPr>
              <w:t xml:space="preserve">     乘潮历时（h）</w:t>
            </w:r>
          </w:p>
          <w:p w14:paraId="75F09A5F">
            <w:pPr>
              <w:snapToGrid w:val="0"/>
              <w:spacing w:line="240" w:lineRule="exact"/>
              <w:ind w:firstLine="422"/>
              <w:jc w:val="left"/>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 xml:space="preserve"> 频率(%)</w:t>
            </w:r>
          </w:p>
          <w:p w14:paraId="7957C969">
            <w:pPr>
              <w:snapToGrid w:val="0"/>
              <w:spacing w:line="240" w:lineRule="exact"/>
              <w:ind w:firstLine="0" w:firstLineChars="0"/>
              <w:jc w:val="left"/>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水位（m）</w:t>
            </w:r>
          </w:p>
        </w:tc>
        <w:tc>
          <w:tcPr>
            <w:tcW w:w="1687" w:type="dxa"/>
            <w:vAlign w:val="center"/>
          </w:tcPr>
          <w:p w14:paraId="3E1132CB">
            <w:pPr>
              <w:snapToGrid w:val="0"/>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1</w:t>
            </w:r>
          </w:p>
        </w:tc>
        <w:tc>
          <w:tcPr>
            <w:tcW w:w="1571" w:type="dxa"/>
            <w:vAlign w:val="center"/>
          </w:tcPr>
          <w:p w14:paraId="55A3A753">
            <w:pPr>
              <w:snapToGrid w:val="0"/>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2</w:t>
            </w:r>
          </w:p>
        </w:tc>
        <w:tc>
          <w:tcPr>
            <w:tcW w:w="1454" w:type="dxa"/>
            <w:vAlign w:val="center"/>
          </w:tcPr>
          <w:p w14:paraId="4AA54427">
            <w:pPr>
              <w:snapToGrid w:val="0"/>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3</w:t>
            </w:r>
          </w:p>
        </w:tc>
        <w:tc>
          <w:tcPr>
            <w:tcW w:w="1314" w:type="dxa"/>
            <w:vAlign w:val="center"/>
          </w:tcPr>
          <w:p w14:paraId="3B5AFEFC">
            <w:pPr>
              <w:snapToGrid w:val="0"/>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4</w:t>
            </w:r>
          </w:p>
        </w:tc>
      </w:tr>
      <w:tr w14:paraId="79DDA2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2926907C">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1687" w:type="dxa"/>
            <w:vAlign w:val="center"/>
          </w:tcPr>
          <w:p w14:paraId="5F1C1896">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5.13</w:t>
            </w:r>
          </w:p>
        </w:tc>
        <w:tc>
          <w:tcPr>
            <w:tcW w:w="1571" w:type="dxa"/>
            <w:vAlign w:val="center"/>
          </w:tcPr>
          <w:p w14:paraId="5CDC067B">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5.03</w:t>
            </w:r>
          </w:p>
        </w:tc>
        <w:tc>
          <w:tcPr>
            <w:tcW w:w="1454" w:type="dxa"/>
            <w:vAlign w:val="center"/>
          </w:tcPr>
          <w:p w14:paraId="54464B7C">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4.90</w:t>
            </w:r>
          </w:p>
        </w:tc>
        <w:tc>
          <w:tcPr>
            <w:tcW w:w="1314" w:type="dxa"/>
            <w:vAlign w:val="center"/>
          </w:tcPr>
          <w:p w14:paraId="7482658A">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4.71</w:t>
            </w:r>
          </w:p>
        </w:tc>
      </w:tr>
      <w:tr w14:paraId="3CAF68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66AE2073">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w:t>
            </w:r>
          </w:p>
        </w:tc>
        <w:tc>
          <w:tcPr>
            <w:tcW w:w="1687" w:type="dxa"/>
            <w:vAlign w:val="center"/>
          </w:tcPr>
          <w:p w14:paraId="0A215B5C">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4.92</w:t>
            </w:r>
          </w:p>
        </w:tc>
        <w:tc>
          <w:tcPr>
            <w:tcW w:w="1571" w:type="dxa"/>
            <w:vAlign w:val="center"/>
          </w:tcPr>
          <w:p w14:paraId="40DFC880">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4.84</w:t>
            </w:r>
          </w:p>
        </w:tc>
        <w:tc>
          <w:tcPr>
            <w:tcW w:w="1454" w:type="dxa"/>
            <w:vAlign w:val="center"/>
          </w:tcPr>
          <w:p w14:paraId="62B6B7E5">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4.70</w:t>
            </w:r>
          </w:p>
        </w:tc>
        <w:tc>
          <w:tcPr>
            <w:tcW w:w="1314" w:type="dxa"/>
            <w:vAlign w:val="center"/>
          </w:tcPr>
          <w:p w14:paraId="0B9F0368">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4.52</w:t>
            </w:r>
          </w:p>
        </w:tc>
      </w:tr>
      <w:tr w14:paraId="6FBCC1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6625500F">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w:t>
            </w:r>
          </w:p>
        </w:tc>
        <w:tc>
          <w:tcPr>
            <w:tcW w:w="1687" w:type="dxa"/>
            <w:vAlign w:val="center"/>
          </w:tcPr>
          <w:p w14:paraId="4A20510E">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4.77</w:t>
            </w:r>
          </w:p>
        </w:tc>
        <w:tc>
          <w:tcPr>
            <w:tcW w:w="1571" w:type="dxa"/>
            <w:vAlign w:val="center"/>
          </w:tcPr>
          <w:p w14:paraId="2C7D210B">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4.70</w:t>
            </w:r>
          </w:p>
        </w:tc>
        <w:tc>
          <w:tcPr>
            <w:tcW w:w="1454" w:type="dxa"/>
            <w:vAlign w:val="center"/>
          </w:tcPr>
          <w:p w14:paraId="60CFF68D">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4.57</w:t>
            </w:r>
          </w:p>
        </w:tc>
        <w:tc>
          <w:tcPr>
            <w:tcW w:w="1314" w:type="dxa"/>
            <w:vAlign w:val="center"/>
          </w:tcPr>
          <w:p w14:paraId="513D287F">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4.40</w:t>
            </w:r>
          </w:p>
        </w:tc>
      </w:tr>
      <w:tr w14:paraId="7A0346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277EF909">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40</w:t>
            </w:r>
          </w:p>
        </w:tc>
        <w:tc>
          <w:tcPr>
            <w:tcW w:w="1687" w:type="dxa"/>
            <w:vAlign w:val="center"/>
          </w:tcPr>
          <w:p w14:paraId="5118C7F4">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4.64</w:t>
            </w:r>
          </w:p>
        </w:tc>
        <w:tc>
          <w:tcPr>
            <w:tcW w:w="1571" w:type="dxa"/>
            <w:vAlign w:val="center"/>
          </w:tcPr>
          <w:p w14:paraId="5B21AD43">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4.57</w:t>
            </w:r>
          </w:p>
        </w:tc>
        <w:tc>
          <w:tcPr>
            <w:tcW w:w="1454" w:type="dxa"/>
            <w:vAlign w:val="center"/>
          </w:tcPr>
          <w:p w14:paraId="4B118BFB">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4.45</w:t>
            </w:r>
          </w:p>
        </w:tc>
        <w:tc>
          <w:tcPr>
            <w:tcW w:w="1314" w:type="dxa"/>
            <w:vAlign w:val="center"/>
          </w:tcPr>
          <w:p w14:paraId="025D1BDD">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4.29</w:t>
            </w:r>
          </w:p>
        </w:tc>
      </w:tr>
      <w:tr w14:paraId="6841B8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1F15D91C">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w:t>
            </w:r>
          </w:p>
        </w:tc>
        <w:tc>
          <w:tcPr>
            <w:tcW w:w="1687" w:type="dxa"/>
            <w:vAlign w:val="center"/>
          </w:tcPr>
          <w:p w14:paraId="0B61A4BC">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4.50</w:t>
            </w:r>
          </w:p>
        </w:tc>
        <w:tc>
          <w:tcPr>
            <w:tcW w:w="1571" w:type="dxa"/>
            <w:vAlign w:val="center"/>
          </w:tcPr>
          <w:p w14:paraId="5F5F71E4">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4.42</w:t>
            </w:r>
          </w:p>
        </w:tc>
        <w:tc>
          <w:tcPr>
            <w:tcW w:w="1454" w:type="dxa"/>
            <w:vAlign w:val="center"/>
          </w:tcPr>
          <w:p w14:paraId="0A812CDB">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4.32</w:t>
            </w:r>
          </w:p>
        </w:tc>
        <w:tc>
          <w:tcPr>
            <w:tcW w:w="1314" w:type="dxa"/>
            <w:vAlign w:val="center"/>
          </w:tcPr>
          <w:p w14:paraId="08405E12">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4.15</w:t>
            </w:r>
          </w:p>
        </w:tc>
      </w:tr>
      <w:tr w14:paraId="514165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5519A3AD">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60</w:t>
            </w:r>
          </w:p>
        </w:tc>
        <w:tc>
          <w:tcPr>
            <w:tcW w:w="1687" w:type="dxa"/>
            <w:vAlign w:val="center"/>
          </w:tcPr>
          <w:p w14:paraId="4A9E8099">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4.32</w:t>
            </w:r>
          </w:p>
        </w:tc>
        <w:tc>
          <w:tcPr>
            <w:tcW w:w="1571" w:type="dxa"/>
            <w:vAlign w:val="center"/>
          </w:tcPr>
          <w:p w14:paraId="61EFABD6">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4.25</w:t>
            </w:r>
          </w:p>
        </w:tc>
        <w:tc>
          <w:tcPr>
            <w:tcW w:w="1454" w:type="dxa"/>
            <w:vAlign w:val="center"/>
          </w:tcPr>
          <w:p w14:paraId="18AB854A">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4.14</w:t>
            </w:r>
          </w:p>
        </w:tc>
        <w:tc>
          <w:tcPr>
            <w:tcW w:w="1314" w:type="dxa"/>
            <w:vAlign w:val="center"/>
          </w:tcPr>
          <w:p w14:paraId="42DC3F57">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4.00</w:t>
            </w:r>
          </w:p>
        </w:tc>
      </w:tr>
      <w:tr w14:paraId="75E0EB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07C46060">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w:t>
            </w:r>
          </w:p>
        </w:tc>
        <w:tc>
          <w:tcPr>
            <w:tcW w:w="1687" w:type="dxa"/>
            <w:vAlign w:val="center"/>
          </w:tcPr>
          <w:p w14:paraId="610E8716">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4.12</w:t>
            </w:r>
          </w:p>
        </w:tc>
        <w:tc>
          <w:tcPr>
            <w:tcW w:w="1571" w:type="dxa"/>
            <w:vAlign w:val="center"/>
          </w:tcPr>
          <w:p w14:paraId="3A37D5CE">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4.05</w:t>
            </w:r>
          </w:p>
        </w:tc>
        <w:tc>
          <w:tcPr>
            <w:tcW w:w="1454" w:type="dxa"/>
            <w:vAlign w:val="center"/>
          </w:tcPr>
          <w:p w14:paraId="1CB7E2EF">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3.95</w:t>
            </w:r>
          </w:p>
        </w:tc>
        <w:tc>
          <w:tcPr>
            <w:tcW w:w="1314" w:type="dxa"/>
            <w:vAlign w:val="center"/>
          </w:tcPr>
          <w:p w14:paraId="21A57EF6">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3.81</w:t>
            </w:r>
          </w:p>
        </w:tc>
      </w:tr>
      <w:tr w14:paraId="4456A3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5BC4B7A8">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w:t>
            </w:r>
          </w:p>
        </w:tc>
        <w:tc>
          <w:tcPr>
            <w:tcW w:w="1687" w:type="dxa"/>
            <w:vAlign w:val="center"/>
          </w:tcPr>
          <w:p w14:paraId="36EF7649">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3.87</w:t>
            </w:r>
          </w:p>
        </w:tc>
        <w:tc>
          <w:tcPr>
            <w:tcW w:w="1571" w:type="dxa"/>
            <w:vAlign w:val="center"/>
          </w:tcPr>
          <w:p w14:paraId="2154AD58">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3.82</w:t>
            </w:r>
          </w:p>
        </w:tc>
        <w:tc>
          <w:tcPr>
            <w:tcW w:w="1454" w:type="dxa"/>
            <w:vAlign w:val="center"/>
          </w:tcPr>
          <w:p w14:paraId="6B6C2DDF">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3.72</w:t>
            </w:r>
          </w:p>
        </w:tc>
        <w:tc>
          <w:tcPr>
            <w:tcW w:w="1314" w:type="dxa"/>
            <w:vAlign w:val="center"/>
          </w:tcPr>
          <w:p w14:paraId="48E43610">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3.59</w:t>
            </w:r>
          </w:p>
        </w:tc>
      </w:tr>
      <w:tr w14:paraId="570081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53BA6BA0">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90</w:t>
            </w:r>
          </w:p>
        </w:tc>
        <w:tc>
          <w:tcPr>
            <w:tcW w:w="1687" w:type="dxa"/>
            <w:vAlign w:val="center"/>
          </w:tcPr>
          <w:p w14:paraId="7A9725CB">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3.55</w:t>
            </w:r>
          </w:p>
        </w:tc>
        <w:tc>
          <w:tcPr>
            <w:tcW w:w="1571" w:type="dxa"/>
            <w:vAlign w:val="center"/>
          </w:tcPr>
          <w:p w14:paraId="5002A606">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3.51</w:t>
            </w:r>
          </w:p>
        </w:tc>
        <w:tc>
          <w:tcPr>
            <w:tcW w:w="1454" w:type="dxa"/>
            <w:vAlign w:val="center"/>
          </w:tcPr>
          <w:p w14:paraId="4A96A3FE">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3.43</w:t>
            </w:r>
          </w:p>
        </w:tc>
        <w:tc>
          <w:tcPr>
            <w:tcW w:w="1314" w:type="dxa"/>
            <w:vAlign w:val="center"/>
          </w:tcPr>
          <w:p w14:paraId="313E40DB">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3.30</w:t>
            </w:r>
          </w:p>
        </w:tc>
      </w:tr>
    </w:tbl>
    <w:p w14:paraId="539C9712">
      <w:pPr>
        <w:ind w:firstLine="480"/>
        <w:rPr>
          <w:color w:val="000000" w:themeColor="text1"/>
          <w14:textFill>
            <w14:solidFill>
              <w14:schemeClr w14:val="tx1"/>
            </w14:solidFill>
          </w14:textFill>
        </w:rPr>
      </w:pPr>
      <w:r>
        <w:rPr>
          <w:color w:val="000000" w:themeColor="text1"/>
          <w14:textFill>
            <w14:solidFill>
              <w14:schemeClr w14:val="tx1"/>
            </w14:solidFill>
          </w14:textFill>
        </w:rPr>
        <w:t>（4）波浪</w:t>
      </w:r>
    </w:p>
    <w:p w14:paraId="7DBBD319">
      <w:pPr>
        <w:ind w:firstLine="480"/>
        <w:rPr>
          <w:color w:val="000000" w:themeColor="text1"/>
          <w14:textFill>
            <w14:solidFill>
              <w14:schemeClr w14:val="tx1"/>
            </w14:solidFill>
          </w14:textFill>
        </w:rPr>
      </w:pPr>
      <w:r>
        <w:rPr>
          <w:color w:val="000000" w:themeColor="text1"/>
          <w14:textFill>
            <w14:solidFill>
              <w14:schemeClr w14:val="tx1"/>
            </w14:solidFill>
          </w14:textFill>
        </w:rPr>
        <w:t>钦州港位于钦州湾内，水域掩护条件较好，比较平静。据三娘湾海洋站 1991～2002年测波资料统计，本海区波浪以风浪为主，常浪向SSW向、频率占17.67％，其次NNE向、频率为17.2％；强浪向为ESE向，次强浪向为 SSW向和NE向；本海区实测最大波高为3.4m，实测最大周期为6.8s。据统计本区H</w:t>
      </w:r>
      <w:r>
        <w:rPr>
          <w:color w:val="000000" w:themeColor="text1"/>
          <w:vertAlign w:val="subscript"/>
          <w14:textFill>
            <w14:solidFill>
              <w14:schemeClr w14:val="tx1"/>
            </w14:solidFill>
          </w14:textFill>
        </w:rPr>
        <w:t>1/10</w:t>
      </w:r>
      <w:r>
        <w:rPr>
          <w:color w:val="000000" w:themeColor="text1"/>
          <w14:textFill>
            <w14:solidFill>
              <w14:schemeClr w14:val="tx1"/>
            </w14:solidFill>
          </w14:textFill>
        </w:rPr>
        <w:t>小于0.5m发生频率为66.37％，小于1.0m发生频率为96.21％，大于 1.5m波高出现频率仅为 1.1%。</w:t>
      </w:r>
    </w:p>
    <w:p w14:paraId="0309F66E">
      <w:pPr>
        <w:ind w:firstLine="480"/>
        <w:rPr>
          <w:color w:val="000000" w:themeColor="text1"/>
          <w14:textFill>
            <w14:solidFill>
              <w14:schemeClr w14:val="tx1"/>
            </w14:solidFill>
          </w14:textFill>
        </w:rPr>
      </w:pPr>
      <w:r>
        <w:rPr>
          <w:color w:val="000000" w:themeColor="text1"/>
          <w14:textFill>
            <w14:solidFill>
              <w14:schemeClr w14:val="tx1"/>
            </w14:solidFill>
          </w14:textFill>
        </w:rPr>
        <w:t>（5）泥沙</w:t>
      </w:r>
    </w:p>
    <w:p w14:paraId="2D4F7E9F">
      <w:pPr>
        <w:ind w:firstLine="480"/>
        <w:rPr>
          <w:color w:val="000000" w:themeColor="text1"/>
          <w14:textFill>
            <w14:solidFill>
              <w14:schemeClr w14:val="tx1"/>
            </w14:solidFill>
          </w14:textFill>
        </w:rPr>
      </w:pPr>
      <w:r>
        <w:rPr>
          <w:color w:val="000000" w:themeColor="text1"/>
          <w14:textFill>
            <w14:solidFill>
              <w14:schemeClr w14:val="tx1"/>
            </w14:solidFill>
          </w14:textFill>
        </w:rPr>
        <w:t>钦州湾泥沙主要来自北部的茅尾海，而且多以悬移式进入港内。钦州湾海区含沙量较小，平均含沙量仅为0.029kg/m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，实测瞬时最大含沙量出现于夏季，茅尾海内为0.35kg/m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，拦门沙段为0.08kg/m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，而冬季含沙量几乎为零。</w:t>
      </w:r>
    </w:p>
    <w:p w14:paraId="03B10EC3">
      <w:pPr>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（6）盐度和水温</w:t>
      </w:r>
    </w:p>
    <w:p w14:paraId="50F94DF0">
      <w:pPr>
        <w:ind w:firstLine="480"/>
        <w:rPr>
          <w:color w:val="000000" w:themeColor="text1"/>
          <w14:textFill>
            <w14:solidFill>
              <w14:schemeClr w14:val="tx1"/>
            </w14:solidFill>
          </w14:textFill>
        </w:rPr>
      </w:pPr>
      <w:r>
        <w:rPr>
          <w:color w:val="000000" w:themeColor="text1"/>
          <w14:textFill>
            <w14:solidFill>
              <w14:schemeClr w14:val="tx1"/>
            </w14:solidFill>
          </w14:textFill>
        </w:rPr>
        <w:t>钦州湾海域盐度分布规律为河口低、海高，等值线与等深线几乎平行。年平均盐度为1.93%。（龙门）最高为3.23%，最低为2.63%。</w:t>
      </w:r>
    </w:p>
    <w:p w14:paraId="327C9FCD">
      <w:pPr>
        <w:ind w:firstLine="480"/>
        <w:rPr>
          <w:color w:val="000000" w:themeColor="text1"/>
          <w14:textFill>
            <w14:solidFill>
              <w14:schemeClr w14:val="tx1"/>
            </w14:solidFill>
          </w14:textFill>
        </w:rPr>
      </w:pPr>
      <w:r>
        <w:rPr>
          <w:color w:val="000000" w:themeColor="text1"/>
          <w14:textFill>
            <w14:solidFill>
              <w14:schemeClr w14:val="tx1"/>
            </w14:solidFill>
          </w14:textFill>
        </w:rPr>
        <w:t>水温变化特征分为夏季型、冬季型和过渡型三种。夏季沿岸水温高，外海低，冬季水温则是外海高沿岸低；春夏分层稳定，上层高，下层低。水温的升降则以春季和秋季为过渡季节。最高水温32.75℃，平均水温21.90℃。</w:t>
      </w:r>
    </w:p>
    <w:p w14:paraId="7E46E9C9">
      <w:pPr>
        <w:pStyle w:val="4"/>
        <w:rPr>
          <w:color w:val="000000" w:themeColor="text1"/>
          <w14:textFill>
            <w14:solidFill>
              <w14:schemeClr w14:val="tx1"/>
            </w14:solidFill>
          </w14:textFill>
        </w:rPr>
      </w:pPr>
      <w:bookmarkStart w:id="538" w:name="_Toc136878470"/>
      <w:bookmarkStart w:id="539" w:name="_Toc26910007"/>
      <w:bookmarkStart w:id="540" w:name="_Toc216620534"/>
      <w:bookmarkStart w:id="541" w:name="_Toc216103375"/>
      <w:bookmarkStart w:id="542" w:name="_Toc29131821"/>
      <w:bookmarkStart w:id="543" w:name="_Toc135090221"/>
      <w:bookmarkStart w:id="544" w:name="_Toc25436963"/>
      <w:r>
        <w:rPr>
          <w:color w:val="000000" w:themeColor="text1"/>
          <w14:textFill>
            <w14:solidFill>
              <w14:schemeClr w14:val="tx1"/>
            </w14:solidFill>
          </w14:textFill>
        </w:rPr>
        <w:t>海洋生物资源</w:t>
      </w:r>
      <w:bookmarkEnd w:id="538"/>
      <w:bookmarkEnd w:id="539"/>
      <w:bookmarkEnd w:id="540"/>
      <w:bookmarkEnd w:id="541"/>
      <w:bookmarkEnd w:id="542"/>
      <w:bookmarkEnd w:id="543"/>
    </w:p>
    <w:p w14:paraId="6BBB1943">
      <w:pPr>
        <w:ind w:firstLine="480"/>
        <w:rPr>
          <w:color w:val="000000" w:themeColor="text1"/>
          <w14:textFill>
            <w14:solidFill>
              <w14:schemeClr w14:val="tx1"/>
            </w14:solidFill>
          </w14:textFill>
        </w:rPr>
      </w:pPr>
      <w:r>
        <w:rPr>
          <w:color w:val="000000" w:themeColor="text1"/>
          <w14:textFill>
            <w14:solidFill>
              <w14:schemeClr w14:val="tx1"/>
            </w14:solidFill>
          </w14:textFill>
        </w:rPr>
        <w:t>钦州湾主要有钦江、茅岭江注入，生物饵料和营养盐丰富，水温、盐度适中，水质较为洁净，适宜于海洋生物的生长和繁殖，生物种类繁多，资源丰富。据调查2017年海洋生物现状调查，近岸海域浮游植物有36种，浮游动物42种，潮间带生物68种，底栖生物50种，鱼类35种，海区初级生产力相对较高。</w:t>
      </w:r>
    </w:p>
    <w:p w14:paraId="7F83CD07">
      <w:pPr>
        <w:ind w:firstLine="480"/>
        <w:rPr>
          <w:color w:val="000000" w:themeColor="text1"/>
          <w14:textFill>
            <w14:solidFill>
              <w14:schemeClr w14:val="tx1"/>
            </w14:solidFill>
          </w14:textFill>
        </w:rPr>
      </w:pPr>
      <w:r>
        <w:rPr>
          <w:color w:val="000000" w:themeColor="text1"/>
          <w14:textFill>
            <w14:solidFill>
              <w14:schemeClr w14:val="tx1"/>
            </w14:solidFill>
          </w14:textFill>
        </w:rPr>
        <w:t>据调查，钦州市20m水深以内的浅海有虾类35种，蟹类191种，贝类178种，头足类17种，鱼类326种。其中主要捕捞的鱼类有二长棘鲷、圆腹鲱、棕斑兔头鱼、短吻鱼、斑点马鲛、丽叶参、斑鲚、宝刀鱼、鲐鱼、真鲷、白姑鱼、金钱鱼等20余种主要经济鱼类；虾类有须赤虾、刀额新对虾、长中鹰爪虾、日本对虾、长毛对虾、墨吉对虾等10多种经济虾类；还有火枪乌贼、拟目乌贼等3种头足类。此外，近江蛎、文蛤毛蚶、方格星虫、锯缘青蟹和江蓠等主要浅海滩涂经济生物分布广泛，资源最大。钦州市浅海鱼类资源量估计为4200t/a，可捕捞量约为2100t/a。</w:t>
      </w:r>
    </w:p>
    <w:p w14:paraId="6BC65CBC">
      <w:pPr>
        <w:ind w:firstLine="480"/>
        <w:rPr>
          <w:color w:val="000000" w:themeColor="text1"/>
          <w14:textFill>
            <w14:solidFill>
              <w14:schemeClr w14:val="tx1"/>
            </w14:solidFill>
          </w14:textFill>
        </w:rPr>
      </w:pPr>
      <w:r>
        <w:rPr>
          <w:color w:val="000000" w:themeColor="text1"/>
          <w14:textFill>
            <w14:solidFill>
              <w14:schemeClr w14:val="tx1"/>
            </w14:solidFill>
          </w14:textFill>
        </w:rPr>
        <w:t>钦州湾沿海有大小岛屿337个，这些岛屿较为集中连片地分布在茅尾海出海口的亚公山至鹰岭一带，由于海岸滩涂土壤肥沃，盐度适中，比较适宜红树林生长，各岛屿岸边广泛生长着红树林，有红树科的木榄、秋茄；大蕺科的海漆；紫金牛科的桐花树；马鞭草科的白骨壤等。</w:t>
      </w:r>
    </w:p>
    <w:bookmarkEnd w:id="544"/>
    <w:p w14:paraId="125CC6EA">
      <w:pPr>
        <w:pStyle w:val="5"/>
        <w:rPr>
          <w:color w:val="000000" w:themeColor="text1"/>
          <w14:textFill>
            <w14:solidFill>
              <w14:schemeClr w14:val="tx1"/>
            </w14:solidFill>
          </w14:textFill>
        </w:rPr>
      </w:pPr>
      <w:bookmarkStart w:id="545" w:name="_Toc216620535"/>
      <w:bookmarkStart w:id="546" w:name="_Toc66193989"/>
      <w:bookmarkStart w:id="547" w:name="_Toc66194188"/>
      <w:bookmarkStart w:id="548" w:name="_Toc118748556"/>
      <w:r>
        <w:rPr>
          <w:color w:val="000000" w:themeColor="text1"/>
          <w14:textFill>
            <w14:solidFill>
              <w14:schemeClr w14:val="tx1"/>
            </w14:solidFill>
          </w14:textFill>
        </w:rPr>
        <w:t>生态敏感区及珍稀濒危物种调查</w:t>
      </w:r>
      <w:bookmarkEnd w:id="545"/>
      <w:bookmarkEnd w:id="546"/>
      <w:bookmarkEnd w:id="547"/>
      <w:bookmarkEnd w:id="548"/>
    </w:p>
    <w:p w14:paraId="276389DD">
      <w:pPr>
        <w:pStyle w:val="4"/>
        <w:rPr>
          <w:color w:val="000000" w:themeColor="text1"/>
          <w14:textFill>
            <w14:solidFill>
              <w14:schemeClr w14:val="tx1"/>
            </w14:solidFill>
          </w14:textFill>
        </w:rPr>
      </w:pPr>
      <w:bookmarkStart w:id="549" w:name="_Toc216620536"/>
      <w:bookmarkStart w:id="550" w:name="_Toc66193991"/>
      <w:bookmarkStart w:id="551" w:name="_Toc66194190"/>
      <w:bookmarkStart w:id="552" w:name="_Toc216103377"/>
      <w:bookmarkStart w:id="553" w:name="_Toc136878472"/>
      <w:bookmarkStart w:id="554" w:name="_Toc135090223"/>
      <w:r>
        <w:rPr>
          <w:color w:val="000000" w:themeColor="text1"/>
          <w14:textFill>
            <w14:solidFill>
              <w14:schemeClr w14:val="tx1"/>
            </w14:solidFill>
          </w14:textFill>
        </w:rPr>
        <w:t>广西茅尾海红树林自治区级自然保护区</w:t>
      </w:r>
      <w:bookmarkEnd w:id="549"/>
      <w:bookmarkEnd w:id="550"/>
      <w:bookmarkEnd w:id="551"/>
      <w:bookmarkEnd w:id="552"/>
      <w:bookmarkEnd w:id="553"/>
      <w:bookmarkEnd w:id="554"/>
    </w:p>
    <w:p w14:paraId="6A144C38">
      <w:pPr>
        <w:ind w:firstLine="480"/>
        <w:rPr>
          <w:color w:val="000000" w:themeColor="text1"/>
          <w14:textFill>
            <w14:solidFill>
              <w14:schemeClr w14:val="tx1"/>
            </w14:solidFill>
          </w14:textFill>
        </w:rPr>
      </w:pPr>
      <w:r>
        <w:rPr>
          <w:color w:val="000000" w:themeColor="text1"/>
          <w14:textFill>
            <w14:solidFill>
              <w14:schemeClr w14:val="tx1"/>
            </w14:solidFill>
          </w14:textFill>
        </w:rPr>
        <w:t>（一）保护区概况</w:t>
      </w:r>
    </w:p>
    <w:p w14:paraId="37088620">
      <w:pPr>
        <w:ind w:firstLine="480"/>
        <w:rPr>
          <w:color w:val="000000" w:themeColor="text1"/>
          <w14:textFill>
            <w14:solidFill>
              <w14:schemeClr w14:val="tx1"/>
            </w14:solidFill>
          </w14:textFill>
        </w:rPr>
      </w:pPr>
      <w:r>
        <w:rPr>
          <w:color w:val="000000" w:themeColor="text1"/>
          <w14:textFill>
            <w14:solidFill>
              <w14:schemeClr w14:val="tx1"/>
            </w14:solidFill>
          </w14:textFill>
        </w:rPr>
        <w:t>2020年02月，广西壮族自治区人民政府以《广西壮族自治区人民政府关于同意广西茅尾海红树林自治区级自然保护区范围与功能区调整的批复》（桂政函〔2020〕14号）同意调整广西茅尾海红树林自治区级自然保护区范围与功能区。调整后，保护区范围涉及康熙岭片、坚心围片、七十二泾片和大风江片4个片区，地理坐标为东经 108°28′35″—108°54′26″、北纬21°44′13″—21°53′49″。保护区总面积5010.05公顷，其中核心区面积2153.2公顷、缓冲区面积1386.13公顷、实验区面积1470.72公顷。</w:t>
      </w:r>
    </w:p>
    <w:p w14:paraId="18512827">
      <w:pPr>
        <w:ind w:firstLine="480"/>
        <w:rPr>
          <w:color w:val="000000" w:themeColor="text1"/>
          <w14:textFill>
            <w14:solidFill>
              <w14:schemeClr w14:val="tx1"/>
            </w14:solidFill>
          </w14:textFill>
        </w:rPr>
      </w:pPr>
      <w:r>
        <w:rPr>
          <w:color w:val="000000" w:themeColor="text1"/>
          <w14:textFill>
            <w14:solidFill>
              <w14:schemeClr w14:val="tx1"/>
            </w14:solidFill>
          </w14:textFill>
        </w:rPr>
        <w:t>保护区主要红树林植被类型有秋茄林、桐花树林、白骨壤林、海漆林、黄槿林、无瓣海桑林、老鼠簕群。保护区资源十分丰富，目前已知有维管束植物有82 科228 属294 种。其中：蕨类植物9 科10 属13 种，裸子植物1 科1 属2 种，被子植物72 科217 属279 种。没有发现有国家重点保护的野生植物。</w:t>
      </w:r>
    </w:p>
    <w:p w14:paraId="45E35D93">
      <w:pPr>
        <w:ind w:firstLine="480"/>
        <w:rPr>
          <w:color w:val="000000" w:themeColor="text1"/>
          <w14:textFill>
            <w14:solidFill>
              <w14:schemeClr w14:val="tx1"/>
            </w14:solidFill>
          </w14:textFill>
        </w:rPr>
      </w:pPr>
      <w:r>
        <w:rPr>
          <w:color w:val="000000" w:themeColor="text1"/>
          <w14:textFill>
            <w14:solidFill>
              <w14:schemeClr w14:val="tx1"/>
            </w14:solidFill>
          </w14:textFill>
        </w:rPr>
        <w:t>保护区有红树植物13 科17 种，占全国红树植物种类的45.9%，其中真红树植物8 科10 种，半红树植物6 科7 种。在真红树植物中，乡土红树植物6 科7 种，分别为红树科的木榄、秋茄、红海榄；卤蕨科的卤蕨；使君子科的榄李；紫金牛科的桐花树；马鞭草科的白骨壤；大戟科的海漆；爵床科的老鼠簕。引种的红树植物1 科1 种，即海桑科的无瓣海桑。半红树植物为锦葵科的黄槿；夹竹桃科的海芒果；马鞭草科的钝叶臭黄荆和苦榔树、草海桐科的草海桐、蝶形花科的水黄皮和菊科的阔苞菊。</w:t>
      </w:r>
    </w:p>
    <w:p w14:paraId="2483FD4B">
      <w:pPr>
        <w:ind w:firstLine="480"/>
        <w:rPr>
          <w:color w:val="000000" w:themeColor="text1"/>
          <w14:textFill>
            <w14:solidFill>
              <w14:schemeClr w14:val="tx1"/>
            </w14:solidFill>
          </w14:textFill>
        </w:rPr>
      </w:pPr>
      <w:r>
        <w:rPr>
          <w:color w:val="000000" w:themeColor="text1"/>
          <w14:textFill>
            <w14:solidFill>
              <w14:schemeClr w14:val="tx1"/>
            </w14:solidFill>
          </w14:textFill>
        </w:rPr>
        <w:t>保护区有脊椎动物216 种，其中鱼类资源计有11 目39 科87 种；两栖类动物有7 种，隶属于1目5 科5 属；爬行类动物16 种，隶属于1 目7 科15 属；鸟类动物有15 目31 科103种；哺乳动物有3 种，隶属于2 目2 科3 属。</w:t>
      </w:r>
    </w:p>
    <w:p w14:paraId="72C44EA5">
      <w:pPr>
        <w:spacing w:line="336" w:lineRule="auto"/>
        <w:ind w:firstLine="0" w:firstLineChars="0"/>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2414270</wp:posOffset>
                </wp:positionH>
                <wp:positionV relativeFrom="paragraph">
                  <wp:posOffset>2593975</wp:posOffset>
                </wp:positionV>
                <wp:extent cx="977265" cy="291465"/>
                <wp:effectExtent l="0" t="0" r="146685" b="356235"/>
                <wp:wrapNone/>
                <wp:docPr id="3427" name="对话气泡: 矩形 3427"/>
                <wp:cNvGraphicFramePr/>
                <a:graphic xmlns:a="http://schemas.openxmlformats.org/drawingml/2006/main">
                  <a:graphicData uri="http://schemas.microsoft.com/office/word/2010/wordprocessingShape">
                    <wps:wsp>
                      <wps:cNvSpPr>
                        <a:spLocks noChangeArrowheads="1"/>
                      </wps:cNvSpPr>
                      <wps:spPr bwMode="auto">
                        <a:xfrm>
                          <a:off x="0" y="0"/>
                          <a:ext cx="977265" cy="291465"/>
                        </a:xfrm>
                        <a:prstGeom prst="wedgeRectCallout">
                          <a:avLst>
                            <a:gd name="adj1" fmla="val 59014"/>
                            <a:gd name="adj2" fmla="val 155407"/>
                          </a:avLst>
                        </a:prstGeom>
                        <a:solidFill>
                          <a:srgbClr val="FFFFFF"/>
                        </a:solidFill>
                        <a:ln w="9525">
                          <a:solidFill>
                            <a:srgbClr val="000000"/>
                          </a:solidFill>
                          <a:miter lim="800000"/>
                        </a:ln>
                      </wps:spPr>
                      <wps:txbx>
                        <w:txbxContent>
                          <w:p w14:paraId="3FAAA43F">
                            <w:pPr>
                              <w:spacing w:line="240" w:lineRule="atLeast"/>
                              <w:ind w:firstLine="0" w:firstLineChars="0"/>
                              <w:rPr>
                                <w:b/>
                                <w:sz w:val="21"/>
                                <w:szCs w:val="21"/>
                              </w:rPr>
                            </w:pPr>
                            <w:r>
                              <w:rPr>
                                <w:rFonts w:hint="eastAsia"/>
                                <w:b/>
                                <w:sz w:val="21"/>
                                <w:szCs w:val="21"/>
                              </w:rPr>
                              <w:t>七十二泾片</w:t>
                            </w:r>
                          </w:p>
                        </w:txbxContent>
                      </wps:txbx>
                      <wps:bodyPr rot="0" vert="horz" wrap="square" lIns="91440" tIns="45720" rIns="91440" bIns="45720" anchor="t" anchorCtr="0" upright="1">
                        <a:noAutofit/>
                      </wps:bodyPr>
                    </wps:wsp>
                  </a:graphicData>
                </a:graphic>
              </wp:anchor>
            </w:drawing>
          </mc:Choice>
          <mc:Fallback>
            <w:pict>
              <v:shape id="对话气泡: 矩形 3427" o:spid="_x0000_s1026" o:spt="61" type="#_x0000_t61" style="position:absolute;left:0pt;margin-left:190.1pt;margin-top:204.25pt;height:22.95pt;width:76.95pt;z-index:251668480;mso-width-relative:page;mso-height-relative:page;" fillcolor="#FFFFFF" filled="t" stroked="t" coordsize="21600,21600" o:gfxdata="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PJok7LbAAAACwEAAA8AAAAAAAAAAQAgAAAA&#10;IgAAAGRycy9kb3ducmV2LnhtbFBLAQIUABQAAAAIAIdO4kAwninyegIAAOsEAAAOAAAAAAAAAAEA&#10;IAAAACoBAABkcnMvZTJvRG9jLnhtbFBLBQYAAAAABgAGAFkBAAAWBgAAAAA=&#10;" adj="23547,44368">
                <v:fill on="t" focussize="0,0"/>
                <v:stroke color="#000000" miterlimit="8" joinstyle="miter"/>
                <v:imagedata o:title=""/>
                <o:lock v:ext="edit" aspectratio="f"/>
                <v:textbox>
                  <w:txbxContent>
                    <w:p w14:paraId="3FAAA43F">
                      <w:pPr>
                        <w:spacing w:line="240" w:lineRule="atLeast"/>
                        <w:ind w:firstLine="0" w:firstLineChars="0"/>
                        <w:rPr>
                          <w:b/>
                          <w:sz w:val="21"/>
                          <w:szCs w:val="21"/>
                        </w:rPr>
                      </w:pPr>
                      <w:r>
                        <w:rPr>
                          <w:rFonts w:hint="eastAsia"/>
                          <w:b/>
                          <w:sz w:val="21"/>
                          <w:szCs w:val="21"/>
                        </w:rPr>
                        <w:t>七十二泾片</w:t>
                      </w:r>
                    </w:p>
                  </w:txbxContent>
                </v:textbox>
              </v:shape>
            </w:pict>
          </mc:Fallback>
        </mc:AlternateContent>
      </w:r>
      <w:r>
        <w:rPr>
          <w:color w:val="000000" w:themeColor="text1"/>
          <w14:textFill>
            <w14:solidFill>
              <w14:schemeClr w14:val="tx1"/>
            </w14:solidFill>
          </w14:textFill>
        </w:rPr>
        <w:drawing>
          <wp:inline distT="0" distB="0" distL="0" distR="0">
            <wp:extent cx="5274310" cy="3660140"/>
            <wp:effectExtent l="0" t="0" r="254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274310" cy="3660140"/>
                    </a:xfrm>
                    <a:prstGeom prst="rect">
                      <a:avLst/>
                    </a:prstGeom>
                    <a:noFill/>
                    <a:ln>
                      <a:noFill/>
                    </a:ln>
                  </pic:spPr>
                </pic:pic>
              </a:graphicData>
            </a:graphic>
          </wp:inline>
        </w:drawing>
      </w:r>
    </w:p>
    <w:p w14:paraId="0E694069">
      <w:pPr>
        <w:pStyle w:val="8"/>
        <w:rPr>
          <w:color w:val="000000" w:themeColor="text1"/>
          <w14:textFill>
            <w14:solidFill>
              <w14:schemeClr w14:val="tx1"/>
            </w14:solidFill>
          </w14:textFill>
        </w:rPr>
      </w:pPr>
      <w:r>
        <w:rPr>
          <w:color w:val="000000" w:themeColor="text1"/>
          <w14:textFill>
            <w14:solidFill>
              <w14:schemeClr w14:val="tx1"/>
            </w14:solidFill>
          </w14:textFill>
        </w:rPr>
        <w:t>茅尾海红树林自然保护区位置示意图</w:t>
      </w:r>
    </w:p>
    <w:p w14:paraId="49CDC78F">
      <w:pPr>
        <w:ind w:firstLine="480"/>
        <w:rPr>
          <w:color w:val="000000" w:themeColor="text1"/>
          <w14:textFill>
            <w14:solidFill>
              <w14:schemeClr w14:val="tx1"/>
            </w14:solidFill>
          </w14:textFill>
        </w:rPr>
      </w:pPr>
      <w:r>
        <w:rPr>
          <w:color w:val="000000" w:themeColor="text1"/>
          <w14:textFill>
            <w14:solidFill>
              <w14:schemeClr w14:val="tx1"/>
            </w14:solidFill>
          </w14:textFill>
        </w:rPr>
        <w:t>（二）项目与保护区位置关系</w:t>
      </w:r>
    </w:p>
    <w:p w14:paraId="7D1A2BE7">
      <w:pPr>
        <w:ind w:firstLine="480"/>
        <w:rPr>
          <w:color w:val="000000" w:themeColor="text1"/>
          <w14:textFill>
            <w14:solidFill>
              <w14:schemeClr w14:val="tx1"/>
            </w14:solidFill>
          </w14:textFill>
        </w:rPr>
      </w:pPr>
      <w:r>
        <w:rPr>
          <w:color w:val="000000" w:themeColor="text1"/>
          <w14:textFill>
            <w14:solidFill>
              <w14:schemeClr w14:val="tx1"/>
            </w14:solidFill>
          </w14:textFill>
        </w:rPr>
        <w:t>广西茅尾海红树林自治区级自然保护区位于本项目西北面约3.8km处。</w:t>
      </w:r>
    </w:p>
    <w:p w14:paraId="4FF612A9">
      <w:pPr>
        <w:pStyle w:val="4"/>
        <w:rPr>
          <w:color w:val="000000" w:themeColor="text1"/>
          <w14:textFill>
            <w14:solidFill>
              <w14:schemeClr w14:val="tx1"/>
            </w14:solidFill>
          </w14:textFill>
        </w:rPr>
      </w:pPr>
      <w:bookmarkStart w:id="555" w:name="_Toc66193994"/>
      <w:bookmarkStart w:id="556" w:name="_Toc216103378"/>
      <w:bookmarkStart w:id="557" w:name="_Toc216620537"/>
      <w:bookmarkStart w:id="558" w:name="_Toc66194193"/>
      <w:bookmarkStart w:id="559" w:name="_Toc136878473"/>
      <w:bookmarkStart w:id="560" w:name="_Toc135090225"/>
      <w:r>
        <w:rPr>
          <w:color w:val="000000" w:themeColor="text1"/>
          <w14:textFill>
            <w14:solidFill>
              <w14:schemeClr w14:val="tx1"/>
            </w14:solidFill>
          </w14:textFill>
        </w:rPr>
        <w:t>养殖区</w:t>
      </w:r>
      <w:bookmarkEnd w:id="555"/>
      <w:bookmarkEnd w:id="556"/>
      <w:bookmarkEnd w:id="557"/>
      <w:bookmarkEnd w:id="558"/>
      <w:bookmarkEnd w:id="559"/>
      <w:bookmarkEnd w:id="560"/>
    </w:p>
    <w:p w14:paraId="143231B8">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评价范围内涉及《钦州市养殖水域滩涂规划（2019-2030）》中划定的钦州港青菜头南浅海滩涂养殖区。此外，根据现场调查结果，在本项目西面约3.6km外分布有较大面积的规模化蚝排养殖区，主要为沿线渔民集中养殖而形成的大面积养殖区域。</w:t>
      </w:r>
    </w:p>
    <w:p w14:paraId="0FED7EA8">
      <w:pPr>
        <w:pStyle w:val="7"/>
        <w:rPr>
          <w:color w:val="000000" w:themeColor="text1"/>
          <w14:textFill>
            <w14:solidFill>
              <w14:schemeClr w14:val="tx1"/>
            </w14:solidFill>
          </w14:textFill>
        </w:rPr>
      </w:pPr>
      <w:r>
        <w:rPr>
          <w:color w:val="000000" w:themeColor="text1"/>
          <w14:textFill>
            <w14:solidFill>
              <w14:schemeClr w14:val="tx1"/>
            </w14:solidFill>
          </w14:textFill>
        </w:rPr>
        <w:t>项目周边养殖区划分情况及与项目位置关系一览表</w:t>
      </w:r>
    </w:p>
    <w:tbl>
      <w:tblPr>
        <w:tblStyle w:val="43"/>
        <w:tblW w:w="8946" w:type="dxa"/>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772"/>
        <w:gridCol w:w="1290"/>
        <w:gridCol w:w="2460"/>
        <w:gridCol w:w="912"/>
        <w:gridCol w:w="2304"/>
        <w:gridCol w:w="1208"/>
      </w:tblGrid>
      <w:tr w14:paraId="068C436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55" w:hRule="atLeast"/>
          <w:tblHeader/>
        </w:trPr>
        <w:tc>
          <w:tcPr>
            <w:tcW w:w="772" w:type="dxa"/>
            <w:vAlign w:val="center"/>
          </w:tcPr>
          <w:p w14:paraId="24F9D1BC">
            <w:pPr>
              <w:spacing w:line="26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代码</w:t>
            </w:r>
          </w:p>
        </w:tc>
        <w:tc>
          <w:tcPr>
            <w:tcW w:w="1290" w:type="dxa"/>
            <w:vAlign w:val="center"/>
          </w:tcPr>
          <w:p w14:paraId="776DFA64">
            <w:pPr>
              <w:spacing w:line="26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功能区名称</w:t>
            </w:r>
          </w:p>
        </w:tc>
        <w:tc>
          <w:tcPr>
            <w:tcW w:w="2460" w:type="dxa"/>
            <w:vAlign w:val="center"/>
          </w:tcPr>
          <w:p w14:paraId="5C461468">
            <w:pPr>
              <w:spacing w:line="26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地理范围</w:t>
            </w:r>
          </w:p>
        </w:tc>
        <w:tc>
          <w:tcPr>
            <w:tcW w:w="912" w:type="dxa"/>
            <w:vAlign w:val="center"/>
          </w:tcPr>
          <w:p w14:paraId="76BEBAC7">
            <w:pPr>
              <w:spacing w:line="26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面积</w:t>
            </w:r>
          </w:p>
          <w:p w14:paraId="208A7A0C">
            <w:pPr>
              <w:spacing w:line="26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(公顷)</w:t>
            </w:r>
          </w:p>
        </w:tc>
        <w:tc>
          <w:tcPr>
            <w:tcW w:w="2304" w:type="dxa"/>
            <w:vAlign w:val="center"/>
          </w:tcPr>
          <w:p w14:paraId="006BF95F">
            <w:pPr>
              <w:spacing w:line="26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管理要求</w:t>
            </w:r>
          </w:p>
        </w:tc>
        <w:tc>
          <w:tcPr>
            <w:tcW w:w="1208" w:type="dxa"/>
            <w:vAlign w:val="center"/>
          </w:tcPr>
          <w:p w14:paraId="6FEBE956">
            <w:pPr>
              <w:spacing w:line="26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与项目位置关系</w:t>
            </w:r>
          </w:p>
        </w:tc>
      </w:tr>
      <w:tr w14:paraId="15C7900F">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69" w:hRule="atLeast"/>
        </w:trPr>
        <w:tc>
          <w:tcPr>
            <w:tcW w:w="772" w:type="dxa"/>
            <w:vAlign w:val="center"/>
          </w:tcPr>
          <w:p w14:paraId="479F94BA">
            <w:pPr>
              <w:spacing w:line="260" w:lineRule="exact"/>
              <w:ind w:firstLine="0" w:firstLineChars="0"/>
              <w:jc w:val="center"/>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3.1.1-3</w:t>
            </w:r>
          </w:p>
        </w:tc>
        <w:tc>
          <w:tcPr>
            <w:tcW w:w="1290" w:type="dxa"/>
            <w:vAlign w:val="center"/>
          </w:tcPr>
          <w:p w14:paraId="784D0614">
            <w:pPr>
              <w:spacing w:line="26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钦州港青菜头南</w:t>
            </w:r>
            <w:r>
              <w:rPr>
                <w:color w:val="000000" w:themeColor="text1"/>
                <w:spacing w:val="-95"/>
                <w:sz w:val="21"/>
                <w:szCs w:val="21"/>
                <w14:textFill>
                  <w14:solidFill>
                    <w14:schemeClr w14:val="tx1"/>
                  </w14:solidFill>
                </w14:textFill>
              </w:rPr>
              <w:t xml:space="preserve"> </w:t>
            </w:r>
            <w:r>
              <w:rPr>
                <w:color w:val="000000" w:themeColor="text1"/>
                <w:sz w:val="21"/>
                <w:szCs w:val="21"/>
                <w14:textFill>
                  <w14:solidFill>
                    <w14:schemeClr w14:val="tx1"/>
                  </w14:solidFill>
                </w14:textFill>
              </w:rPr>
              <w:t>浅海滩涂养殖区</w:t>
            </w:r>
          </w:p>
        </w:tc>
        <w:tc>
          <w:tcPr>
            <w:tcW w:w="2460" w:type="dxa"/>
            <w:vAlign w:val="center"/>
          </w:tcPr>
          <w:p w14:paraId="393B1C48">
            <w:pPr>
              <w:spacing w:line="26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西航道以东，传统中航道以西，北至青菜头，南至伞沙尾海域</w:t>
            </w:r>
          </w:p>
          <w:p w14:paraId="6182B5AF">
            <w:pPr>
              <w:spacing w:line="26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r>
              <w:rPr>
                <w:rFonts w:eastAsia="Times New Roman"/>
                <w:color w:val="000000" w:themeColor="text1"/>
                <w:sz w:val="21"/>
                <w:szCs w:val="21"/>
                <w14:textFill>
                  <w14:solidFill>
                    <w14:schemeClr w14:val="tx1"/>
                  </w14:solidFill>
                </w14:textFill>
              </w:rPr>
              <w:t>108°35′24″</w:t>
            </w:r>
            <w:r>
              <w:rPr>
                <w:color w:val="000000" w:themeColor="text1"/>
                <w:sz w:val="21"/>
                <w:szCs w:val="21"/>
                <w14:textFill>
                  <w14:solidFill>
                    <w14:schemeClr w14:val="tx1"/>
                  </w14:solidFill>
                </w14:textFill>
              </w:rPr>
              <w:t>；</w:t>
            </w:r>
            <w:r>
              <w:rPr>
                <w:rFonts w:eastAsia="Times New Roman"/>
                <w:color w:val="000000" w:themeColor="text1"/>
                <w:sz w:val="21"/>
                <w:szCs w:val="21"/>
                <w14:textFill>
                  <w14:solidFill>
                    <w14:schemeClr w14:val="tx1"/>
                  </w14:solidFill>
                </w14:textFill>
              </w:rPr>
              <w:t>108°37′56″</w:t>
            </w:r>
            <w:r>
              <w:rPr>
                <w:color w:val="000000" w:themeColor="text1"/>
                <w:sz w:val="21"/>
                <w:szCs w:val="21"/>
                <w14:textFill>
                  <w14:solidFill>
                    <w14:schemeClr w14:val="tx1"/>
                  </w14:solidFill>
                </w14:textFill>
              </w:rPr>
              <w:t>；</w:t>
            </w:r>
            <w:r>
              <w:rPr>
                <w:rFonts w:eastAsia="Times New Roman"/>
                <w:color w:val="000000" w:themeColor="text1"/>
                <w:sz w:val="21"/>
                <w:szCs w:val="21"/>
                <w14:textFill>
                  <w14:solidFill>
                    <w14:schemeClr w14:val="tx1"/>
                  </w14:solidFill>
                </w14:textFill>
              </w:rPr>
              <w:t>21°34′09″</w:t>
            </w:r>
            <w:r>
              <w:rPr>
                <w:color w:val="000000" w:themeColor="text1"/>
                <w:sz w:val="21"/>
                <w:szCs w:val="21"/>
                <w14:textFill>
                  <w14:solidFill>
                    <w14:schemeClr w14:val="tx1"/>
                  </w14:solidFill>
                </w14:textFill>
              </w:rPr>
              <w:t>；</w:t>
            </w:r>
            <w:r>
              <w:rPr>
                <w:rFonts w:eastAsia="Times New Roman"/>
                <w:color w:val="000000" w:themeColor="text1"/>
                <w:sz w:val="21"/>
                <w:szCs w:val="21"/>
                <w14:textFill>
                  <w14:solidFill>
                    <w14:schemeClr w14:val="tx1"/>
                  </w14:solidFill>
                </w14:textFill>
              </w:rPr>
              <w:t>21°40′32″</w:t>
            </w:r>
            <w:r>
              <w:rPr>
                <w:color w:val="000000" w:themeColor="text1"/>
                <w:sz w:val="21"/>
                <w:szCs w:val="21"/>
                <w14:textFill>
                  <w14:solidFill>
                    <w14:schemeClr w14:val="tx1"/>
                  </w14:solidFill>
                </w14:textFill>
              </w:rPr>
              <w:t>）</w:t>
            </w:r>
          </w:p>
        </w:tc>
        <w:tc>
          <w:tcPr>
            <w:tcW w:w="912" w:type="dxa"/>
            <w:vAlign w:val="center"/>
          </w:tcPr>
          <w:p w14:paraId="2494765E">
            <w:pPr>
              <w:spacing w:line="260" w:lineRule="exact"/>
              <w:ind w:firstLine="0" w:firstLineChars="0"/>
              <w:jc w:val="center"/>
              <w:rPr>
                <w:rFonts w:eastAsia="Times New Roman"/>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3649</w:t>
            </w:r>
          </w:p>
        </w:tc>
        <w:tc>
          <w:tcPr>
            <w:tcW w:w="2304" w:type="dxa"/>
            <w:vAlign w:val="center"/>
          </w:tcPr>
          <w:p w14:paraId="6F466A6A">
            <w:pPr>
              <w:spacing w:line="260" w:lineRule="exact"/>
              <w:ind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贝类（大蚝）浮筏吊养殖。海水水质执</w:t>
            </w:r>
            <w:r>
              <w:rPr>
                <w:color w:val="000000" w:themeColor="text1"/>
                <w:spacing w:val="-71"/>
                <w:sz w:val="21"/>
                <w:szCs w:val="21"/>
                <w14:textFill>
                  <w14:solidFill>
                    <w14:schemeClr w14:val="tx1"/>
                  </w14:solidFill>
                </w14:textFill>
              </w:rPr>
              <w:t xml:space="preserve"> </w:t>
            </w:r>
            <w:r>
              <w:rPr>
                <w:color w:val="000000" w:themeColor="text1"/>
                <w:spacing w:val="2"/>
                <w:sz w:val="21"/>
                <w:szCs w:val="21"/>
                <w14:textFill>
                  <w14:solidFill>
                    <w14:schemeClr w14:val="tx1"/>
                  </w14:solidFill>
                </w14:textFill>
              </w:rPr>
              <w:t>行不劣于二类标准，海洋沉积物和海洋</w:t>
            </w:r>
            <w:r>
              <w:rPr>
                <w:color w:val="000000" w:themeColor="text1"/>
                <w:spacing w:val="-70"/>
                <w:sz w:val="21"/>
                <w:szCs w:val="21"/>
                <w14:textFill>
                  <w14:solidFill>
                    <w14:schemeClr w14:val="tx1"/>
                  </w14:solidFill>
                </w14:textFill>
              </w:rPr>
              <w:t xml:space="preserve"> </w:t>
            </w:r>
            <w:r>
              <w:rPr>
                <w:color w:val="000000" w:themeColor="text1"/>
                <w:sz w:val="21"/>
                <w:szCs w:val="21"/>
                <w14:textFill>
                  <w14:solidFill>
                    <w14:schemeClr w14:val="tx1"/>
                  </w14:solidFill>
                </w14:textFill>
              </w:rPr>
              <w:t>生物执行一类标准。</w:t>
            </w:r>
          </w:p>
        </w:tc>
        <w:tc>
          <w:tcPr>
            <w:tcW w:w="1208" w:type="dxa"/>
            <w:vAlign w:val="center"/>
          </w:tcPr>
          <w:p w14:paraId="5653D4BF">
            <w:pPr>
              <w:spacing w:line="260" w:lineRule="exact"/>
              <w:ind w:firstLine="0" w:firstLineChars="0"/>
              <w:jc w:val="center"/>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S,5.9km</w:t>
            </w:r>
          </w:p>
        </w:tc>
      </w:tr>
      <w:tr w14:paraId="0466A81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69" w:hRule="atLeast"/>
        </w:trPr>
        <w:tc>
          <w:tcPr>
            <w:tcW w:w="772" w:type="dxa"/>
            <w:vAlign w:val="center"/>
          </w:tcPr>
          <w:p w14:paraId="35E6E07C">
            <w:pPr>
              <w:spacing w:line="260" w:lineRule="exact"/>
              <w:ind w:firstLine="0" w:firstLineChars="0"/>
              <w:jc w:val="center"/>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w:t>
            </w:r>
          </w:p>
        </w:tc>
        <w:tc>
          <w:tcPr>
            <w:tcW w:w="1290" w:type="dxa"/>
            <w:vAlign w:val="center"/>
          </w:tcPr>
          <w:p w14:paraId="03042F65">
            <w:pPr>
              <w:spacing w:line="26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460" w:type="dxa"/>
            <w:vAlign w:val="center"/>
          </w:tcPr>
          <w:p w14:paraId="1F398FD3">
            <w:pPr>
              <w:spacing w:line="26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茅尾海湾口海域</w:t>
            </w:r>
          </w:p>
        </w:tc>
        <w:tc>
          <w:tcPr>
            <w:tcW w:w="912" w:type="dxa"/>
            <w:vAlign w:val="center"/>
          </w:tcPr>
          <w:p w14:paraId="00989D3D">
            <w:pPr>
              <w:spacing w:line="26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304" w:type="dxa"/>
            <w:vAlign w:val="center"/>
          </w:tcPr>
          <w:p w14:paraId="15752D03">
            <w:pPr>
              <w:spacing w:line="260" w:lineRule="exact"/>
              <w:ind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主要位于茅尾海渔业用海区，海水水质执</w:t>
            </w:r>
            <w:r>
              <w:rPr>
                <w:color w:val="000000" w:themeColor="text1"/>
                <w:spacing w:val="-71"/>
                <w:sz w:val="21"/>
                <w:szCs w:val="21"/>
                <w14:textFill>
                  <w14:solidFill>
                    <w14:schemeClr w14:val="tx1"/>
                  </w14:solidFill>
                </w14:textFill>
              </w:rPr>
              <w:t xml:space="preserve"> </w:t>
            </w:r>
            <w:r>
              <w:rPr>
                <w:color w:val="000000" w:themeColor="text1"/>
                <w:spacing w:val="2"/>
                <w:sz w:val="21"/>
                <w:szCs w:val="21"/>
                <w14:textFill>
                  <w14:solidFill>
                    <w14:schemeClr w14:val="tx1"/>
                  </w14:solidFill>
                </w14:textFill>
              </w:rPr>
              <w:t>行不劣于二类标准，海洋沉积物和海洋</w:t>
            </w:r>
            <w:r>
              <w:rPr>
                <w:color w:val="000000" w:themeColor="text1"/>
                <w:spacing w:val="-70"/>
                <w:sz w:val="21"/>
                <w:szCs w:val="21"/>
                <w14:textFill>
                  <w14:solidFill>
                    <w14:schemeClr w14:val="tx1"/>
                  </w14:solidFill>
                </w14:textFill>
              </w:rPr>
              <w:t xml:space="preserve"> </w:t>
            </w:r>
            <w:r>
              <w:rPr>
                <w:color w:val="000000" w:themeColor="text1"/>
                <w:sz w:val="21"/>
                <w:szCs w:val="21"/>
                <w14:textFill>
                  <w14:solidFill>
                    <w14:schemeClr w14:val="tx1"/>
                  </w14:solidFill>
                </w14:textFill>
              </w:rPr>
              <w:t>生物执行一类标准。</w:t>
            </w:r>
          </w:p>
        </w:tc>
        <w:tc>
          <w:tcPr>
            <w:tcW w:w="1208" w:type="dxa"/>
            <w:vAlign w:val="center"/>
          </w:tcPr>
          <w:p w14:paraId="44787581">
            <w:pPr>
              <w:spacing w:line="260" w:lineRule="exact"/>
              <w:ind w:firstLine="0" w:firstLineChars="0"/>
              <w:jc w:val="center"/>
              <w:rPr>
                <w:snapToGrid w:val="0"/>
                <w:color w:val="000000" w:themeColor="text1"/>
                <w:sz w:val="21"/>
                <w:szCs w:val="21"/>
                <w14:textFill>
                  <w14:solidFill>
                    <w14:schemeClr w14:val="tx1"/>
                  </w14:solidFill>
                </w14:textFill>
              </w:rPr>
            </w:pPr>
            <w:r>
              <w:rPr>
                <w:snapToGrid w:val="0"/>
                <w:color w:val="000000" w:themeColor="text1"/>
                <w:sz w:val="21"/>
                <w:szCs w:val="21"/>
                <w:u w:val="single"/>
                <w14:textFill>
                  <w14:solidFill>
                    <w14:schemeClr w14:val="tx1"/>
                  </w14:solidFill>
                </w14:textFill>
              </w:rPr>
              <w:t>W</w:t>
            </w:r>
            <w:r>
              <w:rPr>
                <w:snapToGrid w:val="0"/>
                <w:color w:val="000000" w:themeColor="text1"/>
                <w:sz w:val="21"/>
                <w:szCs w:val="21"/>
                <w14:textFill>
                  <w14:solidFill>
                    <w14:schemeClr w14:val="tx1"/>
                  </w14:solidFill>
                </w14:textFill>
              </w:rPr>
              <w:t>，3.6km</w:t>
            </w:r>
          </w:p>
        </w:tc>
      </w:tr>
    </w:tbl>
    <w:p w14:paraId="359F5B8E">
      <w:pPr>
        <w:pStyle w:val="4"/>
        <w:rPr>
          <w:color w:val="000000" w:themeColor="text1"/>
          <w14:textFill>
            <w14:solidFill>
              <w14:schemeClr w14:val="tx1"/>
            </w14:solidFill>
          </w14:textFill>
        </w:rPr>
      </w:pPr>
      <w:bookmarkStart w:id="561" w:name="_Toc66194194"/>
      <w:bookmarkStart w:id="562" w:name="_Toc135090226"/>
      <w:bookmarkStart w:id="563" w:name="_Toc216103379"/>
      <w:bookmarkStart w:id="564" w:name="_Toc66193995"/>
      <w:bookmarkStart w:id="565" w:name="_Toc136878474"/>
      <w:bookmarkStart w:id="566" w:name="_Toc216620538"/>
      <w:r>
        <w:rPr>
          <w:color w:val="000000" w:themeColor="text1"/>
          <w14:textFill>
            <w14:solidFill>
              <w14:schemeClr w14:val="tx1"/>
            </w14:solidFill>
          </w14:textFill>
        </w:rPr>
        <w:t>红树林</w:t>
      </w:r>
      <w:bookmarkEnd w:id="561"/>
      <w:bookmarkEnd w:id="562"/>
      <w:bookmarkEnd w:id="563"/>
      <w:bookmarkEnd w:id="564"/>
      <w:bookmarkEnd w:id="565"/>
      <w:bookmarkEnd w:id="566"/>
    </w:p>
    <w:p w14:paraId="0A1E2E5F">
      <w:pPr>
        <w:ind w:firstLine="480"/>
        <w:rPr>
          <w:color w:val="000000" w:themeColor="text1"/>
          <w14:textFill>
            <w14:solidFill>
              <w14:schemeClr w14:val="tx1"/>
            </w14:solidFill>
          </w14:textFill>
        </w:rPr>
      </w:pPr>
      <w:r>
        <w:rPr>
          <w:color w:val="000000" w:themeColor="text1"/>
          <w14:textFill>
            <w14:solidFill>
              <w14:schemeClr w14:val="tx1"/>
            </w14:solidFill>
          </w14:textFill>
        </w:rPr>
        <w:t>红树林是位于热带、亚热带海陆交错带的常绿阔叶林，是河口海岸生态系统中最重要的初级生产者。广西红树林海岸是广西海岸中重要的生物海岸类型，在全国也占有重要的位置，其基本特征是在潮间带上部生长着称为红树林的耐盐常绿乔木或灌木。</w:t>
      </w:r>
    </w:p>
    <w:p w14:paraId="41850D55">
      <w:pPr>
        <w:ind w:firstLine="480"/>
        <w:rPr>
          <w:color w:val="000000" w:themeColor="text1"/>
          <w14:textFill>
            <w14:solidFill>
              <w14:schemeClr w14:val="tx1"/>
            </w14:solidFill>
          </w14:textFill>
        </w:rPr>
      </w:pPr>
    </w:p>
    <w:p w14:paraId="18AD7AD4">
      <w:pPr>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1、钦州海岸带红树林分布状况调查</w:t>
      </w:r>
    </w:p>
    <w:p w14:paraId="3EB48433">
      <w:pPr>
        <w:ind w:firstLine="480"/>
        <w:rPr>
          <w:color w:val="000000" w:themeColor="text1"/>
          <w14:textFill>
            <w14:solidFill>
              <w14:schemeClr w14:val="tx1"/>
            </w14:solidFill>
          </w14:textFill>
        </w:rPr>
      </w:pPr>
      <w:r>
        <w:rPr>
          <w:color w:val="000000" w:themeColor="text1"/>
          <w14:textFill>
            <w14:solidFill>
              <w14:schemeClr w14:val="tx1"/>
            </w14:solidFill>
          </w14:textFill>
        </w:rPr>
        <w:t>根据自治区林业局于2019年的调查结果，目前，钦州市红树林面积3078.74hm²，斑块1259个，占广西全区红树林面积（8309.19hm²）的37%，分布于茅尾海、七十二泾、金鼓江、钦州湾及大风江，全部属于钦南区。</w:t>
      </w:r>
    </w:p>
    <w:p w14:paraId="101AC45F">
      <w:pPr>
        <w:ind w:firstLine="480"/>
        <w:rPr>
          <w:color w:val="000000" w:themeColor="text1"/>
          <w14:textFill>
            <w14:solidFill>
              <w14:schemeClr w14:val="tx1"/>
            </w14:solidFill>
          </w14:textFill>
        </w:rPr>
      </w:pPr>
      <w:r>
        <w:rPr>
          <w:color w:val="000000" w:themeColor="text1"/>
          <w14:textFill>
            <w14:solidFill>
              <w14:schemeClr w14:val="tx1"/>
            </w14:solidFill>
          </w14:textFill>
        </w:rPr>
        <w:t>目前，钦州沿海大部分成片红树林已经划为保护区，钦州湾内以红树林生态系统为主要保护对象的自然保护区有1个，为广西茅尾海红树林自治区级自然保护区。</w:t>
      </w:r>
    </w:p>
    <w:p w14:paraId="28E9EA2F">
      <w:pPr>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2、钦州沿海红树林群落分布状况</w:t>
      </w:r>
    </w:p>
    <w:p w14:paraId="1AA3A1F0">
      <w:pPr>
        <w:ind w:firstLine="480"/>
        <w:rPr>
          <w:color w:val="000000" w:themeColor="text1"/>
          <w14:textFill>
            <w14:solidFill>
              <w14:schemeClr w14:val="tx1"/>
            </w14:solidFill>
          </w14:textFill>
        </w:rPr>
      </w:pPr>
      <w:r>
        <w:rPr>
          <w:color w:val="000000" w:themeColor="text1"/>
          <w14:textFill>
            <w14:solidFill>
              <w14:schemeClr w14:val="tx1"/>
            </w14:solidFill>
          </w14:textFill>
        </w:rPr>
        <w:t>广西沿海红树植物主要群系有木榄林、秋茄林、红海榄林、海漆林、桐花树林、白骨壤林。对钦州市沿海红树林群落分布类型、群系统计结果见下表。</w:t>
      </w:r>
    </w:p>
    <w:p w14:paraId="529BD4C5">
      <w:pPr>
        <w:pStyle w:val="7"/>
        <w:rPr>
          <w:color w:val="000000" w:themeColor="text1"/>
          <w14:textFill>
            <w14:solidFill>
              <w14:schemeClr w14:val="tx1"/>
            </w14:solidFill>
          </w14:textFill>
        </w:rPr>
      </w:pPr>
      <w:r>
        <w:rPr>
          <w:color w:val="000000" w:themeColor="text1"/>
          <w14:textFill>
            <w14:solidFill>
              <w14:schemeClr w14:val="tx1"/>
            </w14:solidFill>
          </w14:textFill>
        </w:rPr>
        <w:t>钦州近岸海域红树林群落分布一览表</w:t>
      </w:r>
    </w:p>
    <w:tbl>
      <w:tblPr>
        <w:tblStyle w:val="43"/>
        <w:tblW w:w="8845"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666"/>
        <w:gridCol w:w="1285"/>
        <w:gridCol w:w="1418"/>
        <w:gridCol w:w="1000"/>
        <w:gridCol w:w="1134"/>
        <w:gridCol w:w="1276"/>
        <w:gridCol w:w="1000"/>
        <w:gridCol w:w="1066"/>
      </w:tblGrid>
      <w:tr w14:paraId="47C32080">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restart"/>
            <w:vAlign w:val="center"/>
          </w:tcPr>
          <w:p w14:paraId="6755177B">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地市</w:t>
            </w:r>
          </w:p>
        </w:tc>
        <w:tc>
          <w:tcPr>
            <w:tcW w:w="1285" w:type="dxa"/>
            <w:vMerge w:val="restart"/>
            <w:vAlign w:val="center"/>
          </w:tcPr>
          <w:p w14:paraId="3A0DB925">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港湾区域</w:t>
            </w:r>
          </w:p>
        </w:tc>
        <w:tc>
          <w:tcPr>
            <w:tcW w:w="3552" w:type="dxa"/>
            <w:gridSpan w:val="3"/>
            <w:vAlign w:val="center"/>
          </w:tcPr>
          <w:p w14:paraId="4C7391D8">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主要群落类型</w:t>
            </w:r>
          </w:p>
        </w:tc>
        <w:tc>
          <w:tcPr>
            <w:tcW w:w="3342" w:type="dxa"/>
            <w:gridSpan w:val="3"/>
            <w:vAlign w:val="center"/>
          </w:tcPr>
          <w:p w14:paraId="6E34E20A">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主要群系</w:t>
            </w:r>
          </w:p>
        </w:tc>
      </w:tr>
      <w:tr w14:paraId="6F48CCA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continue"/>
            <w:vAlign w:val="center"/>
          </w:tcPr>
          <w:p w14:paraId="7CE53128">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p>
        </w:tc>
        <w:tc>
          <w:tcPr>
            <w:tcW w:w="1285" w:type="dxa"/>
            <w:vMerge w:val="continue"/>
            <w:vAlign w:val="center"/>
          </w:tcPr>
          <w:p w14:paraId="0027AC41">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p>
        </w:tc>
        <w:tc>
          <w:tcPr>
            <w:tcW w:w="1418" w:type="dxa"/>
            <w:vAlign w:val="center"/>
          </w:tcPr>
          <w:p w14:paraId="34105349">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群落类型</w:t>
            </w:r>
          </w:p>
        </w:tc>
        <w:tc>
          <w:tcPr>
            <w:tcW w:w="1000" w:type="dxa"/>
            <w:vAlign w:val="center"/>
          </w:tcPr>
          <w:p w14:paraId="59BF5A39">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面积（hm</w:t>
            </w:r>
            <w:r>
              <w:rPr>
                <w:b/>
                <w:bCs/>
                <w:snapToGrid w:val="0"/>
                <w:color w:val="000000" w:themeColor="text1"/>
                <w:kern w:val="0"/>
                <w:sz w:val="21"/>
                <w:szCs w:val="21"/>
                <w:vertAlign w:val="superscript"/>
                <w14:textFill>
                  <w14:solidFill>
                    <w14:schemeClr w14:val="tx1"/>
                  </w14:solidFill>
                </w14:textFill>
              </w:rPr>
              <w:t>2</w:t>
            </w:r>
            <w:r>
              <w:rPr>
                <w:b/>
                <w:bCs/>
                <w:snapToGrid w:val="0"/>
                <w:color w:val="000000" w:themeColor="text1"/>
                <w:kern w:val="0"/>
                <w:sz w:val="21"/>
                <w:szCs w:val="21"/>
                <w14:textFill>
                  <w14:solidFill>
                    <w14:schemeClr w14:val="tx1"/>
                  </w14:solidFill>
                </w14:textFill>
              </w:rPr>
              <w:t>）</w:t>
            </w:r>
          </w:p>
        </w:tc>
        <w:tc>
          <w:tcPr>
            <w:tcW w:w="1134" w:type="dxa"/>
            <w:vAlign w:val="center"/>
          </w:tcPr>
          <w:p w14:paraId="43D5B273">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占所在港湾红树林面积比例</w:t>
            </w:r>
          </w:p>
        </w:tc>
        <w:tc>
          <w:tcPr>
            <w:tcW w:w="1276" w:type="dxa"/>
            <w:vAlign w:val="center"/>
          </w:tcPr>
          <w:p w14:paraId="4A71D6EF">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群系类型</w:t>
            </w:r>
          </w:p>
        </w:tc>
        <w:tc>
          <w:tcPr>
            <w:tcW w:w="1000" w:type="dxa"/>
            <w:vAlign w:val="center"/>
          </w:tcPr>
          <w:p w14:paraId="034FB563">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面积（hm</w:t>
            </w:r>
            <w:r>
              <w:rPr>
                <w:b/>
                <w:bCs/>
                <w:snapToGrid w:val="0"/>
                <w:color w:val="000000" w:themeColor="text1"/>
                <w:kern w:val="0"/>
                <w:sz w:val="21"/>
                <w:szCs w:val="21"/>
                <w:vertAlign w:val="superscript"/>
                <w14:textFill>
                  <w14:solidFill>
                    <w14:schemeClr w14:val="tx1"/>
                  </w14:solidFill>
                </w14:textFill>
              </w:rPr>
              <w:t>2</w:t>
            </w:r>
            <w:r>
              <w:rPr>
                <w:b/>
                <w:bCs/>
                <w:snapToGrid w:val="0"/>
                <w:color w:val="000000" w:themeColor="text1"/>
                <w:kern w:val="0"/>
                <w:sz w:val="21"/>
                <w:szCs w:val="21"/>
                <w14:textFill>
                  <w14:solidFill>
                    <w14:schemeClr w14:val="tx1"/>
                  </w14:solidFill>
                </w14:textFill>
              </w:rPr>
              <w:t>）</w:t>
            </w:r>
          </w:p>
        </w:tc>
        <w:tc>
          <w:tcPr>
            <w:tcW w:w="1066" w:type="dxa"/>
            <w:vAlign w:val="center"/>
          </w:tcPr>
          <w:p w14:paraId="22BB3CC2">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占所在港湾红树林面积比例</w:t>
            </w:r>
          </w:p>
        </w:tc>
      </w:tr>
      <w:tr w14:paraId="14D1755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restart"/>
            <w:vAlign w:val="center"/>
          </w:tcPr>
          <w:p w14:paraId="4B7AD41C">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钦州市</w:t>
            </w:r>
          </w:p>
        </w:tc>
        <w:tc>
          <w:tcPr>
            <w:tcW w:w="1285" w:type="dxa"/>
            <w:vMerge w:val="restart"/>
            <w:vAlign w:val="center"/>
          </w:tcPr>
          <w:p w14:paraId="08457643">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茅尾海</w:t>
            </w:r>
          </w:p>
        </w:tc>
        <w:tc>
          <w:tcPr>
            <w:tcW w:w="1418" w:type="dxa"/>
            <w:vAlign w:val="center"/>
          </w:tcPr>
          <w:p w14:paraId="3A70C174">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桐花树群落</w:t>
            </w:r>
          </w:p>
        </w:tc>
        <w:tc>
          <w:tcPr>
            <w:tcW w:w="1000" w:type="dxa"/>
            <w:vAlign w:val="center"/>
          </w:tcPr>
          <w:p w14:paraId="544E0AA7">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743.70</w:t>
            </w:r>
          </w:p>
        </w:tc>
        <w:tc>
          <w:tcPr>
            <w:tcW w:w="1134" w:type="dxa"/>
            <w:vAlign w:val="center"/>
          </w:tcPr>
          <w:p w14:paraId="64969E9E">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61.08%</w:t>
            </w:r>
          </w:p>
        </w:tc>
        <w:tc>
          <w:tcPr>
            <w:tcW w:w="1276" w:type="dxa"/>
            <w:vAlign w:val="center"/>
          </w:tcPr>
          <w:p w14:paraId="302A9127">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桐花树群系</w:t>
            </w:r>
          </w:p>
        </w:tc>
        <w:tc>
          <w:tcPr>
            <w:tcW w:w="1000" w:type="dxa"/>
            <w:vAlign w:val="center"/>
          </w:tcPr>
          <w:p w14:paraId="47EC79B3">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886.52</w:t>
            </w:r>
          </w:p>
        </w:tc>
        <w:tc>
          <w:tcPr>
            <w:tcW w:w="1066" w:type="dxa"/>
            <w:vAlign w:val="center"/>
          </w:tcPr>
          <w:p w14:paraId="3CA9B029">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72.81%</w:t>
            </w:r>
          </w:p>
        </w:tc>
      </w:tr>
      <w:tr w14:paraId="31EA319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continue"/>
            <w:vAlign w:val="center"/>
          </w:tcPr>
          <w:p w14:paraId="795BC0C2">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1285" w:type="dxa"/>
            <w:vMerge w:val="continue"/>
            <w:vAlign w:val="center"/>
          </w:tcPr>
          <w:p w14:paraId="5F07FE2E">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1418" w:type="dxa"/>
            <w:vAlign w:val="center"/>
          </w:tcPr>
          <w:p w14:paraId="500C4F43">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无瓣海桑-桐花树群落</w:t>
            </w:r>
          </w:p>
        </w:tc>
        <w:tc>
          <w:tcPr>
            <w:tcW w:w="1000" w:type="dxa"/>
            <w:vAlign w:val="center"/>
          </w:tcPr>
          <w:p w14:paraId="03FD7050">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137.78</w:t>
            </w:r>
          </w:p>
        </w:tc>
        <w:tc>
          <w:tcPr>
            <w:tcW w:w="1134" w:type="dxa"/>
            <w:vAlign w:val="center"/>
          </w:tcPr>
          <w:p w14:paraId="46318A55">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11.31%</w:t>
            </w:r>
          </w:p>
        </w:tc>
        <w:tc>
          <w:tcPr>
            <w:tcW w:w="1276" w:type="dxa"/>
            <w:vAlign w:val="center"/>
          </w:tcPr>
          <w:p w14:paraId="290C3731">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w:t>
            </w:r>
          </w:p>
        </w:tc>
        <w:tc>
          <w:tcPr>
            <w:tcW w:w="1000" w:type="dxa"/>
            <w:vAlign w:val="center"/>
          </w:tcPr>
          <w:p w14:paraId="471D8BFB">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w:t>
            </w:r>
          </w:p>
        </w:tc>
        <w:tc>
          <w:tcPr>
            <w:tcW w:w="1066" w:type="dxa"/>
            <w:vAlign w:val="center"/>
          </w:tcPr>
          <w:p w14:paraId="5E6FE125">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w:t>
            </w:r>
          </w:p>
        </w:tc>
      </w:tr>
      <w:tr w14:paraId="717BC9C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continue"/>
            <w:vAlign w:val="center"/>
          </w:tcPr>
          <w:p w14:paraId="68A75349">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1285" w:type="dxa"/>
            <w:vMerge w:val="restart"/>
            <w:vAlign w:val="center"/>
          </w:tcPr>
          <w:p w14:paraId="1557D49E">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七十二泾</w:t>
            </w:r>
          </w:p>
        </w:tc>
        <w:tc>
          <w:tcPr>
            <w:tcW w:w="1418" w:type="dxa"/>
            <w:vAlign w:val="center"/>
          </w:tcPr>
          <w:p w14:paraId="3B28467D">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白骨壤群落</w:t>
            </w:r>
          </w:p>
        </w:tc>
        <w:tc>
          <w:tcPr>
            <w:tcW w:w="1000" w:type="dxa"/>
            <w:vAlign w:val="center"/>
          </w:tcPr>
          <w:p w14:paraId="304E3DE7">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171.08</w:t>
            </w:r>
          </w:p>
        </w:tc>
        <w:tc>
          <w:tcPr>
            <w:tcW w:w="1134" w:type="dxa"/>
            <w:vAlign w:val="center"/>
          </w:tcPr>
          <w:p w14:paraId="6B2FA83A">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60.18%</w:t>
            </w:r>
          </w:p>
        </w:tc>
        <w:tc>
          <w:tcPr>
            <w:tcW w:w="1276" w:type="dxa"/>
            <w:vAlign w:val="center"/>
          </w:tcPr>
          <w:p w14:paraId="2C40D78E">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白骨壤群系</w:t>
            </w:r>
          </w:p>
        </w:tc>
        <w:tc>
          <w:tcPr>
            <w:tcW w:w="1000" w:type="dxa"/>
            <w:vAlign w:val="center"/>
          </w:tcPr>
          <w:p w14:paraId="071DA762">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228.13</w:t>
            </w:r>
          </w:p>
        </w:tc>
        <w:tc>
          <w:tcPr>
            <w:tcW w:w="1066" w:type="dxa"/>
            <w:vAlign w:val="center"/>
          </w:tcPr>
          <w:p w14:paraId="1DA93A87">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80.25%</w:t>
            </w:r>
          </w:p>
        </w:tc>
      </w:tr>
      <w:tr w14:paraId="4DC6DBF1">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continue"/>
            <w:vAlign w:val="center"/>
          </w:tcPr>
          <w:p w14:paraId="692708C2">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1285" w:type="dxa"/>
            <w:vMerge w:val="continue"/>
            <w:vAlign w:val="center"/>
          </w:tcPr>
          <w:p w14:paraId="738CD7EA">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1418" w:type="dxa"/>
            <w:vAlign w:val="center"/>
          </w:tcPr>
          <w:p w14:paraId="5E322C75">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白骨壤+桐花树群落</w:t>
            </w:r>
          </w:p>
        </w:tc>
        <w:tc>
          <w:tcPr>
            <w:tcW w:w="1000" w:type="dxa"/>
            <w:vAlign w:val="center"/>
          </w:tcPr>
          <w:p w14:paraId="2E45DD96">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57.05</w:t>
            </w:r>
          </w:p>
        </w:tc>
        <w:tc>
          <w:tcPr>
            <w:tcW w:w="1134" w:type="dxa"/>
            <w:vAlign w:val="center"/>
          </w:tcPr>
          <w:p w14:paraId="0CFC6BA1">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20.07%</w:t>
            </w:r>
          </w:p>
        </w:tc>
        <w:tc>
          <w:tcPr>
            <w:tcW w:w="1276" w:type="dxa"/>
            <w:vAlign w:val="center"/>
          </w:tcPr>
          <w:p w14:paraId="07C4B3CE">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w:t>
            </w:r>
          </w:p>
        </w:tc>
        <w:tc>
          <w:tcPr>
            <w:tcW w:w="1000" w:type="dxa"/>
            <w:vAlign w:val="center"/>
          </w:tcPr>
          <w:p w14:paraId="193DB4B1">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w:t>
            </w:r>
          </w:p>
        </w:tc>
        <w:tc>
          <w:tcPr>
            <w:tcW w:w="1066" w:type="dxa"/>
            <w:vAlign w:val="center"/>
          </w:tcPr>
          <w:p w14:paraId="2394A158">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w:t>
            </w:r>
          </w:p>
        </w:tc>
      </w:tr>
      <w:tr w14:paraId="17C45A2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continue"/>
            <w:vAlign w:val="center"/>
          </w:tcPr>
          <w:p w14:paraId="784B64D9">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1285" w:type="dxa"/>
            <w:vAlign w:val="center"/>
          </w:tcPr>
          <w:p w14:paraId="61555170">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金鼓江</w:t>
            </w:r>
          </w:p>
        </w:tc>
        <w:tc>
          <w:tcPr>
            <w:tcW w:w="1418" w:type="dxa"/>
            <w:vAlign w:val="center"/>
          </w:tcPr>
          <w:p w14:paraId="54C4F60D">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白骨壤群落</w:t>
            </w:r>
          </w:p>
        </w:tc>
        <w:tc>
          <w:tcPr>
            <w:tcW w:w="1000" w:type="dxa"/>
            <w:vAlign w:val="center"/>
          </w:tcPr>
          <w:p w14:paraId="13A6EC7A">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126.99</w:t>
            </w:r>
          </w:p>
        </w:tc>
        <w:tc>
          <w:tcPr>
            <w:tcW w:w="1134" w:type="dxa"/>
            <w:vAlign w:val="center"/>
          </w:tcPr>
          <w:p w14:paraId="1A74FFA1">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92.42%</w:t>
            </w:r>
          </w:p>
        </w:tc>
        <w:tc>
          <w:tcPr>
            <w:tcW w:w="1276" w:type="dxa"/>
            <w:vAlign w:val="center"/>
          </w:tcPr>
          <w:p w14:paraId="3B9952E3">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白骨壤群系</w:t>
            </w:r>
          </w:p>
        </w:tc>
        <w:tc>
          <w:tcPr>
            <w:tcW w:w="1000" w:type="dxa"/>
            <w:vAlign w:val="center"/>
          </w:tcPr>
          <w:p w14:paraId="050094A6">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129.31</w:t>
            </w:r>
          </w:p>
        </w:tc>
        <w:tc>
          <w:tcPr>
            <w:tcW w:w="1066" w:type="dxa"/>
            <w:vAlign w:val="center"/>
          </w:tcPr>
          <w:p w14:paraId="48FC52F1">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94.11%</w:t>
            </w:r>
          </w:p>
        </w:tc>
      </w:tr>
      <w:tr w14:paraId="714F297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continue"/>
            <w:vAlign w:val="center"/>
          </w:tcPr>
          <w:p w14:paraId="4BF12B01">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1285" w:type="dxa"/>
            <w:vAlign w:val="center"/>
          </w:tcPr>
          <w:p w14:paraId="0A535FDE">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钦州湾</w:t>
            </w:r>
          </w:p>
        </w:tc>
        <w:tc>
          <w:tcPr>
            <w:tcW w:w="1418" w:type="dxa"/>
            <w:vAlign w:val="center"/>
          </w:tcPr>
          <w:p w14:paraId="6905DCE3">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白骨壤群落</w:t>
            </w:r>
          </w:p>
        </w:tc>
        <w:tc>
          <w:tcPr>
            <w:tcW w:w="1000" w:type="dxa"/>
            <w:vAlign w:val="center"/>
          </w:tcPr>
          <w:p w14:paraId="01C9AD77">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205.02</w:t>
            </w:r>
          </w:p>
        </w:tc>
        <w:tc>
          <w:tcPr>
            <w:tcW w:w="1134" w:type="dxa"/>
            <w:vAlign w:val="center"/>
          </w:tcPr>
          <w:p w14:paraId="32319E04">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91.41%</w:t>
            </w:r>
          </w:p>
        </w:tc>
        <w:tc>
          <w:tcPr>
            <w:tcW w:w="1276" w:type="dxa"/>
            <w:vAlign w:val="center"/>
          </w:tcPr>
          <w:p w14:paraId="3AC93B68">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白骨壤群系</w:t>
            </w:r>
          </w:p>
        </w:tc>
        <w:tc>
          <w:tcPr>
            <w:tcW w:w="1000" w:type="dxa"/>
            <w:vAlign w:val="center"/>
          </w:tcPr>
          <w:p w14:paraId="044B36AF">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224.28</w:t>
            </w:r>
          </w:p>
        </w:tc>
        <w:tc>
          <w:tcPr>
            <w:tcW w:w="1066" w:type="dxa"/>
            <w:vAlign w:val="center"/>
          </w:tcPr>
          <w:p w14:paraId="6CC8CA92">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100%</w:t>
            </w:r>
          </w:p>
        </w:tc>
      </w:tr>
      <w:tr w14:paraId="2FCFCB3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continue"/>
            <w:vAlign w:val="center"/>
          </w:tcPr>
          <w:p w14:paraId="2F1F652F">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1285" w:type="dxa"/>
            <w:vMerge w:val="restart"/>
            <w:vAlign w:val="center"/>
          </w:tcPr>
          <w:p w14:paraId="1FD4A21D">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大风江</w:t>
            </w:r>
          </w:p>
        </w:tc>
        <w:tc>
          <w:tcPr>
            <w:tcW w:w="1418" w:type="dxa"/>
            <w:vAlign w:val="center"/>
          </w:tcPr>
          <w:p w14:paraId="0A134075">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桐花树群落</w:t>
            </w:r>
          </w:p>
        </w:tc>
        <w:tc>
          <w:tcPr>
            <w:tcW w:w="1000" w:type="dxa"/>
            <w:vAlign w:val="center"/>
          </w:tcPr>
          <w:p w14:paraId="3E9646F7">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326.89</w:t>
            </w:r>
          </w:p>
        </w:tc>
        <w:tc>
          <w:tcPr>
            <w:tcW w:w="1134" w:type="dxa"/>
            <w:vAlign w:val="center"/>
          </w:tcPr>
          <w:p w14:paraId="24246CBC">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50.64%</w:t>
            </w:r>
          </w:p>
        </w:tc>
        <w:tc>
          <w:tcPr>
            <w:tcW w:w="1276" w:type="dxa"/>
            <w:vAlign w:val="center"/>
          </w:tcPr>
          <w:p w14:paraId="0EE273FD">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桐花树群系</w:t>
            </w:r>
          </w:p>
        </w:tc>
        <w:tc>
          <w:tcPr>
            <w:tcW w:w="1000" w:type="dxa"/>
            <w:vAlign w:val="center"/>
          </w:tcPr>
          <w:p w14:paraId="101DA546">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326.89</w:t>
            </w:r>
          </w:p>
        </w:tc>
        <w:tc>
          <w:tcPr>
            <w:tcW w:w="1066" w:type="dxa"/>
            <w:vAlign w:val="center"/>
          </w:tcPr>
          <w:p w14:paraId="5966A84C">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50.64%</w:t>
            </w:r>
          </w:p>
        </w:tc>
      </w:tr>
      <w:tr w14:paraId="22B7CA1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continue"/>
            <w:vAlign w:val="center"/>
          </w:tcPr>
          <w:p w14:paraId="4D8FC084">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1285" w:type="dxa"/>
            <w:vMerge w:val="continue"/>
            <w:vAlign w:val="center"/>
          </w:tcPr>
          <w:p w14:paraId="01F96458">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1418" w:type="dxa"/>
            <w:vAlign w:val="center"/>
          </w:tcPr>
          <w:p w14:paraId="019DE949">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白骨壤群落</w:t>
            </w:r>
          </w:p>
        </w:tc>
        <w:tc>
          <w:tcPr>
            <w:tcW w:w="1000" w:type="dxa"/>
            <w:vAlign w:val="center"/>
          </w:tcPr>
          <w:p w14:paraId="08FB8D4B">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318.65</w:t>
            </w:r>
          </w:p>
        </w:tc>
        <w:tc>
          <w:tcPr>
            <w:tcW w:w="1134" w:type="dxa"/>
            <w:vAlign w:val="center"/>
          </w:tcPr>
          <w:p w14:paraId="41234EB2">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49.36%</w:t>
            </w:r>
          </w:p>
        </w:tc>
        <w:tc>
          <w:tcPr>
            <w:tcW w:w="1276" w:type="dxa"/>
            <w:vAlign w:val="center"/>
          </w:tcPr>
          <w:p w14:paraId="72A56256">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白骨壤群系</w:t>
            </w:r>
          </w:p>
        </w:tc>
        <w:tc>
          <w:tcPr>
            <w:tcW w:w="1000" w:type="dxa"/>
            <w:vAlign w:val="center"/>
          </w:tcPr>
          <w:p w14:paraId="29E7080E">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318.65</w:t>
            </w:r>
          </w:p>
        </w:tc>
        <w:tc>
          <w:tcPr>
            <w:tcW w:w="1066" w:type="dxa"/>
            <w:vAlign w:val="center"/>
          </w:tcPr>
          <w:p w14:paraId="1E53E1DF">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49.36%</w:t>
            </w:r>
          </w:p>
        </w:tc>
      </w:tr>
    </w:tbl>
    <w:p w14:paraId="4972E45E">
      <w:pPr>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3、项目与红树林斑块关系调查</w:t>
      </w:r>
    </w:p>
    <w:p w14:paraId="2D9F6DDE">
      <w:pPr>
        <w:ind w:firstLine="480"/>
        <w:rPr>
          <w:color w:val="000000" w:themeColor="text1"/>
          <w14:textFill>
            <w14:solidFill>
              <w14:schemeClr w14:val="tx1"/>
            </w14:solidFill>
          </w14:textFill>
        </w:rPr>
      </w:pPr>
      <w:r>
        <w:rPr>
          <w:color w:val="000000" w:themeColor="text1"/>
          <w14:textFill>
            <w14:solidFill>
              <w14:schemeClr w14:val="tx1"/>
            </w14:solidFill>
          </w14:textFill>
        </w:rPr>
        <w:t>项目选址区及周边邻近海域无红树林分布，距项目较近的红树林集中分布斑块为项目北面约3.8km外的金鼓江红树林集中分布斑块。</w:t>
      </w:r>
    </w:p>
    <w:p w14:paraId="157BAA0B">
      <w:pPr>
        <w:spacing w:line="240" w:lineRule="auto"/>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2348865</wp:posOffset>
                </wp:positionH>
                <wp:positionV relativeFrom="paragraph">
                  <wp:posOffset>2526665</wp:posOffset>
                </wp:positionV>
                <wp:extent cx="769620" cy="266700"/>
                <wp:effectExtent l="0" t="685800" r="11430" b="19050"/>
                <wp:wrapNone/>
                <wp:docPr id="3267" name="对话气泡: 矩形 3267"/>
                <wp:cNvGraphicFramePr/>
                <a:graphic xmlns:a="http://schemas.openxmlformats.org/drawingml/2006/main">
                  <a:graphicData uri="http://schemas.microsoft.com/office/word/2010/wordprocessingShape">
                    <wps:wsp>
                      <wps:cNvSpPr>
                        <a:spLocks noChangeArrowheads="1"/>
                      </wps:cNvSpPr>
                      <wps:spPr bwMode="auto">
                        <a:xfrm>
                          <a:off x="0" y="0"/>
                          <a:ext cx="769620" cy="266700"/>
                        </a:xfrm>
                        <a:prstGeom prst="wedgeRectCallout">
                          <a:avLst>
                            <a:gd name="adj1" fmla="val 28134"/>
                            <a:gd name="adj2" fmla="val -290236"/>
                          </a:avLst>
                        </a:prstGeom>
                        <a:solidFill>
                          <a:srgbClr val="FFFFFF"/>
                        </a:solidFill>
                        <a:ln w="12700" algn="ctr">
                          <a:solidFill>
                            <a:srgbClr val="000000"/>
                          </a:solidFill>
                          <a:miter lim="800000"/>
                        </a:ln>
                      </wps:spPr>
                      <wps:txbx>
                        <w:txbxContent>
                          <w:p w14:paraId="075EB095">
                            <w:pPr>
                              <w:spacing w:line="240" w:lineRule="atLeast"/>
                              <w:ind w:firstLine="0" w:firstLineChars="0"/>
                              <w:jc w:val="center"/>
                            </w:pPr>
                            <w:r>
                              <w:rPr>
                                <w:rFonts w:hint="eastAsia"/>
                                <w:color w:val="000000"/>
                                <w:sz w:val="21"/>
                                <w:szCs w:val="21"/>
                              </w:rPr>
                              <w:t>项目选址</w:t>
                            </w:r>
                          </w:p>
                        </w:txbxContent>
                      </wps:txbx>
                      <wps:bodyPr rot="0" vert="horz" wrap="square" lIns="91440" tIns="45720" rIns="91440" bIns="45720" anchor="ctr" anchorCtr="0" upright="1">
                        <a:noAutofit/>
                      </wps:bodyPr>
                    </wps:wsp>
                  </a:graphicData>
                </a:graphic>
              </wp:anchor>
            </w:drawing>
          </mc:Choice>
          <mc:Fallback>
            <w:pict>
              <v:shape id="对话气泡: 矩形 3267" o:spid="_x0000_s1026" o:spt="61" type="#_x0000_t61" style="position:absolute;left:0pt;margin-left:184.95pt;margin-top:198.95pt;height:21pt;width:60.6pt;z-index:251676672;v-text-anchor:middle;mso-width-relative:page;mso-height-relative:page;" fillcolor="#FFFFFF" filled="t" stroked="t" coordsize="21600,21600" o:gfxdata="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NCrDuPXAAAACwEAAA8AAAAAAAAAAQAg&#10;AAAAIgAAAGRycy9kb3ducmV2LnhtbFBLAQIUABQAAAAIAIdO4kC2k6S7gQIAAPoEAAAOAAAAAAAA&#10;AAEAIAAAACYBAABkcnMvZTJvRG9jLnhtbFBLBQYAAAAABgAGAFkBAAAZBgAAAAA=&#10;" adj="16877,-51891">
                <v:fill on="t" focussize="0,0"/>
                <v:stroke weight="1pt" color="#000000" miterlimit="8" joinstyle="miter"/>
                <v:imagedata o:title=""/>
                <o:lock v:ext="edit" aspectratio="f"/>
                <v:textbox>
                  <w:txbxContent>
                    <w:p w14:paraId="075EB095">
                      <w:pPr>
                        <w:spacing w:line="240" w:lineRule="atLeast"/>
                        <w:ind w:firstLine="0" w:firstLineChars="0"/>
                        <w:jc w:val="center"/>
                      </w:pPr>
                      <w:r>
                        <w:rPr>
                          <w:rFonts w:hint="eastAsia"/>
                          <w:color w:val="000000"/>
                          <w:sz w:val="21"/>
                          <w:szCs w:val="21"/>
                        </w:rPr>
                        <w:t>项目选址</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2875280</wp:posOffset>
                </wp:positionH>
                <wp:positionV relativeFrom="paragraph">
                  <wp:posOffset>1762760</wp:posOffset>
                </wp:positionV>
                <wp:extent cx="152400" cy="140970"/>
                <wp:effectExtent l="27305" t="20955" r="20320" b="19050"/>
                <wp:wrapNone/>
                <wp:docPr id="3266" name="任意多边形: 形状 3266"/>
                <wp:cNvGraphicFramePr/>
                <a:graphic xmlns:a="http://schemas.openxmlformats.org/drawingml/2006/main">
                  <a:graphicData uri="http://schemas.microsoft.com/office/word/2010/wordprocessingShape">
                    <wps:wsp>
                      <wps:cNvSpPr/>
                      <wps:spPr bwMode="auto">
                        <a:xfrm>
                          <a:off x="0" y="0"/>
                          <a:ext cx="152400" cy="140970"/>
                        </a:xfrm>
                        <a:custGeom>
                          <a:avLst/>
                          <a:gdLst>
                            <a:gd name="T0" fmla="*/ 0 w 152400"/>
                            <a:gd name="T1" fmla="*/ 53846 h 140970"/>
                            <a:gd name="T2" fmla="*/ 58212 w 152400"/>
                            <a:gd name="T3" fmla="*/ 53846 h 140970"/>
                            <a:gd name="T4" fmla="*/ 76200 w 152400"/>
                            <a:gd name="T5" fmla="*/ 0 h 140970"/>
                            <a:gd name="T6" fmla="*/ 94188 w 152400"/>
                            <a:gd name="T7" fmla="*/ 53846 h 140970"/>
                            <a:gd name="T8" fmla="*/ 152400 w 152400"/>
                            <a:gd name="T9" fmla="*/ 53846 h 140970"/>
                            <a:gd name="T10" fmla="*/ 105305 w 152400"/>
                            <a:gd name="T11" fmla="*/ 87124 h 140970"/>
                            <a:gd name="T12" fmla="*/ 123294 w 152400"/>
                            <a:gd name="T13" fmla="*/ 140970 h 140970"/>
                            <a:gd name="T14" fmla="*/ 76200 w 152400"/>
                            <a:gd name="T15" fmla="*/ 107691 h 140970"/>
                            <a:gd name="T16" fmla="*/ 29106 w 152400"/>
                            <a:gd name="T17" fmla="*/ 140970 h 140970"/>
                            <a:gd name="T18" fmla="*/ 47095 w 152400"/>
                            <a:gd name="T19" fmla="*/ 87124 h 140970"/>
                            <a:gd name="T20" fmla="*/ 0 w 152400"/>
                            <a:gd name="T21" fmla="*/ 53846 h 14097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52400" h="140970">
                              <a:moveTo>
                                <a:pt x="0" y="53846"/>
                              </a:moveTo>
                              <a:lnTo>
                                <a:pt x="58212" y="53846"/>
                              </a:lnTo>
                              <a:lnTo>
                                <a:pt x="76200" y="0"/>
                              </a:lnTo>
                              <a:lnTo>
                                <a:pt x="94188" y="53846"/>
                              </a:lnTo>
                              <a:lnTo>
                                <a:pt x="152400" y="53846"/>
                              </a:lnTo>
                              <a:lnTo>
                                <a:pt x="105305" y="87124"/>
                              </a:lnTo>
                              <a:lnTo>
                                <a:pt x="123294" y="140970"/>
                              </a:lnTo>
                              <a:lnTo>
                                <a:pt x="76200" y="107691"/>
                              </a:lnTo>
                              <a:lnTo>
                                <a:pt x="29106" y="140970"/>
                              </a:lnTo>
                              <a:lnTo>
                                <a:pt x="47095" y="87124"/>
                              </a:lnTo>
                              <a:lnTo>
                                <a:pt x="0" y="53846"/>
                              </a:lnTo>
                              <a:close/>
                            </a:path>
                          </a:pathLst>
                        </a:custGeom>
                        <a:solidFill>
                          <a:srgbClr val="FF0000"/>
                        </a:solidFill>
                        <a:ln w="6350" cap="flat" cmpd="sng" algn="ctr">
                          <a:solidFill>
                            <a:srgbClr val="000000"/>
                          </a:solidFill>
                          <a:prstDash val="solid"/>
                          <a:miter lim="800000"/>
                        </a:ln>
                      </wps:spPr>
                      <wps:bodyPr rot="0" vert="horz" wrap="square" lIns="91440" tIns="45720" rIns="91440" bIns="45720" anchor="ctr" anchorCtr="0" upright="1">
                        <a:noAutofit/>
                      </wps:bodyPr>
                    </wps:wsp>
                  </a:graphicData>
                </a:graphic>
              </wp:anchor>
            </w:drawing>
          </mc:Choice>
          <mc:Fallback>
            <w:pict>
              <v:shape id="任意多边形: 形状 3266" o:spid="_x0000_s1026" o:spt="100" style="position:absolute;left:0pt;margin-left:226.4pt;margin-top:138.8pt;height:11.1pt;width:12pt;z-index:251675648;v-text-anchor:middle;mso-width-relative:page;mso-height-relative:page;" fillcolor="#FF0000" filled="t" stroked="t" coordsize="152400,140970" o:gfxdata="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" path="m0,53846l58212,53846,76200,0,94188,53846,152400,53846,105305,87124,123294,140970,76200,107691,29106,140970,47095,87124,0,53846xe">
                <v:path o:connectlocs="0,53846;58212,53846;76200,0;94188,53846;152400,53846;105305,87124;123294,140970;76200,107691;29106,140970;47095,87124;0,53846" o:connectangles="0,0,0,0,0,0,0,0,0,0,0"/>
                <v:fill on="t" focussize="0,0"/>
                <v:stroke weight="0.5pt" color="#000000" miterlimit="8" joinstyle="miter"/>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1309370</wp:posOffset>
                </wp:positionH>
                <wp:positionV relativeFrom="paragraph">
                  <wp:posOffset>1081405</wp:posOffset>
                </wp:positionV>
                <wp:extent cx="1287780" cy="369570"/>
                <wp:effectExtent l="13970" t="338455" r="50800" b="15875"/>
                <wp:wrapNone/>
                <wp:docPr id="3265" name="对话气泡: 矩形 3265"/>
                <wp:cNvGraphicFramePr/>
                <a:graphic xmlns:a="http://schemas.openxmlformats.org/drawingml/2006/main">
                  <a:graphicData uri="http://schemas.microsoft.com/office/word/2010/wordprocessingShape">
                    <wps:wsp>
                      <wps:cNvSpPr/>
                      <wps:spPr bwMode="auto">
                        <a:xfrm>
                          <a:off x="0" y="0"/>
                          <a:ext cx="1287780" cy="369570"/>
                        </a:xfrm>
                        <a:prstGeom prst="wedgeRectCallout">
                          <a:avLst>
                            <a:gd name="adj1" fmla="val 51097"/>
                            <a:gd name="adj2" fmla="val -131940"/>
                          </a:avLst>
                        </a:prstGeom>
                        <a:solidFill>
                          <a:srgbClr val="6D6D6D"/>
                        </a:solidFill>
                        <a:ln w="12700" algn="ctr">
                          <a:solidFill>
                            <a:srgbClr val="FF0000"/>
                          </a:solidFill>
                          <a:miter lim="800000"/>
                        </a:ln>
                      </wps:spPr>
                      <wps:txbx>
                        <w:txbxContent>
                          <w:p w14:paraId="2EAAFEE6">
                            <w:pPr>
                              <w:spacing w:line="220" w:lineRule="exact"/>
                              <w:ind w:firstLine="0" w:firstLineChars="0"/>
                              <w:jc w:val="center"/>
                            </w:pPr>
                            <w:r>
                              <w:rPr>
                                <w:rFonts w:hint="eastAsia"/>
                                <w:color w:val="000000"/>
                                <w:sz w:val="21"/>
                                <w:szCs w:val="21"/>
                              </w:rPr>
                              <w:t>金鼓江红树林集中分布斑块</w:t>
                            </w:r>
                          </w:p>
                        </w:txbxContent>
                      </wps:txbx>
                      <wps:bodyPr rot="0" vert="horz" wrap="square" lIns="91440" tIns="45720" rIns="91440" bIns="45720" anchor="ctr" anchorCtr="0" upright="1">
                        <a:noAutofit/>
                      </wps:bodyPr>
                    </wps:wsp>
                  </a:graphicData>
                </a:graphic>
              </wp:anchor>
            </w:drawing>
          </mc:Choice>
          <mc:Fallback>
            <w:pict>
              <v:shape id="对话气泡: 矩形 3265" o:spid="_x0000_s1026" o:spt="61" type="#_x0000_t61" style="position:absolute;left:0pt;margin-left:103.1pt;margin-top:85.15pt;height:29.1pt;width:101.4pt;z-index:251671552;v-text-anchor:middle;mso-width-relative:page;mso-height-relative:page;" fillcolor="#6D6D6D" filled="t" stroked="t" coordsize="21600,21600" o:gfxdata="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n5RgL2gAAAAsBAAAPAAAAAAAAAAEAIAAAACIAAABkcnMvZG93&#10;bnJldi54bWxQSwECFAAUAAAACACHTuJAJXCP9nACAADLBAAADgAAAAAAAAABACAAAAApAQAAZHJz&#10;L2Uyb0RvYy54bWxQSwUGAAAAAAYABgBZAQAACwYAAAAA&#10;" adj="21837,-17699">
                <v:fill on="t" focussize="0,0"/>
                <v:stroke weight="1pt" color="#FF0000" miterlimit="8" joinstyle="miter"/>
                <v:imagedata o:title=""/>
                <o:lock v:ext="edit" aspectratio="f"/>
                <v:textbox>
                  <w:txbxContent>
                    <w:p w14:paraId="2EAAFEE6">
                      <w:pPr>
                        <w:spacing w:line="220" w:lineRule="exact"/>
                        <w:ind w:firstLine="0" w:firstLineChars="0"/>
                        <w:jc w:val="center"/>
                      </w:pPr>
                      <w:r>
                        <w:rPr>
                          <w:rFonts w:hint="eastAsia"/>
                          <w:color w:val="000000"/>
                          <w:sz w:val="21"/>
                          <w:szCs w:val="21"/>
                        </w:rPr>
                        <w:t>金鼓江红树林集中分布斑块</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2650490</wp:posOffset>
                </wp:positionH>
                <wp:positionV relativeFrom="paragraph">
                  <wp:posOffset>19685</wp:posOffset>
                </wp:positionV>
                <wp:extent cx="982980" cy="1291590"/>
                <wp:effectExtent l="38100" t="0" r="45720" b="3810"/>
                <wp:wrapNone/>
                <wp:docPr id="3264" name="椭圆 3264"/>
                <wp:cNvGraphicFramePr/>
                <a:graphic xmlns:a="http://schemas.openxmlformats.org/drawingml/2006/main">
                  <a:graphicData uri="http://schemas.microsoft.com/office/word/2010/wordprocessingShape">
                    <wps:wsp>
                      <wps:cNvSpPr/>
                      <wps:spPr>
                        <a:xfrm rot="1303281">
                          <a:off x="0" y="0"/>
                          <a:ext cx="982980" cy="1291590"/>
                        </a:xfrm>
                        <a:prstGeom prst="ellipse">
                          <a:avLst/>
                        </a:prstGeom>
                        <a:noFill/>
                        <a:ln w="19050"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08.7pt;margin-top:1.55pt;height:101.7pt;width:77.4pt;rotation:1423530f;z-index:251670528;v-text-anchor:middle;mso-width-relative:page;mso-height-relative:page;" filled="f" stroked="t" coordsize="21600,21600" o:gfxdata="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2vIe7tUAAAAJAQAADwAAAAAAAAABACAA&#10;AAAiAAAAZHJzL2Rvd25yZXYueG1sUEsBAhQAFAAAAAgAh07iQDZw8vmCAgAA7wQAAA4AAAAAAAAA&#10;AQAgAAAAJAEAAGRycy9lMm9Eb2MueG1sUEsFBgAAAAAGAAYAWQEAABgGAAAAAA==&#10;">
                <v:fill on="f" focussize="0,0"/>
                <v:stroke weight="1.5pt" color="#FF0000" miterlimit="8" joinstyle="miter" dashstyle="dash"/>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966470</wp:posOffset>
                </wp:positionH>
                <wp:positionV relativeFrom="paragraph">
                  <wp:posOffset>3855085</wp:posOffset>
                </wp:positionV>
                <wp:extent cx="1287780" cy="369570"/>
                <wp:effectExtent l="13970" t="578485" r="12700" b="13970"/>
                <wp:wrapNone/>
                <wp:docPr id="159" name="对话气泡: 矩形 159"/>
                <wp:cNvGraphicFramePr/>
                <a:graphic xmlns:a="http://schemas.openxmlformats.org/drawingml/2006/main">
                  <a:graphicData uri="http://schemas.microsoft.com/office/word/2010/wordprocessingShape">
                    <wps:wsp>
                      <wps:cNvSpPr/>
                      <wps:spPr bwMode="auto">
                        <a:xfrm>
                          <a:off x="0" y="0"/>
                          <a:ext cx="1287780" cy="369570"/>
                        </a:xfrm>
                        <a:prstGeom prst="wedgeRectCallout">
                          <a:avLst>
                            <a:gd name="adj1" fmla="val -12806"/>
                            <a:gd name="adj2" fmla="val -197921"/>
                          </a:avLst>
                        </a:prstGeom>
                        <a:solidFill>
                          <a:srgbClr val="6D6D6D"/>
                        </a:solidFill>
                        <a:ln w="12700" algn="ctr">
                          <a:solidFill>
                            <a:srgbClr val="FF0000"/>
                          </a:solidFill>
                          <a:miter lim="800000"/>
                        </a:ln>
                      </wps:spPr>
                      <wps:txbx>
                        <w:txbxContent>
                          <w:p w14:paraId="5B76419A">
                            <w:pPr>
                              <w:spacing w:line="220" w:lineRule="exact"/>
                              <w:ind w:firstLine="0" w:firstLineChars="0"/>
                              <w:jc w:val="center"/>
                            </w:pPr>
                            <w:r>
                              <w:rPr>
                                <w:rFonts w:hint="eastAsia"/>
                                <w:color w:val="000000"/>
                                <w:sz w:val="21"/>
                                <w:szCs w:val="21"/>
                              </w:rPr>
                              <w:t>茅尾海西岸红树林集中分布斑块</w:t>
                            </w:r>
                          </w:p>
                        </w:txbxContent>
                      </wps:txbx>
                      <wps:bodyPr rot="0" vert="horz" wrap="square" lIns="91440" tIns="45720" rIns="91440" bIns="45720" anchor="ctr" anchorCtr="0" upright="1">
                        <a:noAutofit/>
                      </wps:bodyPr>
                    </wps:wsp>
                  </a:graphicData>
                </a:graphic>
              </wp:anchor>
            </w:drawing>
          </mc:Choice>
          <mc:Fallback>
            <w:pict>
              <v:shape id="对话气泡: 矩形 159" o:spid="_x0000_s1026" o:spt="61" type="#_x0000_t61" style="position:absolute;left:0pt;margin-left:76.1pt;margin-top:303.55pt;height:29.1pt;width:101.4pt;z-index:251669504;v-text-anchor:middle;mso-width-relative:page;mso-height-relative:page;" fillcolor="#6D6D6D" filled="t" stroked="t" coordsize="21600,21600" o:gfxdata="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2m1aX9kAAAALAQAADwAAAAAAAAABACAAAAAiAAAAZHJzL2Rvd25y&#10;ZXYueG1sUEsBAhQAFAAAAAgAh07iQLHgEIdvAgAAygQAAA4AAAAAAAAAAQAgAAAAKAEAAGRycy9l&#10;Mm9Eb2MueG1sUEsFBgAAAAAGAAYAWQEAAAkGAAAAAA==&#10;" adj="8034,-31951">
                <v:fill on="t" focussize="0,0"/>
                <v:stroke weight="1pt" color="#FF0000" miterlimit="8" joinstyle="miter"/>
                <v:imagedata o:title=""/>
                <o:lock v:ext="edit" aspectratio="f"/>
                <v:textbox>
                  <w:txbxContent>
                    <w:p w14:paraId="5B76419A">
                      <w:pPr>
                        <w:spacing w:line="220" w:lineRule="exact"/>
                        <w:ind w:firstLine="0" w:firstLineChars="0"/>
                        <w:jc w:val="center"/>
                      </w:pPr>
                      <w:r>
                        <w:rPr>
                          <w:rFonts w:hint="eastAsia"/>
                          <w:color w:val="000000"/>
                          <w:sz w:val="21"/>
                          <w:szCs w:val="21"/>
                        </w:rPr>
                        <w:t>茅尾海西岸红树林集中分布斑块</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631190</wp:posOffset>
                </wp:positionH>
                <wp:positionV relativeFrom="paragraph">
                  <wp:posOffset>1904365</wp:posOffset>
                </wp:positionV>
                <wp:extent cx="1112520" cy="1470660"/>
                <wp:effectExtent l="0" t="0" r="11430" b="15240"/>
                <wp:wrapNone/>
                <wp:docPr id="3282" name="椭圆 3282"/>
                <wp:cNvGraphicFramePr/>
                <a:graphic xmlns:a="http://schemas.openxmlformats.org/drawingml/2006/main">
                  <a:graphicData uri="http://schemas.microsoft.com/office/word/2010/wordprocessingShape">
                    <wps:wsp>
                      <wps:cNvSpPr/>
                      <wps:spPr>
                        <a:xfrm>
                          <a:off x="0" y="0"/>
                          <a:ext cx="1112520" cy="1470660"/>
                        </a:xfrm>
                        <a:prstGeom prst="ellipse">
                          <a:avLst/>
                        </a:prstGeom>
                        <a:noFill/>
                        <a:ln w="19050"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9.7pt;margin-top:149.95pt;height:115.8pt;width:87.6pt;z-index:251674624;v-text-anchor:middle;mso-width-relative:page;mso-height-relative:page;" filled="f" stroked="t" coordsize="21600,21600" o:gfxdata="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MgabCzbAAAACgEAAA8AAAAAAAAAAQAgAAAAIgAA&#10;AGRycy9kb3ducmV2LnhtbFBLAQIUABQAAAAIAIdO4kAjR2ZNdwIAAOIEAAAOAAAAAAAAAAEAIAAA&#10;ACoBAABkcnMvZTJvRG9jLnhtbFBLBQYAAAAABgAGAFkBAAATBgAAAAA=&#10;">
                <v:fill on="f" focussize="0,0"/>
                <v:stroke weight="1.5pt" color="#FF0000" miterlimit="8" joinstyle="miter" dashstyle="dash"/>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3435350</wp:posOffset>
                </wp:positionH>
                <wp:positionV relativeFrom="paragraph">
                  <wp:posOffset>845185</wp:posOffset>
                </wp:positionV>
                <wp:extent cx="1287780" cy="369570"/>
                <wp:effectExtent l="6350" t="6985" r="10795" b="261620"/>
                <wp:wrapNone/>
                <wp:docPr id="158" name="对话气泡: 矩形 158"/>
                <wp:cNvGraphicFramePr/>
                <a:graphic xmlns:a="http://schemas.openxmlformats.org/drawingml/2006/main">
                  <a:graphicData uri="http://schemas.microsoft.com/office/word/2010/wordprocessingShape">
                    <wps:wsp>
                      <wps:cNvSpPr/>
                      <wps:spPr bwMode="auto">
                        <a:xfrm>
                          <a:off x="0" y="0"/>
                          <a:ext cx="1287780" cy="369570"/>
                        </a:xfrm>
                        <a:prstGeom prst="wedgeRectCallout">
                          <a:avLst>
                            <a:gd name="adj1" fmla="val 31574"/>
                            <a:gd name="adj2" fmla="val 115481"/>
                          </a:avLst>
                        </a:prstGeom>
                        <a:solidFill>
                          <a:srgbClr val="6D6D6D"/>
                        </a:solidFill>
                        <a:ln w="12700" algn="ctr">
                          <a:solidFill>
                            <a:srgbClr val="FF0000"/>
                          </a:solidFill>
                          <a:miter lim="800000"/>
                        </a:ln>
                      </wps:spPr>
                      <wps:txbx>
                        <w:txbxContent>
                          <w:p w14:paraId="5793580A">
                            <w:pPr>
                              <w:spacing w:line="220" w:lineRule="exact"/>
                              <w:ind w:firstLine="0" w:firstLineChars="0"/>
                              <w:jc w:val="center"/>
                            </w:pPr>
                            <w:r>
                              <w:rPr>
                                <w:rFonts w:hint="eastAsia"/>
                                <w:color w:val="000000"/>
                                <w:sz w:val="21"/>
                                <w:szCs w:val="21"/>
                              </w:rPr>
                              <w:t>鹿耳环江红树林集中分布斑块</w:t>
                            </w:r>
                          </w:p>
                        </w:txbxContent>
                      </wps:txbx>
                      <wps:bodyPr rot="0" vert="horz" wrap="square" lIns="91440" tIns="45720" rIns="91440" bIns="45720" anchor="ctr" anchorCtr="0" upright="1">
                        <a:noAutofit/>
                      </wps:bodyPr>
                    </wps:wsp>
                  </a:graphicData>
                </a:graphic>
              </wp:anchor>
            </w:drawing>
          </mc:Choice>
          <mc:Fallback>
            <w:pict>
              <v:shape id="对话气泡: 矩形 158" o:spid="_x0000_s1026" o:spt="61" type="#_x0000_t61" style="position:absolute;left:0pt;margin-left:270.5pt;margin-top:66.55pt;height:29.1pt;width:101.4pt;z-index:251673600;v-text-anchor:middle;mso-width-relative:page;mso-height-relative:page;" fillcolor="#6D6D6D" filled="t" stroked="t" coordsize="21600,21600" o:gfxdata="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Gh/dT7bAAAACwEAAA8AAAAAAAAAAQAgAAAAIgAAAGRycy9kb3du&#10;cmV2LnhtbFBLAQIUABQAAAAIAIdO4kBEcwIkbgIAAMgEAAAOAAAAAAAAAAEAIAAAACoBAABkcnMv&#10;ZTJvRG9jLnhtbFBLBQYAAAAABgAGAFkBAAAKBgAAAAA=&#10;" adj="17620,35744">
                <v:fill on="t" focussize="0,0"/>
                <v:stroke weight="1pt" color="#FF0000" miterlimit="8" joinstyle="miter"/>
                <v:imagedata o:title=""/>
                <o:lock v:ext="edit" aspectratio="f"/>
                <v:textbox>
                  <w:txbxContent>
                    <w:p w14:paraId="5793580A">
                      <w:pPr>
                        <w:spacing w:line="220" w:lineRule="exact"/>
                        <w:ind w:firstLine="0" w:firstLineChars="0"/>
                        <w:jc w:val="center"/>
                      </w:pPr>
                      <w:r>
                        <w:rPr>
                          <w:rFonts w:hint="eastAsia"/>
                          <w:color w:val="000000"/>
                          <w:sz w:val="21"/>
                          <w:szCs w:val="21"/>
                        </w:rPr>
                        <w:t>鹿耳环江红树林集中分布斑块</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4083050</wp:posOffset>
                </wp:positionH>
                <wp:positionV relativeFrom="paragraph">
                  <wp:posOffset>1447165</wp:posOffset>
                </wp:positionV>
                <wp:extent cx="845820" cy="982980"/>
                <wp:effectExtent l="0" t="0" r="11430" b="26670"/>
                <wp:wrapNone/>
                <wp:docPr id="3280" name="椭圆 3280"/>
                <wp:cNvGraphicFramePr/>
                <a:graphic xmlns:a="http://schemas.openxmlformats.org/drawingml/2006/main">
                  <a:graphicData uri="http://schemas.microsoft.com/office/word/2010/wordprocessingShape">
                    <wps:wsp>
                      <wps:cNvSpPr/>
                      <wps:spPr>
                        <a:xfrm>
                          <a:off x="0" y="0"/>
                          <a:ext cx="845820" cy="982980"/>
                        </a:xfrm>
                        <a:prstGeom prst="ellipse">
                          <a:avLst/>
                        </a:prstGeom>
                        <a:noFill/>
                        <a:ln w="19050"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21.5pt;margin-top:113.95pt;height:77.4pt;width:66.6pt;z-index:251672576;v-text-anchor:middle;mso-width-relative:page;mso-height-relative:page;" filled="f" stroked="t" coordsize="21600,21600" o:gfxdata="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&#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HiXuw3cAAAACwEAAA8AAAAAAAAAAQAgAAAAIgAAAGRy&#10;cy9kb3ducmV2LnhtbFBLAQIUABQAAAAIAIdO4kDXB3ZOcwIAAOAEAAAOAAAAAAAAAAEAIAAAACsB&#10;AABkcnMvZTJvRG9jLnhtbFBLBQYAAAAABgAGAFkBAAAQBgAAAAA=&#10;">
                <v:fill on="f" focussize="0,0"/>
                <v:stroke weight="1.5pt" color="#FF0000" miterlimit="8" joinstyle="miter" dashstyle="dash"/>
                <v:imagedata o:title=""/>
                <o:lock v:ext="edit" aspectratio="f"/>
              </v:shape>
            </w:pict>
          </mc:Fallback>
        </mc:AlternateContent>
      </w:r>
      <w:r>
        <w:rPr>
          <w:color w:val="000000" w:themeColor="text1"/>
          <w14:textFill>
            <w14:solidFill>
              <w14:schemeClr w14:val="tx1"/>
            </w14:solidFill>
          </w14:textFill>
        </w:rPr>
        <w:drawing>
          <wp:inline distT="0" distB="0" distL="0" distR="0">
            <wp:extent cx="5274310" cy="4799965"/>
            <wp:effectExtent l="19050" t="19050" r="21590" b="1968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274310" cy="4799965"/>
                    </a:xfrm>
                    <a:prstGeom prst="rect">
                      <a:avLst/>
                    </a:prstGeom>
                    <a:noFill/>
                    <a:ln w="19050">
                      <a:solidFill>
                        <a:schemeClr val="tx1"/>
                      </a:solidFill>
                    </a:ln>
                  </pic:spPr>
                </pic:pic>
              </a:graphicData>
            </a:graphic>
          </wp:inline>
        </w:drawing>
      </w:r>
    </w:p>
    <w:p w14:paraId="016D7AE7">
      <w:pPr>
        <w:pStyle w:val="8"/>
        <w:rPr>
          <w:color w:val="000000" w:themeColor="text1"/>
          <w14:textFill>
            <w14:solidFill>
              <w14:schemeClr w14:val="tx1"/>
            </w14:solidFill>
          </w14:textFill>
        </w:rPr>
      </w:pPr>
      <w:r>
        <w:rPr>
          <w:color w:val="000000" w:themeColor="text1"/>
          <w14:textFill>
            <w14:solidFill>
              <w14:schemeClr w14:val="tx1"/>
            </w14:solidFill>
          </w14:textFill>
        </w:rPr>
        <w:t>项目周边红树林斑块分布示意图</w:t>
      </w:r>
    </w:p>
    <w:p w14:paraId="25492376">
      <w:pPr>
        <w:pStyle w:val="5"/>
        <w:rPr>
          <w:color w:val="000000" w:themeColor="text1"/>
          <w14:textFill>
            <w14:solidFill>
              <w14:schemeClr w14:val="tx1"/>
            </w14:solidFill>
          </w14:textFill>
        </w:rPr>
      </w:pPr>
      <w:bookmarkStart w:id="567" w:name="_Toc136878475"/>
      <w:bookmarkStart w:id="568" w:name="_Toc29131832"/>
      <w:bookmarkStart w:id="569" w:name="_Toc216620539"/>
      <w:r>
        <w:rPr>
          <w:color w:val="000000" w:themeColor="text1"/>
          <w14:textFill>
            <w14:solidFill>
              <w14:schemeClr w14:val="tx1"/>
            </w14:solidFill>
          </w14:textFill>
        </w:rPr>
        <w:t>空气环境质量现状调查与评价</w:t>
      </w:r>
      <w:bookmarkEnd w:id="567"/>
      <w:bookmarkEnd w:id="568"/>
      <w:bookmarkEnd w:id="569"/>
      <w:r>
        <w:rPr>
          <w:color w:val="000000" w:themeColor="text1"/>
          <w14:textFill>
            <w14:solidFill>
              <w14:schemeClr w14:val="tx1"/>
            </w14:solidFill>
          </w14:textFill>
        </w:rPr>
        <w:t xml:space="preserve"> </w:t>
      </w:r>
    </w:p>
    <w:p w14:paraId="06F3FE96">
      <w:pPr>
        <w:pStyle w:val="4"/>
        <w:rPr>
          <w:color w:val="000000" w:themeColor="text1"/>
          <w14:textFill>
            <w14:solidFill>
              <w14:schemeClr w14:val="tx1"/>
            </w14:solidFill>
          </w14:textFill>
        </w:rPr>
      </w:pPr>
      <w:bookmarkStart w:id="570" w:name="_Toc216620540"/>
      <w:bookmarkStart w:id="571" w:name="_Toc135090228"/>
      <w:bookmarkStart w:id="572" w:name="_Toc136878476"/>
      <w:r>
        <w:rPr>
          <w:color w:val="000000" w:themeColor="text1"/>
          <w14:textFill>
            <w14:solidFill>
              <w14:schemeClr w14:val="tx1"/>
            </w14:solidFill>
          </w14:textFill>
        </w:rPr>
        <w:t>空气质量达标区判定</w:t>
      </w:r>
      <w:bookmarkEnd w:id="570"/>
      <w:bookmarkEnd w:id="571"/>
      <w:bookmarkEnd w:id="572"/>
    </w:p>
    <w:p w14:paraId="3603EC34">
      <w:pPr>
        <w:ind w:firstLine="480"/>
        <w:rPr>
          <w:color w:val="000000" w:themeColor="text1"/>
          <w14:textFill>
            <w14:solidFill>
              <w14:schemeClr w14:val="tx1"/>
            </w14:solidFill>
          </w14:textFill>
        </w:rPr>
      </w:pPr>
      <w:r>
        <w:rPr>
          <w:color w:val="000000" w:themeColor="text1"/>
          <w14:textFill>
            <w14:solidFill>
              <w14:schemeClr w14:val="tx1"/>
            </w14:solidFill>
          </w14:textFill>
        </w:rPr>
        <w:t>根据《自治区生态环境厅关于通报202</w:t>
      </w: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年设区城市及各县（市、区）环境空气质量的函》（桂环函〔202</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66</w:t>
      </w:r>
      <w:r>
        <w:rPr>
          <w:color w:val="000000" w:themeColor="text1"/>
          <w14:textFill>
            <w14:solidFill>
              <w14:schemeClr w14:val="tx1"/>
            </w14:solidFill>
          </w14:textFill>
        </w:rPr>
        <w:t>号）中，</w:t>
      </w:r>
      <w:r>
        <w:rPr>
          <w:rFonts w:hint="eastAsia"/>
          <w:color w:val="000000" w:themeColor="text1"/>
          <w:lang w:bidi="zh-CN"/>
          <w14:textFill>
            <w14:solidFill>
              <w14:schemeClr w14:val="tx1"/>
            </w14:solidFill>
          </w14:textFill>
        </w:rPr>
        <w:t>项目所在区域钦州市 SO</w:t>
      </w:r>
      <w:r>
        <w:rPr>
          <w:rFonts w:hint="eastAsia"/>
          <w:color w:val="000000" w:themeColor="text1"/>
          <w:vertAlign w:val="subscript"/>
          <w:lang w:bidi="zh-CN"/>
          <w14:textFill>
            <w14:solidFill>
              <w14:schemeClr w14:val="tx1"/>
            </w14:solidFill>
          </w14:textFill>
        </w:rPr>
        <w:t>2</w:t>
      </w:r>
      <w:r>
        <w:rPr>
          <w:rFonts w:hint="eastAsia"/>
          <w:color w:val="000000" w:themeColor="text1"/>
          <w:lang w:bidi="zh-CN"/>
          <w14:textFill>
            <w14:solidFill>
              <w14:schemeClr w14:val="tx1"/>
            </w14:solidFill>
          </w14:textFill>
        </w:rPr>
        <w:t>、NO</w:t>
      </w:r>
      <w:r>
        <w:rPr>
          <w:rFonts w:hint="eastAsia"/>
          <w:color w:val="000000" w:themeColor="text1"/>
          <w:vertAlign w:val="subscript"/>
          <w:lang w:bidi="zh-CN"/>
          <w14:textFill>
            <w14:solidFill>
              <w14:schemeClr w14:val="tx1"/>
            </w14:solidFill>
          </w14:textFill>
        </w:rPr>
        <w:t>2</w:t>
      </w:r>
      <w:r>
        <w:rPr>
          <w:rFonts w:hint="eastAsia"/>
          <w:color w:val="000000" w:themeColor="text1"/>
          <w:lang w:bidi="zh-CN"/>
          <w14:textFill>
            <w14:solidFill>
              <w14:schemeClr w14:val="tx1"/>
            </w14:solidFill>
          </w14:textFill>
        </w:rPr>
        <w:t>、PM</w:t>
      </w:r>
      <w:r>
        <w:rPr>
          <w:rFonts w:hint="eastAsia"/>
          <w:color w:val="000000" w:themeColor="text1"/>
          <w:vertAlign w:val="subscript"/>
          <w:lang w:val="en-US" w:bidi="zh-CN"/>
          <w14:textFill>
            <w14:solidFill>
              <w14:schemeClr w14:val="tx1"/>
            </w14:solidFill>
          </w14:textFill>
        </w:rPr>
        <w:t>10</w:t>
      </w:r>
      <w:r>
        <w:rPr>
          <w:rFonts w:hint="eastAsia"/>
          <w:color w:val="000000" w:themeColor="text1"/>
          <w:lang w:bidi="zh-CN"/>
          <w14:textFill>
            <w14:solidFill>
              <w14:schemeClr w14:val="tx1"/>
            </w14:solidFill>
          </w14:textFill>
        </w:rPr>
        <w:t>、PM</w:t>
      </w:r>
      <w:r>
        <w:rPr>
          <w:rFonts w:hint="eastAsia"/>
          <w:color w:val="000000" w:themeColor="text1"/>
          <w:vertAlign w:val="subscript"/>
          <w:lang w:val="en-US" w:bidi="zh-CN"/>
          <w14:textFill>
            <w14:solidFill>
              <w14:schemeClr w14:val="tx1"/>
            </w14:solidFill>
          </w14:textFill>
        </w:rPr>
        <w:t>2.5</w:t>
      </w:r>
      <w:r>
        <w:rPr>
          <w:rFonts w:hint="eastAsia"/>
          <w:color w:val="000000" w:themeColor="text1"/>
          <w:lang w:bidi="zh-CN"/>
          <w14:textFill>
            <w14:solidFill>
              <w14:schemeClr w14:val="tx1"/>
            </w14:solidFill>
          </w14:textFill>
        </w:rPr>
        <w:t>、</w:t>
      </w:r>
      <w:r>
        <w:rPr>
          <w:rFonts w:hint="eastAsia"/>
          <w:color w:val="000000" w:themeColor="text1"/>
          <w:lang w:val="en-US" w:bidi="zh-CN"/>
          <w14:textFill>
            <w14:solidFill>
              <w14:schemeClr w14:val="tx1"/>
            </w14:solidFill>
          </w14:textFill>
        </w:rPr>
        <w:t>CO</w:t>
      </w:r>
      <w:r>
        <w:rPr>
          <w:rFonts w:hint="eastAsia"/>
          <w:color w:val="000000" w:themeColor="text1"/>
          <w:lang w:bidi="zh-CN"/>
          <w14:textFill>
            <w14:solidFill>
              <w14:schemeClr w14:val="tx1"/>
            </w14:solidFill>
          </w14:textFill>
        </w:rPr>
        <w:t>、</w:t>
      </w:r>
      <w:r>
        <w:rPr>
          <w:rFonts w:hint="eastAsia"/>
          <w:color w:val="000000" w:themeColor="text1"/>
          <w:lang w:val="en-US" w:bidi="zh-CN"/>
          <w14:textFill>
            <w14:solidFill>
              <w14:schemeClr w14:val="tx1"/>
            </w14:solidFill>
          </w14:textFill>
        </w:rPr>
        <w:t>O</w:t>
      </w:r>
      <w:r>
        <w:rPr>
          <w:rFonts w:hint="eastAsia"/>
          <w:color w:val="000000" w:themeColor="text1"/>
          <w:vertAlign w:val="subscript"/>
          <w:lang w:val="en-US" w:bidi="zh-CN"/>
          <w14:textFill>
            <w14:solidFill>
              <w14:schemeClr w14:val="tx1"/>
            </w14:solidFill>
          </w14:textFill>
        </w:rPr>
        <w:t>3</w:t>
      </w:r>
      <w:r>
        <w:rPr>
          <w:rFonts w:hint="eastAsia"/>
          <w:color w:val="000000" w:themeColor="text1"/>
          <w:lang w:bidi="zh-CN"/>
          <w14:textFill>
            <w14:solidFill>
              <w14:schemeClr w14:val="tx1"/>
            </w14:solidFill>
          </w14:textFill>
        </w:rPr>
        <w:t>环境质量现状均满足《环境空气质量标准》(GB3095-2012)中的二级标准，项目区域环境空气质量为达标区，区域空气质量见下表</w:t>
      </w:r>
      <w:r>
        <w:rPr>
          <w:color w:val="000000" w:themeColor="text1"/>
          <w:lang w:bidi="zh-CN"/>
          <w14:textFill>
            <w14:solidFill>
              <w14:schemeClr w14:val="tx1"/>
            </w14:solidFill>
          </w14:textFill>
        </w:rPr>
        <w:t>。</w:t>
      </w:r>
    </w:p>
    <w:p w14:paraId="21508E01">
      <w:pPr>
        <w:pStyle w:val="7"/>
        <w:rPr>
          <w:color w:val="000000" w:themeColor="text1"/>
          <w14:textFill>
            <w14:solidFill>
              <w14:schemeClr w14:val="tx1"/>
            </w14:solidFill>
          </w14:textFill>
        </w:rPr>
      </w:pPr>
      <w:r>
        <w:rPr>
          <w:color w:val="000000" w:themeColor="text1"/>
          <w14:textFill>
            <w14:solidFill>
              <w14:schemeClr w14:val="tx1"/>
            </w14:solidFill>
          </w14:textFill>
        </w:rPr>
        <w:t>区域空气质量现状评价表</w:t>
      </w:r>
    </w:p>
    <w:tbl>
      <w:tblPr>
        <w:tblStyle w:val="43"/>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995"/>
        <w:gridCol w:w="2637"/>
        <w:gridCol w:w="1207"/>
        <w:gridCol w:w="1198"/>
        <w:gridCol w:w="1014"/>
        <w:gridCol w:w="1079"/>
        <w:gridCol w:w="1170"/>
      </w:tblGrid>
      <w:tr w14:paraId="4AAFB0C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tblHeader/>
        </w:trPr>
        <w:tc>
          <w:tcPr>
            <w:tcW w:w="535" w:type="pct"/>
            <w:vMerge w:val="restart"/>
            <w:tcBorders>
              <w:bottom w:val="single" w:color="000000" w:sz="4" w:space="0"/>
              <w:right w:val="single" w:color="000000" w:sz="4" w:space="0"/>
            </w:tcBorders>
            <w:vAlign w:val="center"/>
          </w:tcPr>
          <w:p w14:paraId="0CA4F15D">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污染物</w:t>
            </w:r>
          </w:p>
        </w:tc>
        <w:tc>
          <w:tcPr>
            <w:tcW w:w="1418" w:type="pct"/>
            <w:vMerge w:val="restart"/>
            <w:tcBorders>
              <w:left w:val="single" w:color="000000" w:sz="4" w:space="0"/>
              <w:bottom w:val="single" w:color="000000" w:sz="4" w:space="0"/>
              <w:right w:val="single" w:color="000000" w:sz="4" w:space="0"/>
            </w:tcBorders>
            <w:vAlign w:val="center"/>
          </w:tcPr>
          <w:p w14:paraId="1F0124F9">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年平均指标</w:t>
            </w:r>
          </w:p>
        </w:tc>
        <w:tc>
          <w:tcPr>
            <w:tcW w:w="649" w:type="pct"/>
            <w:tcBorders>
              <w:left w:val="single" w:color="000000" w:sz="4" w:space="0"/>
              <w:bottom w:val="single" w:color="000000" w:sz="4" w:space="0"/>
              <w:right w:val="single" w:color="000000" w:sz="4" w:space="0"/>
            </w:tcBorders>
            <w:vAlign w:val="center"/>
          </w:tcPr>
          <w:p w14:paraId="23BEDB58">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评价标准</w:t>
            </w:r>
          </w:p>
        </w:tc>
        <w:tc>
          <w:tcPr>
            <w:tcW w:w="644" w:type="pct"/>
            <w:tcBorders>
              <w:left w:val="single" w:color="000000" w:sz="4" w:space="0"/>
              <w:bottom w:val="single" w:color="000000" w:sz="4" w:space="0"/>
              <w:right w:val="single" w:color="000000" w:sz="4" w:space="0"/>
            </w:tcBorders>
            <w:vAlign w:val="center"/>
          </w:tcPr>
          <w:p w14:paraId="2F9564A6">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现状浓度</w:t>
            </w:r>
          </w:p>
        </w:tc>
        <w:tc>
          <w:tcPr>
            <w:tcW w:w="545" w:type="pct"/>
            <w:vMerge w:val="restart"/>
            <w:tcBorders>
              <w:left w:val="single" w:color="000000" w:sz="4" w:space="0"/>
              <w:bottom w:val="single" w:color="000000" w:sz="4" w:space="0"/>
              <w:right w:val="single" w:color="000000" w:sz="4" w:space="0"/>
            </w:tcBorders>
            <w:vAlign w:val="center"/>
          </w:tcPr>
          <w:p w14:paraId="1C0CAED5">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占标率</w:t>
            </w:r>
          </w:p>
          <w:p w14:paraId="6D0D808B">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w:t>
            </w:r>
          </w:p>
        </w:tc>
        <w:tc>
          <w:tcPr>
            <w:tcW w:w="580" w:type="pct"/>
            <w:vMerge w:val="restart"/>
            <w:tcBorders>
              <w:left w:val="single" w:color="000000" w:sz="4" w:space="0"/>
              <w:bottom w:val="single" w:color="000000" w:sz="4" w:space="0"/>
              <w:right w:val="single" w:color="000000" w:sz="4" w:space="0"/>
            </w:tcBorders>
            <w:vAlign w:val="center"/>
          </w:tcPr>
          <w:p w14:paraId="7EC4A061">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超标倍数</w:t>
            </w:r>
          </w:p>
        </w:tc>
        <w:tc>
          <w:tcPr>
            <w:tcW w:w="629" w:type="pct"/>
            <w:vMerge w:val="restart"/>
            <w:tcBorders>
              <w:left w:val="single" w:color="000000" w:sz="4" w:space="0"/>
              <w:bottom w:val="single" w:color="000000" w:sz="4" w:space="0"/>
            </w:tcBorders>
            <w:vAlign w:val="center"/>
          </w:tcPr>
          <w:p w14:paraId="11849C60">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达标情况</w:t>
            </w:r>
          </w:p>
        </w:tc>
      </w:tr>
      <w:tr w14:paraId="5D1B5F8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5" w:hRule="atLeast"/>
          <w:tblHeader/>
        </w:trPr>
        <w:tc>
          <w:tcPr>
            <w:tcW w:w="535" w:type="pct"/>
            <w:vMerge w:val="continue"/>
            <w:tcBorders>
              <w:top w:val="single" w:color="000000" w:sz="4" w:space="0"/>
              <w:bottom w:val="single" w:color="000000" w:sz="4" w:space="0"/>
              <w:right w:val="single" w:color="000000" w:sz="4" w:space="0"/>
            </w:tcBorders>
            <w:vAlign w:val="center"/>
          </w:tcPr>
          <w:p w14:paraId="3418808A">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p>
        </w:tc>
        <w:tc>
          <w:tcPr>
            <w:tcW w:w="1418" w:type="pct"/>
            <w:vMerge w:val="continue"/>
            <w:tcBorders>
              <w:top w:val="single" w:color="000000" w:sz="4" w:space="0"/>
              <w:left w:val="single" w:color="000000" w:sz="4" w:space="0"/>
              <w:bottom w:val="single" w:color="000000" w:sz="4" w:space="0"/>
              <w:right w:val="single" w:color="000000" w:sz="4" w:space="0"/>
            </w:tcBorders>
            <w:vAlign w:val="center"/>
          </w:tcPr>
          <w:p w14:paraId="5FAC1A24">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p>
        </w:tc>
        <w:tc>
          <w:tcPr>
            <w:tcW w:w="649" w:type="pct"/>
            <w:tcBorders>
              <w:top w:val="single" w:color="000000" w:sz="4" w:space="0"/>
              <w:left w:val="single" w:color="000000" w:sz="4" w:space="0"/>
              <w:bottom w:val="single" w:color="000000" w:sz="4" w:space="0"/>
              <w:right w:val="single" w:color="000000" w:sz="4" w:space="0"/>
            </w:tcBorders>
            <w:vAlign w:val="center"/>
          </w:tcPr>
          <w:p w14:paraId="29A9E765">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（µg/m</w:t>
            </w:r>
            <w:r>
              <w:rPr>
                <w:b/>
                <w:bCs/>
                <w:snapToGrid w:val="0"/>
                <w:color w:val="000000" w:themeColor="text1"/>
                <w:kern w:val="0"/>
                <w:sz w:val="21"/>
                <w:szCs w:val="21"/>
                <w:vertAlign w:val="superscript"/>
                <w14:textFill>
                  <w14:solidFill>
                    <w14:schemeClr w14:val="tx1"/>
                  </w14:solidFill>
                </w14:textFill>
              </w:rPr>
              <w:t>3</w:t>
            </w:r>
            <w:r>
              <w:rPr>
                <w:b/>
                <w:bCs/>
                <w:snapToGrid w:val="0"/>
                <w:color w:val="000000" w:themeColor="text1"/>
                <w:kern w:val="0"/>
                <w:sz w:val="21"/>
                <w:szCs w:val="21"/>
                <w14:textFill>
                  <w14:solidFill>
                    <w14:schemeClr w14:val="tx1"/>
                  </w14:solidFill>
                </w14:textFill>
              </w:rPr>
              <w:t>）</w:t>
            </w:r>
          </w:p>
        </w:tc>
        <w:tc>
          <w:tcPr>
            <w:tcW w:w="644" w:type="pct"/>
            <w:tcBorders>
              <w:top w:val="single" w:color="000000" w:sz="4" w:space="0"/>
              <w:left w:val="single" w:color="000000" w:sz="4" w:space="0"/>
              <w:bottom w:val="single" w:color="000000" w:sz="4" w:space="0"/>
              <w:right w:val="single" w:color="000000" w:sz="4" w:space="0"/>
            </w:tcBorders>
            <w:vAlign w:val="center"/>
          </w:tcPr>
          <w:p w14:paraId="01E3D47E">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（µg/m</w:t>
            </w:r>
            <w:r>
              <w:rPr>
                <w:b/>
                <w:bCs/>
                <w:snapToGrid w:val="0"/>
                <w:color w:val="000000" w:themeColor="text1"/>
                <w:kern w:val="0"/>
                <w:sz w:val="21"/>
                <w:szCs w:val="21"/>
                <w:vertAlign w:val="superscript"/>
                <w14:textFill>
                  <w14:solidFill>
                    <w14:schemeClr w14:val="tx1"/>
                  </w14:solidFill>
                </w14:textFill>
              </w:rPr>
              <w:t>3</w:t>
            </w:r>
            <w:r>
              <w:rPr>
                <w:b/>
                <w:bCs/>
                <w:snapToGrid w:val="0"/>
                <w:color w:val="000000" w:themeColor="text1"/>
                <w:kern w:val="0"/>
                <w:sz w:val="21"/>
                <w:szCs w:val="21"/>
                <w14:textFill>
                  <w14:solidFill>
                    <w14:schemeClr w14:val="tx1"/>
                  </w14:solidFill>
                </w14:textFill>
              </w:rPr>
              <w:t>）</w:t>
            </w:r>
          </w:p>
        </w:tc>
        <w:tc>
          <w:tcPr>
            <w:tcW w:w="545" w:type="pct"/>
            <w:vMerge w:val="continue"/>
            <w:tcBorders>
              <w:top w:val="single" w:color="000000" w:sz="4" w:space="0"/>
              <w:left w:val="single" w:color="000000" w:sz="4" w:space="0"/>
              <w:bottom w:val="single" w:color="000000" w:sz="4" w:space="0"/>
              <w:right w:val="single" w:color="000000" w:sz="4" w:space="0"/>
            </w:tcBorders>
            <w:vAlign w:val="center"/>
          </w:tcPr>
          <w:p w14:paraId="1DDF6E17">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p>
        </w:tc>
        <w:tc>
          <w:tcPr>
            <w:tcW w:w="580" w:type="pct"/>
            <w:vMerge w:val="continue"/>
            <w:tcBorders>
              <w:top w:val="single" w:color="000000" w:sz="4" w:space="0"/>
              <w:left w:val="single" w:color="000000" w:sz="4" w:space="0"/>
              <w:bottom w:val="single" w:color="000000" w:sz="4" w:space="0"/>
              <w:right w:val="single" w:color="000000" w:sz="4" w:space="0"/>
            </w:tcBorders>
            <w:vAlign w:val="center"/>
          </w:tcPr>
          <w:p w14:paraId="5354AE88">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p>
        </w:tc>
        <w:tc>
          <w:tcPr>
            <w:tcW w:w="629" w:type="pct"/>
            <w:vMerge w:val="continue"/>
            <w:tcBorders>
              <w:top w:val="single" w:color="000000" w:sz="4" w:space="0"/>
              <w:left w:val="single" w:color="000000" w:sz="4" w:space="0"/>
              <w:bottom w:val="single" w:color="000000" w:sz="4" w:space="0"/>
            </w:tcBorders>
            <w:vAlign w:val="center"/>
          </w:tcPr>
          <w:p w14:paraId="278B1B76">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p>
        </w:tc>
      </w:tr>
      <w:tr w14:paraId="7180663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535" w:type="pct"/>
            <w:tcBorders>
              <w:top w:val="single" w:color="000000" w:sz="4" w:space="0"/>
              <w:bottom w:val="single" w:color="000000" w:sz="4" w:space="0"/>
              <w:right w:val="single" w:color="000000" w:sz="4" w:space="0"/>
            </w:tcBorders>
            <w:vAlign w:val="center"/>
          </w:tcPr>
          <w:p w14:paraId="43C5D04B">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SO</w:t>
            </w:r>
            <w:r>
              <w:rPr>
                <w:snapToGrid w:val="0"/>
                <w:color w:val="000000" w:themeColor="text1"/>
                <w:kern w:val="0"/>
                <w:sz w:val="21"/>
                <w:szCs w:val="21"/>
                <w:vertAlign w:val="subscript"/>
                <w14:textFill>
                  <w14:solidFill>
                    <w14:schemeClr w14:val="tx1"/>
                  </w14:solidFill>
                </w14:textFill>
              </w:rPr>
              <w:t>2</w:t>
            </w:r>
          </w:p>
        </w:tc>
        <w:tc>
          <w:tcPr>
            <w:tcW w:w="1418" w:type="pct"/>
            <w:tcBorders>
              <w:top w:val="single" w:color="000000" w:sz="4" w:space="0"/>
              <w:left w:val="single" w:color="000000" w:sz="4" w:space="0"/>
              <w:bottom w:val="single" w:color="000000" w:sz="4" w:space="0"/>
              <w:right w:val="single" w:color="000000" w:sz="4" w:space="0"/>
            </w:tcBorders>
            <w:vAlign w:val="center"/>
          </w:tcPr>
          <w:p w14:paraId="7F6AA377">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年平均质量浓度</w:t>
            </w:r>
          </w:p>
        </w:tc>
        <w:tc>
          <w:tcPr>
            <w:tcW w:w="649" w:type="pct"/>
            <w:tcBorders>
              <w:top w:val="single" w:color="000000" w:sz="4" w:space="0"/>
              <w:left w:val="single" w:color="000000" w:sz="4" w:space="0"/>
              <w:bottom w:val="single" w:color="000000" w:sz="4" w:space="0"/>
              <w:right w:val="single" w:color="000000" w:sz="4" w:space="0"/>
            </w:tcBorders>
            <w:vAlign w:val="center"/>
          </w:tcPr>
          <w:p w14:paraId="2594943A">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60</w:t>
            </w:r>
          </w:p>
        </w:tc>
        <w:tc>
          <w:tcPr>
            <w:tcW w:w="644" w:type="pct"/>
            <w:tcBorders>
              <w:top w:val="single" w:color="000000" w:sz="4" w:space="0"/>
              <w:left w:val="single" w:color="000000" w:sz="4" w:space="0"/>
              <w:bottom w:val="single" w:color="000000" w:sz="4" w:space="0"/>
              <w:right w:val="single" w:color="000000" w:sz="4" w:space="0"/>
            </w:tcBorders>
            <w:vAlign w:val="center"/>
          </w:tcPr>
          <w:p w14:paraId="221367F3">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545" w:type="pct"/>
            <w:tcBorders>
              <w:top w:val="single" w:color="000000" w:sz="4" w:space="0"/>
              <w:left w:val="single" w:color="000000" w:sz="4" w:space="0"/>
              <w:bottom w:val="single" w:color="000000" w:sz="4" w:space="0"/>
              <w:right w:val="single" w:color="000000" w:sz="4" w:space="0"/>
            </w:tcBorders>
            <w:vAlign w:val="center"/>
          </w:tcPr>
          <w:p w14:paraId="6CDCED44">
            <w:pPr>
              <w:adjustRightInd w:val="0"/>
              <w:snapToGrid w:val="0"/>
              <w:spacing w:line="260" w:lineRule="exact"/>
              <w:ind w:firstLine="0" w:firstLineChars="0"/>
              <w:jc w:val="center"/>
              <w:rPr>
                <w:rFonts w:hint="default" w:eastAsia="宋体"/>
                <w:snapToGrid w:val="0"/>
                <w:color w:val="000000" w:themeColor="text1"/>
                <w:kern w:val="0"/>
                <w:sz w:val="21"/>
                <w:szCs w:val="21"/>
                <w:lang w:val="en-US" w:eastAsia="zh-CN"/>
                <w14:textFill>
                  <w14:solidFill>
                    <w14:schemeClr w14:val="tx1"/>
                  </w14:solidFill>
                </w14:textFill>
              </w:rPr>
            </w:pPr>
          </w:p>
        </w:tc>
        <w:tc>
          <w:tcPr>
            <w:tcW w:w="580" w:type="pct"/>
            <w:tcBorders>
              <w:top w:val="single" w:color="000000" w:sz="4" w:space="0"/>
              <w:left w:val="single" w:color="000000" w:sz="4" w:space="0"/>
              <w:bottom w:val="single" w:color="000000" w:sz="4" w:space="0"/>
              <w:right w:val="single" w:color="000000" w:sz="4" w:space="0"/>
            </w:tcBorders>
            <w:vAlign w:val="center"/>
          </w:tcPr>
          <w:p w14:paraId="129C3EBE">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0</w:t>
            </w:r>
          </w:p>
        </w:tc>
        <w:tc>
          <w:tcPr>
            <w:tcW w:w="629" w:type="pct"/>
            <w:tcBorders>
              <w:top w:val="single" w:color="000000" w:sz="4" w:space="0"/>
              <w:left w:val="single" w:color="000000" w:sz="4" w:space="0"/>
              <w:bottom w:val="single" w:color="000000" w:sz="4" w:space="0"/>
            </w:tcBorders>
            <w:vAlign w:val="center"/>
          </w:tcPr>
          <w:p w14:paraId="6812A84C">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达标</w:t>
            </w:r>
          </w:p>
        </w:tc>
      </w:tr>
      <w:tr w14:paraId="345F7E0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535" w:type="pct"/>
            <w:tcBorders>
              <w:top w:val="single" w:color="000000" w:sz="4" w:space="0"/>
              <w:bottom w:val="single" w:color="000000" w:sz="4" w:space="0"/>
              <w:right w:val="single" w:color="000000" w:sz="4" w:space="0"/>
            </w:tcBorders>
            <w:vAlign w:val="center"/>
          </w:tcPr>
          <w:p w14:paraId="348A04BD">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NO</w:t>
            </w:r>
            <w:r>
              <w:rPr>
                <w:snapToGrid w:val="0"/>
                <w:color w:val="000000" w:themeColor="text1"/>
                <w:kern w:val="0"/>
                <w:sz w:val="21"/>
                <w:szCs w:val="21"/>
                <w:vertAlign w:val="subscript"/>
                <w14:textFill>
                  <w14:solidFill>
                    <w14:schemeClr w14:val="tx1"/>
                  </w14:solidFill>
                </w14:textFill>
              </w:rPr>
              <w:t>2</w:t>
            </w:r>
          </w:p>
        </w:tc>
        <w:tc>
          <w:tcPr>
            <w:tcW w:w="1418" w:type="pct"/>
            <w:tcBorders>
              <w:top w:val="single" w:color="000000" w:sz="4" w:space="0"/>
              <w:left w:val="single" w:color="000000" w:sz="4" w:space="0"/>
              <w:bottom w:val="single" w:color="000000" w:sz="4" w:space="0"/>
              <w:right w:val="single" w:color="000000" w:sz="4" w:space="0"/>
            </w:tcBorders>
            <w:vAlign w:val="center"/>
          </w:tcPr>
          <w:p w14:paraId="520286AF">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年平均质量浓度</w:t>
            </w:r>
          </w:p>
        </w:tc>
        <w:tc>
          <w:tcPr>
            <w:tcW w:w="649" w:type="pct"/>
            <w:tcBorders>
              <w:top w:val="single" w:color="000000" w:sz="4" w:space="0"/>
              <w:left w:val="single" w:color="000000" w:sz="4" w:space="0"/>
              <w:bottom w:val="single" w:color="000000" w:sz="4" w:space="0"/>
              <w:right w:val="single" w:color="000000" w:sz="4" w:space="0"/>
            </w:tcBorders>
            <w:vAlign w:val="center"/>
          </w:tcPr>
          <w:p w14:paraId="5ED2F0B3">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40</w:t>
            </w:r>
          </w:p>
        </w:tc>
        <w:tc>
          <w:tcPr>
            <w:tcW w:w="644" w:type="pct"/>
            <w:tcBorders>
              <w:top w:val="single" w:color="000000" w:sz="4" w:space="0"/>
              <w:left w:val="single" w:color="000000" w:sz="4" w:space="0"/>
              <w:bottom w:val="single" w:color="000000" w:sz="4" w:space="0"/>
              <w:right w:val="single" w:color="000000" w:sz="4" w:space="0"/>
            </w:tcBorders>
            <w:vAlign w:val="center"/>
          </w:tcPr>
          <w:p w14:paraId="32553B42">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545" w:type="pct"/>
            <w:tcBorders>
              <w:top w:val="single" w:color="000000" w:sz="4" w:space="0"/>
              <w:left w:val="single" w:color="000000" w:sz="4" w:space="0"/>
              <w:bottom w:val="single" w:color="000000" w:sz="4" w:space="0"/>
              <w:right w:val="single" w:color="000000" w:sz="4" w:space="0"/>
            </w:tcBorders>
            <w:vAlign w:val="center"/>
          </w:tcPr>
          <w:p w14:paraId="33E64D38">
            <w:pPr>
              <w:adjustRightInd w:val="0"/>
              <w:snapToGrid w:val="0"/>
              <w:spacing w:line="260" w:lineRule="exact"/>
              <w:ind w:firstLine="0" w:firstLineChars="0"/>
              <w:jc w:val="center"/>
              <w:rPr>
                <w:rFonts w:hint="default" w:eastAsia="宋体"/>
                <w:snapToGrid w:val="0"/>
                <w:color w:val="000000" w:themeColor="text1"/>
                <w:kern w:val="0"/>
                <w:sz w:val="21"/>
                <w:szCs w:val="21"/>
                <w:lang w:val="en-US" w:eastAsia="zh-CN"/>
                <w14:textFill>
                  <w14:solidFill>
                    <w14:schemeClr w14:val="tx1"/>
                  </w14:solidFill>
                </w14:textFill>
              </w:rPr>
            </w:pPr>
          </w:p>
        </w:tc>
        <w:tc>
          <w:tcPr>
            <w:tcW w:w="580" w:type="pct"/>
            <w:tcBorders>
              <w:top w:val="single" w:color="000000" w:sz="4" w:space="0"/>
              <w:left w:val="single" w:color="000000" w:sz="4" w:space="0"/>
              <w:bottom w:val="single" w:color="000000" w:sz="4" w:space="0"/>
              <w:right w:val="single" w:color="000000" w:sz="4" w:space="0"/>
            </w:tcBorders>
            <w:vAlign w:val="center"/>
          </w:tcPr>
          <w:p w14:paraId="29D567B4">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0</w:t>
            </w:r>
          </w:p>
        </w:tc>
        <w:tc>
          <w:tcPr>
            <w:tcW w:w="629" w:type="pct"/>
            <w:tcBorders>
              <w:top w:val="single" w:color="000000" w:sz="4" w:space="0"/>
              <w:left w:val="single" w:color="000000" w:sz="4" w:space="0"/>
              <w:bottom w:val="single" w:color="000000" w:sz="4" w:space="0"/>
            </w:tcBorders>
            <w:vAlign w:val="center"/>
          </w:tcPr>
          <w:p w14:paraId="2DEF9769">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达标</w:t>
            </w:r>
          </w:p>
        </w:tc>
      </w:tr>
      <w:tr w14:paraId="19F68D8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535" w:type="pct"/>
            <w:tcBorders>
              <w:top w:val="single" w:color="000000" w:sz="4" w:space="0"/>
              <w:bottom w:val="single" w:color="000000" w:sz="4" w:space="0"/>
              <w:right w:val="single" w:color="000000" w:sz="4" w:space="0"/>
            </w:tcBorders>
            <w:vAlign w:val="center"/>
          </w:tcPr>
          <w:p w14:paraId="30736BAC">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PM</w:t>
            </w:r>
            <w:r>
              <w:rPr>
                <w:snapToGrid w:val="0"/>
                <w:color w:val="000000" w:themeColor="text1"/>
                <w:kern w:val="0"/>
                <w:sz w:val="21"/>
                <w:szCs w:val="21"/>
                <w:vertAlign w:val="subscript"/>
                <w14:textFill>
                  <w14:solidFill>
                    <w14:schemeClr w14:val="tx1"/>
                  </w14:solidFill>
                </w14:textFill>
              </w:rPr>
              <w:t>10</w:t>
            </w:r>
          </w:p>
        </w:tc>
        <w:tc>
          <w:tcPr>
            <w:tcW w:w="1418" w:type="pct"/>
            <w:tcBorders>
              <w:top w:val="single" w:color="000000" w:sz="4" w:space="0"/>
              <w:left w:val="single" w:color="000000" w:sz="4" w:space="0"/>
              <w:bottom w:val="single" w:color="000000" w:sz="4" w:space="0"/>
              <w:right w:val="single" w:color="000000" w:sz="4" w:space="0"/>
            </w:tcBorders>
            <w:vAlign w:val="center"/>
          </w:tcPr>
          <w:p w14:paraId="5F00C54F">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年平均质量浓度</w:t>
            </w:r>
          </w:p>
        </w:tc>
        <w:tc>
          <w:tcPr>
            <w:tcW w:w="649" w:type="pct"/>
            <w:tcBorders>
              <w:top w:val="single" w:color="000000" w:sz="4" w:space="0"/>
              <w:left w:val="single" w:color="000000" w:sz="4" w:space="0"/>
              <w:bottom w:val="single" w:color="000000" w:sz="4" w:space="0"/>
              <w:right w:val="single" w:color="000000" w:sz="4" w:space="0"/>
            </w:tcBorders>
            <w:vAlign w:val="center"/>
          </w:tcPr>
          <w:p w14:paraId="7F66AEB0">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70</w:t>
            </w:r>
          </w:p>
        </w:tc>
        <w:tc>
          <w:tcPr>
            <w:tcW w:w="644" w:type="pct"/>
            <w:tcBorders>
              <w:top w:val="single" w:color="000000" w:sz="4" w:space="0"/>
              <w:left w:val="single" w:color="000000" w:sz="4" w:space="0"/>
              <w:bottom w:val="single" w:color="000000" w:sz="4" w:space="0"/>
              <w:right w:val="single" w:color="000000" w:sz="4" w:space="0"/>
            </w:tcBorders>
            <w:vAlign w:val="center"/>
          </w:tcPr>
          <w:p w14:paraId="1CEBF0CF">
            <w:pPr>
              <w:adjustRightInd w:val="0"/>
              <w:snapToGrid w:val="0"/>
              <w:spacing w:line="260" w:lineRule="exact"/>
              <w:ind w:firstLine="0" w:firstLineChars="0"/>
              <w:jc w:val="center"/>
              <w:rPr>
                <w:rFonts w:hint="eastAsia" w:eastAsia="宋体"/>
                <w:snapToGrid w:val="0"/>
                <w:color w:val="000000" w:themeColor="text1"/>
                <w:kern w:val="0"/>
                <w:sz w:val="21"/>
                <w:szCs w:val="21"/>
                <w:lang w:eastAsia="zh-CN"/>
                <w14:textFill>
                  <w14:solidFill>
                    <w14:schemeClr w14:val="tx1"/>
                  </w14:solidFill>
                </w14:textFill>
              </w:rPr>
            </w:pPr>
          </w:p>
        </w:tc>
        <w:tc>
          <w:tcPr>
            <w:tcW w:w="545" w:type="pct"/>
            <w:tcBorders>
              <w:top w:val="single" w:color="000000" w:sz="4" w:space="0"/>
              <w:left w:val="single" w:color="000000" w:sz="4" w:space="0"/>
              <w:bottom w:val="single" w:color="000000" w:sz="4" w:space="0"/>
              <w:right w:val="single" w:color="000000" w:sz="4" w:space="0"/>
            </w:tcBorders>
            <w:vAlign w:val="center"/>
          </w:tcPr>
          <w:p w14:paraId="5521A794">
            <w:pPr>
              <w:adjustRightInd w:val="0"/>
              <w:snapToGrid w:val="0"/>
              <w:spacing w:line="260" w:lineRule="exact"/>
              <w:ind w:firstLine="0" w:firstLineChars="0"/>
              <w:jc w:val="center"/>
              <w:rPr>
                <w:rFonts w:hint="default" w:eastAsia="宋体"/>
                <w:snapToGrid w:val="0"/>
                <w:color w:val="000000" w:themeColor="text1"/>
                <w:kern w:val="0"/>
                <w:sz w:val="21"/>
                <w:szCs w:val="21"/>
                <w:lang w:val="en-US" w:eastAsia="zh-CN"/>
                <w14:textFill>
                  <w14:solidFill>
                    <w14:schemeClr w14:val="tx1"/>
                  </w14:solidFill>
                </w14:textFill>
              </w:rPr>
            </w:pPr>
          </w:p>
        </w:tc>
        <w:tc>
          <w:tcPr>
            <w:tcW w:w="580" w:type="pct"/>
            <w:tcBorders>
              <w:top w:val="single" w:color="000000" w:sz="4" w:space="0"/>
              <w:left w:val="single" w:color="000000" w:sz="4" w:space="0"/>
              <w:bottom w:val="single" w:color="000000" w:sz="4" w:space="0"/>
              <w:right w:val="single" w:color="000000" w:sz="4" w:space="0"/>
            </w:tcBorders>
            <w:vAlign w:val="center"/>
          </w:tcPr>
          <w:p w14:paraId="08B6E412">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0</w:t>
            </w:r>
          </w:p>
        </w:tc>
        <w:tc>
          <w:tcPr>
            <w:tcW w:w="629" w:type="pct"/>
            <w:tcBorders>
              <w:top w:val="single" w:color="000000" w:sz="4" w:space="0"/>
              <w:left w:val="single" w:color="000000" w:sz="4" w:space="0"/>
              <w:bottom w:val="single" w:color="000000" w:sz="4" w:space="0"/>
            </w:tcBorders>
            <w:vAlign w:val="center"/>
          </w:tcPr>
          <w:p w14:paraId="13A78C43">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达标</w:t>
            </w:r>
          </w:p>
        </w:tc>
      </w:tr>
      <w:tr w14:paraId="46D3BCA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535" w:type="pct"/>
            <w:tcBorders>
              <w:top w:val="single" w:color="000000" w:sz="4" w:space="0"/>
              <w:bottom w:val="single" w:color="000000" w:sz="4" w:space="0"/>
              <w:right w:val="single" w:color="000000" w:sz="4" w:space="0"/>
            </w:tcBorders>
            <w:vAlign w:val="center"/>
          </w:tcPr>
          <w:p w14:paraId="53469761">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PM</w:t>
            </w:r>
            <w:r>
              <w:rPr>
                <w:snapToGrid w:val="0"/>
                <w:color w:val="000000" w:themeColor="text1"/>
                <w:kern w:val="0"/>
                <w:sz w:val="21"/>
                <w:szCs w:val="21"/>
                <w:vertAlign w:val="subscript"/>
                <w14:textFill>
                  <w14:solidFill>
                    <w14:schemeClr w14:val="tx1"/>
                  </w14:solidFill>
                </w14:textFill>
              </w:rPr>
              <w:t>2.5</w:t>
            </w:r>
          </w:p>
        </w:tc>
        <w:tc>
          <w:tcPr>
            <w:tcW w:w="1418" w:type="pct"/>
            <w:tcBorders>
              <w:top w:val="single" w:color="000000" w:sz="4" w:space="0"/>
              <w:left w:val="single" w:color="000000" w:sz="4" w:space="0"/>
              <w:bottom w:val="single" w:color="000000" w:sz="4" w:space="0"/>
              <w:right w:val="single" w:color="000000" w:sz="4" w:space="0"/>
            </w:tcBorders>
            <w:vAlign w:val="center"/>
          </w:tcPr>
          <w:p w14:paraId="49180DA0">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年平均质量浓度</w:t>
            </w:r>
          </w:p>
        </w:tc>
        <w:tc>
          <w:tcPr>
            <w:tcW w:w="649" w:type="pct"/>
            <w:tcBorders>
              <w:top w:val="single" w:color="000000" w:sz="4" w:space="0"/>
              <w:left w:val="single" w:color="000000" w:sz="4" w:space="0"/>
              <w:bottom w:val="single" w:color="000000" w:sz="4" w:space="0"/>
              <w:right w:val="single" w:color="000000" w:sz="4" w:space="0"/>
            </w:tcBorders>
            <w:vAlign w:val="center"/>
          </w:tcPr>
          <w:p w14:paraId="69A9187F">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35</w:t>
            </w:r>
          </w:p>
        </w:tc>
        <w:tc>
          <w:tcPr>
            <w:tcW w:w="644" w:type="pct"/>
            <w:tcBorders>
              <w:top w:val="single" w:color="000000" w:sz="4" w:space="0"/>
              <w:left w:val="single" w:color="000000" w:sz="4" w:space="0"/>
              <w:bottom w:val="single" w:color="000000" w:sz="4" w:space="0"/>
              <w:right w:val="single" w:color="000000" w:sz="4" w:space="0"/>
            </w:tcBorders>
            <w:vAlign w:val="center"/>
          </w:tcPr>
          <w:p w14:paraId="00EC9014">
            <w:pPr>
              <w:adjustRightInd w:val="0"/>
              <w:snapToGrid w:val="0"/>
              <w:spacing w:line="260" w:lineRule="exact"/>
              <w:ind w:firstLine="0" w:firstLineChars="0"/>
              <w:jc w:val="center"/>
              <w:rPr>
                <w:rFonts w:hint="eastAsia" w:eastAsia="宋体"/>
                <w:snapToGrid w:val="0"/>
                <w:color w:val="000000" w:themeColor="text1"/>
                <w:kern w:val="0"/>
                <w:sz w:val="21"/>
                <w:szCs w:val="21"/>
                <w:lang w:eastAsia="zh-CN"/>
                <w14:textFill>
                  <w14:solidFill>
                    <w14:schemeClr w14:val="tx1"/>
                  </w14:solidFill>
                </w14:textFill>
              </w:rPr>
            </w:pPr>
          </w:p>
        </w:tc>
        <w:tc>
          <w:tcPr>
            <w:tcW w:w="545" w:type="pct"/>
            <w:tcBorders>
              <w:top w:val="single" w:color="000000" w:sz="4" w:space="0"/>
              <w:left w:val="single" w:color="000000" w:sz="4" w:space="0"/>
              <w:bottom w:val="single" w:color="000000" w:sz="4" w:space="0"/>
              <w:right w:val="single" w:color="000000" w:sz="4" w:space="0"/>
            </w:tcBorders>
            <w:vAlign w:val="center"/>
          </w:tcPr>
          <w:p w14:paraId="0D2A055C">
            <w:pPr>
              <w:adjustRightInd w:val="0"/>
              <w:snapToGrid w:val="0"/>
              <w:spacing w:line="260" w:lineRule="exact"/>
              <w:ind w:firstLine="0" w:firstLineChars="0"/>
              <w:jc w:val="center"/>
              <w:rPr>
                <w:rFonts w:hint="default" w:eastAsia="宋体"/>
                <w:snapToGrid w:val="0"/>
                <w:color w:val="000000" w:themeColor="text1"/>
                <w:kern w:val="0"/>
                <w:sz w:val="21"/>
                <w:szCs w:val="21"/>
                <w:lang w:val="en-US" w:eastAsia="zh-CN"/>
                <w14:textFill>
                  <w14:solidFill>
                    <w14:schemeClr w14:val="tx1"/>
                  </w14:solidFill>
                </w14:textFill>
              </w:rPr>
            </w:pPr>
          </w:p>
        </w:tc>
        <w:tc>
          <w:tcPr>
            <w:tcW w:w="580" w:type="pct"/>
            <w:tcBorders>
              <w:top w:val="single" w:color="000000" w:sz="4" w:space="0"/>
              <w:left w:val="single" w:color="000000" w:sz="4" w:space="0"/>
              <w:bottom w:val="single" w:color="000000" w:sz="4" w:space="0"/>
              <w:right w:val="single" w:color="000000" w:sz="4" w:space="0"/>
            </w:tcBorders>
            <w:vAlign w:val="center"/>
          </w:tcPr>
          <w:p w14:paraId="4184989F">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0</w:t>
            </w:r>
          </w:p>
        </w:tc>
        <w:tc>
          <w:tcPr>
            <w:tcW w:w="629" w:type="pct"/>
            <w:tcBorders>
              <w:top w:val="single" w:color="000000" w:sz="4" w:space="0"/>
              <w:left w:val="single" w:color="000000" w:sz="4" w:space="0"/>
              <w:bottom w:val="single" w:color="000000" w:sz="4" w:space="0"/>
            </w:tcBorders>
            <w:vAlign w:val="center"/>
          </w:tcPr>
          <w:p w14:paraId="39FF2FDF">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达标</w:t>
            </w:r>
          </w:p>
        </w:tc>
      </w:tr>
      <w:tr w14:paraId="652AC44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535" w:type="pct"/>
            <w:tcBorders>
              <w:top w:val="single" w:color="000000" w:sz="4" w:space="0"/>
              <w:bottom w:val="single" w:color="000000" w:sz="4" w:space="0"/>
              <w:right w:val="single" w:color="000000" w:sz="4" w:space="0"/>
            </w:tcBorders>
            <w:vAlign w:val="center"/>
          </w:tcPr>
          <w:p w14:paraId="4191F230">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CO</w:t>
            </w:r>
          </w:p>
        </w:tc>
        <w:tc>
          <w:tcPr>
            <w:tcW w:w="1418" w:type="pct"/>
            <w:tcBorders>
              <w:top w:val="single" w:color="000000" w:sz="4" w:space="0"/>
              <w:left w:val="single" w:color="000000" w:sz="4" w:space="0"/>
              <w:bottom w:val="single" w:color="000000" w:sz="4" w:space="0"/>
              <w:right w:val="single" w:color="000000" w:sz="4" w:space="0"/>
            </w:tcBorders>
            <w:vAlign w:val="center"/>
          </w:tcPr>
          <w:p w14:paraId="272A8121">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24小时平均第95百分数</w:t>
            </w:r>
          </w:p>
        </w:tc>
        <w:tc>
          <w:tcPr>
            <w:tcW w:w="649" w:type="pct"/>
            <w:tcBorders>
              <w:top w:val="single" w:color="000000" w:sz="4" w:space="0"/>
              <w:left w:val="single" w:color="000000" w:sz="4" w:space="0"/>
              <w:bottom w:val="single" w:color="000000" w:sz="4" w:space="0"/>
              <w:right w:val="single" w:color="000000" w:sz="4" w:space="0"/>
            </w:tcBorders>
            <w:vAlign w:val="center"/>
          </w:tcPr>
          <w:p w14:paraId="487D767C">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4000</w:t>
            </w:r>
          </w:p>
        </w:tc>
        <w:tc>
          <w:tcPr>
            <w:tcW w:w="644" w:type="pct"/>
            <w:tcBorders>
              <w:top w:val="single" w:color="000000" w:sz="4" w:space="0"/>
              <w:left w:val="single" w:color="000000" w:sz="4" w:space="0"/>
              <w:bottom w:val="single" w:color="000000" w:sz="4" w:space="0"/>
              <w:right w:val="single" w:color="000000" w:sz="4" w:space="0"/>
            </w:tcBorders>
            <w:vAlign w:val="center"/>
          </w:tcPr>
          <w:p w14:paraId="7D7AF793">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545" w:type="pct"/>
            <w:tcBorders>
              <w:top w:val="single" w:color="000000" w:sz="4" w:space="0"/>
              <w:left w:val="single" w:color="000000" w:sz="4" w:space="0"/>
              <w:bottom w:val="single" w:color="000000" w:sz="4" w:space="0"/>
              <w:right w:val="single" w:color="000000" w:sz="4" w:space="0"/>
            </w:tcBorders>
            <w:vAlign w:val="center"/>
          </w:tcPr>
          <w:p w14:paraId="2FDCC350">
            <w:pPr>
              <w:adjustRightInd w:val="0"/>
              <w:snapToGrid w:val="0"/>
              <w:spacing w:line="260" w:lineRule="exact"/>
              <w:ind w:firstLine="0" w:firstLineChars="0"/>
              <w:jc w:val="center"/>
              <w:rPr>
                <w:rFonts w:hint="default" w:eastAsia="宋体"/>
                <w:snapToGrid w:val="0"/>
                <w:color w:val="000000" w:themeColor="text1"/>
                <w:kern w:val="0"/>
                <w:sz w:val="21"/>
                <w:szCs w:val="21"/>
                <w:lang w:val="en-US" w:eastAsia="zh-CN"/>
                <w14:textFill>
                  <w14:solidFill>
                    <w14:schemeClr w14:val="tx1"/>
                  </w14:solidFill>
                </w14:textFill>
              </w:rPr>
            </w:pPr>
          </w:p>
        </w:tc>
        <w:tc>
          <w:tcPr>
            <w:tcW w:w="580" w:type="pct"/>
            <w:tcBorders>
              <w:top w:val="single" w:color="000000" w:sz="4" w:space="0"/>
              <w:left w:val="single" w:color="000000" w:sz="4" w:space="0"/>
              <w:bottom w:val="single" w:color="000000" w:sz="4" w:space="0"/>
              <w:right w:val="single" w:color="000000" w:sz="4" w:space="0"/>
            </w:tcBorders>
            <w:vAlign w:val="center"/>
          </w:tcPr>
          <w:p w14:paraId="4755E1E9">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0</w:t>
            </w:r>
          </w:p>
        </w:tc>
        <w:tc>
          <w:tcPr>
            <w:tcW w:w="629" w:type="pct"/>
            <w:tcBorders>
              <w:top w:val="single" w:color="000000" w:sz="4" w:space="0"/>
              <w:left w:val="single" w:color="000000" w:sz="4" w:space="0"/>
              <w:bottom w:val="single" w:color="000000" w:sz="4" w:space="0"/>
            </w:tcBorders>
            <w:vAlign w:val="center"/>
          </w:tcPr>
          <w:p w14:paraId="6E542067">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达标</w:t>
            </w:r>
          </w:p>
        </w:tc>
      </w:tr>
      <w:tr w14:paraId="1E6E638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535" w:type="pct"/>
            <w:tcBorders>
              <w:top w:val="single" w:color="000000" w:sz="4" w:space="0"/>
              <w:right w:val="single" w:color="000000" w:sz="4" w:space="0"/>
            </w:tcBorders>
            <w:vAlign w:val="center"/>
          </w:tcPr>
          <w:p w14:paraId="1642D61B">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O</w:t>
            </w:r>
            <w:r>
              <w:rPr>
                <w:snapToGrid w:val="0"/>
                <w:color w:val="000000" w:themeColor="text1"/>
                <w:kern w:val="0"/>
                <w:sz w:val="21"/>
                <w:szCs w:val="21"/>
                <w:vertAlign w:val="subscript"/>
                <w14:textFill>
                  <w14:solidFill>
                    <w14:schemeClr w14:val="tx1"/>
                  </w14:solidFill>
                </w14:textFill>
              </w:rPr>
              <w:t>3</w:t>
            </w:r>
          </w:p>
        </w:tc>
        <w:tc>
          <w:tcPr>
            <w:tcW w:w="1418" w:type="pct"/>
            <w:tcBorders>
              <w:top w:val="single" w:color="000000" w:sz="4" w:space="0"/>
              <w:left w:val="single" w:color="000000" w:sz="4" w:space="0"/>
              <w:right w:val="single" w:color="000000" w:sz="4" w:space="0"/>
            </w:tcBorders>
            <w:vAlign w:val="center"/>
          </w:tcPr>
          <w:p w14:paraId="7BA6E82A">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日最大8小时平均第90百分数</w:t>
            </w:r>
          </w:p>
        </w:tc>
        <w:tc>
          <w:tcPr>
            <w:tcW w:w="649" w:type="pct"/>
            <w:tcBorders>
              <w:top w:val="single" w:color="000000" w:sz="4" w:space="0"/>
              <w:left w:val="single" w:color="000000" w:sz="4" w:space="0"/>
              <w:right w:val="single" w:color="000000" w:sz="4" w:space="0"/>
            </w:tcBorders>
            <w:vAlign w:val="center"/>
          </w:tcPr>
          <w:p w14:paraId="26E38C5F">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160</w:t>
            </w:r>
          </w:p>
        </w:tc>
        <w:tc>
          <w:tcPr>
            <w:tcW w:w="644" w:type="pct"/>
            <w:tcBorders>
              <w:top w:val="single" w:color="000000" w:sz="4" w:space="0"/>
              <w:left w:val="single" w:color="000000" w:sz="4" w:space="0"/>
              <w:right w:val="single" w:color="000000" w:sz="4" w:space="0"/>
            </w:tcBorders>
            <w:vAlign w:val="center"/>
          </w:tcPr>
          <w:p w14:paraId="1B9E4151">
            <w:pPr>
              <w:adjustRightInd w:val="0"/>
              <w:snapToGrid w:val="0"/>
              <w:spacing w:line="260" w:lineRule="exact"/>
              <w:ind w:firstLine="0" w:firstLineChars="0"/>
              <w:jc w:val="center"/>
              <w:rPr>
                <w:rFonts w:hint="default" w:eastAsia="宋体"/>
                <w:snapToGrid w:val="0"/>
                <w:color w:val="000000" w:themeColor="text1"/>
                <w:kern w:val="0"/>
                <w:sz w:val="21"/>
                <w:szCs w:val="21"/>
                <w:lang w:val="en-US" w:eastAsia="zh-CN"/>
                <w14:textFill>
                  <w14:solidFill>
                    <w14:schemeClr w14:val="tx1"/>
                  </w14:solidFill>
                </w14:textFill>
              </w:rPr>
            </w:pPr>
          </w:p>
        </w:tc>
        <w:tc>
          <w:tcPr>
            <w:tcW w:w="545" w:type="pct"/>
            <w:tcBorders>
              <w:top w:val="single" w:color="000000" w:sz="4" w:space="0"/>
              <w:left w:val="single" w:color="000000" w:sz="4" w:space="0"/>
              <w:right w:val="single" w:color="000000" w:sz="4" w:space="0"/>
            </w:tcBorders>
            <w:vAlign w:val="center"/>
          </w:tcPr>
          <w:p w14:paraId="1E8DBA27">
            <w:pPr>
              <w:adjustRightInd w:val="0"/>
              <w:snapToGrid w:val="0"/>
              <w:spacing w:line="260" w:lineRule="exact"/>
              <w:ind w:firstLine="0" w:firstLineChars="0"/>
              <w:jc w:val="center"/>
              <w:rPr>
                <w:rFonts w:hint="default" w:eastAsia="宋体"/>
                <w:snapToGrid w:val="0"/>
                <w:color w:val="000000" w:themeColor="text1"/>
                <w:kern w:val="0"/>
                <w:sz w:val="21"/>
                <w:szCs w:val="21"/>
                <w:lang w:val="en-US" w:eastAsia="zh-CN"/>
                <w14:textFill>
                  <w14:solidFill>
                    <w14:schemeClr w14:val="tx1"/>
                  </w14:solidFill>
                </w14:textFill>
              </w:rPr>
            </w:pPr>
          </w:p>
        </w:tc>
        <w:tc>
          <w:tcPr>
            <w:tcW w:w="580" w:type="pct"/>
            <w:tcBorders>
              <w:top w:val="single" w:color="000000" w:sz="4" w:space="0"/>
              <w:left w:val="single" w:color="000000" w:sz="4" w:space="0"/>
              <w:right w:val="single" w:color="000000" w:sz="4" w:space="0"/>
            </w:tcBorders>
            <w:vAlign w:val="center"/>
          </w:tcPr>
          <w:p w14:paraId="408F8220">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0</w:t>
            </w:r>
          </w:p>
        </w:tc>
        <w:tc>
          <w:tcPr>
            <w:tcW w:w="629" w:type="pct"/>
            <w:tcBorders>
              <w:top w:val="single" w:color="000000" w:sz="4" w:space="0"/>
              <w:left w:val="single" w:color="000000" w:sz="4" w:space="0"/>
            </w:tcBorders>
            <w:vAlign w:val="center"/>
          </w:tcPr>
          <w:p w14:paraId="66605C1D">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达标</w:t>
            </w:r>
          </w:p>
        </w:tc>
      </w:tr>
    </w:tbl>
    <w:p w14:paraId="30CFCE45">
      <w:pPr>
        <w:ind w:firstLine="480"/>
        <w:rPr>
          <w:color w:val="000000" w:themeColor="text1"/>
          <w14:textFill>
            <w14:solidFill>
              <w14:schemeClr w14:val="tx1"/>
            </w14:solidFill>
          </w14:textFill>
        </w:rPr>
      </w:pPr>
      <w:r>
        <w:rPr>
          <w:color w:val="000000" w:themeColor="text1"/>
          <w:lang w:bidi="zh-CN"/>
          <w14:textFill>
            <w14:solidFill>
              <w14:schemeClr w14:val="tx1"/>
            </w14:solidFill>
          </w14:textFill>
        </w:rPr>
        <w:t>由上表可知，本项目所在区域202</w:t>
      </w:r>
      <w:r>
        <w:rPr>
          <w:rFonts w:hint="eastAsia"/>
          <w:color w:val="000000" w:themeColor="text1"/>
          <w:lang w:val="en-US" w:bidi="zh-CN"/>
          <w14:textFill>
            <w14:solidFill>
              <w14:schemeClr w14:val="tx1"/>
            </w14:solidFill>
          </w14:textFill>
        </w:rPr>
        <w:t>4</w:t>
      </w:r>
      <w:r>
        <w:rPr>
          <w:color w:val="000000" w:themeColor="text1"/>
          <w:lang w:bidi="zh-CN"/>
          <w14:textFill>
            <w14:solidFill>
              <w14:schemeClr w14:val="tx1"/>
            </w14:solidFill>
          </w14:textFill>
        </w:rPr>
        <w:t>年基本污染物SO</w:t>
      </w:r>
      <w:r>
        <w:rPr>
          <w:color w:val="000000" w:themeColor="text1"/>
          <w:vertAlign w:val="subscript"/>
          <w:lang w:bidi="zh-CN"/>
          <w14:textFill>
            <w14:solidFill>
              <w14:schemeClr w14:val="tx1"/>
            </w14:solidFill>
          </w14:textFill>
        </w:rPr>
        <w:t>2</w:t>
      </w:r>
      <w:r>
        <w:rPr>
          <w:color w:val="000000" w:themeColor="text1"/>
          <w:lang w:bidi="zh-CN"/>
          <w14:textFill>
            <w14:solidFill>
              <w14:schemeClr w14:val="tx1"/>
            </w14:solidFill>
          </w14:textFill>
        </w:rPr>
        <w:t>、NO</w:t>
      </w:r>
      <w:r>
        <w:rPr>
          <w:color w:val="000000" w:themeColor="text1"/>
          <w:vertAlign w:val="subscript"/>
          <w:lang w:bidi="zh-CN"/>
          <w14:textFill>
            <w14:solidFill>
              <w14:schemeClr w14:val="tx1"/>
            </w14:solidFill>
          </w14:textFill>
        </w:rPr>
        <w:t>2</w:t>
      </w:r>
      <w:r>
        <w:rPr>
          <w:color w:val="000000" w:themeColor="text1"/>
          <w:lang w:bidi="zh-CN"/>
          <w14:textFill>
            <w14:solidFill>
              <w14:schemeClr w14:val="tx1"/>
            </w14:solidFill>
          </w14:textFill>
        </w:rPr>
        <w:t>年平均及24小时平均第98百分位数浓度达到《环境空气质量标准》（GB3095-2012）二级标准；PM</w:t>
      </w:r>
      <w:r>
        <w:rPr>
          <w:color w:val="000000" w:themeColor="text1"/>
          <w:vertAlign w:val="subscript"/>
          <w:lang w:bidi="zh-CN"/>
          <w14:textFill>
            <w14:solidFill>
              <w14:schemeClr w14:val="tx1"/>
            </w14:solidFill>
          </w14:textFill>
        </w:rPr>
        <w:t>10</w:t>
      </w:r>
      <w:r>
        <w:rPr>
          <w:color w:val="000000" w:themeColor="text1"/>
          <w:lang w:bidi="zh-CN"/>
          <w14:textFill>
            <w14:solidFill>
              <w14:schemeClr w14:val="tx1"/>
            </w14:solidFill>
          </w14:textFill>
        </w:rPr>
        <w:t>、PM</w:t>
      </w:r>
      <w:r>
        <w:rPr>
          <w:color w:val="000000" w:themeColor="text1"/>
          <w:vertAlign w:val="subscript"/>
          <w:lang w:bidi="zh-CN"/>
          <w14:textFill>
            <w14:solidFill>
              <w14:schemeClr w14:val="tx1"/>
            </w14:solidFill>
          </w14:textFill>
        </w:rPr>
        <w:t>2.5</w:t>
      </w:r>
      <w:r>
        <w:rPr>
          <w:color w:val="000000" w:themeColor="text1"/>
          <w:lang w:bidi="zh-CN"/>
          <w14:textFill>
            <w14:solidFill>
              <w14:schemeClr w14:val="tx1"/>
            </w14:solidFill>
          </w14:textFill>
        </w:rPr>
        <w:t>年平均及24小时平均第95百分位数浓度达到《环境空气质量标准》（GB3095-2012）二级标准；CO24小时平均第95百分位数、O</w:t>
      </w:r>
      <w:r>
        <w:rPr>
          <w:color w:val="000000" w:themeColor="text1"/>
          <w:vertAlign w:val="subscript"/>
          <w:lang w:bidi="zh-CN"/>
          <w14:textFill>
            <w14:solidFill>
              <w14:schemeClr w14:val="tx1"/>
            </w14:solidFill>
          </w14:textFill>
        </w:rPr>
        <w:t>3</w:t>
      </w:r>
      <w:r>
        <w:rPr>
          <w:color w:val="000000" w:themeColor="text1"/>
          <w:lang w:bidi="zh-CN"/>
          <w14:textFill>
            <w14:solidFill>
              <w14:schemeClr w14:val="tx1"/>
            </w14:solidFill>
          </w14:textFill>
        </w:rPr>
        <w:t>日最大8小时平均第90百分位数浓度均达到《环境空气质量标准》（GB3095-2012）二级标准。</w:t>
      </w:r>
    </w:p>
    <w:p w14:paraId="7DF43548">
      <w:pPr>
        <w:pStyle w:val="4"/>
        <w:rPr>
          <w:color w:val="000000" w:themeColor="text1"/>
          <w14:textFill>
            <w14:solidFill>
              <w14:schemeClr w14:val="tx1"/>
            </w14:solidFill>
          </w14:textFill>
        </w:rPr>
      </w:pPr>
      <w:bookmarkStart w:id="573" w:name="_Toc136878477"/>
      <w:bookmarkStart w:id="574" w:name="_Toc216620541"/>
      <w:bookmarkStart w:id="575" w:name="_Toc135090229"/>
      <w:r>
        <w:rPr>
          <w:color w:val="000000" w:themeColor="text1"/>
          <w14:textFill>
            <w14:solidFill>
              <w14:schemeClr w14:val="tx1"/>
            </w14:solidFill>
          </w14:textFill>
        </w:rPr>
        <w:t>补充特征污染物环境质量现状评价</w:t>
      </w:r>
      <w:bookmarkEnd w:id="573"/>
      <w:bookmarkEnd w:id="574"/>
      <w:bookmarkEnd w:id="575"/>
    </w:p>
    <w:p w14:paraId="735E81D9">
      <w:pPr>
        <w:ind w:firstLine="480"/>
        <w:rPr>
          <w:color w:val="000000" w:themeColor="text1"/>
          <w14:textFill>
            <w14:solidFill>
              <w14:schemeClr w14:val="tx1"/>
            </w14:solidFill>
          </w14:textFill>
        </w:rPr>
      </w:pPr>
      <w:r>
        <w:rPr>
          <w:color w:val="000000" w:themeColor="text1"/>
          <w14:textFill>
            <w14:solidFill>
              <w14:schemeClr w14:val="tx1"/>
            </w14:solidFill>
          </w14:textFill>
        </w:rPr>
        <w:t>1、监测点布设</w:t>
      </w:r>
    </w:p>
    <w:p w14:paraId="0598910D">
      <w:pPr>
        <w:ind w:firstLine="480"/>
        <w:rPr>
          <w:color w:val="000000" w:themeColor="text1"/>
          <w14:textFill>
            <w14:solidFill>
              <w14:schemeClr w14:val="tx1"/>
            </w14:solidFill>
          </w14:textFill>
        </w:rPr>
      </w:pPr>
      <w:r>
        <w:rPr>
          <w:color w:val="000000" w:themeColor="text1"/>
          <w14:textFill>
            <w14:solidFill>
              <w14:schemeClr w14:val="tx1"/>
            </w14:solidFill>
          </w14:textFill>
        </w:rPr>
        <w:t>本次评价于202</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年1</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月在项目</w:t>
      </w:r>
      <w:r>
        <w:rPr>
          <w:rFonts w:hint="eastAsia"/>
          <w:color w:val="000000" w:themeColor="text1"/>
          <w14:textFill>
            <w14:solidFill>
              <w14:schemeClr w14:val="tx1"/>
            </w14:solidFill>
          </w14:textFill>
        </w:rPr>
        <w:t>码头前沿</w:t>
      </w:r>
      <w:r>
        <w:rPr>
          <w:color w:val="000000" w:themeColor="text1"/>
          <w14:textFill>
            <w14:solidFill>
              <w14:schemeClr w14:val="tx1"/>
            </w14:solidFill>
          </w14:textFill>
        </w:rPr>
        <w:t>设置</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个大气环境质量现状监测点，反映项目所在区域现状特征污染物环境质量情况，各监测点基本情况见表3.3-2。</w:t>
      </w:r>
    </w:p>
    <w:p w14:paraId="24999EE9">
      <w:pPr>
        <w:pStyle w:val="7"/>
        <w:rPr>
          <w:color w:val="000000" w:themeColor="text1"/>
          <w14:textFill>
            <w14:solidFill>
              <w14:schemeClr w14:val="tx1"/>
            </w14:solidFill>
          </w14:textFill>
        </w:rPr>
      </w:pPr>
      <w:r>
        <w:rPr>
          <w:color w:val="000000" w:themeColor="text1"/>
          <w14:textFill>
            <w14:solidFill>
              <w14:schemeClr w14:val="tx1"/>
            </w14:solidFill>
          </w14:textFill>
        </w:rPr>
        <w:t>空气质量现状监测点</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26"/>
        <w:gridCol w:w="923"/>
        <w:gridCol w:w="1340"/>
        <w:gridCol w:w="3678"/>
        <w:gridCol w:w="1975"/>
      </w:tblGrid>
      <w:tr w14:paraId="0658B6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26" w:type="dxa"/>
            <w:tcBorders>
              <w:bottom w:val="single" w:color="auto" w:sz="4" w:space="0"/>
              <w:right w:val="single" w:color="auto" w:sz="4" w:space="0"/>
            </w:tcBorders>
            <w:tcMar>
              <w:left w:w="0" w:type="dxa"/>
              <w:right w:w="0" w:type="dxa"/>
            </w:tcMar>
            <w:vAlign w:val="center"/>
          </w:tcPr>
          <w:p w14:paraId="355AEEB2">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点位名称</w:t>
            </w:r>
          </w:p>
        </w:tc>
        <w:tc>
          <w:tcPr>
            <w:tcW w:w="923" w:type="dxa"/>
            <w:tcBorders>
              <w:left w:val="single" w:color="auto" w:sz="4" w:space="0"/>
              <w:bottom w:val="single" w:color="auto" w:sz="4" w:space="0"/>
              <w:right w:val="single" w:color="auto" w:sz="4" w:space="0"/>
            </w:tcBorders>
            <w:tcMar>
              <w:left w:w="0" w:type="dxa"/>
              <w:right w:w="0" w:type="dxa"/>
            </w:tcMar>
            <w:vAlign w:val="center"/>
          </w:tcPr>
          <w:p w14:paraId="54D06A73">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位置关系</w:t>
            </w:r>
          </w:p>
        </w:tc>
        <w:tc>
          <w:tcPr>
            <w:tcW w:w="1340" w:type="dxa"/>
            <w:tcBorders>
              <w:left w:val="single" w:color="auto" w:sz="4" w:space="0"/>
              <w:bottom w:val="single" w:color="auto" w:sz="4" w:space="0"/>
              <w:right w:val="single" w:color="auto" w:sz="4" w:space="0"/>
            </w:tcBorders>
            <w:tcMar>
              <w:left w:w="0" w:type="dxa"/>
              <w:right w:w="0" w:type="dxa"/>
            </w:tcMar>
            <w:vAlign w:val="center"/>
          </w:tcPr>
          <w:p w14:paraId="32613D51">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环境功能区划</w:t>
            </w:r>
          </w:p>
        </w:tc>
        <w:tc>
          <w:tcPr>
            <w:tcW w:w="3678" w:type="dxa"/>
            <w:tcBorders>
              <w:left w:val="single" w:color="auto" w:sz="4" w:space="0"/>
              <w:bottom w:val="single" w:color="auto" w:sz="4" w:space="0"/>
              <w:right w:val="single" w:color="auto" w:sz="4" w:space="0"/>
            </w:tcBorders>
            <w:tcMar>
              <w:left w:w="0" w:type="dxa"/>
              <w:right w:w="0" w:type="dxa"/>
            </w:tcMar>
            <w:vAlign w:val="center"/>
          </w:tcPr>
          <w:p w14:paraId="7D432B63">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监测因子</w:t>
            </w:r>
          </w:p>
        </w:tc>
        <w:tc>
          <w:tcPr>
            <w:tcW w:w="1975" w:type="dxa"/>
            <w:tcBorders>
              <w:left w:val="single" w:color="auto" w:sz="4" w:space="0"/>
              <w:bottom w:val="single" w:color="auto" w:sz="4" w:space="0"/>
            </w:tcBorders>
            <w:vAlign w:val="center"/>
          </w:tcPr>
          <w:p w14:paraId="1AD11C54">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监测时间</w:t>
            </w:r>
          </w:p>
        </w:tc>
      </w:tr>
      <w:tr w14:paraId="4C6BD0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26" w:type="dxa"/>
            <w:tcBorders>
              <w:top w:val="single" w:color="auto" w:sz="4" w:space="0"/>
              <w:right w:val="single" w:color="auto" w:sz="4" w:space="0"/>
            </w:tcBorders>
            <w:tcMar>
              <w:left w:w="0" w:type="dxa"/>
              <w:right w:w="0" w:type="dxa"/>
            </w:tcMar>
            <w:vAlign w:val="center"/>
          </w:tcPr>
          <w:p w14:paraId="20EB6F94">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rFonts w:hint="eastAsia"/>
                <w:snapToGrid w:val="0"/>
                <w:color w:val="000000" w:themeColor="text1"/>
                <w:kern w:val="0"/>
                <w:sz w:val="21"/>
                <w:szCs w:val="21"/>
                <w14:textFill>
                  <w14:solidFill>
                    <w14:schemeClr w14:val="tx1"/>
                  </w14:solidFill>
                </w14:textFill>
              </w:rPr>
              <w:t>G1</w:t>
            </w:r>
          </w:p>
        </w:tc>
        <w:tc>
          <w:tcPr>
            <w:tcW w:w="923" w:type="dxa"/>
            <w:tcBorders>
              <w:top w:val="single" w:color="auto" w:sz="4" w:space="0"/>
              <w:left w:val="single" w:color="auto" w:sz="4" w:space="0"/>
              <w:right w:val="single" w:color="auto" w:sz="4" w:space="0"/>
            </w:tcBorders>
            <w:tcMar>
              <w:left w:w="0" w:type="dxa"/>
              <w:right w:w="0" w:type="dxa"/>
            </w:tcMar>
            <w:vAlign w:val="center"/>
          </w:tcPr>
          <w:p w14:paraId="742A1F38">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rFonts w:hint="eastAsia"/>
                <w:snapToGrid w:val="0"/>
                <w:color w:val="000000" w:themeColor="text1"/>
                <w:kern w:val="0"/>
                <w:sz w:val="21"/>
                <w:szCs w:val="21"/>
                <w14:textFill>
                  <w14:solidFill>
                    <w14:schemeClr w14:val="tx1"/>
                  </w14:solidFill>
                </w14:textFill>
              </w:rPr>
              <w:t>码头前沿</w:t>
            </w:r>
          </w:p>
        </w:tc>
        <w:tc>
          <w:tcPr>
            <w:tcW w:w="1340" w:type="dxa"/>
            <w:tcBorders>
              <w:top w:val="single" w:color="auto" w:sz="4" w:space="0"/>
              <w:left w:val="single" w:color="auto" w:sz="4" w:space="0"/>
              <w:right w:val="single" w:color="auto" w:sz="4" w:space="0"/>
            </w:tcBorders>
            <w:tcMar>
              <w:left w:w="0" w:type="dxa"/>
              <w:right w:w="0" w:type="dxa"/>
            </w:tcMar>
            <w:vAlign w:val="center"/>
          </w:tcPr>
          <w:p w14:paraId="7D70DF72">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二类区</w:t>
            </w:r>
          </w:p>
        </w:tc>
        <w:tc>
          <w:tcPr>
            <w:tcW w:w="3678" w:type="dxa"/>
            <w:tcBorders>
              <w:top w:val="single" w:color="auto" w:sz="4" w:space="0"/>
              <w:left w:val="single" w:color="auto" w:sz="4" w:space="0"/>
              <w:right w:val="single" w:color="auto" w:sz="4" w:space="0"/>
            </w:tcBorders>
            <w:tcMar>
              <w:left w:w="0" w:type="dxa"/>
              <w:right w:w="0" w:type="dxa"/>
            </w:tcMar>
            <w:vAlign w:val="center"/>
          </w:tcPr>
          <w:p w14:paraId="732919CD">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rFonts w:hint="eastAsia"/>
                <w:snapToGrid w:val="0"/>
                <w:color w:val="000000" w:themeColor="text1"/>
                <w:kern w:val="0"/>
                <w:sz w:val="21"/>
                <w:szCs w:val="21"/>
                <w14:textFill>
                  <w14:solidFill>
                    <w14:schemeClr w14:val="tx1"/>
                  </w14:solidFill>
                </w14:textFill>
              </w:rPr>
              <w:t>苯乙烯</w:t>
            </w:r>
            <w:r>
              <w:rPr>
                <w:snapToGrid w:val="0"/>
                <w:color w:val="000000" w:themeColor="text1"/>
                <w:kern w:val="0"/>
                <w:sz w:val="21"/>
                <w:szCs w:val="21"/>
                <w14:textFill>
                  <w14:solidFill>
                    <w14:schemeClr w14:val="tx1"/>
                  </w14:solidFill>
                </w14:textFill>
              </w:rPr>
              <w:t>、非甲烷总烃</w:t>
            </w:r>
            <w:r>
              <w:rPr>
                <w:rFonts w:hint="eastAsia"/>
                <w:snapToGrid w:val="0"/>
                <w:color w:val="000000" w:themeColor="text1"/>
                <w:kern w:val="0"/>
                <w:sz w:val="21"/>
                <w:szCs w:val="21"/>
                <w14:textFill>
                  <w14:solidFill>
                    <w14:schemeClr w14:val="tx1"/>
                  </w14:solidFill>
                </w14:textFill>
              </w:rPr>
              <w:t>、硫酸雾</w:t>
            </w:r>
          </w:p>
        </w:tc>
        <w:tc>
          <w:tcPr>
            <w:tcW w:w="1975" w:type="dxa"/>
            <w:tcBorders>
              <w:top w:val="single" w:color="auto" w:sz="4" w:space="0"/>
              <w:left w:val="single" w:color="auto" w:sz="4" w:space="0"/>
            </w:tcBorders>
            <w:vAlign w:val="center"/>
          </w:tcPr>
          <w:p w14:paraId="06E1F973">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rFonts w:hint="eastAsia"/>
                <w:snapToGrid w:val="0"/>
                <w:color w:val="000000" w:themeColor="text1"/>
                <w:kern w:val="0"/>
                <w:sz w:val="21"/>
                <w:szCs w:val="21"/>
                <w14:textFill>
                  <w14:solidFill>
                    <w14:schemeClr w14:val="tx1"/>
                  </w14:solidFill>
                </w14:textFill>
              </w:rPr>
              <w:t>连续采样7天，每天采样4次 ，2025年11月27日至12月03日</w:t>
            </w:r>
          </w:p>
        </w:tc>
      </w:tr>
    </w:tbl>
    <w:p w14:paraId="1A1EF2B9">
      <w:pPr>
        <w:ind w:firstLine="480"/>
        <w:rPr>
          <w:color w:val="000000" w:themeColor="text1"/>
          <w14:textFill>
            <w14:solidFill>
              <w14:schemeClr w14:val="tx1"/>
            </w14:solidFill>
          </w14:textFill>
        </w:rPr>
      </w:pPr>
      <w:r>
        <w:rPr>
          <w:color w:val="000000" w:themeColor="text1"/>
          <w14:textFill>
            <w14:solidFill>
              <w14:schemeClr w14:val="tx1"/>
            </w14:solidFill>
          </w14:textFill>
        </w:rPr>
        <w:t>2、监测方法</w:t>
      </w:r>
    </w:p>
    <w:p w14:paraId="51EC581A">
      <w:pPr>
        <w:pStyle w:val="7"/>
        <w:rPr>
          <w:color w:val="000000" w:themeColor="text1"/>
          <w14:textFill>
            <w14:solidFill>
              <w14:schemeClr w14:val="tx1"/>
            </w14:solidFill>
          </w14:textFill>
        </w:rPr>
      </w:pPr>
      <w:r>
        <w:rPr>
          <w:color w:val="000000" w:themeColor="text1"/>
          <w14:textFill>
            <w14:solidFill>
              <w14:schemeClr w14:val="tx1"/>
            </w14:solidFill>
          </w14:textFill>
        </w:rPr>
        <w:t>大气污染物监测方法一览表</w:t>
      </w:r>
    </w:p>
    <w:tbl>
      <w:tblPr>
        <w:tblStyle w:val="72"/>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2175"/>
        <w:gridCol w:w="4976"/>
        <w:gridCol w:w="1891"/>
      </w:tblGrid>
      <w:tr w14:paraId="5C41EA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175" w:type="dxa"/>
            <w:vMerge w:val="restart"/>
            <w:tcBorders>
              <w:bottom w:val="single" w:color="auto" w:sz="4" w:space="0"/>
              <w:right w:val="single" w:color="auto" w:sz="4" w:space="0"/>
            </w:tcBorders>
            <w:vAlign w:val="center"/>
          </w:tcPr>
          <w:p w14:paraId="778D77E2">
            <w:pPr>
              <w:pStyle w:val="70"/>
              <w:autoSpaceDE w:val="0"/>
              <w:autoSpaceDN w:val="0"/>
              <w:spacing w:line="300" w:lineRule="exact"/>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检测项目</w:t>
            </w:r>
          </w:p>
        </w:tc>
        <w:tc>
          <w:tcPr>
            <w:tcW w:w="6867" w:type="dxa"/>
            <w:gridSpan w:val="2"/>
            <w:tcBorders>
              <w:left w:val="single" w:color="auto" w:sz="4" w:space="0"/>
              <w:bottom w:val="single" w:color="auto" w:sz="4" w:space="0"/>
            </w:tcBorders>
            <w:vAlign w:val="center"/>
          </w:tcPr>
          <w:p w14:paraId="0670D113">
            <w:pPr>
              <w:pStyle w:val="70"/>
              <w:autoSpaceDE w:val="0"/>
              <w:autoSpaceDN w:val="0"/>
              <w:spacing w:line="300" w:lineRule="exact"/>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检测依据</w:t>
            </w:r>
          </w:p>
        </w:tc>
      </w:tr>
      <w:tr w14:paraId="052213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175" w:type="dxa"/>
            <w:vMerge w:val="continue"/>
            <w:tcBorders>
              <w:top w:val="single" w:color="auto" w:sz="4" w:space="0"/>
              <w:bottom w:val="single" w:color="auto" w:sz="4" w:space="0"/>
              <w:right w:val="single" w:color="auto" w:sz="4" w:space="0"/>
            </w:tcBorders>
            <w:vAlign w:val="center"/>
          </w:tcPr>
          <w:p w14:paraId="367507C1">
            <w:pPr>
              <w:pStyle w:val="70"/>
              <w:autoSpaceDE w:val="0"/>
              <w:autoSpaceDN w:val="0"/>
              <w:spacing w:line="300" w:lineRule="exact"/>
              <w:rPr>
                <w:rFonts w:asciiTheme="minorHAnsi" w:hAnsiTheme="minorHAnsi" w:eastAsiaTheme="minorEastAsia" w:cstheme="minorBidi"/>
                <w:b/>
                <w:bCs/>
                <w:color w:val="000000" w:themeColor="text1"/>
                <w:lang w:val="zh-CN" w:eastAsia="en-US" w:bidi="zh-CN"/>
                <w14:textFill>
                  <w14:solidFill>
                    <w14:schemeClr w14:val="tx1"/>
                  </w14:solidFill>
                </w14:textFill>
              </w:rPr>
            </w:pPr>
          </w:p>
        </w:tc>
        <w:tc>
          <w:tcPr>
            <w:tcW w:w="4976" w:type="dxa"/>
            <w:tcBorders>
              <w:top w:val="single" w:color="auto" w:sz="4" w:space="0"/>
              <w:left w:val="single" w:color="auto" w:sz="4" w:space="0"/>
              <w:bottom w:val="single" w:color="auto" w:sz="4" w:space="0"/>
              <w:right w:val="single" w:color="auto" w:sz="4" w:space="0"/>
            </w:tcBorders>
            <w:vAlign w:val="center"/>
          </w:tcPr>
          <w:p w14:paraId="74343EE7">
            <w:pPr>
              <w:pStyle w:val="70"/>
              <w:autoSpaceDE w:val="0"/>
              <w:autoSpaceDN w:val="0"/>
              <w:spacing w:line="300" w:lineRule="exact"/>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方法来源</w:t>
            </w:r>
          </w:p>
        </w:tc>
        <w:tc>
          <w:tcPr>
            <w:tcW w:w="1891" w:type="dxa"/>
            <w:tcBorders>
              <w:top w:val="single" w:color="auto" w:sz="4" w:space="0"/>
              <w:left w:val="single" w:color="auto" w:sz="4" w:space="0"/>
              <w:bottom w:val="single" w:color="auto" w:sz="4" w:space="0"/>
            </w:tcBorders>
            <w:vAlign w:val="center"/>
          </w:tcPr>
          <w:p w14:paraId="12410EFE">
            <w:pPr>
              <w:pStyle w:val="70"/>
              <w:autoSpaceDE w:val="0"/>
              <w:autoSpaceDN w:val="0"/>
              <w:spacing w:line="300" w:lineRule="exact"/>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检出限</w:t>
            </w:r>
          </w:p>
        </w:tc>
      </w:tr>
      <w:tr w14:paraId="2D9BC6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175" w:type="dxa"/>
            <w:tcBorders>
              <w:top w:val="single" w:color="auto" w:sz="4" w:space="0"/>
              <w:bottom w:val="single" w:color="auto" w:sz="4" w:space="0"/>
              <w:right w:val="single" w:color="auto" w:sz="4" w:space="0"/>
            </w:tcBorders>
            <w:vAlign w:val="center"/>
          </w:tcPr>
          <w:p w14:paraId="6E56FD3B">
            <w:pPr>
              <w:pStyle w:val="70"/>
              <w:autoSpaceDE w:val="0"/>
              <w:autoSpaceDN w:val="0"/>
              <w:spacing w:line="300" w:lineRule="exact"/>
              <w:rPr>
                <w:rFonts w:asciiTheme="minorHAnsi" w:hAnsiTheme="minorHAnsi" w:eastAsiaTheme="minorEastAsia" w:cstheme="minorBidi"/>
                <w:color w:val="000000" w:themeColor="text1"/>
                <w:lang w:eastAsia="en-US"/>
                <w14:textFill>
                  <w14:solidFill>
                    <w14:schemeClr w14:val="tx1"/>
                  </w14:solidFill>
                </w14:textFill>
              </w:rPr>
            </w:pPr>
            <w:r>
              <w:rPr>
                <w:rFonts w:hint="eastAsia" w:asciiTheme="minorHAnsi" w:hAnsiTheme="minorHAnsi" w:eastAsiaTheme="minorEastAsia" w:cstheme="minorBidi"/>
                <w:color w:val="000000" w:themeColor="text1"/>
                <w:lang w:eastAsia="en-US"/>
                <w14:textFill>
                  <w14:solidFill>
                    <w14:schemeClr w14:val="tx1"/>
                  </w14:solidFill>
                </w14:textFill>
              </w:rPr>
              <w:t>苯乙烯</w:t>
            </w:r>
          </w:p>
        </w:tc>
        <w:tc>
          <w:tcPr>
            <w:tcW w:w="4976" w:type="dxa"/>
            <w:tcBorders>
              <w:top w:val="single" w:color="auto" w:sz="4" w:space="0"/>
              <w:left w:val="single" w:color="auto" w:sz="4" w:space="0"/>
              <w:bottom w:val="single" w:color="auto" w:sz="4" w:space="0"/>
              <w:right w:val="single" w:color="auto" w:sz="4" w:space="0"/>
            </w:tcBorders>
            <w:vAlign w:val="center"/>
          </w:tcPr>
          <w:p w14:paraId="66A1EB3B">
            <w:pPr>
              <w:pStyle w:val="70"/>
              <w:autoSpaceDE w:val="0"/>
              <w:autoSpaceDN w:val="0"/>
              <w:spacing w:line="300" w:lineRule="exact"/>
              <w:rPr>
                <w:rFonts w:asciiTheme="minorHAnsi" w:hAnsiTheme="minorHAnsi" w:eastAsiaTheme="minorEastAsia" w:cstheme="minorBidi"/>
                <w:color w:val="000000" w:themeColor="text1"/>
                <w:spacing w:val="-10"/>
                <w:lang w:eastAsia="zh-CN"/>
                <w14:textFill>
                  <w14:solidFill>
                    <w14:schemeClr w14:val="tx1"/>
                  </w14:solidFill>
                </w14:textFill>
              </w:rPr>
            </w:pPr>
            <w:r>
              <w:rPr>
                <w:rFonts w:hint="eastAsia" w:asciiTheme="minorHAnsi" w:hAnsiTheme="minorHAnsi" w:eastAsiaTheme="minorEastAsia" w:cstheme="minorBidi"/>
                <w:color w:val="000000" w:themeColor="text1"/>
                <w:spacing w:val="-10"/>
                <w:lang w:eastAsia="zh-CN"/>
                <w14:textFill>
                  <w14:solidFill>
                    <w14:schemeClr w14:val="tx1"/>
                  </w14:solidFill>
                </w14:textFill>
              </w:rPr>
              <w:t>环境空气</w:t>
            </w:r>
            <w:r>
              <w:rPr>
                <w:rFonts w:asciiTheme="minorHAnsi" w:hAnsiTheme="minorHAnsi" w:eastAsiaTheme="minorEastAsia" w:cstheme="minorBidi"/>
                <w:color w:val="000000" w:themeColor="text1"/>
                <w:spacing w:val="-10"/>
                <w:lang w:eastAsia="zh-CN"/>
                <w14:textFill>
                  <w14:solidFill>
                    <w14:schemeClr w14:val="tx1"/>
                  </w14:solidFill>
                </w14:textFill>
              </w:rPr>
              <w:t xml:space="preserve">  </w:t>
            </w:r>
            <w:r>
              <w:rPr>
                <w:rFonts w:hint="eastAsia" w:asciiTheme="minorHAnsi" w:hAnsiTheme="minorHAnsi" w:eastAsiaTheme="minorEastAsia" w:cstheme="minorBidi"/>
                <w:color w:val="000000" w:themeColor="text1"/>
                <w:spacing w:val="-10"/>
                <w:lang w:eastAsia="zh-CN"/>
                <w14:textFill>
                  <w14:solidFill>
                    <w14:schemeClr w14:val="tx1"/>
                  </w14:solidFill>
                </w14:textFill>
              </w:rPr>
              <w:t>苯系物的测定</w:t>
            </w:r>
            <w:r>
              <w:rPr>
                <w:rFonts w:asciiTheme="minorHAnsi" w:hAnsiTheme="minorHAnsi" w:eastAsiaTheme="minorEastAsia" w:cstheme="minorBidi"/>
                <w:color w:val="000000" w:themeColor="text1"/>
                <w:spacing w:val="-10"/>
                <w:lang w:eastAsia="zh-CN"/>
                <w14:textFill>
                  <w14:solidFill>
                    <w14:schemeClr w14:val="tx1"/>
                  </w14:solidFill>
                </w14:textFill>
              </w:rPr>
              <w:t xml:space="preserve">  </w:t>
            </w:r>
            <w:r>
              <w:rPr>
                <w:rFonts w:hint="eastAsia" w:asciiTheme="minorHAnsi" w:hAnsiTheme="minorHAnsi" w:eastAsiaTheme="minorEastAsia" w:cstheme="minorBidi"/>
                <w:color w:val="000000" w:themeColor="text1"/>
                <w:spacing w:val="-10"/>
                <w:lang w:eastAsia="zh-CN"/>
                <w14:textFill>
                  <w14:solidFill>
                    <w14:schemeClr w14:val="tx1"/>
                  </w14:solidFill>
                </w14:textFill>
              </w:rPr>
              <w:t>活性炭吸附</w:t>
            </w:r>
            <w:r>
              <w:rPr>
                <w:rFonts w:asciiTheme="minorHAnsi" w:hAnsiTheme="minorHAnsi" w:eastAsiaTheme="minorEastAsia" w:cstheme="minorBidi"/>
                <w:color w:val="000000" w:themeColor="text1"/>
                <w:spacing w:val="-10"/>
                <w:lang w:eastAsia="zh-CN"/>
                <w14:textFill>
                  <w14:solidFill>
                    <w14:schemeClr w14:val="tx1"/>
                  </w14:solidFill>
                </w14:textFill>
              </w:rPr>
              <w:t>/</w:t>
            </w:r>
            <w:r>
              <w:rPr>
                <w:rFonts w:hint="eastAsia" w:asciiTheme="minorHAnsi" w:hAnsiTheme="minorHAnsi" w:eastAsiaTheme="minorEastAsia" w:cstheme="minorBidi"/>
                <w:color w:val="000000" w:themeColor="text1"/>
                <w:spacing w:val="-10"/>
                <w:lang w:eastAsia="zh-CN"/>
                <w14:textFill>
                  <w14:solidFill>
                    <w14:schemeClr w14:val="tx1"/>
                  </w14:solidFill>
                </w14:textFill>
              </w:rPr>
              <w:t>二硫化碳解吸</w:t>
            </w:r>
            <w:r>
              <w:rPr>
                <w:rFonts w:asciiTheme="minorHAnsi" w:hAnsiTheme="minorHAnsi" w:eastAsiaTheme="minorEastAsia" w:cstheme="minorBidi"/>
                <w:color w:val="000000" w:themeColor="text1"/>
                <w:spacing w:val="-10"/>
                <w:lang w:eastAsia="zh-CN"/>
                <w14:textFill>
                  <w14:solidFill>
                    <w14:schemeClr w14:val="tx1"/>
                  </w14:solidFill>
                </w14:textFill>
              </w:rPr>
              <w:t>-</w:t>
            </w:r>
            <w:r>
              <w:rPr>
                <w:rFonts w:hint="eastAsia" w:asciiTheme="minorHAnsi" w:hAnsiTheme="minorHAnsi" w:eastAsiaTheme="minorEastAsia" w:cstheme="minorBidi"/>
                <w:color w:val="000000" w:themeColor="text1"/>
                <w:spacing w:val="-10"/>
                <w:lang w:eastAsia="zh-CN"/>
                <w14:textFill>
                  <w14:solidFill>
                    <w14:schemeClr w14:val="tx1"/>
                  </w14:solidFill>
                </w14:textFill>
              </w:rPr>
              <w:t>气相色谱法（</w:t>
            </w:r>
            <w:r>
              <w:rPr>
                <w:rFonts w:asciiTheme="minorHAnsi" w:hAnsiTheme="minorHAnsi" w:eastAsiaTheme="minorEastAsia" w:cstheme="minorBidi"/>
                <w:color w:val="000000" w:themeColor="text1"/>
                <w:spacing w:val="-10"/>
                <w:lang w:eastAsia="zh-CN"/>
                <w14:textFill>
                  <w14:solidFill>
                    <w14:schemeClr w14:val="tx1"/>
                  </w14:solidFill>
                </w14:textFill>
              </w:rPr>
              <w:t>HJ 584-2010</w:t>
            </w:r>
            <w:r>
              <w:rPr>
                <w:rFonts w:hint="eastAsia" w:asciiTheme="minorHAnsi" w:hAnsiTheme="minorHAnsi" w:eastAsiaTheme="minorEastAsia" w:cstheme="minorBidi"/>
                <w:color w:val="000000" w:themeColor="text1"/>
                <w:spacing w:val="-10"/>
                <w:lang w:eastAsia="zh-CN"/>
                <w14:textFill>
                  <w14:solidFill>
                    <w14:schemeClr w14:val="tx1"/>
                  </w14:solidFill>
                </w14:textFill>
              </w:rPr>
              <w:t>）</w:t>
            </w:r>
          </w:p>
        </w:tc>
        <w:tc>
          <w:tcPr>
            <w:tcW w:w="1891" w:type="dxa"/>
            <w:tcBorders>
              <w:top w:val="single" w:color="auto" w:sz="4" w:space="0"/>
              <w:left w:val="single" w:color="auto" w:sz="4" w:space="0"/>
              <w:bottom w:val="single" w:color="auto" w:sz="4" w:space="0"/>
            </w:tcBorders>
            <w:vAlign w:val="center"/>
          </w:tcPr>
          <w:p w14:paraId="6F0CA30C">
            <w:pPr>
              <w:pStyle w:val="70"/>
              <w:autoSpaceDE w:val="0"/>
              <w:autoSpaceDN w:val="0"/>
              <w:spacing w:line="300" w:lineRule="exact"/>
              <w:rPr>
                <w:rFonts w:asciiTheme="minorHAnsi" w:hAnsiTheme="minorHAnsi" w:eastAsiaTheme="minorEastAsia" w:cstheme="minorBidi"/>
                <w:color w:val="000000" w:themeColor="text1"/>
                <w:lang w:eastAsia="en-US"/>
                <w14:textFill>
                  <w14:solidFill>
                    <w14:schemeClr w14:val="tx1"/>
                  </w14:solidFill>
                </w14:textFill>
              </w:rPr>
            </w:pPr>
            <w:r>
              <w:rPr>
                <w:rFonts w:asciiTheme="minorHAnsi" w:hAnsiTheme="minorHAnsi" w:eastAsiaTheme="minorEastAsia" w:cstheme="minorBidi"/>
                <w:color w:val="000000" w:themeColor="text1"/>
                <w:lang w:eastAsia="en-US"/>
                <w14:textFill>
                  <w14:solidFill>
                    <w14:schemeClr w14:val="tx1"/>
                  </w14:solidFill>
                </w14:textFill>
              </w:rPr>
              <w:t>1.5×10</w:t>
            </w:r>
            <w:r>
              <w:rPr>
                <w:rFonts w:asciiTheme="minorHAnsi" w:hAnsiTheme="minorHAnsi" w:eastAsiaTheme="minorEastAsia" w:cstheme="minorBidi"/>
                <w:color w:val="000000" w:themeColor="text1"/>
                <w:vertAlign w:val="superscript"/>
                <w:lang w:eastAsia="en-US"/>
                <w14:textFill>
                  <w14:solidFill>
                    <w14:schemeClr w14:val="tx1"/>
                  </w14:solidFill>
                </w14:textFill>
              </w:rPr>
              <w:t>-3</w:t>
            </w:r>
            <w:r>
              <w:rPr>
                <w:rFonts w:asciiTheme="minorHAnsi" w:hAnsiTheme="minorHAnsi" w:eastAsiaTheme="minorEastAsia" w:cstheme="minorBidi"/>
                <w:color w:val="000000" w:themeColor="text1"/>
                <w:lang w:eastAsia="en-US"/>
                <w14:textFill>
                  <w14:solidFill>
                    <w14:schemeClr w14:val="tx1"/>
                  </w14:solidFill>
                </w14:textFill>
              </w:rPr>
              <w:t>mg/m</w:t>
            </w:r>
            <w:r>
              <w:rPr>
                <w:rFonts w:asciiTheme="minorHAnsi" w:hAnsiTheme="minorHAnsi" w:eastAsiaTheme="minorEastAsia" w:cstheme="minorBidi"/>
                <w:color w:val="000000" w:themeColor="text1"/>
                <w:vertAlign w:val="superscript"/>
                <w:lang w:eastAsia="en-US"/>
                <w14:textFill>
                  <w14:solidFill>
                    <w14:schemeClr w14:val="tx1"/>
                  </w14:solidFill>
                </w14:textFill>
              </w:rPr>
              <w:t>3</w:t>
            </w:r>
          </w:p>
        </w:tc>
      </w:tr>
      <w:tr w14:paraId="224E2C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175" w:type="dxa"/>
            <w:tcBorders>
              <w:top w:val="single" w:color="auto" w:sz="4" w:space="0"/>
              <w:bottom w:val="single" w:color="auto" w:sz="4" w:space="0"/>
              <w:right w:val="single" w:color="auto" w:sz="4" w:space="0"/>
            </w:tcBorders>
            <w:vAlign w:val="center"/>
          </w:tcPr>
          <w:p w14:paraId="22DE930B">
            <w:pPr>
              <w:pStyle w:val="70"/>
              <w:autoSpaceDE w:val="0"/>
              <w:autoSpaceDN w:val="0"/>
              <w:spacing w:line="300" w:lineRule="exact"/>
              <w:rPr>
                <w:rFonts w:asciiTheme="minorHAnsi" w:hAnsiTheme="minorHAnsi" w:eastAsiaTheme="minorEastAsia" w:cstheme="minorBidi"/>
                <w:color w:val="000000" w:themeColor="text1"/>
                <w:lang w:eastAsia="en-US"/>
                <w14:textFill>
                  <w14:solidFill>
                    <w14:schemeClr w14:val="tx1"/>
                  </w14:solidFill>
                </w14:textFill>
              </w:rPr>
            </w:pPr>
            <w:r>
              <w:rPr>
                <w:rFonts w:asciiTheme="minorHAnsi" w:hAnsiTheme="minorHAnsi" w:eastAsiaTheme="minorEastAsia" w:cstheme="minorBidi"/>
                <w:color w:val="000000" w:themeColor="text1"/>
                <w:lang w:eastAsia="en-US"/>
                <w14:textFill>
                  <w14:solidFill>
                    <w14:schemeClr w14:val="tx1"/>
                  </w14:solidFill>
                </w14:textFill>
              </w:rPr>
              <w:t>非甲烷总烃</w:t>
            </w:r>
          </w:p>
        </w:tc>
        <w:tc>
          <w:tcPr>
            <w:tcW w:w="4976" w:type="dxa"/>
            <w:tcBorders>
              <w:top w:val="single" w:color="auto" w:sz="4" w:space="0"/>
              <w:left w:val="single" w:color="auto" w:sz="4" w:space="0"/>
              <w:bottom w:val="single" w:color="auto" w:sz="4" w:space="0"/>
              <w:right w:val="single" w:color="auto" w:sz="4" w:space="0"/>
            </w:tcBorders>
            <w:vAlign w:val="center"/>
          </w:tcPr>
          <w:p w14:paraId="29D8CADF">
            <w:pPr>
              <w:pStyle w:val="70"/>
              <w:autoSpaceDE w:val="0"/>
              <w:autoSpaceDN w:val="0"/>
              <w:spacing w:line="300" w:lineRule="exact"/>
              <w:rPr>
                <w:rFonts w:asciiTheme="minorHAnsi" w:hAnsiTheme="minorHAnsi" w:eastAsiaTheme="minorEastAsia" w:cstheme="minorBidi"/>
                <w:color w:val="000000" w:themeColor="text1"/>
                <w:spacing w:val="-10"/>
                <w:lang w:eastAsia="zh-CN"/>
                <w14:textFill>
                  <w14:solidFill>
                    <w14:schemeClr w14:val="tx1"/>
                  </w14:solidFill>
                </w14:textFill>
              </w:rPr>
            </w:pPr>
            <w:r>
              <w:rPr>
                <w:rFonts w:asciiTheme="minorHAnsi" w:hAnsiTheme="minorHAnsi" w:eastAsiaTheme="minorEastAsia" w:cstheme="minorBidi"/>
                <w:color w:val="000000" w:themeColor="text1"/>
                <w:spacing w:val="-10"/>
                <w:lang w:eastAsia="zh-CN"/>
                <w14:textFill>
                  <w14:solidFill>
                    <w14:schemeClr w14:val="tx1"/>
                  </w14:solidFill>
                </w14:textFill>
              </w:rPr>
              <w:t>环境空气 总烃、甲烷和非甲烷总烃的测定 直接进样-气相色谱法HJ 604-2017</w:t>
            </w:r>
          </w:p>
        </w:tc>
        <w:tc>
          <w:tcPr>
            <w:tcW w:w="1891" w:type="dxa"/>
            <w:tcBorders>
              <w:top w:val="single" w:color="auto" w:sz="4" w:space="0"/>
              <w:left w:val="single" w:color="auto" w:sz="4" w:space="0"/>
              <w:bottom w:val="single" w:color="auto" w:sz="4" w:space="0"/>
            </w:tcBorders>
            <w:vAlign w:val="center"/>
          </w:tcPr>
          <w:p w14:paraId="49321DFF">
            <w:pPr>
              <w:pStyle w:val="70"/>
              <w:autoSpaceDE w:val="0"/>
              <w:autoSpaceDN w:val="0"/>
              <w:spacing w:line="300" w:lineRule="exact"/>
              <w:rPr>
                <w:rFonts w:asciiTheme="minorHAnsi" w:hAnsiTheme="minorHAnsi" w:eastAsiaTheme="minorEastAsia" w:cstheme="minorBidi"/>
                <w:color w:val="000000" w:themeColor="text1"/>
                <w:lang w:eastAsia="zh-CN"/>
                <w14:textFill>
                  <w14:solidFill>
                    <w14:schemeClr w14:val="tx1"/>
                  </w14:solidFill>
                </w14:textFill>
              </w:rPr>
            </w:pPr>
          </w:p>
          <w:p w14:paraId="417913EC">
            <w:pPr>
              <w:pStyle w:val="70"/>
              <w:autoSpaceDE w:val="0"/>
              <w:autoSpaceDN w:val="0"/>
              <w:spacing w:line="300" w:lineRule="exact"/>
              <w:rPr>
                <w:rFonts w:asciiTheme="minorHAnsi" w:hAnsiTheme="minorHAnsi" w:eastAsiaTheme="minorEastAsia" w:cstheme="minorBidi"/>
                <w:color w:val="000000" w:themeColor="text1"/>
                <w:lang w:eastAsia="en-US"/>
                <w14:textFill>
                  <w14:solidFill>
                    <w14:schemeClr w14:val="tx1"/>
                  </w14:solidFill>
                </w14:textFill>
              </w:rPr>
            </w:pPr>
            <w:r>
              <w:rPr>
                <w:rFonts w:asciiTheme="minorHAnsi" w:hAnsiTheme="minorHAnsi" w:eastAsiaTheme="minorEastAsia" w:cstheme="minorBidi"/>
                <w:color w:val="000000" w:themeColor="text1"/>
                <w:lang w:eastAsia="en-US"/>
                <w14:textFill>
                  <w14:solidFill>
                    <w14:schemeClr w14:val="tx1"/>
                  </w14:solidFill>
                </w14:textFill>
              </w:rPr>
              <w:t>0.07 mg/m3</w:t>
            </w:r>
          </w:p>
        </w:tc>
      </w:tr>
      <w:tr w14:paraId="3ED795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175" w:type="dxa"/>
            <w:tcBorders>
              <w:top w:val="single" w:color="auto" w:sz="4" w:space="0"/>
              <w:right w:val="single" w:color="auto" w:sz="4" w:space="0"/>
            </w:tcBorders>
            <w:vAlign w:val="center"/>
          </w:tcPr>
          <w:p w14:paraId="6C39DA65">
            <w:pPr>
              <w:pStyle w:val="70"/>
              <w:autoSpaceDE w:val="0"/>
              <w:autoSpaceDN w:val="0"/>
              <w:spacing w:line="300" w:lineRule="exact"/>
              <w:rPr>
                <w:rFonts w:asciiTheme="minorHAnsi" w:hAnsiTheme="minorHAnsi" w:eastAsiaTheme="minorEastAsia" w:cstheme="minorBidi"/>
                <w:color w:val="000000" w:themeColor="text1"/>
                <w:lang w:eastAsia="en-US"/>
                <w14:textFill>
                  <w14:solidFill>
                    <w14:schemeClr w14:val="tx1"/>
                  </w14:solidFill>
                </w14:textFill>
              </w:rPr>
            </w:pPr>
            <w:r>
              <w:rPr>
                <w:rFonts w:hint="eastAsia" w:asciiTheme="minorHAnsi" w:hAnsiTheme="minorHAnsi" w:eastAsiaTheme="minorEastAsia" w:cstheme="minorBidi"/>
                <w:color w:val="000000" w:themeColor="text1"/>
                <w:lang w:eastAsia="en-US"/>
                <w14:textFill>
                  <w14:solidFill>
                    <w14:schemeClr w14:val="tx1"/>
                  </w14:solidFill>
                </w14:textFill>
              </w:rPr>
              <w:t>硫酸雾</w:t>
            </w:r>
          </w:p>
        </w:tc>
        <w:tc>
          <w:tcPr>
            <w:tcW w:w="4976" w:type="dxa"/>
            <w:tcBorders>
              <w:top w:val="single" w:color="auto" w:sz="4" w:space="0"/>
              <w:left w:val="single" w:color="auto" w:sz="4" w:space="0"/>
              <w:right w:val="single" w:color="auto" w:sz="4" w:space="0"/>
            </w:tcBorders>
            <w:vAlign w:val="center"/>
          </w:tcPr>
          <w:p w14:paraId="6A748FED">
            <w:pPr>
              <w:pStyle w:val="70"/>
              <w:autoSpaceDE w:val="0"/>
              <w:autoSpaceDN w:val="0"/>
              <w:spacing w:line="300" w:lineRule="exact"/>
              <w:rPr>
                <w:rFonts w:asciiTheme="minorHAnsi" w:hAnsiTheme="minorHAnsi" w:eastAsiaTheme="minorEastAsia" w:cstheme="minorBidi"/>
                <w:color w:val="000000" w:themeColor="text1"/>
                <w:spacing w:val="-10"/>
                <w:lang w:eastAsia="zh-CN"/>
                <w14:textFill>
                  <w14:solidFill>
                    <w14:schemeClr w14:val="tx1"/>
                  </w14:solidFill>
                </w14:textFill>
              </w:rPr>
            </w:pPr>
            <w:r>
              <w:rPr>
                <w:rFonts w:asciiTheme="minorHAnsi" w:hAnsiTheme="minorHAnsi" w:eastAsiaTheme="minorEastAsia" w:cstheme="minorBidi"/>
                <w:color w:val="000000" w:themeColor="text1"/>
                <w:spacing w:val="-10"/>
                <w:lang w:eastAsia="zh-CN"/>
                <w14:textFill>
                  <w14:solidFill>
                    <w14:schemeClr w14:val="tx1"/>
                  </w14:solidFill>
                </w14:textFill>
              </w:rPr>
              <w:t>固定污染源废气 硫酸雾的测定 离子色谱法（HJ 544-2016）</w:t>
            </w:r>
          </w:p>
        </w:tc>
        <w:tc>
          <w:tcPr>
            <w:tcW w:w="1891" w:type="dxa"/>
            <w:tcBorders>
              <w:top w:val="single" w:color="auto" w:sz="4" w:space="0"/>
              <w:left w:val="single" w:color="auto" w:sz="4" w:space="0"/>
            </w:tcBorders>
            <w:vAlign w:val="center"/>
          </w:tcPr>
          <w:p w14:paraId="44A6C8C3">
            <w:pPr>
              <w:pStyle w:val="70"/>
              <w:autoSpaceDE w:val="0"/>
              <w:autoSpaceDN w:val="0"/>
              <w:spacing w:line="300" w:lineRule="exact"/>
              <w:rPr>
                <w:rFonts w:asciiTheme="minorHAnsi" w:hAnsiTheme="minorHAnsi" w:eastAsiaTheme="minorEastAsia" w:cstheme="minorBidi"/>
                <w:color w:val="000000" w:themeColor="text1"/>
                <w:lang w:eastAsia="en-US"/>
                <w14:textFill>
                  <w14:solidFill>
                    <w14:schemeClr w14:val="tx1"/>
                  </w14:solidFill>
                </w14:textFill>
              </w:rPr>
            </w:pPr>
            <w:r>
              <w:rPr>
                <w:rFonts w:asciiTheme="minorHAnsi" w:hAnsiTheme="minorHAnsi" w:eastAsiaTheme="minorEastAsia" w:cstheme="minorBidi"/>
                <w:color w:val="000000" w:themeColor="text1"/>
                <w:lang w:eastAsia="en-US"/>
                <w14:textFill>
                  <w14:solidFill>
                    <w14:schemeClr w14:val="tx1"/>
                  </w14:solidFill>
                </w14:textFill>
              </w:rPr>
              <w:t>0.005mg/m3</w:t>
            </w:r>
          </w:p>
        </w:tc>
      </w:tr>
    </w:tbl>
    <w:p w14:paraId="3EDEE943">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3、评价标准</w:t>
      </w:r>
    </w:p>
    <w:p w14:paraId="74A0F9AE">
      <w:pPr>
        <w:ind w:firstLine="464"/>
        <w:rPr>
          <w:color w:val="000000" w:themeColor="text1"/>
          <w:spacing w:val="-4"/>
          <w:kern w:val="0"/>
          <w:szCs w:val="22"/>
          <w14:textFill>
            <w14:solidFill>
              <w14:schemeClr w14:val="tx1"/>
            </w14:solidFill>
          </w14:textFill>
        </w:rPr>
      </w:pPr>
      <w:r>
        <w:rPr>
          <w:color w:val="000000" w:themeColor="text1"/>
          <w:spacing w:val="-4"/>
          <w:kern w:val="0"/>
          <w:szCs w:val="22"/>
          <w14:textFill>
            <w14:solidFill>
              <w14:schemeClr w14:val="tx1"/>
            </w14:solidFill>
          </w14:textFill>
        </w:rPr>
        <w:t>执行</w:t>
      </w:r>
      <w:r>
        <w:rPr>
          <w:color w:val="000000" w:themeColor="text1"/>
          <w:kern w:val="0"/>
          <w:szCs w:val="22"/>
          <w14:textFill>
            <w14:solidFill>
              <w14:schemeClr w14:val="tx1"/>
            </w14:solidFill>
          </w14:textFill>
        </w:rPr>
        <w:t>《环境空气质</w:t>
      </w:r>
      <w:r>
        <w:rPr>
          <w:color w:val="000000" w:themeColor="text1"/>
          <w:spacing w:val="-4"/>
          <w:kern w:val="0"/>
          <w:szCs w:val="22"/>
          <w14:textFill>
            <w14:solidFill>
              <w14:schemeClr w14:val="tx1"/>
            </w14:solidFill>
          </w14:textFill>
        </w:rPr>
        <w:t>量标准》（</w:t>
      </w:r>
      <w:r>
        <w:rPr>
          <w:color w:val="000000" w:themeColor="text1"/>
          <w:kern w:val="0"/>
          <w:szCs w:val="22"/>
          <w14:textFill>
            <w14:solidFill>
              <w14:schemeClr w14:val="tx1"/>
            </w14:solidFill>
          </w14:textFill>
        </w:rPr>
        <w:t>GB3095-2012）</w:t>
      </w:r>
      <w:r>
        <w:rPr>
          <w:color w:val="000000" w:themeColor="text1"/>
          <w:spacing w:val="-4"/>
          <w:kern w:val="0"/>
          <w:szCs w:val="22"/>
          <w14:textFill>
            <w14:solidFill>
              <w14:schemeClr w14:val="tx1"/>
            </w14:solidFill>
          </w14:textFill>
        </w:rPr>
        <w:t>中的二级标准</w:t>
      </w:r>
      <w:r>
        <w:rPr>
          <w:rFonts w:hint="eastAsia"/>
          <w:color w:val="000000" w:themeColor="text1"/>
          <w:spacing w:val="-4"/>
          <w:kern w:val="0"/>
          <w:szCs w:val="22"/>
          <w14:textFill>
            <w14:solidFill>
              <w14:schemeClr w14:val="tx1"/>
            </w14:solidFill>
          </w14:textFill>
        </w:rPr>
        <w:t>，</w:t>
      </w:r>
      <w:r>
        <w:rPr>
          <w:color w:val="000000" w:themeColor="text1"/>
          <w:spacing w:val="-4"/>
          <w:kern w:val="0"/>
          <w:szCs w:val="22"/>
          <w14:textFill>
            <w14:solidFill>
              <w14:schemeClr w14:val="tx1"/>
            </w14:solidFill>
          </w14:textFill>
        </w:rPr>
        <w:t>详见表1.4-</w:t>
      </w:r>
      <w:r>
        <w:rPr>
          <w:rFonts w:hint="eastAsia"/>
          <w:color w:val="000000" w:themeColor="text1"/>
          <w:spacing w:val="-4"/>
          <w:kern w:val="0"/>
          <w:szCs w:val="22"/>
          <w14:textFill>
            <w14:solidFill>
              <w14:schemeClr w14:val="tx1"/>
            </w14:solidFill>
          </w14:textFill>
        </w:rPr>
        <w:t>1</w:t>
      </w:r>
      <w:r>
        <w:rPr>
          <w:color w:val="000000" w:themeColor="text1"/>
          <w:spacing w:val="-4"/>
          <w:kern w:val="0"/>
          <w:szCs w:val="22"/>
          <w14:textFill>
            <w14:solidFill>
              <w14:schemeClr w14:val="tx1"/>
            </w14:solidFill>
          </w14:textFill>
        </w:rPr>
        <w:t>。</w:t>
      </w:r>
    </w:p>
    <w:p w14:paraId="271CE224">
      <w:pPr>
        <w:ind w:firstLine="480"/>
        <w:rPr>
          <w:color w:val="000000" w:themeColor="text1"/>
          <w:kern w:val="0"/>
          <w14:textFill>
            <w14:solidFill>
              <w14:schemeClr w14:val="tx1"/>
            </w14:solidFill>
          </w14:textFill>
        </w:rPr>
      </w:pPr>
      <w:r>
        <w:rPr>
          <w:color w:val="000000" w:themeColor="text1"/>
          <w:kern w:val="0"/>
          <w:szCs w:val="22"/>
          <w14:textFill>
            <w14:solidFill>
              <w14:schemeClr w14:val="tx1"/>
            </w14:solidFill>
          </w14:textFill>
        </w:rPr>
        <w:t>4、评价方法</w:t>
      </w:r>
    </w:p>
    <w:p w14:paraId="0D6DD1FF">
      <w:pPr>
        <w:ind w:firstLine="480"/>
        <w:rPr>
          <w:color w:val="000000" w:themeColor="text1"/>
          <w14:textFill>
            <w14:solidFill>
              <w14:schemeClr w14:val="tx1"/>
            </w14:solidFill>
          </w14:textFill>
        </w:rPr>
      </w:pPr>
      <w:r>
        <w:rPr>
          <w:color w:val="000000" w:themeColor="text1"/>
          <w14:textFill>
            <w14:solidFill>
              <w14:schemeClr w14:val="tx1"/>
            </w14:solidFill>
          </w14:textFill>
        </w:rPr>
        <w:t>采用单因子指数法。</w:t>
      </w:r>
    </w:p>
    <w:p w14:paraId="247459AC">
      <w:pPr>
        <w:ind w:firstLine="480"/>
        <w:rPr>
          <w:color w:val="000000" w:themeColor="text1"/>
          <w14:textFill>
            <w14:solidFill>
              <w14:schemeClr w14:val="tx1"/>
            </w14:solidFill>
          </w14:textFill>
        </w:rPr>
      </w:pPr>
      <w:r>
        <w:rPr>
          <w:color w:val="000000" w:themeColor="text1"/>
          <w14:textFill>
            <w14:solidFill>
              <w14:schemeClr w14:val="tx1"/>
            </w14:solidFill>
          </w14:textFill>
        </w:rPr>
        <w:t>公式为：</w:t>
      </w:r>
      <w:r>
        <w:rPr>
          <w:i/>
          <w:color w:val="000000" w:themeColor="text1"/>
          <w14:textFill>
            <w14:solidFill>
              <w14:schemeClr w14:val="tx1"/>
            </w14:solidFill>
          </w14:textFill>
        </w:rPr>
        <w:t>P</w:t>
      </w:r>
      <w:r>
        <w:rPr>
          <w:i/>
          <w:color w:val="000000" w:themeColor="text1"/>
          <w:vertAlign w:val="subscript"/>
          <w14:textFill>
            <w14:solidFill>
              <w14:schemeClr w14:val="tx1"/>
            </w14:solidFill>
          </w14:textFill>
        </w:rPr>
        <w:t>i</w:t>
      </w:r>
      <w:r>
        <w:rPr>
          <w:color w:val="000000" w:themeColor="text1"/>
          <w14:textFill>
            <w14:solidFill>
              <w14:schemeClr w14:val="tx1"/>
            </w14:solidFill>
          </w14:textFill>
        </w:rPr>
        <w:t>＝</w:t>
      </w:r>
      <w:r>
        <w:rPr>
          <w:i/>
          <w:color w:val="000000" w:themeColor="text1"/>
          <w14:textFill>
            <w14:solidFill>
              <w14:schemeClr w14:val="tx1"/>
            </w14:solidFill>
          </w14:textFill>
        </w:rPr>
        <w:t>C</w:t>
      </w:r>
      <w:r>
        <w:rPr>
          <w:i/>
          <w:color w:val="000000" w:themeColor="text1"/>
          <w:vertAlign w:val="subscript"/>
          <w14:textFill>
            <w14:solidFill>
              <w14:schemeClr w14:val="tx1"/>
            </w14:solidFill>
          </w14:textFill>
        </w:rPr>
        <w:t>i</w:t>
      </w:r>
      <w:r>
        <w:rPr>
          <w:i/>
          <w:color w:val="000000" w:themeColor="text1"/>
          <w14:textFill>
            <w14:solidFill>
              <w14:schemeClr w14:val="tx1"/>
            </w14:solidFill>
          </w14:textFill>
        </w:rPr>
        <w:t>／S</w:t>
      </w:r>
      <w:r>
        <w:rPr>
          <w:i/>
          <w:color w:val="000000" w:themeColor="text1"/>
          <w:vertAlign w:val="subscript"/>
          <w14:textFill>
            <w14:solidFill>
              <w14:schemeClr w14:val="tx1"/>
            </w14:solidFill>
          </w14:textFill>
        </w:rPr>
        <w:t>i</w:t>
      </w:r>
    </w:p>
    <w:p w14:paraId="0AA65F35">
      <w:pPr>
        <w:ind w:firstLine="480"/>
        <w:rPr>
          <w:color w:val="000000" w:themeColor="text1"/>
          <w14:textFill>
            <w14:solidFill>
              <w14:schemeClr w14:val="tx1"/>
            </w14:solidFill>
          </w14:textFill>
        </w:rPr>
      </w:pPr>
      <w:r>
        <w:rPr>
          <w:color w:val="000000" w:themeColor="text1"/>
          <w14:textFill>
            <w14:solidFill>
              <w14:schemeClr w14:val="tx1"/>
            </w14:solidFill>
          </w14:textFill>
        </w:rPr>
        <w:t>式中：</w:t>
      </w:r>
      <w:r>
        <w:rPr>
          <w:i/>
          <w:iCs/>
          <w:color w:val="000000" w:themeColor="text1"/>
          <w14:textFill>
            <w14:solidFill>
              <w14:schemeClr w14:val="tx1"/>
            </w14:solidFill>
          </w14:textFill>
        </w:rPr>
        <w:t>P</w:t>
      </w:r>
      <w:r>
        <w:rPr>
          <w:i/>
          <w:iCs/>
          <w:color w:val="000000" w:themeColor="text1"/>
          <w:vertAlign w:val="subscript"/>
          <w14:textFill>
            <w14:solidFill>
              <w14:schemeClr w14:val="tx1"/>
            </w14:solidFill>
          </w14:textFill>
        </w:rPr>
        <w:t>i</w:t>
      </w:r>
      <w:r>
        <w:rPr>
          <w:color w:val="000000" w:themeColor="text1"/>
          <w14:textFill>
            <w14:solidFill>
              <w14:schemeClr w14:val="tx1"/>
            </w14:solidFill>
          </w14:textFill>
        </w:rPr>
        <w:t>——某污染物的单项质量指数；</w:t>
      </w:r>
    </w:p>
    <w:p w14:paraId="6BF66250">
      <w:pPr>
        <w:ind w:firstLine="480"/>
        <w:rPr>
          <w:color w:val="000000" w:themeColor="text1"/>
          <w14:textFill>
            <w14:solidFill>
              <w14:schemeClr w14:val="tx1"/>
            </w14:solidFill>
          </w14:textFill>
        </w:rPr>
      </w:pPr>
      <w:r>
        <w:rPr>
          <w:color w:val="000000" w:themeColor="text1"/>
          <w14:textFill>
            <w14:solidFill>
              <w14:schemeClr w14:val="tx1"/>
            </w14:solidFill>
          </w14:textFill>
        </w:rPr>
        <w:t xml:space="preserve">      </w:t>
      </w:r>
      <w:r>
        <w:rPr>
          <w:i/>
          <w:iCs/>
          <w:color w:val="000000" w:themeColor="text1"/>
          <w14:textFill>
            <w14:solidFill>
              <w14:schemeClr w14:val="tx1"/>
            </w14:solidFill>
          </w14:textFill>
        </w:rPr>
        <w:t>C</w:t>
      </w:r>
      <w:r>
        <w:rPr>
          <w:i/>
          <w:iCs/>
          <w:color w:val="000000" w:themeColor="text1"/>
          <w:vertAlign w:val="subscript"/>
          <w14:textFill>
            <w14:solidFill>
              <w14:schemeClr w14:val="tx1"/>
            </w14:solidFill>
          </w14:textFill>
        </w:rPr>
        <w:t>i</w:t>
      </w:r>
      <w:r>
        <w:rPr>
          <w:color w:val="000000" w:themeColor="text1"/>
          <w14:textFill>
            <w14:solidFill>
              <w14:schemeClr w14:val="tx1"/>
            </w14:solidFill>
          </w14:textFill>
        </w:rPr>
        <w:t>——某污染物的实测浓度，mg/m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14:paraId="43A284A9">
      <w:pPr>
        <w:ind w:firstLine="480"/>
        <w:rPr>
          <w:color w:val="000000" w:themeColor="text1"/>
          <w14:textFill>
            <w14:solidFill>
              <w14:schemeClr w14:val="tx1"/>
            </w14:solidFill>
          </w14:textFill>
        </w:rPr>
      </w:pPr>
      <w:r>
        <w:rPr>
          <w:color w:val="000000" w:themeColor="text1"/>
          <w14:textFill>
            <w14:solidFill>
              <w14:schemeClr w14:val="tx1"/>
            </w14:solidFill>
          </w14:textFill>
        </w:rPr>
        <w:t xml:space="preserve">      </w:t>
      </w:r>
      <w:r>
        <w:rPr>
          <w:i/>
          <w:iCs/>
          <w:color w:val="000000" w:themeColor="text1"/>
          <w14:textFill>
            <w14:solidFill>
              <w14:schemeClr w14:val="tx1"/>
            </w14:solidFill>
          </w14:textFill>
        </w:rPr>
        <w:t>S</w:t>
      </w:r>
      <w:r>
        <w:rPr>
          <w:i/>
          <w:iCs/>
          <w:color w:val="000000" w:themeColor="text1"/>
          <w:vertAlign w:val="subscript"/>
          <w14:textFill>
            <w14:solidFill>
              <w14:schemeClr w14:val="tx1"/>
            </w14:solidFill>
          </w14:textFill>
        </w:rPr>
        <w:t>i</w:t>
      </w:r>
      <w:r>
        <w:rPr>
          <w:color w:val="000000" w:themeColor="text1"/>
          <w14:textFill>
            <w14:solidFill>
              <w14:schemeClr w14:val="tx1"/>
            </w14:solidFill>
          </w14:textFill>
        </w:rPr>
        <w:t>——某污染物的评价标准限值，mg/m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14:paraId="68CB0E9C">
      <w:pPr>
        <w:ind w:firstLine="480"/>
        <w:rPr>
          <w:color w:val="000000" w:themeColor="text1"/>
          <w14:textFill>
            <w14:solidFill>
              <w14:schemeClr w14:val="tx1"/>
            </w14:solidFill>
          </w14:textFill>
        </w:rPr>
      </w:pPr>
      <w:r>
        <w:rPr>
          <w:color w:val="000000" w:themeColor="text1"/>
          <w14:textFill>
            <w14:solidFill>
              <w14:schemeClr w14:val="tx1"/>
            </w14:solidFill>
          </w14:textFill>
        </w:rPr>
        <w:t>5、监测结果及评价</w:t>
      </w:r>
    </w:p>
    <w:p w14:paraId="1AB7125C">
      <w:pPr>
        <w:ind w:firstLine="480"/>
        <w:rPr>
          <w:color w:val="000000" w:themeColor="text1"/>
          <w14:textFill>
            <w14:solidFill>
              <w14:schemeClr w14:val="tx1"/>
            </w14:solidFill>
          </w14:textFill>
        </w:rPr>
      </w:pPr>
      <w:r>
        <w:rPr>
          <w:color w:val="000000" w:themeColor="text1"/>
          <w14:textFill>
            <w14:solidFill>
              <w14:schemeClr w14:val="tx1"/>
            </w14:solidFill>
          </w14:textFill>
        </w:rPr>
        <w:t>项目补充监测环境空气质量监测结果及评价见表3.3-</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和附件</w:t>
      </w:r>
      <w:r>
        <w:rPr>
          <w:rFonts w:hint="eastAsia"/>
          <w:color w:val="000000" w:themeColor="text1"/>
          <w14:textFill>
            <w14:solidFill>
              <w14:schemeClr w14:val="tx1"/>
            </w14:solidFill>
          </w14:textFill>
        </w:rPr>
        <w:t>7、8</w:t>
      </w:r>
      <w:r>
        <w:rPr>
          <w:color w:val="000000" w:themeColor="text1"/>
          <w14:textFill>
            <w14:solidFill>
              <w14:schemeClr w14:val="tx1"/>
            </w14:solidFill>
          </w14:textFill>
        </w:rPr>
        <w:t>。根据补充监测结果，各特征因子均能满足《环境影响评价技术导则 大气环境》（HJ2.2-2018）中附录D空气质量浓度参考限值和《大气污染物综合排放标准详解》相关要求。</w:t>
      </w:r>
    </w:p>
    <w:p w14:paraId="691D9C00">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现状监测结果一览表</w:t>
      </w:r>
    </w:p>
    <w:tbl>
      <w:tblPr>
        <w:tblStyle w:val="43"/>
        <w:tblpPr w:leftFromText="180" w:rightFromText="180" w:vertAnchor="text" w:tblpXSpec="center" w:tblpY="1"/>
        <w:tblOverlap w:val="never"/>
        <w:tblW w:w="499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38"/>
        <w:gridCol w:w="1169"/>
        <w:gridCol w:w="1305"/>
        <w:gridCol w:w="1825"/>
        <w:gridCol w:w="1825"/>
        <w:gridCol w:w="1831"/>
      </w:tblGrid>
      <w:tr w14:paraId="27BB9B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restart"/>
            <w:vAlign w:val="center"/>
          </w:tcPr>
          <w:p w14:paraId="5BE635E6">
            <w:pPr>
              <w:pStyle w:val="70"/>
              <w:autoSpaceDE w:val="0"/>
              <w:autoSpaceDN w:val="0"/>
              <w:rPr>
                <w:rFonts w:eastAsiaTheme="minorEastAsia"/>
                <w:b/>
                <w:bCs/>
                <w:color w:val="000000" w:themeColor="text1"/>
                <w:spacing w:val="-10"/>
                <w14:textFill>
                  <w14:solidFill>
                    <w14:schemeClr w14:val="tx1"/>
                  </w14:solidFill>
                </w14:textFill>
              </w:rPr>
            </w:pPr>
            <w:bookmarkStart w:id="576" w:name="_Toc25436975"/>
            <w:bookmarkStart w:id="577" w:name="_Toc135090230"/>
            <w:bookmarkStart w:id="578" w:name="_Toc26910020"/>
            <w:bookmarkStart w:id="579" w:name="_Toc136878478"/>
            <w:bookmarkStart w:id="580" w:name="_Toc29131833"/>
            <w:r>
              <w:rPr>
                <w:rFonts w:hint="eastAsia" w:eastAsiaTheme="minorEastAsia"/>
                <w:b/>
                <w:bCs/>
                <w:color w:val="000000" w:themeColor="text1"/>
                <w:spacing w:val="-10"/>
                <w14:textFill>
                  <w14:solidFill>
                    <w14:schemeClr w14:val="tx1"/>
                  </w14:solidFill>
                </w14:textFill>
              </w:rPr>
              <w:t>检测点位</w:t>
            </w:r>
          </w:p>
        </w:tc>
        <w:tc>
          <w:tcPr>
            <w:tcW w:w="1331" w:type="pct"/>
            <w:gridSpan w:val="2"/>
            <w:vMerge w:val="restart"/>
            <w:vAlign w:val="center"/>
          </w:tcPr>
          <w:p w14:paraId="7A3105D9">
            <w:pPr>
              <w:pStyle w:val="70"/>
              <w:autoSpaceDE w:val="0"/>
              <w:autoSpaceDN w:val="0"/>
              <w:rPr>
                <w:rFonts w:eastAsiaTheme="minorEastAsia"/>
                <w:b/>
                <w:bCs/>
                <w:color w:val="000000" w:themeColor="text1"/>
                <w:spacing w:val="-10"/>
                <w14:textFill>
                  <w14:solidFill>
                    <w14:schemeClr w14:val="tx1"/>
                  </w14:solidFill>
                </w14:textFill>
              </w:rPr>
            </w:pPr>
            <w:r>
              <w:rPr>
                <w:rFonts w:eastAsiaTheme="minorEastAsia"/>
                <w:b/>
                <w:bCs/>
                <w:color w:val="000000" w:themeColor="text1"/>
                <w:spacing w:val="-10"/>
                <w14:textFill>
                  <w14:solidFill>
                    <w14:schemeClr w14:val="tx1"/>
                  </w14:solidFill>
                </w14:textFill>
              </w:rPr>
              <w:t>采样时间</w:t>
            </w:r>
          </w:p>
        </w:tc>
        <w:tc>
          <w:tcPr>
            <w:tcW w:w="2949" w:type="pct"/>
            <w:gridSpan w:val="3"/>
            <w:vAlign w:val="center"/>
          </w:tcPr>
          <w:p w14:paraId="405B68D7">
            <w:pPr>
              <w:pStyle w:val="70"/>
              <w:autoSpaceDE w:val="0"/>
              <w:autoSpaceDN w:val="0"/>
              <w:rPr>
                <w:rFonts w:eastAsiaTheme="minorEastAsia"/>
                <w:b/>
                <w:bCs/>
                <w:color w:val="000000" w:themeColor="text1"/>
                <w:spacing w:val="-10"/>
                <w14:textFill>
                  <w14:solidFill>
                    <w14:schemeClr w14:val="tx1"/>
                  </w14:solidFill>
                </w14:textFill>
              </w:rPr>
            </w:pPr>
            <w:r>
              <w:rPr>
                <w:rFonts w:hint="eastAsia" w:eastAsiaTheme="minorEastAsia"/>
                <w:b/>
                <w:bCs/>
                <w:color w:val="000000" w:themeColor="text1"/>
                <w:spacing w:val="-10"/>
                <w14:textFill>
                  <w14:solidFill>
                    <w14:schemeClr w14:val="tx1"/>
                  </w14:solidFill>
                </w14:textFill>
              </w:rPr>
              <w:t>检测结果</w:t>
            </w:r>
            <w:r>
              <w:rPr>
                <w:rFonts w:eastAsiaTheme="minorEastAsia"/>
                <w:b/>
                <w:bCs/>
                <w:color w:val="000000" w:themeColor="text1"/>
                <w:spacing w:val="-10"/>
                <w14:textFill>
                  <w14:solidFill>
                    <w14:schemeClr w14:val="tx1"/>
                  </w14:solidFill>
                </w14:textFill>
              </w:rPr>
              <w:t>（单位：</w:t>
            </w:r>
            <w:r>
              <w:rPr>
                <w:rFonts w:hint="eastAsia" w:eastAsiaTheme="minorEastAsia"/>
                <w:b/>
                <w:bCs/>
                <w:color w:val="000000" w:themeColor="text1"/>
                <w:spacing w:val="-10"/>
                <w14:textFill>
                  <w14:solidFill>
                    <w14:schemeClr w14:val="tx1"/>
                  </w14:solidFill>
                </w14:textFill>
              </w:rPr>
              <w:t>m</w:t>
            </w:r>
            <w:r>
              <w:rPr>
                <w:rFonts w:eastAsiaTheme="minorEastAsia"/>
                <w:b/>
                <w:bCs/>
                <w:color w:val="000000" w:themeColor="text1"/>
                <w:spacing w:val="-10"/>
                <w14:textFill>
                  <w14:solidFill>
                    <w14:schemeClr w14:val="tx1"/>
                  </w14:solidFill>
                </w14:textFill>
              </w:rPr>
              <w:t>g/m</w:t>
            </w:r>
            <w:r>
              <w:rPr>
                <w:rFonts w:eastAsiaTheme="minorEastAsia"/>
                <w:b/>
                <w:bCs/>
                <w:color w:val="000000" w:themeColor="text1"/>
                <w:spacing w:val="-10"/>
                <w:vertAlign w:val="superscript"/>
                <w14:textFill>
                  <w14:solidFill>
                    <w14:schemeClr w14:val="tx1"/>
                  </w14:solidFill>
                </w14:textFill>
              </w:rPr>
              <w:t>3</w:t>
            </w:r>
            <w:r>
              <w:rPr>
                <w:rFonts w:eastAsiaTheme="minorEastAsia"/>
                <w:b/>
                <w:bCs/>
                <w:color w:val="000000" w:themeColor="text1"/>
                <w:spacing w:val="-10"/>
                <w14:textFill>
                  <w14:solidFill>
                    <w14:schemeClr w14:val="tx1"/>
                  </w14:solidFill>
                </w14:textFill>
              </w:rPr>
              <w:t>）</w:t>
            </w:r>
          </w:p>
        </w:tc>
      </w:tr>
      <w:tr w14:paraId="3878B4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7D3C8E69">
            <w:pPr>
              <w:pStyle w:val="70"/>
              <w:autoSpaceDE w:val="0"/>
              <w:autoSpaceDN w:val="0"/>
              <w:rPr>
                <w:rFonts w:eastAsiaTheme="minorEastAsia"/>
                <w:b/>
                <w:bCs/>
                <w:color w:val="000000" w:themeColor="text1"/>
                <w:spacing w:val="-10"/>
                <w14:textFill>
                  <w14:solidFill>
                    <w14:schemeClr w14:val="tx1"/>
                  </w14:solidFill>
                </w14:textFill>
              </w:rPr>
            </w:pPr>
          </w:p>
        </w:tc>
        <w:tc>
          <w:tcPr>
            <w:tcW w:w="1331" w:type="pct"/>
            <w:gridSpan w:val="2"/>
            <w:vMerge w:val="continue"/>
            <w:vAlign w:val="center"/>
          </w:tcPr>
          <w:p w14:paraId="54B08E80">
            <w:pPr>
              <w:pStyle w:val="70"/>
              <w:autoSpaceDE w:val="0"/>
              <w:autoSpaceDN w:val="0"/>
              <w:rPr>
                <w:rFonts w:eastAsiaTheme="minorEastAsia"/>
                <w:b/>
                <w:bCs/>
                <w:color w:val="000000" w:themeColor="text1"/>
                <w:spacing w:val="-10"/>
                <w14:textFill>
                  <w14:solidFill>
                    <w14:schemeClr w14:val="tx1"/>
                  </w14:solidFill>
                </w14:textFill>
              </w:rPr>
            </w:pPr>
          </w:p>
        </w:tc>
        <w:tc>
          <w:tcPr>
            <w:tcW w:w="982" w:type="pct"/>
            <w:vAlign w:val="center"/>
          </w:tcPr>
          <w:p w14:paraId="32C3AD16">
            <w:pPr>
              <w:pStyle w:val="70"/>
              <w:autoSpaceDE w:val="0"/>
              <w:autoSpaceDN w:val="0"/>
              <w:rPr>
                <w:rFonts w:eastAsiaTheme="minorEastAsia"/>
                <w:b/>
                <w:bCs/>
                <w:color w:val="000000" w:themeColor="text1"/>
                <w:spacing w:val="-10"/>
                <w14:textFill>
                  <w14:solidFill>
                    <w14:schemeClr w14:val="tx1"/>
                  </w14:solidFill>
                </w14:textFill>
              </w:rPr>
            </w:pPr>
            <w:r>
              <w:rPr>
                <w:rFonts w:eastAsiaTheme="minorEastAsia"/>
                <w:b/>
                <w:bCs/>
                <w:color w:val="000000" w:themeColor="text1"/>
                <w:spacing w:val="-10"/>
                <w14:textFill>
                  <w14:solidFill>
                    <w14:schemeClr w14:val="tx1"/>
                  </w14:solidFill>
                </w14:textFill>
              </w:rPr>
              <w:t>非甲烷总烃</w:t>
            </w:r>
          </w:p>
        </w:tc>
        <w:tc>
          <w:tcPr>
            <w:tcW w:w="982" w:type="pct"/>
            <w:vAlign w:val="center"/>
          </w:tcPr>
          <w:p w14:paraId="21EC3578">
            <w:pPr>
              <w:pStyle w:val="70"/>
              <w:autoSpaceDE w:val="0"/>
              <w:autoSpaceDN w:val="0"/>
              <w:rPr>
                <w:rFonts w:eastAsiaTheme="minorEastAsia"/>
                <w:b/>
                <w:bCs/>
                <w:color w:val="000000" w:themeColor="text1"/>
                <w:spacing w:val="-10"/>
                <w14:textFill>
                  <w14:solidFill>
                    <w14:schemeClr w14:val="tx1"/>
                  </w14:solidFill>
                </w14:textFill>
              </w:rPr>
            </w:pPr>
            <w:r>
              <w:rPr>
                <w:rFonts w:eastAsiaTheme="minorEastAsia"/>
                <w:b/>
                <w:bCs/>
                <w:color w:val="000000" w:themeColor="text1"/>
                <w:spacing w:val="-10"/>
                <w14:textFill>
                  <w14:solidFill>
                    <w14:schemeClr w14:val="tx1"/>
                  </w14:solidFill>
                </w14:textFill>
              </w:rPr>
              <w:t>苯乙烯</w:t>
            </w:r>
          </w:p>
        </w:tc>
        <w:tc>
          <w:tcPr>
            <w:tcW w:w="985" w:type="pct"/>
            <w:vAlign w:val="center"/>
          </w:tcPr>
          <w:p w14:paraId="10B77A0A">
            <w:pPr>
              <w:pStyle w:val="70"/>
              <w:autoSpaceDE w:val="0"/>
              <w:autoSpaceDN w:val="0"/>
              <w:rPr>
                <w:rFonts w:eastAsiaTheme="minorEastAsia"/>
                <w:b/>
                <w:bCs/>
                <w:color w:val="000000" w:themeColor="text1"/>
                <w:spacing w:val="-10"/>
                <w14:textFill>
                  <w14:solidFill>
                    <w14:schemeClr w14:val="tx1"/>
                  </w14:solidFill>
                </w14:textFill>
              </w:rPr>
            </w:pPr>
            <w:r>
              <w:rPr>
                <w:rFonts w:hint="eastAsia" w:eastAsiaTheme="minorEastAsia"/>
                <w:b/>
                <w:bCs/>
                <w:color w:val="000000" w:themeColor="text1"/>
                <w:spacing w:val="-10"/>
                <w14:textFill>
                  <w14:solidFill>
                    <w14:schemeClr w14:val="tx1"/>
                  </w14:solidFill>
                </w14:textFill>
              </w:rPr>
              <w:t>硫酸雾</w:t>
            </w:r>
          </w:p>
        </w:tc>
      </w:tr>
      <w:tr w14:paraId="237C8F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6F96A54D">
            <w:pPr>
              <w:pStyle w:val="70"/>
              <w:autoSpaceDE w:val="0"/>
              <w:autoSpaceDN w:val="0"/>
              <w:rPr>
                <w:rFonts w:eastAsiaTheme="minorEastAsia"/>
                <w:b/>
                <w:bCs/>
                <w:color w:val="000000" w:themeColor="text1"/>
                <w:spacing w:val="-10"/>
                <w14:textFill>
                  <w14:solidFill>
                    <w14:schemeClr w14:val="tx1"/>
                  </w14:solidFill>
                </w14:textFill>
              </w:rPr>
            </w:pPr>
          </w:p>
        </w:tc>
        <w:tc>
          <w:tcPr>
            <w:tcW w:w="1331" w:type="pct"/>
            <w:gridSpan w:val="2"/>
            <w:vMerge w:val="continue"/>
            <w:vAlign w:val="center"/>
          </w:tcPr>
          <w:p w14:paraId="44EA42C7">
            <w:pPr>
              <w:pStyle w:val="70"/>
              <w:autoSpaceDE w:val="0"/>
              <w:autoSpaceDN w:val="0"/>
              <w:rPr>
                <w:rFonts w:eastAsiaTheme="minorEastAsia"/>
                <w:b/>
                <w:bCs/>
                <w:color w:val="000000" w:themeColor="text1"/>
                <w:spacing w:val="-10"/>
                <w14:textFill>
                  <w14:solidFill>
                    <w14:schemeClr w14:val="tx1"/>
                  </w14:solidFill>
                </w14:textFill>
              </w:rPr>
            </w:pPr>
          </w:p>
        </w:tc>
        <w:tc>
          <w:tcPr>
            <w:tcW w:w="982" w:type="pct"/>
            <w:shd w:val="clear" w:color="auto" w:fill="auto"/>
            <w:vAlign w:val="center"/>
          </w:tcPr>
          <w:p w14:paraId="004A038B">
            <w:pPr>
              <w:pStyle w:val="70"/>
              <w:autoSpaceDE w:val="0"/>
              <w:autoSpaceDN w:val="0"/>
              <w:rPr>
                <w:rFonts w:eastAsiaTheme="minorEastAsia"/>
                <w:b/>
                <w:bCs/>
                <w:color w:val="000000" w:themeColor="text1"/>
                <w:spacing w:val="-10"/>
                <w14:textFill>
                  <w14:solidFill>
                    <w14:schemeClr w14:val="tx1"/>
                  </w14:solidFill>
                </w14:textFill>
              </w:rPr>
            </w:pPr>
            <w:r>
              <w:rPr>
                <w:rFonts w:hint="eastAsia" w:eastAsiaTheme="minorEastAsia"/>
                <w:b/>
                <w:bCs/>
                <w:color w:val="000000" w:themeColor="text1"/>
                <w:spacing w:val="-10"/>
                <w14:textFill>
                  <w14:solidFill>
                    <w14:schemeClr w14:val="tx1"/>
                  </w14:solidFill>
                </w14:textFill>
              </w:rPr>
              <w:t>小时值</w:t>
            </w:r>
          </w:p>
        </w:tc>
        <w:tc>
          <w:tcPr>
            <w:tcW w:w="982" w:type="pct"/>
            <w:shd w:val="clear" w:color="auto" w:fill="auto"/>
            <w:vAlign w:val="center"/>
          </w:tcPr>
          <w:p w14:paraId="7C22F5AC">
            <w:pPr>
              <w:pStyle w:val="70"/>
              <w:autoSpaceDE w:val="0"/>
              <w:autoSpaceDN w:val="0"/>
              <w:rPr>
                <w:rFonts w:eastAsiaTheme="minorEastAsia"/>
                <w:b/>
                <w:bCs/>
                <w:color w:val="000000" w:themeColor="text1"/>
                <w:spacing w:val="-10"/>
                <w14:textFill>
                  <w14:solidFill>
                    <w14:schemeClr w14:val="tx1"/>
                  </w14:solidFill>
                </w14:textFill>
              </w:rPr>
            </w:pPr>
            <w:r>
              <w:rPr>
                <w:rFonts w:hint="eastAsia" w:eastAsiaTheme="minorEastAsia"/>
                <w:b/>
                <w:bCs/>
                <w:color w:val="000000" w:themeColor="text1"/>
                <w:spacing w:val="-10"/>
                <w14:textFill>
                  <w14:solidFill>
                    <w14:schemeClr w14:val="tx1"/>
                  </w14:solidFill>
                </w14:textFill>
              </w:rPr>
              <w:t>小时值</w:t>
            </w:r>
          </w:p>
        </w:tc>
        <w:tc>
          <w:tcPr>
            <w:tcW w:w="983" w:type="pct"/>
            <w:shd w:val="clear" w:color="auto" w:fill="auto"/>
            <w:vAlign w:val="center"/>
          </w:tcPr>
          <w:p w14:paraId="45D4014E">
            <w:pPr>
              <w:pStyle w:val="70"/>
              <w:autoSpaceDE w:val="0"/>
              <w:autoSpaceDN w:val="0"/>
              <w:rPr>
                <w:rFonts w:eastAsiaTheme="minorEastAsia"/>
                <w:b/>
                <w:bCs/>
                <w:color w:val="000000" w:themeColor="text1"/>
                <w:spacing w:val="-10"/>
                <w14:textFill>
                  <w14:solidFill>
                    <w14:schemeClr w14:val="tx1"/>
                  </w14:solidFill>
                </w14:textFill>
              </w:rPr>
            </w:pPr>
            <w:r>
              <w:rPr>
                <w:rFonts w:hint="eastAsia" w:eastAsiaTheme="minorEastAsia"/>
                <w:b/>
                <w:bCs/>
                <w:color w:val="000000" w:themeColor="text1"/>
                <w:spacing w:val="-10"/>
                <w14:textFill>
                  <w14:solidFill>
                    <w14:schemeClr w14:val="tx1"/>
                  </w14:solidFill>
                </w14:textFill>
              </w:rPr>
              <w:t>小时值</w:t>
            </w:r>
          </w:p>
        </w:tc>
      </w:tr>
      <w:tr w14:paraId="1A5DAB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restart"/>
            <w:vAlign w:val="center"/>
          </w:tcPr>
          <w:p w14:paraId="54CC6C52">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G1码头前沿</w:t>
            </w:r>
          </w:p>
        </w:tc>
        <w:tc>
          <w:tcPr>
            <w:tcW w:w="629" w:type="pct"/>
            <w:vMerge w:val="restart"/>
            <w:vAlign w:val="center"/>
          </w:tcPr>
          <w:p w14:paraId="744C9E4C">
            <w:pPr>
              <w:pStyle w:val="70"/>
              <w:autoSpaceDE w:val="0"/>
              <w:autoSpaceDN w:val="0"/>
              <w:rPr>
                <w:rFonts w:eastAsiaTheme="minorEastAsia"/>
                <w:color w:val="000000" w:themeColor="text1"/>
                <w:spacing w:val="-10"/>
                <w14:textFill>
                  <w14:solidFill>
                    <w14:schemeClr w14:val="tx1"/>
                  </w14:solidFill>
                </w14:textFill>
              </w:rPr>
            </w:pPr>
            <w:r>
              <w:rPr>
                <w:rFonts w:hint="eastAsia" w:eastAsiaTheme="minorEastAsia"/>
                <w:color w:val="000000" w:themeColor="text1"/>
                <w:spacing w:val="-10"/>
                <w14:textFill>
                  <w14:solidFill>
                    <w14:schemeClr w14:val="tx1"/>
                  </w14:solidFill>
                </w14:textFill>
              </w:rPr>
              <w:t>2025.11.27</w:t>
            </w:r>
          </w:p>
        </w:tc>
        <w:tc>
          <w:tcPr>
            <w:tcW w:w="701" w:type="pct"/>
            <w:vAlign w:val="center"/>
          </w:tcPr>
          <w:p w14:paraId="7E092FF2">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02:00~03:00</w:t>
            </w:r>
          </w:p>
        </w:tc>
        <w:tc>
          <w:tcPr>
            <w:tcW w:w="982" w:type="pct"/>
            <w:vAlign w:val="center"/>
          </w:tcPr>
          <w:p w14:paraId="3F036ED7">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659D362A">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03FFC60A">
            <w:pPr>
              <w:pStyle w:val="70"/>
              <w:autoSpaceDE w:val="0"/>
              <w:autoSpaceDN w:val="0"/>
              <w:rPr>
                <w:rFonts w:eastAsiaTheme="minorEastAsia"/>
                <w:color w:val="000000" w:themeColor="text1"/>
                <w:spacing w:val="-10"/>
                <w14:textFill>
                  <w14:solidFill>
                    <w14:schemeClr w14:val="tx1"/>
                  </w14:solidFill>
                </w14:textFill>
              </w:rPr>
            </w:pPr>
          </w:p>
        </w:tc>
      </w:tr>
      <w:tr w14:paraId="60BA8F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1296B1EC">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5E6E5AF4">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26B489C3">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08:00~09:00</w:t>
            </w:r>
          </w:p>
        </w:tc>
        <w:tc>
          <w:tcPr>
            <w:tcW w:w="982" w:type="pct"/>
            <w:vAlign w:val="center"/>
          </w:tcPr>
          <w:p w14:paraId="59FCAB93">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1FF8612F">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501FDC7D">
            <w:pPr>
              <w:pStyle w:val="70"/>
              <w:autoSpaceDE w:val="0"/>
              <w:autoSpaceDN w:val="0"/>
              <w:rPr>
                <w:rFonts w:eastAsiaTheme="minorEastAsia"/>
                <w:color w:val="000000" w:themeColor="text1"/>
                <w:spacing w:val="-10"/>
                <w14:textFill>
                  <w14:solidFill>
                    <w14:schemeClr w14:val="tx1"/>
                  </w14:solidFill>
                </w14:textFill>
              </w:rPr>
            </w:pPr>
          </w:p>
        </w:tc>
      </w:tr>
      <w:tr w14:paraId="3B109F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00BDFC1C">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67C6E716">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55657C0A">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14:00~15:00</w:t>
            </w:r>
          </w:p>
        </w:tc>
        <w:tc>
          <w:tcPr>
            <w:tcW w:w="982" w:type="pct"/>
            <w:vAlign w:val="center"/>
          </w:tcPr>
          <w:p w14:paraId="31F0C411">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1BF98179">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4038D999">
            <w:pPr>
              <w:pStyle w:val="70"/>
              <w:autoSpaceDE w:val="0"/>
              <w:autoSpaceDN w:val="0"/>
              <w:rPr>
                <w:rFonts w:eastAsiaTheme="minorEastAsia"/>
                <w:color w:val="000000" w:themeColor="text1"/>
                <w:spacing w:val="-10"/>
                <w14:textFill>
                  <w14:solidFill>
                    <w14:schemeClr w14:val="tx1"/>
                  </w14:solidFill>
                </w14:textFill>
              </w:rPr>
            </w:pPr>
          </w:p>
        </w:tc>
      </w:tr>
      <w:tr w14:paraId="0E5F5A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4B6E232B">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2262299B">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035F64DD">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20:00~21:00</w:t>
            </w:r>
          </w:p>
        </w:tc>
        <w:tc>
          <w:tcPr>
            <w:tcW w:w="982" w:type="pct"/>
            <w:vAlign w:val="center"/>
          </w:tcPr>
          <w:p w14:paraId="191646B9">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48896160">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68724015">
            <w:pPr>
              <w:pStyle w:val="70"/>
              <w:autoSpaceDE w:val="0"/>
              <w:autoSpaceDN w:val="0"/>
              <w:rPr>
                <w:rFonts w:eastAsiaTheme="minorEastAsia"/>
                <w:color w:val="000000" w:themeColor="text1"/>
                <w:spacing w:val="-10"/>
                <w14:textFill>
                  <w14:solidFill>
                    <w14:schemeClr w14:val="tx1"/>
                  </w14:solidFill>
                </w14:textFill>
              </w:rPr>
            </w:pPr>
          </w:p>
        </w:tc>
      </w:tr>
      <w:tr w14:paraId="4DCEF1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0A8B3FF6">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restart"/>
            <w:vAlign w:val="center"/>
          </w:tcPr>
          <w:p w14:paraId="233478A3">
            <w:pPr>
              <w:pStyle w:val="70"/>
              <w:autoSpaceDE w:val="0"/>
              <w:autoSpaceDN w:val="0"/>
              <w:rPr>
                <w:rFonts w:eastAsiaTheme="minorEastAsia"/>
                <w:color w:val="000000" w:themeColor="text1"/>
                <w:spacing w:val="-10"/>
                <w14:textFill>
                  <w14:solidFill>
                    <w14:schemeClr w14:val="tx1"/>
                  </w14:solidFill>
                </w14:textFill>
              </w:rPr>
            </w:pPr>
            <w:r>
              <w:rPr>
                <w:rFonts w:hint="eastAsia" w:eastAsiaTheme="minorEastAsia"/>
                <w:color w:val="000000" w:themeColor="text1"/>
                <w:spacing w:val="-10"/>
                <w14:textFill>
                  <w14:solidFill>
                    <w14:schemeClr w14:val="tx1"/>
                  </w14:solidFill>
                </w14:textFill>
              </w:rPr>
              <w:t>2025.11.28</w:t>
            </w:r>
          </w:p>
        </w:tc>
        <w:tc>
          <w:tcPr>
            <w:tcW w:w="701" w:type="pct"/>
            <w:vAlign w:val="center"/>
          </w:tcPr>
          <w:p w14:paraId="243F0B54">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02:00~03:00</w:t>
            </w:r>
          </w:p>
        </w:tc>
        <w:tc>
          <w:tcPr>
            <w:tcW w:w="982" w:type="pct"/>
            <w:vAlign w:val="center"/>
          </w:tcPr>
          <w:p w14:paraId="182F68F1">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6EFC4610">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6D425228">
            <w:pPr>
              <w:pStyle w:val="70"/>
              <w:autoSpaceDE w:val="0"/>
              <w:autoSpaceDN w:val="0"/>
              <w:rPr>
                <w:rFonts w:eastAsiaTheme="minorEastAsia"/>
                <w:color w:val="000000" w:themeColor="text1"/>
                <w:spacing w:val="-10"/>
                <w14:textFill>
                  <w14:solidFill>
                    <w14:schemeClr w14:val="tx1"/>
                  </w14:solidFill>
                </w14:textFill>
              </w:rPr>
            </w:pPr>
          </w:p>
        </w:tc>
      </w:tr>
      <w:tr w14:paraId="3CD3FE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4FAAC725">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2F0E9A42">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5857BE18">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08:00~09:00</w:t>
            </w:r>
          </w:p>
        </w:tc>
        <w:tc>
          <w:tcPr>
            <w:tcW w:w="982" w:type="pct"/>
            <w:vAlign w:val="center"/>
          </w:tcPr>
          <w:p w14:paraId="7C9162F6">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29034DA5">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3D987DEC">
            <w:pPr>
              <w:pStyle w:val="70"/>
              <w:autoSpaceDE w:val="0"/>
              <w:autoSpaceDN w:val="0"/>
              <w:rPr>
                <w:rFonts w:eastAsiaTheme="minorEastAsia"/>
                <w:color w:val="000000" w:themeColor="text1"/>
                <w:spacing w:val="-10"/>
                <w14:textFill>
                  <w14:solidFill>
                    <w14:schemeClr w14:val="tx1"/>
                  </w14:solidFill>
                </w14:textFill>
              </w:rPr>
            </w:pPr>
          </w:p>
        </w:tc>
      </w:tr>
      <w:tr w14:paraId="5E1A4A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2F726151">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49313147">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5407E2F7">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14:00~15:00</w:t>
            </w:r>
          </w:p>
        </w:tc>
        <w:tc>
          <w:tcPr>
            <w:tcW w:w="982" w:type="pct"/>
            <w:vAlign w:val="center"/>
          </w:tcPr>
          <w:p w14:paraId="11B3B698">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3ECCA3C7">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21133307">
            <w:pPr>
              <w:pStyle w:val="70"/>
              <w:autoSpaceDE w:val="0"/>
              <w:autoSpaceDN w:val="0"/>
              <w:rPr>
                <w:rFonts w:eastAsiaTheme="minorEastAsia"/>
                <w:color w:val="000000" w:themeColor="text1"/>
                <w:spacing w:val="-10"/>
                <w14:textFill>
                  <w14:solidFill>
                    <w14:schemeClr w14:val="tx1"/>
                  </w14:solidFill>
                </w14:textFill>
              </w:rPr>
            </w:pPr>
          </w:p>
        </w:tc>
      </w:tr>
      <w:tr w14:paraId="1DE7DB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65AC0DA5">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06EED860">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669B6416">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20:00~21:00</w:t>
            </w:r>
          </w:p>
        </w:tc>
        <w:tc>
          <w:tcPr>
            <w:tcW w:w="982" w:type="pct"/>
            <w:vAlign w:val="center"/>
          </w:tcPr>
          <w:p w14:paraId="4396A7D1">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35C2C505">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14C138A5">
            <w:pPr>
              <w:pStyle w:val="70"/>
              <w:autoSpaceDE w:val="0"/>
              <w:autoSpaceDN w:val="0"/>
              <w:rPr>
                <w:rFonts w:eastAsiaTheme="minorEastAsia"/>
                <w:color w:val="000000" w:themeColor="text1"/>
                <w:spacing w:val="-10"/>
                <w14:textFill>
                  <w14:solidFill>
                    <w14:schemeClr w14:val="tx1"/>
                  </w14:solidFill>
                </w14:textFill>
              </w:rPr>
            </w:pPr>
          </w:p>
        </w:tc>
      </w:tr>
      <w:tr w14:paraId="297133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5EE58382">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restart"/>
            <w:vAlign w:val="center"/>
          </w:tcPr>
          <w:p w14:paraId="0CFD8B27">
            <w:pPr>
              <w:pStyle w:val="70"/>
              <w:autoSpaceDE w:val="0"/>
              <w:autoSpaceDN w:val="0"/>
              <w:rPr>
                <w:rFonts w:eastAsiaTheme="minorEastAsia"/>
                <w:color w:val="000000" w:themeColor="text1"/>
                <w:spacing w:val="-10"/>
                <w14:textFill>
                  <w14:solidFill>
                    <w14:schemeClr w14:val="tx1"/>
                  </w14:solidFill>
                </w14:textFill>
              </w:rPr>
            </w:pPr>
            <w:r>
              <w:rPr>
                <w:rFonts w:hint="eastAsia" w:eastAsiaTheme="minorEastAsia"/>
                <w:color w:val="000000" w:themeColor="text1"/>
                <w:spacing w:val="-10"/>
                <w14:textFill>
                  <w14:solidFill>
                    <w14:schemeClr w14:val="tx1"/>
                  </w14:solidFill>
                </w14:textFill>
              </w:rPr>
              <w:t>2025.11.29</w:t>
            </w:r>
          </w:p>
        </w:tc>
        <w:tc>
          <w:tcPr>
            <w:tcW w:w="701" w:type="pct"/>
            <w:vAlign w:val="center"/>
          </w:tcPr>
          <w:p w14:paraId="668A9855">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02:00~03:00</w:t>
            </w:r>
          </w:p>
        </w:tc>
        <w:tc>
          <w:tcPr>
            <w:tcW w:w="982" w:type="pct"/>
            <w:vAlign w:val="center"/>
          </w:tcPr>
          <w:p w14:paraId="7FC3B3DB">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6140DF40">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2E08C7A4">
            <w:pPr>
              <w:pStyle w:val="70"/>
              <w:autoSpaceDE w:val="0"/>
              <w:autoSpaceDN w:val="0"/>
              <w:rPr>
                <w:rFonts w:eastAsiaTheme="minorEastAsia"/>
                <w:color w:val="000000" w:themeColor="text1"/>
                <w:spacing w:val="-10"/>
                <w14:textFill>
                  <w14:solidFill>
                    <w14:schemeClr w14:val="tx1"/>
                  </w14:solidFill>
                </w14:textFill>
              </w:rPr>
            </w:pPr>
          </w:p>
        </w:tc>
      </w:tr>
      <w:tr w14:paraId="078239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6654CD6E">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2D84E2F9">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63B26EDC">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08:00~09:00</w:t>
            </w:r>
          </w:p>
        </w:tc>
        <w:tc>
          <w:tcPr>
            <w:tcW w:w="982" w:type="pct"/>
            <w:vAlign w:val="center"/>
          </w:tcPr>
          <w:p w14:paraId="15BF3691">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2265A7D8">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4C79368C">
            <w:pPr>
              <w:pStyle w:val="70"/>
              <w:autoSpaceDE w:val="0"/>
              <w:autoSpaceDN w:val="0"/>
              <w:rPr>
                <w:rFonts w:eastAsiaTheme="minorEastAsia"/>
                <w:color w:val="000000" w:themeColor="text1"/>
                <w:spacing w:val="-10"/>
                <w14:textFill>
                  <w14:solidFill>
                    <w14:schemeClr w14:val="tx1"/>
                  </w14:solidFill>
                </w14:textFill>
              </w:rPr>
            </w:pPr>
          </w:p>
        </w:tc>
      </w:tr>
      <w:tr w14:paraId="2E8470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683453B2">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6C0C1260">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35AFBD93">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14:00~15:00</w:t>
            </w:r>
          </w:p>
        </w:tc>
        <w:tc>
          <w:tcPr>
            <w:tcW w:w="982" w:type="pct"/>
            <w:vAlign w:val="center"/>
          </w:tcPr>
          <w:p w14:paraId="37A83B6F">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1B182F00">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68C0D685">
            <w:pPr>
              <w:pStyle w:val="70"/>
              <w:autoSpaceDE w:val="0"/>
              <w:autoSpaceDN w:val="0"/>
              <w:rPr>
                <w:rFonts w:eastAsiaTheme="minorEastAsia"/>
                <w:color w:val="000000" w:themeColor="text1"/>
                <w:spacing w:val="-10"/>
                <w14:textFill>
                  <w14:solidFill>
                    <w14:schemeClr w14:val="tx1"/>
                  </w14:solidFill>
                </w14:textFill>
              </w:rPr>
            </w:pPr>
          </w:p>
        </w:tc>
      </w:tr>
      <w:tr w14:paraId="01AD6F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71DE644F">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661E2C14">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36F3BEE0">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20:00~21:00</w:t>
            </w:r>
          </w:p>
        </w:tc>
        <w:tc>
          <w:tcPr>
            <w:tcW w:w="982" w:type="pct"/>
            <w:vAlign w:val="center"/>
          </w:tcPr>
          <w:p w14:paraId="486FFC66">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44894ED3">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13009018">
            <w:pPr>
              <w:pStyle w:val="70"/>
              <w:autoSpaceDE w:val="0"/>
              <w:autoSpaceDN w:val="0"/>
              <w:rPr>
                <w:rFonts w:eastAsiaTheme="minorEastAsia"/>
                <w:color w:val="000000" w:themeColor="text1"/>
                <w:spacing w:val="-10"/>
                <w14:textFill>
                  <w14:solidFill>
                    <w14:schemeClr w14:val="tx1"/>
                  </w14:solidFill>
                </w14:textFill>
              </w:rPr>
            </w:pPr>
          </w:p>
        </w:tc>
      </w:tr>
      <w:tr w14:paraId="69710E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241A5E47">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restart"/>
            <w:vAlign w:val="center"/>
          </w:tcPr>
          <w:p w14:paraId="61B6C3E2">
            <w:pPr>
              <w:pStyle w:val="70"/>
              <w:autoSpaceDE w:val="0"/>
              <w:autoSpaceDN w:val="0"/>
              <w:rPr>
                <w:rFonts w:eastAsiaTheme="minorEastAsia"/>
                <w:color w:val="000000" w:themeColor="text1"/>
                <w:spacing w:val="-10"/>
                <w14:textFill>
                  <w14:solidFill>
                    <w14:schemeClr w14:val="tx1"/>
                  </w14:solidFill>
                </w14:textFill>
              </w:rPr>
            </w:pPr>
            <w:r>
              <w:rPr>
                <w:rFonts w:hint="eastAsia" w:eastAsiaTheme="minorEastAsia"/>
                <w:color w:val="000000" w:themeColor="text1"/>
                <w:spacing w:val="-10"/>
                <w14:textFill>
                  <w14:solidFill>
                    <w14:schemeClr w14:val="tx1"/>
                  </w14:solidFill>
                </w14:textFill>
              </w:rPr>
              <w:t>2025.11.30</w:t>
            </w:r>
          </w:p>
        </w:tc>
        <w:tc>
          <w:tcPr>
            <w:tcW w:w="701" w:type="pct"/>
            <w:vAlign w:val="center"/>
          </w:tcPr>
          <w:p w14:paraId="16671F79">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02:00~03:00</w:t>
            </w:r>
          </w:p>
        </w:tc>
        <w:tc>
          <w:tcPr>
            <w:tcW w:w="982" w:type="pct"/>
            <w:vAlign w:val="center"/>
          </w:tcPr>
          <w:p w14:paraId="4C6C6DC2">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54BB8EFF">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78D2D4DB">
            <w:pPr>
              <w:pStyle w:val="70"/>
              <w:autoSpaceDE w:val="0"/>
              <w:autoSpaceDN w:val="0"/>
              <w:rPr>
                <w:rFonts w:eastAsiaTheme="minorEastAsia"/>
                <w:color w:val="000000" w:themeColor="text1"/>
                <w:spacing w:val="-10"/>
                <w14:textFill>
                  <w14:solidFill>
                    <w14:schemeClr w14:val="tx1"/>
                  </w14:solidFill>
                </w14:textFill>
              </w:rPr>
            </w:pPr>
          </w:p>
        </w:tc>
      </w:tr>
      <w:tr w14:paraId="7254CB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78F9472D">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7E0F4807">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691E29CF">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08:00~09:00</w:t>
            </w:r>
          </w:p>
        </w:tc>
        <w:tc>
          <w:tcPr>
            <w:tcW w:w="982" w:type="pct"/>
            <w:vAlign w:val="center"/>
          </w:tcPr>
          <w:p w14:paraId="6B7E2807">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0612E2CD">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6DA6F47A">
            <w:pPr>
              <w:pStyle w:val="70"/>
              <w:autoSpaceDE w:val="0"/>
              <w:autoSpaceDN w:val="0"/>
              <w:rPr>
                <w:rFonts w:eastAsiaTheme="minorEastAsia"/>
                <w:color w:val="000000" w:themeColor="text1"/>
                <w:spacing w:val="-10"/>
                <w14:textFill>
                  <w14:solidFill>
                    <w14:schemeClr w14:val="tx1"/>
                  </w14:solidFill>
                </w14:textFill>
              </w:rPr>
            </w:pPr>
          </w:p>
        </w:tc>
      </w:tr>
      <w:tr w14:paraId="03C2DC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1A1EADF6">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5BC081C1">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46EEE55F">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14:00~15:00</w:t>
            </w:r>
          </w:p>
        </w:tc>
        <w:tc>
          <w:tcPr>
            <w:tcW w:w="982" w:type="pct"/>
            <w:vAlign w:val="center"/>
          </w:tcPr>
          <w:p w14:paraId="4FA5A05D">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6BC145DA">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265FDE37">
            <w:pPr>
              <w:pStyle w:val="70"/>
              <w:autoSpaceDE w:val="0"/>
              <w:autoSpaceDN w:val="0"/>
              <w:rPr>
                <w:rFonts w:eastAsiaTheme="minorEastAsia"/>
                <w:color w:val="000000" w:themeColor="text1"/>
                <w:spacing w:val="-10"/>
                <w14:textFill>
                  <w14:solidFill>
                    <w14:schemeClr w14:val="tx1"/>
                  </w14:solidFill>
                </w14:textFill>
              </w:rPr>
            </w:pPr>
          </w:p>
        </w:tc>
      </w:tr>
      <w:tr w14:paraId="7249F4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53C02D7A">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27532ED7">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6B7E6185">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20:00~21:00</w:t>
            </w:r>
          </w:p>
        </w:tc>
        <w:tc>
          <w:tcPr>
            <w:tcW w:w="982" w:type="pct"/>
            <w:vAlign w:val="center"/>
          </w:tcPr>
          <w:p w14:paraId="6DA7ED0F">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2879FE59">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61D015A4">
            <w:pPr>
              <w:pStyle w:val="70"/>
              <w:autoSpaceDE w:val="0"/>
              <w:autoSpaceDN w:val="0"/>
              <w:rPr>
                <w:rFonts w:eastAsiaTheme="minorEastAsia"/>
                <w:color w:val="000000" w:themeColor="text1"/>
                <w:spacing w:val="-10"/>
                <w14:textFill>
                  <w14:solidFill>
                    <w14:schemeClr w14:val="tx1"/>
                  </w14:solidFill>
                </w14:textFill>
              </w:rPr>
            </w:pPr>
          </w:p>
        </w:tc>
      </w:tr>
      <w:tr w14:paraId="710338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56D753BE">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restart"/>
            <w:vAlign w:val="center"/>
          </w:tcPr>
          <w:p w14:paraId="1DC9E94F">
            <w:pPr>
              <w:pStyle w:val="70"/>
              <w:autoSpaceDE w:val="0"/>
              <w:autoSpaceDN w:val="0"/>
              <w:rPr>
                <w:rFonts w:eastAsiaTheme="minorEastAsia"/>
                <w:color w:val="000000" w:themeColor="text1"/>
                <w:spacing w:val="-10"/>
                <w14:textFill>
                  <w14:solidFill>
                    <w14:schemeClr w14:val="tx1"/>
                  </w14:solidFill>
                </w14:textFill>
              </w:rPr>
            </w:pPr>
            <w:r>
              <w:rPr>
                <w:rFonts w:hint="eastAsia" w:eastAsiaTheme="minorEastAsia"/>
                <w:color w:val="000000" w:themeColor="text1"/>
                <w:spacing w:val="-10"/>
                <w14:textFill>
                  <w14:solidFill>
                    <w14:schemeClr w14:val="tx1"/>
                  </w14:solidFill>
                </w14:textFill>
              </w:rPr>
              <w:t>2025.12.01</w:t>
            </w:r>
          </w:p>
        </w:tc>
        <w:tc>
          <w:tcPr>
            <w:tcW w:w="701" w:type="pct"/>
            <w:vAlign w:val="center"/>
          </w:tcPr>
          <w:p w14:paraId="0AA44C96">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02:00~03:00</w:t>
            </w:r>
          </w:p>
        </w:tc>
        <w:tc>
          <w:tcPr>
            <w:tcW w:w="982" w:type="pct"/>
            <w:vAlign w:val="center"/>
          </w:tcPr>
          <w:p w14:paraId="21D2540F">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3AC0532C">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03B266DE">
            <w:pPr>
              <w:pStyle w:val="70"/>
              <w:autoSpaceDE w:val="0"/>
              <w:autoSpaceDN w:val="0"/>
              <w:rPr>
                <w:rFonts w:eastAsiaTheme="minorEastAsia"/>
                <w:color w:val="000000" w:themeColor="text1"/>
                <w:spacing w:val="-10"/>
                <w14:textFill>
                  <w14:solidFill>
                    <w14:schemeClr w14:val="tx1"/>
                  </w14:solidFill>
                </w14:textFill>
              </w:rPr>
            </w:pPr>
          </w:p>
        </w:tc>
      </w:tr>
      <w:tr w14:paraId="4997D0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31F4BC3D">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41DDA756">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6C5DAECB">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08:00~09:00</w:t>
            </w:r>
          </w:p>
        </w:tc>
        <w:tc>
          <w:tcPr>
            <w:tcW w:w="982" w:type="pct"/>
            <w:vAlign w:val="center"/>
          </w:tcPr>
          <w:p w14:paraId="7C4D606F">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4CED02E0">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720177A3">
            <w:pPr>
              <w:pStyle w:val="70"/>
              <w:autoSpaceDE w:val="0"/>
              <w:autoSpaceDN w:val="0"/>
              <w:rPr>
                <w:rFonts w:eastAsiaTheme="minorEastAsia"/>
                <w:color w:val="000000" w:themeColor="text1"/>
                <w:spacing w:val="-10"/>
                <w14:textFill>
                  <w14:solidFill>
                    <w14:schemeClr w14:val="tx1"/>
                  </w14:solidFill>
                </w14:textFill>
              </w:rPr>
            </w:pPr>
          </w:p>
        </w:tc>
      </w:tr>
      <w:tr w14:paraId="511A2B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5D19B036">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34932D72">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03628544">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14:00~15:00</w:t>
            </w:r>
          </w:p>
        </w:tc>
        <w:tc>
          <w:tcPr>
            <w:tcW w:w="982" w:type="pct"/>
            <w:vAlign w:val="center"/>
          </w:tcPr>
          <w:p w14:paraId="1370DB0B">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7FBC5B07">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60F46A8E">
            <w:pPr>
              <w:pStyle w:val="70"/>
              <w:autoSpaceDE w:val="0"/>
              <w:autoSpaceDN w:val="0"/>
              <w:rPr>
                <w:rFonts w:eastAsiaTheme="minorEastAsia"/>
                <w:color w:val="000000" w:themeColor="text1"/>
                <w:spacing w:val="-10"/>
                <w14:textFill>
                  <w14:solidFill>
                    <w14:schemeClr w14:val="tx1"/>
                  </w14:solidFill>
                </w14:textFill>
              </w:rPr>
            </w:pPr>
          </w:p>
        </w:tc>
      </w:tr>
      <w:tr w14:paraId="67ED1E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4C0F9327">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61074403">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3976F4D9">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20:00~21:00</w:t>
            </w:r>
          </w:p>
        </w:tc>
        <w:tc>
          <w:tcPr>
            <w:tcW w:w="982" w:type="pct"/>
            <w:vAlign w:val="center"/>
          </w:tcPr>
          <w:p w14:paraId="3EABDA6C">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3721C61D">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347A3009">
            <w:pPr>
              <w:pStyle w:val="70"/>
              <w:autoSpaceDE w:val="0"/>
              <w:autoSpaceDN w:val="0"/>
              <w:rPr>
                <w:rFonts w:eastAsiaTheme="minorEastAsia"/>
                <w:color w:val="000000" w:themeColor="text1"/>
                <w:spacing w:val="-10"/>
                <w14:textFill>
                  <w14:solidFill>
                    <w14:schemeClr w14:val="tx1"/>
                  </w14:solidFill>
                </w14:textFill>
              </w:rPr>
            </w:pPr>
          </w:p>
        </w:tc>
      </w:tr>
      <w:tr w14:paraId="1D0775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3030ED08">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restart"/>
            <w:vAlign w:val="center"/>
          </w:tcPr>
          <w:p w14:paraId="776C24EC">
            <w:pPr>
              <w:pStyle w:val="70"/>
              <w:autoSpaceDE w:val="0"/>
              <w:autoSpaceDN w:val="0"/>
              <w:rPr>
                <w:rFonts w:eastAsiaTheme="minorEastAsia"/>
                <w:color w:val="000000" w:themeColor="text1"/>
                <w:spacing w:val="-10"/>
                <w14:textFill>
                  <w14:solidFill>
                    <w14:schemeClr w14:val="tx1"/>
                  </w14:solidFill>
                </w14:textFill>
              </w:rPr>
            </w:pPr>
            <w:r>
              <w:rPr>
                <w:rFonts w:hint="eastAsia" w:eastAsiaTheme="minorEastAsia"/>
                <w:color w:val="000000" w:themeColor="text1"/>
                <w:spacing w:val="-10"/>
                <w14:textFill>
                  <w14:solidFill>
                    <w14:schemeClr w14:val="tx1"/>
                  </w14:solidFill>
                </w14:textFill>
              </w:rPr>
              <w:t>2025.12.02</w:t>
            </w:r>
          </w:p>
        </w:tc>
        <w:tc>
          <w:tcPr>
            <w:tcW w:w="701" w:type="pct"/>
            <w:vAlign w:val="center"/>
          </w:tcPr>
          <w:p w14:paraId="039650CE">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02:00~03:00</w:t>
            </w:r>
          </w:p>
        </w:tc>
        <w:tc>
          <w:tcPr>
            <w:tcW w:w="982" w:type="pct"/>
            <w:vAlign w:val="center"/>
          </w:tcPr>
          <w:p w14:paraId="6D20BF27">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083779A6">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1EEE2DC3">
            <w:pPr>
              <w:pStyle w:val="70"/>
              <w:autoSpaceDE w:val="0"/>
              <w:autoSpaceDN w:val="0"/>
              <w:rPr>
                <w:rFonts w:eastAsiaTheme="minorEastAsia"/>
                <w:color w:val="000000" w:themeColor="text1"/>
                <w:spacing w:val="-10"/>
                <w14:textFill>
                  <w14:solidFill>
                    <w14:schemeClr w14:val="tx1"/>
                  </w14:solidFill>
                </w14:textFill>
              </w:rPr>
            </w:pPr>
          </w:p>
        </w:tc>
      </w:tr>
      <w:tr w14:paraId="5722D0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7BB04AF4">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37789798">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602E3435">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08:00~09:00</w:t>
            </w:r>
          </w:p>
        </w:tc>
        <w:tc>
          <w:tcPr>
            <w:tcW w:w="982" w:type="pct"/>
            <w:vAlign w:val="center"/>
          </w:tcPr>
          <w:p w14:paraId="5C330B16">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7C20C7AF">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4F0B3F0F">
            <w:pPr>
              <w:pStyle w:val="70"/>
              <w:autoSpaceDE w:val="0"/>
              <w:autoSpaceDN w:val="0"/>
              <w:rPr>
                <w:rFonts w:eastAsiaTheme="minorEastAsia"/>
                <w:color w:val="000000" w:themeColor="text1"/>
                <w:spacing w:val="-10"/>
                <w14:textFill>
                  <w14:solidFill>
                    <w14:schemeClr w14:val="tx1"/>
                  </w14:solidFill>
                </w14:textFill>
              </w:rPr>
            </w:pPr>
          </w:p>
        </w:tc>
      </w:tr>
      <w:tr w14:paraId="255A8B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284CFDB5">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5B479A5F">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1282E5F4">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14:00~15:00</w:t>
            </w:r>
          </w:p>
        </w:tc>
        <w:tc>
          <w:tcPr>
            <w:tcW w:w="982" w:type="pct"/>
            <w:vAlign w:val="center"/>
          </w:tcPr>
          <w:p w14:paraId="5BE68A18">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5C27988F">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009DC8BA">
            <w:pPr>
              <w:pStyle w:val="70"/>
              <w:autoSpaceDE w:val="0"/>
              <w:autoSpaceDN w:val="0"/>
              <w:rPr>
                <w:rFonts w:eastAsiaTheme="minorEastAsia"/>
                <w:color w:val="000000" w:themeColor="text1"/>
                <w:spacing w:val="-10"/>
                <w14:textFill>
                  <w14:solidFill>
                    <w14:schemeClr w14:val="tx1"/>
                  </w14:solidFill>
                </w14:textFill>
              </w:rPr>
            </w:pPr>
          </w:p>
        </w:tc>
      </w:tr>
      <w:tr w14:paraId="3BE6A5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0EBC8482">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1685BB6C">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6BD59759">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20:00~21:00</w:t>
            </w:r>
          </w:p>
        </w:tc>
        <w:tc>
          <w:tcPr>
            <w:tcW w:w="982" w:type="pct"/>
            <w:vAlign w:val="center"/>
          </w:tcPr>
          <w:p w14:paraId="70955EA1">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4859CDC7">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471F9CCB">
            <w:pPr>
              <w:pStyle w:val="70"/>
              <w:autoSpaceDE w:val="0"/>
              <w:autoSpaceDN w:val="0"/>
              <w:rPr>
                <w:rFonts w:eastAsiaTheme="minorEastAsia"/>
                <w:color w:val="000000" w:themeColor="text1"/>
                <w:spacing w:val="-10"/>
                <w14:textFill>
                  <w14:solidFill>
                    <w14:schemeClr w14:val="tx1"/>
                  </w14:solidFill>
                </w14:textFill>
              </w:rPr>
            </w:pPr>
          </w:p>
        </w:tc>
      </w:tr>
      <w:tr w14:paraId="6BB9FF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5A8A08BC">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restart"/>
            <w:vAlign w:val="center"/>
          </w:tcPr>
          <w:p w14:paraId="2A59EED0">
            <w:pPr>
              <w:pStyle w:val="70"/>
              <w:autoSpaceDE w:val="0"/>
              <w:autoSpaceDN w:val="0"/>
              <w:rPr>
                <w:rFonts w:eastAsiaTheme="minorEastAsia"/>
                <w:color w:val="000000" w:themeColor="text1"/>
                <w:spacing w:val="-10"/>
                <w14:textFill>
                  <w14:solidFill>
                    <w14:schemeClr w14:val="tx1"/>
                  </w14:solidFill>
                </w14:textFill>
              </w:rPr>
            </w:pPr>
            <w:r>
              <w:rPr>
                <w:rFonts w:hint="eastAsia" w:eastAsiaTheme="minorEastAsia"/>
                <w:color w:val="000000" w:themeColor="text1"/>
                <w:spacing w:val="-10"/>
                <w14:textFill>
                  <w14:solidFill>
                    <w14:schemeClr w14:val="tx1"/>
                  </w14:solidFill>
                </w14:textFill>
              </w:rPr>
              <w:t>2025.12.03</w:t>
            </w:r>
          </w:p>
        </w:tc>
        <w:tc>
          <w:tcPr>
            <w:tcW w:w="701" w:type="pct"/>
            <w:shd w:val="clear" w:color="auto" w:fill="auto"/>
            <w:vAlign w:val="center"/>
          </w:tcPr>
          <w:p w14:paraId="0BD23474">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02:00~03:00</w:t>
            </w:r>
          </w:p>
        </w:tc>
        <w:tc>
          <w:tcPr>
            <w:tcW w:w="982" w:type="pct"/>
            <w:vAlign w:val="center"/>
          </w:tcPr>
          <w:p w14:paraId="48378071">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16CE7CDF">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5C65468F">
            <w:pPr>
              <w:pStyle w:val="70"/>
              <w:autoSpaceDE w:val="0"/>
              <w:autoSpaceDN w:val="0"/>
              <w:rPr>
                <w:rFonts w:eastAsiaTheme="minorEastAsia"/>
                <w:color w:val="000000" w:themeColor="text1"/>
                <w:spacing w:val="-10"/>
                <w14:textFill>
                  <w14:solidFill>
                    <w14:schemeClr w14:val="tx1"/>
                  </w14:solidFill>
                </w14:textFill>
              </w:rPr>
            </w:pPr>
          </w:p>
        </w:tc>
      </w:tr>
      <w:tr w14:paraId="16F89C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25C98435">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69C556F5">
            <w:pPr>
              <w:pStyle w:val="70"/>
              <w:autoSpaceDE w:val="0"/>
              <w:autoSpaceDN w:val="0"/>
              <w:rPr>
                <w:rFonts w:eastAsiaTheme="minorEastAsia"/>
                <w:color w:val="000000" w:themeColor="text1"/>
                <w:spacing w:val="-10"/>
                <w14:textFill>
                  <w14:solidFill>
                    <w14:schemeClr w14:val="tx1"/>
                  </w14:solidFill>
                </w14:textFill>
              </w:rPr>
            </w:pPr>
          </w:p>
        </w:tc>
        <w:tc>
          <w:tcPr>
            <w:tcW w:w="701" w:type="pct"/>
            <w:shd w:val="clear" w:color="auto" w:fill="auto"/>
            <w:vAlign w:val="center"/>
          </w:tcPr>
          <w:p w14:paraId="02214227">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08:00~09:00</w:t>
            </w:r>
          </w:p>
        </w:tc>
        <w:tc>
          <w:tcPr>
            <w:tcW w:w="982" w:type="pct"/>
            <w:vAlign w:val="center"/>
          </w:tcPr>
          <w:p w14:paraId="34F1CCA1">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68179907">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34E282D6">
            <w:pPr>
              <w:pStyle w:val="70"/>
              <w:autoSpaceDE w:val="0"/>
              <w:autoSpaceDN w:val="0"/>
              <w:rPr>
                <w:rFonts w:eastAsiaTheme="minorEastAsia"/>
                <w:color w:val="000000" w:themeColor="text1"/>
                <w:spacing w:val="-10"/>
                <w14:textFill>
                  <w14:solidFill>
                    <w14:schemeClr w14:val="tx1"/>
                  </w14:solidFill>
                </w14:textFill>
              </w:rPr>
            </w:pPr>
          </w:p>
        </w:tc>
      </w:tr>
      <w:tr w14:paraId="53AD46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07431778">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3E3E92D8">
            <w:pPr>
              <w:pStyle w:val="70"/>
              <w:autoSpaceDE w:val="0"/>
              <w:autoSpaceDN w:val="0"/>
              <w:rPr>
                <w:rFonts w:eastAsiaTheme="minorEastAsia"/>
                <w:color w:val="000000" w:themeColor="text1"/>
                <w:spacing w:val="-10"/>
                <w14:textFill>
                  <w14:solidFill>
                    <w14:schemeClr w14:val="tx1"/>
                  </w14:solidFill>
                </w14:textFill>
              </w:rPr>
            </w:pPr>
          </w:p>
        </w:tc>
        <w:tc>
          <w:tcPr>
            <w:tcW w:w="701" w:type="pct"/>
            <w:shd w:val="clear" w:color="auto" w:fill="auto"/>
            <w:vAlign w:val="center"/>
          </w:tcPr>
          <w:p w14:paraId="1CB1CA8F">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14:00~15:00</w:t>
            </w:r>
          </w:p>
        </w:tc>
        <w:tc>
          <w:tcPr>
            <w:tcW w:w="982" w:type="pct"/>
            <w:vAlign w:val="center"/>
          </w:tcPr>
          <w:p w14:paraId="03FF2A96">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269ECF78">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1F0DA94A">
            <w:pPr>
              <w:pStyle w:val="70"/>
              <w:autoSpaceDE w:val="0"/>
              <w:autoSpaceDN w:val="0"/>
              <w:rPr>
                <w:rFonts w:eastAsiaTheme="minorEastAsia"/>
                <w:color w:val="000000" w:themeColor="text1"/>
                <w:spacing w:val="-10"/>
                <w14:textFill>
                  <w14:solidFill>
                    <w14:schemeClr w14:val="tx1"/>
                  </w14:solidFill>
                </w14:textFill>
              </w:rPr>
            </w:pPr>
          </w:p>
        </w:tc>
      </w:tr>
      <w:tr w14:paraId="4586AA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68F10C77">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1C95ADFA">
            <w:pPr>
              <w:pStyle w:val="70"/>
              <w:autoSpaceDE w:val="0"/>
              <w:autoSpaceDN w:val="0"/>
              <w:rPr>
                <w:rFonts w:eastAsiaTheme="minorEastAsia"/>
                <w:color w:val="000000" w:themeColor="text1"/>
                <w:spacing w:val="-10"/>
                <w14:textFill>
                  <w14:solidFill>
                    <w14:schemeClr w14:val="tx1"/>
                  </w14:solidFill>
                </w14:textFill>
              </w:rPr>
            </w:pPr>
          </w:p>
        </w:tc>
        <w:tc>
          <w:tcPr>
            <w:tcW w:w="701" w:type="pct"/>
            <w:shd w:val="clear" w:color="auto" w:fill="auto"/>
            <w:vAlign w:val="center"/>
          </w:tcPr>
          <w:p w14:paraId="37EC6B05">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20:00~21:00</w:t>
            </w:r>
          </w:p>
        </w:tc>
        <w:tc>
          <w:tcPr>
            <w:tcW w:w="982" w:type="pct"/>
            <w:vAlign w:val="center"/>
          </w:tcPr>
          <w:p w14:paraId="76599DCB">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3484D0AA">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104D4825">
            <w:pPr>
              <w:pStyle w:val="70"/>
              <w:autoSpaceDE w:val="0"/>
              <w:autoSpaceDN w:val="0"/>
              <w:rPr>
                <w:rFonts w:eastAsiaTheme="minorEastAsia"/>
                <w:color w:val="000000" w:themeColor="text1"/>
                <w:spacing w:val="-10"/>
                <w14:textFill>
                  <w14:solidFill>
                    <w14:schemeClr w14:val="tx1"/>
                  </w14:solidFill>
                </w14:textFill>
              </w:rPr>
            </w:pPr>
          </w:p>
        </w:tc>
      </w:tr>
      <w:tr w14:paraId="5279B1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1" w:type="pct"/>
            <w:gridSpan w:val="3"/>
            <w:vAlign w:val="center"/>
          </w:tcPr>
          <w:p w14:paraId="19363DFA">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标准值</w:t>
            </w:r>
            <w:r>
              <w:rPr>
                <w:rFonts w:hint="eastAsia" w:eastAsiaTheme="minorEastAsia"/>
                <w:color w:val="000000" w:themeColor="text1"/>
                <w:spacing w:val="-10"/>
                <w14:textFill>
                  <w14:solidFill>
                    <w14:schemeClr w14:val="tx1"/>
                  </w14:solidFill>
                </w14:textFill>
              </w:rPr>
              <w:t>μ</w:t>
            </w:r>
            <w:r>
              <w:rPr>
                <w:rFonts w:eastAsiaTheme="minorEastAsia"/>
                <w:color w:val="000000" w:themeColor="text1"/>
                <w:spacing w:val="-10"/>
                <w14:textFill>
                  <w14:solidFill>
                    <w14:schemeClr w14:val="tx1"/>
                  </w14:solidFill>
                </w14:textFill>
              </w:rPr>
              <w:t>g/m</w:t>
            </w:r>
            <w:r>
              <w:rPr>
                <w:rFonts w:eastAsiaTheme="minorEastAsia"/>
                <w:color w:val="000000" w:themeColor="text1"/>
                <w:spacing w:val="-10"/>
                <w:vertAlign w:val="superscript"/>
                <w14:textFill>
                  <w14:solidFill>
                    <w14:schemeClr w14:val="tx1"/>
                  </w14:solidFill>
                </w14:textFill>
              </w:rPr>
              <w:t>3</w:t>
            </w:r>
          </w:p>
        </w:tc>
        <w:tc>
          <w:tcPr>
            <w:tcW w:w="982" w:type="pct"/>
            <w:vAlign w:val="center"/>
          </w:tcPr>
          <w:p w14:paraId="2166D33F">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2CE35A7C">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0A2A3C8E">
            <w:pPr>
              <w:pStyle w:val="70"/>
              <w:autoSpaceDE w:val="0"/>
              <w:autoSpaceDN w:val="0"/>
              <w:rPr>
                <w:rFonts w:eastAsiaTheme="minorEastAsia"/>
                <w:color w:val="000000" w:themeColor="text1"/>
                <w:spacing w:val="-10"/>
                <w14:textFill>
                  <w14:solidFill>
                    <w14:schemeClr w14:val="tx1"/>
                  </w14:solidFill>
                </w14:textFill>
              </w:rPr>
            </w:pPr>
          </w:p>
        </w:tc>
      </w:tr>
      <w:tr w14:paraId="33188A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1" w:type="pct"/>
            <w:gridSpan w:val="3"/>
            <w:vAlign w:val="center"/>
          </w:tcPr>
          <w:p w14:paraId="29412487">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占标率</w:t>
            </w:r>
            <w:r>
              <w:rPr>
                <w:rFonts w:hint="eastAsia" w:eastAsiaTheme="minorEastAsia"/>
                <w:color w:val="000000" w:themeColor="text1"/>
                <w:spacing w:val="-10"/>
                <w14:textFill>
                  <w14:solidFill>
                    <w14:schemeClr w14:val="tx1"/>
                  </w14:solidFill>
                </w14:textFill>
              </w:rPr>
              <w:t>%</w:t>
            </w:r>
          </w:p>
        </w:tc>
        <w:tc>
          <w:tcPr>
            <w:tcW w:w="982" w:type="pct"/>
            <w:vAlign w:val="center"/>
          </w:tcPr>
          <w:p w14:paraId="6781EA06">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5E747A81">
            <w:pPr>
              <w:pStyle w:val="70"/>
              <w:autoSpaceDE w:val="0"/>
              <w:autoSpaceDN w:val="0"/>
              <w:rPr>
                <w:rFonts w:eastAsiaTheme="minorEastAsia"/>
                <w:color w:val="000000" w:themeColor="text1"/>
                <w:spacing w:val="-10"/>
                <w14:textFill>
                  <w14:solidFill>
                    <w14:schemeClr w14:val="tx1"/>
                  </w14:solidFill>
                </w14:textFill>
              </w:rPr>
            </w:pPr>
          </w:p>
        </w:tc>
        <w:tc>
          <w:tcPr>
            <w:tcW w:w="985" w:type="pct"/>
            <w:vAlign w:val="center"/>
          </w:tcPr>
          <w:p w14:paraId="7033F0C7">
            <w:pPr>
              <w:pStyle w:val="70"/>
              <w:autoSpaceDE w:val="0"/>
              <w:autoSpaceDN w:val="0"/>
              <w:rPr>
                <w:rFonts w:eastAsiaTheme="minorEastAsia"/>
                <w:color w:val="000000" w:themeColor="text1"/>
                <w:spacing w:val="-10"/>
                <w14:textFill>
                  <w14:solidFill>
                    <w14:schemeClr w14:val="tx1"/>
                  </w14:solidFill>
                </w14:textFill>
              </w:rPr>
            </w:pPr>
          </w:p>
        </w:tc>
      </w:tr>
      <w:tr w14:paraId="3D3E48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5000" w:type="pct"/>
            <w:gridSpan w:val="6"/>
            <w:vAlign w:val="center"/>
          </w:tcPr>
          <w:p w14:paraId="6C4CA37C">
            <w:pPr>
              <w:pStyle w:val="70"/>
              <w:autoSpaceDE w:val="0"/>
              <w:autoSpaceDN w:val="0"/>
              <w:rPr>
                <w:rFonts w:eastAsiaTheme="minorEastAsia"/>
                <w:color w:val="000000" w:themeColor="text1"/>
                <w:spacing w:val="-10"/>
                <w14:textFill>
                  <w14:solidFill>
                    <w14:schemeClr w14:val="tx1"/>
                  </w14:solidFill>
                </w14:textFill>
              </w:rPr>
            </w:pPr>
            <w:r>
              <w:rPr>
                <w:rFonts w:hint="eastAsia" w:eastAsiaTheme="minorEastAsia"/>
                <w:color w:val="000000" w:themeColor="text1"/>
                <w:spacing w:val="-10"/>
                <w14:textFill>
                  <w14:solidFill>
                    <w14:schemeClr w14:val="tx1"/>
                  </w14:solidFill>
                </w14:textFill>
              </w:rPr>
              <w:t>注：“ND”表示检测结果低于方法检出限。</w:t>
            </w:r>
          </w:p>
        </w:tc>
      </w:tr>
      <w:bookmarkEnd w:id="576"/>
      <w:bookmarkEnd w:id="577"/>
      <w:bookmarkEnd w:id="578"/>
      <w:bookmarkEnd w:id="579"/>
      <w:bookmarkEnd w:id="580"/>
    </w:tbl>
    <w:p w14:paraId="02DC141C">
      <w:pPr>
        <w:ind w:firstLine="480"/>
        <w:rPr>
          <w:color w:val="000000" w:themeColor="text1"/>
          <w14:textFill>
            <w14:solidFill>
              <w14:schemeClr w14:val="tx1"/>
            </w14:solidFill>
          </w14:textFill>
        </w:rPr>
      </w:pPr>
    </w:p>
    <w:p w14:paraId="53BF16EF">
      <w:pPr>
        <w:pStyle w:val="4"/>
        <w:rPr>
          <w:color w:val="000000" w:themeColor="text1"/>
          <w14:textFill>
            <w14:solidFill>
              <w14:schemeClr w14:val="tx1"/>
            </w14:solidFill>
          </w14:textFill>
        </w:rPr>
      </w:pPr>
      <w:r>
        <w:rPr>
          <w:color w:val="000000" w:themeColor="text1"/>
          <w14:textFill>
            <w14:solidFill>
              <w14:schemeClr w14:val="tx1"/>
            </w14:solidFill>
          </w14:textFill>
        </w:rPr>
        <w:t>补充因子恶臭环境质量现状评价</w:t>
      </w:r>
    </w:p>
    <w:p w14:paraId="03D66D07">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根据《欧德年产 30 万吨生物柴油生产线项目环境影响报告书》（报批稿），广西恒沁检测科技有限公司于2024 年 11 月 28 日~2024 年 12 月 4 日对欧德年产 30 万吨生物柴油生产线项目场区开展非甲烷总烃、TVOC、 甲醇、NH3、H2S 和臭气浓度的环境质量现状监测；厂区距离项目1.3km（附图4）。臭气监测值均小于10，属于未</w:t>
      </w:r>
      <w:r>
        <w:rPr>
          <w:rFonts w:hint="eastAsia"/>
          <w:color w:val="000000" w:themeColor="text1"/>
          <w:u w:val="single"/>
          <w:lang w:val="en-US" w:eastAsia="zh-CN"/>
          <w14:textFill>
            <w14:solidFill>
              <w14:schemeClr w14:val="tx1"/>
            </w14:solidFill>
          </w14:textFill>
        </w:rPr>
        <w:t>检出</w:t>
      </w:r>
      <w:r>
        <w:rPr>
          <w:rFonts w:hint="eastAsia"/>
          <w:color w:val="000000" w:themeColor="text1"/>
          <w:u w:val="single"/>
          <w14:textFill>
            <w14:solidFill>
              <w14:schemeClr w14:val="tx1"/>
            </w14:solidFill>
          </w14:textFill>
        </w:rPr>
        <w:t>状态，具体见附件（21）。</w:t>
      </w:r>
    </w:p>
    <w:p w14:paraId="142E8A21">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结合现场踏勘可见，区域未见明显异味。</w:t>
      </w:r>
    </w:p>
    <w:p w14:paraId="1EA16628">
      <w:pPr>
        <w:pStyle w:val="5"/>
        <w:rPr>
          <w:color w:val="000000" w:themeColor="text1"/>
          <w14:textFill>
            <w14:solidFill>
              <w14:schemeClr w14:val="tx1"/>
            </w14:solidFill>
          </w14:textFill>
        </w:rPr>
      </w:pPr>
      <w:bookmarkStart w:id="581" w:name="_Toc216620542"/>
      <w:r>
        <w:rPr>
          <w:color w:val="000000" w:themeColor="text1"/>
          <w14:textFill>
            <w14:solidFill>
              <w14:schemeClr w14:val="tx1"/>
            </w14:solidFill>
          </w14:textFill>
        </w:rPr>
        <w:t>地下水环境质量现状调查与评价</w:t>
      </w:r>
      <w:bookmarkEnd w:id="581"/>
    </w:p>
    <w:p w14:paraId="4182E05C">
      <w:pPr>
        <w:pStyle w:val="4"/>
        <w:rPr>
          <w:color w:val="000000" w:themeColor="text1"/>
          <w14:textFill>
            <w14:solidFill>
              <w14:schemeClr w14:val="tx1"/>
            </w14:solidFill>
          </w14:textFill>
        </w:rPr>
      </w:pPr>
      <w:bookmarkStart w:id="582" w:name="_Toc216620543"/>
      <w:bookmarkStart w:id="583" w:name="_Toc136878479"/>
      <w:r>
        <w:rPr>
          <w:color w:val="000000" w:themeColor="text1"/>
          <w14:textFill>
            <w14:solidFill>
              <w14:schemeClr w14:val="tx1"/>
            </w14:solidFill>
          </w14:textFill>
        </w:rPr>
        <w:t>监测布点</w:t>
      </w:r>
      <w:bookmarkEnd w:id="582"/>
      <w:bookmarkEnd w:id="583"/>
    </w:p>
    <w:p w14:paraId="024B1080">
      <w:pPr>
        <w:ind w:firstLine="480"/>
        <w:rPr>
          <w:color w:val="000000" w:themeColor="text1"/>
          <w14:textFill>
            <w14:solidFill>
              <w14:schemeClr w14:val="tx1"/>
            </w14:solidFill>
          </w14:textFill>
        </w:rPr>
      </w:pPr>
      <w:r>
        <w:rPr>
          <w:color w:val="000000" w:themeColor="text1"/>
          <w14:textFill>
            <w14:solidFill>
              <w14:schemeClr w14:val="tx1"/>
            </w14:solidFill>
          </w14:textFill>
        </w:rPr>
        <w:t>根据《环境影响评价技术导则 地下水环境》（HJ 610-2016）8.3.3.6环境现状监测频率要求，评价工作等级为三级的建设项目，若掌握近3年至少一期水质监测数据，基本水质因子可在评价期补充开展一期现状监测，特征因子在评价期内需至少开展一期现状值监测。本次评价设置3处水质监测点位（附件</w:t>
      </w:r>
      <w:r>
        <w:rPr>
          <w:rFonts w:hint="eastAsia"/>
          <w:color w:val="000000" w:themeColor="text1"/>
          <w14:textFill>
            <w14:solidFill>
              <w14:schemeClr w14:val="tx1"/>
            </w14:solidFill>
          </w14:textFill>
        </w:rPr>
        <w:t>7</w:t>
      </w:r>
      <w:r>
        <w:rPr>
          <w:color w:val="000000" w:themeColor="text1"/>
          <w14:textFill>
            <w14:solidFill>
              <w14:schemeClr w14:val="tx1"/>
            </w14:solidFill>
          </w14:textFill>
        </w:rPr>
        <w:t>）。</w:t>
      </w:r>
    </w:p>
    <w:p w14:paraId="33F2A3A9">
      <w:pPr>
        <w:pStyle w:val="7"/>
        <w:rPr>
          <w:color w:val="000000" w:themeColor="text1"/>
          <w14:textFill>
            <w14:solidFill>
              <w14:schemeClr w14:val="tx1"/>
            </w14:solidFill>
          </w14:textFill>
        </w:rPr>
      </w:pPr>
      <w:r>
        <w:rPr>
          <w:color w:val="000000" w:themeColor="text1"/>
          <w14:textFill>
            <w14:solidFill>
              <w14:schemeClr w14:val="tx1"/>
            </w14:solidFill>
          </w14:textFill>
        </w:rPr>
        <w:t>地下水监测井基本情况</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64"/>
        <w:gridCol w:w="1595"/>
        <w:gridCol w:w="4611"/>
        <w:gridCol w:w="2172"/>
      </w:tblGrid>
      <w:tr w14:paraId="31253A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664" w:type="dxa"/>
            <w:vAlign w:val="center"/>
          </w:tcPr>
          <w:p w14:paraId="318F4E13">
            <w:pPr>
              <w:pStyle w:val="70"/>
              <w:spacing w:line="300" w:lineRule="exact"/>
              <w:rPr>
                <w:b/>
                <w:bCs/>
                <w:color w:val="000000" w:themeColor="text1"/>
                <w:lang w:val="zh-CN"/>
                <w14:textFill>
                  <w14:solidFill>
                    <w14:schemeClr w14:val="tx1"/>
                  </w14:solidFill>
                </w14:textFill>
              </w:rPr>
            </w:pPr>
            <w:r>
              <w:rPr>
                <w:b/>
                <w:bCs/>
                <w:color w:val="000000" w:themeColor="text1"/>
                <w:lang w:val="zh-CN"/>
                <w14:textFill>
                  <w14:solidFill>
                    <w14:schemeClr w14:val="tx1"/>
                  </w14:solidFill>
                </w14:textFill>
              </w:rPr>
              <w:t>编号</w:t>
            </w:r>
          </w:p>
        </w:tc>
        <w:tc>
          <w:tcPr>
            <w:tcW w:w="1595" w:type="dxa"/>
            <w:vAlign w:val="center"/>
          </w:tcPr>
          <w:p w14:paraId="6AAEABA1">
            <w:pPr>
              <w:pStyle w:val="70"/>
              <w:spacing w:line="300" w:lineRule="exact"/>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检测点位</w:t>
            </w:r>
          </w:p>
        </w:tc>
        <w:tc>
          <w:tcPr>
            <w:tcW w:w="4611" w:type="dxa"/>
            <w:vAlign w:val="center"/>
          </w:tcPr>
          <w:p w14:paraId="2D2E8309">
            <w:pPr>
              <w:pStyle w:val="70"/>
              <w:spacing w:line="300" w:lineRule="exact"/>
              <w:rPr>
                <w:b/>
                <w:bCs/>
                <w:color w:val="000000" w:themeColor="text1"/>
                <w:lang w:val="zh-CN"/>
                <w14:textFill>
                  <w14:solidFill>
                    <w14:schemeClr w14:val="tx1"/>
                  </w14:solidFill>
                </w14:textFill>
              </w:rPr>
            </w:pPr>
            <w:r>
              <w:rPr>
                <w:b/>
                <w:bCs/>
                <w:color w:val="000000" w:themeColor="text1"/>
                <w:lang w:val="zh-CN"/>
                <w14:textFill>
                  <w14:solidFill>
                    <w14:schemeClr w14:val="tx1"/>
                  </w14:solidFill>
                </w14:textFill>
              </w:rPr>
              <w:t>监测因子</w:t>
            </w:r>
          </w:p>
        </w:tc>
        <w:tc>
          <w:tcPr>
            <w:tcW w:w="2172" w:type="dxa"/>
            <w:vAlign w:val="center"/>
          </w:tcPr>
          <w:p w14:paraId="7B8CDFCE">
            <w:pPr>
              <w:pStyle w:val="70"/>
              <w:spacing w:line="300" w:lineRule="exact"/>
              <w:rPr>
                <w:b/>
                <w:bCs/>
                <w:color w:val="000000" w:themeColor="text1"/>
                <w:lang w:val="zh-CN"/>
                <w14:textFill>
                  <w14:solidFill>
                    <w14:schemeClr w14:val="tx1"/>
                  </w14:solidFill>
                </w14:textFill>
              </w:rPr>
            </w:pPr>
            <w:r>
              <w:rPr>
                <w:b/>
                <w:bCs/>
                <w:color w:val="000000" w:themeColor="text1"/>
                <w:lang w:val="zh-CN"/>
                <w14:textFill>
                  <w14:solidFill>
                    <w14:schemeClr w14:val="tx1"/>
                  </w14:solidFill>
                </w14:textFill>
              </w:rPr>
              <w:t>水位/m</w:t>
            </w:r>
          </w:p>
        </w:tc>
      </w:tr>
      <w:tr w14:paraId="302DA6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64" w:type="dxa"/>
            <w:vAlign w:val="center"/>
          </w:tcPr>
          <w:p w14:paraId="4B808354">
            <w:pPr>
              <w:pStyle w:val="70"/>
              <w:spacing w:line="300" w:lineRule="exact"/>
              <w:rPr>
                <w:color w:val="000000" w:themeColor="text1"/>
                <w14:textFill>
                  <w14:solidFill>
                    <w14:schemeClr w14:val="tx1"/>
                  </w14:solidFill>
                </w14:textFill>
              </w:rPr>
            </w:pPr>
            <w:r>
              <w:rPr>
                <w:color w:val="000000" w:themeColor="text1"/>
                <w14:textFill>
                  <w14:solidFill>
                    <w14:schemeClr w14:val="tx1"/>
                  </w14:solidFill>
                </w14:textFill>
              </w:rPr>
              <w:t>D1</w:t>
            </w:r>
          </w:p>
        </w:tc>
        <w:tc>
          <w:tcPr>
            <w:tcW w:w="1595" w:type="dxa"/>
            <w:vAlign w:val="center"/>
          </w:tcPr>
          <w:p w14:paraId="49745912">
            <w:pPr>
              <w:pStyle w:val="70"/>
              <w:spacing w:line="300" w:lineRule="exact"/>
              <w:rPr>
                <w:color w:val="000000" w:themeColor="text1"/>
                <w14:textFill>
                  <w14:solidFill>
                    <w14:schemeClr w14:val="tx1"/>
                  </w14:solidFill>
                </w14:textFill>
              </w:rPr>
            </w:pPr>
            <w:r>
              <w:rPr>
                <w:color w:val="000000" w:themeColor="text1"/>
                <w14:textFill>
                  <w14:solidFill>
                    <w14:schemeClr w14:val="tx1"/>
                  </w14:solidFill>
                </w14:textFill>
              </w:rPr>
              <w:t>广西华谊新材料有限公司罐区</w:t>
            </w:r>
          </w:p>
        </w:tc>
        <w:tc>
          <w:tcPr>
            <w:tcW w:w="4611" w:type="dxa"/>
            <w:vMerge w:val="restart"/>
            <w:vAlign w:val="center"/>
          </w:tcPr>
          <w:p w14:paraId="0BB73885">
            <w:pPr>
              <w:pStyle w:val="70"/>
              <w:spacing w:line="300" w:lineRule="exact"/>
              <w:rPr>
                <w:color w:val="000000" w:themeColor="text1"/>
                <w:lang w:val="zh-CN"/>
                <w14:textFill>
                  <w14:solidFill>
                    <w14:schemeClr w14:val="tx1"/>
                  </w14:solidFill>
                </w14:textFill>
              </w:rPr>
            </w:pPr>
            <w:r>
              <w:rPr>
                <w:color w:val="000000" w:themeColor="text1"/>
                <w14:textFill>
                  <w14:solidFill>
                    <w14:schemeClr w14:val="tx1"/>
                  </w14:solidFill>
                </w14:textFill>
              </w:rPr>
              <w:t>pH、总硬度、溶解性总固体、SO</w:t>
            </w:r>
            <w:r>
              <w:rPr>
                <w:color w:val="000000" w:themeColor="text1"/>
                <w:vertAlign w:val="subscript"/>
                <w14:textFill>
                  <w14:solidFill>
                    <w14:schemeClr w14:val="tx1"/>
                  </w14:solidFill>
                </w14:textFill>
              </w:rPr>
              <w:t>4</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、Cl</w:t>
            </w:r>
            <w:r>
              <w:rPr>
                <w:color w:val="000000" w:themeColor="text1"/>
                <w:vertAlign w:val="superscript"/>
                <w14:textFill>
                  <w14:solidFill>
                    <w14:schemeClr w14:val="tx1"/>
                  </w14:solidFill>
                </w14:textFill>
              </w:rPr>
              <w:t>-</w:t>
            </w:r>
            <w:r>
              <w:rPr>
                <w:color w:val="000000" w:themeColor="text1"/>
                <w14:textFill>
                  <w14:solidFill>
                    <w14:schemeClr w14:val="tx1"/>
                  </w14:solidFill>
                </w14:textFill>
              </w:rPr>
              <w:t>、挥发酚、高锰酸盐指数（以O2计）、氨氮、硫化物、NO</w:t>
            </w:r>
            <w:r>
              <w:rPr>
                <w:color w:val="000000" w:themeColor="text1"/>
                <w:vertAlign w:val="subscript"/>
                <w14:textFill>
                  <w14:solidFill>
                    <w14:schemeClr w14:val="tx1"/>
                  </w14:solidFill>
                </w14:textFill>
              </w:rPr>
              <w:t>3</w:t>
            </w:r>
            <w:r>
              <w:rPr>
                <w:color w:val="000000" w:themeColor="text1"/>
                <w:vertAlign w:val="superscript"/>
                <w14:textFill>
                  <w14:solidFill>
                    <w14:schemeClr w14:val="tx1"/>
                  </w14:solidFill>
                </w14:textFill>
              </w:rPr>
              <w:t>-</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vertAlign w:val="superscript"/>
                <w14:textFill>
                  <w14:solidFill>
                    <w14:schemeClr w14:val="tx1"/>
                  </w14:solidFill>
                </w14:textFill>
              </w:rPr>
              <w:t>-</w:t>
            </w:r>
            <w:r>
              <w:rPr>
                <w:color w:val="000000" w:themeColor="text1"/>
                <w14:textFill>
                  <w14:solidFill>
                    <w14:schemeClr w14:val="tx1"/>
                  </w14:solidFill>
                </w14:textFill>
              </w:rPr>
              <w:t>、F</w:t>
            </w:r>
            <w:r>
              <w:rPr>
                <w:color w:val="000000" w:themeColor="text1"/>
                <w:vertAlign w:val="superscript"/>
                <w14:textFill>
                  <w14:solidFill>
                    <w14:schemeClr w14:val="tx1"/>
                  </w14:solidFill>
                </w14:textFill>
              </w:rPr>
              <w:t>-</w:t>
            </w:r>
            <w:r>
              <w:rPr>
                <w:color w:val="000000" w:themeColor="text1"/>
                <w14:textFill>
                  <w14:solidFill>
                    <w14:schemeClr w14:val="tx1"/>
                  </w14:solidFill>
                </w14:textFill>
              </w:rPr>
              <w:t>、氰化物、砷、汞、铅、铬（六价）、镉、苯乙烯记录井深、埋深、水位</w:t>
            </w:r>
          </w:p>
        </w:tc>
        <w:tc>
          <w:tcPr>
            <w:tcW w:w="2172" w:type="dxa"/>
            <w:vAlign w:val="center"/>
          </w:tcPr>
          <w:p w14:paraId="144A800E">
            <w:pPr>
              <w:pStyle w:val="70"/>
              <w:spacing w:line="300" w:lineRule="exact"/>
              <w:rPr>
                <w:color w:val="000000" w:themeColor="text1"/>
                <w14:textFill>
                  <w14:solidFill>
                    <w14:schemeClr w14:val="tx1"/>
                  </w14:solidFill>
                </w14:textFill>
              </w:rPr>
            </w:pPr>
            <w:r>
              <w:rPr>
                <w:color w:val="000000" w:themeColor="text1"/>
                <w14:textFill>
                  <w14:solidFill>
                    <w14:schemeClr w14:val="tx1"/>
                  </w14:solidFill>
                </w14:textFill>
              </w:rPr>
              <w:t>2.67</w:t>
            </w:r>
          </w:p>
        </w:tc>
      </w:tr>
      <w:tr w14:paraId="25635E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64" w:type="dxa"/>
            <w:vAlign w:val="center"/>
          </w:tcPr>
          <w:p w14:paraId="22686D1A">
            <w:pPr>
              <w:pStyle w:val="70"/>
              <w:spacing w:line="300" w:lineRule="exact"/>
              <w:rPr>
                <w:color w:val="000000" w:themeColor="text1"/>
                <w14:textFill>
                  <w14:solidFill>
                    <w14:schemeClr w14:val="tx1"/>
                  </w14:solidFill>
                </w14:textFill>
              </w:rPr>
            </w:pPr>
            <w:r>
              <w:rPr>
                <w:color w:val="000000" w:themeColor="text1"/>
                <w14:textFill>
                  <w14:solidFill>
                    <w14:schemeClr w14:val="tx1"/>
                  </w14:solidFill>
                </w14:textFill>
              </w:rPr>
              <w:t>D2</w:t>
            </w:r>
          </w:p>
        </w:tc>
        <w:tc>
          <w:tcPr>
            <w:tcW w:w="1595" w:type="dxa"/>
            <w:vAlign w:val="center"/>
          </w:tcPr>
          <w:p w14:paraId="67CB899E">
            <w:pPr>
              <w:pStyle w:val="70"/>
              <w:spacing w:line="300" w:lineRule="exact"/>
              <w:rPr>
                <w:color w:val="000000" w:themeColor="text1"/>
                <w14:textFill>
                  <w14:solidFill>
                    <w14:schemeClr w14:val="tx1"/>
                  </w14:solidFill>
                </w14:textFill>
              </w:rPr>
            </w:pPr>
            <w:r>
              <w:rPr>
                <w:color w:val="000000" w:themeColor="text1"/>
                <w14:textFill>
                  <w14:solidFill>
                    <w14:schemeClr w14:val="tx1"/>
                  </w14:solidFill>
                </w14:textFill>
              </w:rPr>
              <w:t>高沙头村</w:t>
            </w:r>
          </w:p>
        </w:tc>
        <w:tc>
          <w:tcPr>
            <w:tcW w:w="4611" w:type="dxa"/>
            <w:vMerge w:val="continue"/>
            <w:vAlign w:val="center"/>
          </w:tcPr>
          <w:p w14:paraId="65A3692E">
            <w:pPr>
              <w:pStyle w:val="70"/>
              <w:spacing w:line="300" w:lineRule="exact"/>
              <w:rPr>
                <w:color w:val="000000" w:themeColor="text1"/>
                <w:lang w:val="zh-CN"/>
                <w14:textFill>
                  <w14:solidFill>
                    <w14:schemeClr w14:val="tx1"/>
                  </w14:solidFill>
                </w14:textFill>
              </w:rPr>
            </w:pPr>
          </w:p>
        </w:tc>
        <w:tc>
          <w:tcPr>
            <w:tcW w:w="2172" w:type="dxa"/>
            <w:vAlign w:val="center"/>
          </w:tcPr>
          <w:p w14:paraId="488DB47D">
            <w:pPr>
              <w:pStyle w:val="70"/>
              <w:spacing w:line="300" w:lineRule="exact"/>
              <w:rPr>
                <w:color w:val="000000" w:themeColor="text1"/>
                <w14:textFill>
                  <w14:solidFill>
                    <w14:schemeClr w14:val="tx1"/>
                  </w14:solidFill>
                </w14:textFill>
              </w:rPr>
            </w:pPr>
            <w:r>
              <w:rPr>
                <w:color w:val="000000" w:themeColor="text1"/>
                <w14:textFill>
                  <w14:solidFill>
                    <w14:schemeClr w14:val="tx1"/>
                  </w14:solidFill>
                </w14:textFill>
              </w:rPr>
              <w:t>7.62</w:t>
            </w:r>
          </w:p>
        </w:tc>
      </w:tr>
      <w:tr w14:paraId="0229B7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64" w:type="dxa"/>
            <w:vAlign w:val="center"/>
          </w:tcPr>
          <w:p w14:paraId="2874FF55">
            <w:pPr>
              <w:pStyle w:val="70"/>
              <w:spacing w:line="300" w:lineRule="exact"/>
              <w:rPr>
                <w:color w:val="000000" w:themeColor="text1"/>
                <w14:textFill>
                  <w14:solidFill>
                    <w14:schemeClr w14:val="tx1"/>
                  </w14:solidFill>
                </w14:textFill>
              </w:rPr>
            </w:pPr>
            <w:r>
              <w:rPr>
                <w:color w:val="000000" w:themeColor="text1"/>
                <w14:textFill>
                  <w14:solidFill>
                    <w14:schemeClr w14:val="tx1"/>
                  </w14:solidFill>
                </w14:textFill>
              </w:rPr>
              <w:t>D3</w:t>
            </w:r>
          </w:p>
        </w:tc>
        <w:tc>
          <w:tcPr>
            <w:tcW w:w="1595" w:type="dxa"/>
            <w:vAlign w:val="center"/>
          </w:tcPr>
          <w:p w14:paraId="4CBD9B70">
            <w:pPr>
              <w:pStyle w:val="70"/>
              <w:spacing w:line="300" w:lineRule="exact"/>
              <w:rPr>
                <w:color w:val="000000" w:themeColor="text1"/>
                <w14:textFill>
                  <w14:solidFill>
                    <w14:schemeClr w14:val="tx1"/>
                  </w14:solidFill>
                </w14:textFill>
              </w:rPr>
            </w:pPr>
            <w:r>
              <w:rPr>
                <w:color w:val="000000" w:themeColor="text1"/>
                <w14:textFill>
                  <w14:solidFill>
                    <w14:schemeClr w14:val="tx1"/>
                  </w14:solidFill>
                </w14:textFill>
              </w:rPr>
              <w:t>尖岭</w:t>
            </w:r>
          </w:p>
        </w:tc>
        <w:tc>
          <w:tcPr>
            <w:tcW w:w="4611" w:type="dxa"/>
            <w:vMerge w:val="continue"/>
            <w:vAlign w:val="center"/>
          </w:tcPr>
          <w:p w14:paraId="3C710224">
            <w:pPr>
              <w:pStyle w:val="70"/>
              <w:spacing w:line="300" w:lineRule="exact"/>
              <w:rPr>
                <w:color w:val="000000" w:themeColor="text1"/>
                <w:lang w:val="zh-CN"/>
                <w14:textFill>
                  <w14:solidFill>
                    <w14:schemeClr w14:val="tx1"/>
                  </w14:solidFill>
                </w14:textFill>
              </w:rPr>
            </w:pPr>
          </w:p>
        </w:tc>
        <w:tc>
          <w:tcPr>
            <w:tcW w:w="2172" w:type="dxa"/>
            <w:vAlign w:val="center"/>
          </w:tcPr>
          <w:p w14:paraId="4B413471">
            <w:pPr>
              <w:pStyle w:val="70"/>
              <w:spacing w:line="300" w:lineRule="exact"/>
              <w:rPr>
                <w:color w:val="000000" w:themeColor="text1"/>
                <w14:textFill>
                  <w14:solidFill>
                    <w14:schemeClr w14:val="tx1"/>
                  </w14:solidFill>
                </w14:textFill>
              </w:rPr>
            </w:pPr>
            <w:r>
              <w:rPr>
                <w:color w:val="000000" w:themeColor="text1"/>
                <w14:textFill>
                  <w14:solidFill>
                    <w14:schemeClr w14:val="tx1"/>
                  </w14:solidFill>
                </w14:textFill>
              </w:rPr>
              <w:t>5.00</w:t>
            </w:r>
          </w:p>
        </w:tc>
      </w:tr>
    </w:tbl>
    <w:p w14:paraId="208B0121">
      <w:pPr>
        <w:spacing w:line="240" w:lineRule="atLeast"/>
        <w:ind w:firstLine="199" w:firstLineChars="83"/>
        <w:rPr>
          <w:color w:val="000000" w:themeColor="text1"/>
          <w:sz w:val="18"/>
          <w:szCs w:val="18"/>
          <w14:textFill>
            <w14:solidFill>
              <w14:schemeClr w14:val="tx1"/>
            </w14:solidFill>
          </w14:textFill>
        </w:rPr>
      </w:pPr>
      <w:r>
        <w:rPr>
          <w:color w:val="000000" w:themeColor="text1"/>
          <w14:textFill>
            <w14:solidFill>
              <w14:schemeClr w14:val="tx1"/>
            </w14:solidFill>
          </w14:textFill>
        </w:rPr>
        <w:drawing>
          <wp:inline distT="0" distB="0" distL="114300" distR="114300">
            <wp:extent cx="5768340" cy="3477260"/>
            <wp:effectExtent l="19050" t="19050" r="22860" b="27940"/>
            <wp:docPr id="8" name="图片 2"/>
            <wp:cNvGraphicFramePr/>
            <a:graphic xmlns:a="http://schemas.openxmlformats.org/drawingml/2006/main">
              <a:graphicData uri="http://schemas.openxmlformats.org/drawingml/2006/picture">
                <pic:pic xmlns:pic="http://schemas.openxmlformats.org/drawingml/2006/picture">
                  <pic:nvPicPr>
                    <pic:cNvPr id="8" name="图片 2"/>
                    <pic:cNvPicPr/>
                  </pic:nvPicPr>
                  <pic:blipFill>
                    <a:blip r:embed="rId69"/>
                    <a:stretch>
                      <a:fillRect/>
                    </a:stretch>
                  </pic:blipFill>
                  <pic:spPr>
                    <a:xfrm>
                      <a:off x="0" y="0"/>
                      <a:ext cx="5768340" cy="3477320"/>
                    </a:xfrm>
                    <a:prstGeom prst="rect">
                      <a:avLst/>
                    </a:prstGeom>
                    <a:noFill/>
                    <a:ln w="19050">
                      <a:solidFill>
                        <a:schemeClr val="tx1"/>
                      </a:solidFill>
                    </a:ln>
                  </pic:spPr>
                </pic:pic>
              </a:graphicData>
            </a:graphic>
          </wp:inline>
        </w:drawing>
      </w:r>
    </w:p>
    <w:p w14:paraId="3B2A6DFB">
      <w:pPr>
        <w:pStyle w:val="8"/>
        <w:spacing w:line="240" w:lineRule="exact"/>
        <w:ind w:firstLine="480"/>
        <w:rPr>
          <w:color w:val="000000" w:themeColor="text1"/>
          <w:sz w:val="18"/>
          <w:szCs w:val="18"/>
          <w14:textFill>
            <w14:solidFill>
              <w14:schemeClr w14:val="tx1"/>
            </w14:solidFill>
          </w14:textFill>
        </w:rPr>
      </w:pPr>
      <w:r>
        <w:rPr>
          <w:color w:val="000000" w:themeColor="text1"/>
          <w14:textFill>
            <w14:solidFill>
              <w14:schemeClr w14:val="tx1"/>
            </w14:solidFill>
          </w14:textFill>
        </w:rPr>
        <w:t>监测点位与区域水文地质示意图</w:t>
      </w:r>
    </w:p>
    <w:p w14:paraId="0148C3F5">
      <w:pPr>
        <w:pStyle w:val="4"/>
        <w:rPr>
          <w:color w:val="000000" w:themeColor="text1"/>
          <w14:textFill>
            <w14:solidFill>
              <w14:schemeClr w14:val="tx1"/>
            </w14:solidFill>
          </w14:textFill>
        </w:rPr>
      </w:pPr>
      <w:bookmarkStart w:id="584" w:name="_Toc216620544"/>
      <w:bookmarkStart w:id="585" w:name="_Toc136878480"/>
      <w:r>
        <w:rPr>
          <w:color w:val="000000" w:themeColor="text1"/>
          <w14:textFill>
            <w14:solidFill>
              <w14:schemeClr w14:val="tx1"/>
            </w14:solidFill>
          </w14:textFill>
        </w:rPr>
        <w:t>监测与分析方法</w:t>
      </w:r>
      <w:bookmarkEnd w:id="584"/>
      <w:bookmarkEnd w:id="585"/>
    </w:p>
    <w:p w14:paraId="5237BAD9">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监测分析方法如下：</w:t>
      </w:r>
    </w:p>
    <w:p w14:paraId="60526E07">
      <w:pPr>
        <w:pStyle w:val="7"/>
        <w:rPr>
          <w:color w:val="000000" w:themeColor="text1"/>
          <w14:textFill>
            <w14:solidFill>
              <w14:schemeClr w14:val="tx1"/>
            </w14:solidFill>
          </w14:textFill>
        </w:rPr>
      </w:pPr>
      <w:r>
        <w:rPr>
          <w:color w:val="000000" w:themeColor="text1"/>
          <w14:textFill>
            <w14:solidFill>
              <w14:schemeClr w14:val="tx1"/>
            </w14:solidFill>
          </w14:textFill>
        </w:rPr>
        <w:t>地下水监测方法一览表</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078"/>
        <w:gridCol w:w="4644"/>
        <w:gridCol w:w="2320"/>
      </w:tblGrid>
      <w:tr w14:paraId="19BC02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tblHeader/>
          <w:jc w:val="center"/>
        </w:trPr>
        <w:tc>
          <w:tcPr>
            <w:tcW w:w="2078" w:type="dxa"/>
            <w:vMerge w:val="restart"/>
            <w:tcMar>
              <w:top w:w="0" w:type="dxa"/>
              <w:left w:w="28" w:type="dxa"/>
              <w:bottom w:w="0" w:type="dxa"/>
              <w:right w:w="28" w:type="dxa"/>
            </w:tcMar>
            <w:vAlign w:val="center"/>
          </w:tcPr>
          <w:p w14:paraId="2A0323F1">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检测项目</w:t>
            </w:r>
          </w:p>
        </w:tc>
        <w:tc>
          <w:tcPr>
            <w:tcW w:w="6964" w:type="dxa"/>
            <w:gridSpan w:val="2"/>
            <w:tcMar>
              <w:top w:w="0" w:type="dxa"/>
              <w:left w:w="28" w:type="dxa"/>
              <w:bottom w:w="0" w:type="dxa"/>
              <w:right w:w="28" w:type="dxa"/>
            </w:tcMar>
            <w:vAlign w:val="center"/>
          </w:tcPr>
          <w:p w14:paraId="456311A0">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检测依据</w:t>
            </w:r>
          </w:p>
        </w:tc>
      </w:tr>
      <w:tr w14:paraId="483946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tblHeader/>
          <w:jc w:val="center"/>
        </w:trPr>
        <w:tc>
          <w:tcPr>
            <w:tcW w:w="2078" w:type="dxa"/>
            <w:vMerge w:val="continue"/>
            <w:vAlign w:val="center"/>
          </w:tcPr>
          <w:p w14:paraId="08065FDA">
            <w:pPr>
              <w:pStyle w:val="70"/>
              <w:rPr>
                <w:b/>
                <w:bCs/>
                <w:color w:val="000000" w:themeColor="text1"/>
                <w14:textFill>
                  <w14:solidFill>
                    <w14:schemeClr w14:val="tx1"/>
                  </w14:solidFill>
                </w14:textFill>
              </w:rPr>
            </w:pPr>
          </w:p>
        </w:tc>
        <w:tc>
          <w:tcPr>
            <w:tcW w:w="4644" w:type="dxa"/>
            <w:tcMar>
              <w:top w:w="0" w:type="dxa"/>
              <w:left w:w="28" w:type="dxa"/>
              <w:bottom w:w="0" w:type="dxa"/>
              <w:right w:w="28" w:type="dxa"/>
            </w:tcMar>
            <w:vAlign w:val="center"/>
          </w:tcPr>
          <w:p w14:paraId="670EABFD">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方法来源</w:t>
            </w:r>
          </w:p>
        </w:tc>
        <w:tc>
          <w:tcPr>
            <w:tcW w:w="2320" w:type="dxa"/>
            <w:tcMar>
              <w:top w:w="0" w:type="dxa"/>
              <w:left w:w="28" w:type="dxa"/>
              <w:bottom w:w="0" w:type="dxa"/>
              <w:right w:w="28" w:type="dxa"/>
            </w:tcMar>
            <w:vAlign w:val="center"/>
          </w:tcPr>
          <w:p w14:paraId="10E7A3C2">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检出限</w:t>
            </w:r>
          </w:p>
        </w:tc>
      </w:tr>
      <w:tr w14:paraId="6DD7FD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182BC7BD">
            <w:pPr>
              <w:pStyle w:val="70"/>
              <w:rPr>
                <w:color w:val="000000" w:themeColor="text1"/>
                <w14:textFill>
                  <w14:solidFill>
                    <w14:schemeClr w14:val="tx1"/>
                  </w14:solidFill>
                </w14:textFill>
              </w:rPr>
            </w:pPr>
            <w:r>
              <w:rPr>
                <w:color w:val="000000" w:themeColor="text1"/>
                <w14:textFill>
                  <w14:solidFill>
                    <w14:schemeClr w14:val="tx1"/>
                  </w14:solidFill>
                </w14:textFill>
              </w:rPr>
              <w:t>pH值</w:t>
            </w:r>
          </w:p>
        </w:tc>
        <w:tc>
          <w:tcPr>
            <w:tcW w:w="4644" w:type="dxa"/>
            <w:vAlign w:val="center"/>
          </w:tcPr>
          <w:p w14:paraId="2B5841EF">
            <w:pPr>
              <w:pStyle w:val="70"/>
              <w:rPr>
                <w:color w:val="000000" w:themeColor="text1"/>
                <w14:textFill>
                  <w14:solidFill>
                    <w14:schemeClr w14:val="tx1"/>
                  </w14:solidFill>
                </w14:textFill>
              </w:rPr>
            </w:pPr>
            <w:r>
              <w:rPr>
                <w:color w:val="000000" w:themeColor="text1"/>
                <w14:textFill>
                  <w14:solidFill>
                    <w14:schemeClr w14:val="tx1"/>
                  </w14:solidFill>
                </w14:textFill>
              </w:rPr>
              <w:t>水质 pH值的测定 电极法（HJ 1147-2020）</w:t>
            </w:r>
          </w:p>
        </w:tc>
        <w:tc>
          <w:tcPr>
            <w:tcW w:w="2320" w:type="dxa"/>
            <w:vAlign w:val="center"/>
          </w:tcPr>
          <w:p w14:paraId="114975B7">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52F6F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4F35F372">
            <w:pPr>
              <w:pStyle w:val="70"/>
              <w:rPr>
                <w:color w:val="000000" w:themeColor="text1"/>
                <w14:textFill>
                  <w14:solidFill>
                    <w14:schemeClr w14:val="tx1"/>
                  </w14:solidFill>
                </w14:textFill>
              </w:rPr>
            </w:pPr>
            <w:r>
              <w:rPr>
                <w:color w:val="000000" w:themeColor="text1"/>
                <w14:textFill>
                  <w14:solidFill>
                    <w14:schemeClr w14:val="tx1"/>
                  </w14:solidFill>
                </w14:textFill>
              </w:rPr>
              <w:t>Cl</w:t>
            </w:r>
            <w:r>
              <w:rPr>
                <w:color w:val="000000" w:themeColor="text1"/>
                <w:vertAlign w:val="superscript"/>
                <w14:textFill>
                  <w14:solidFill>
                    <w14:schemeClr w14:val="tx1"/>
                  </w14:solidFill>
                </w14:textFill>
              </w:rPr>
              <w:t>-</w:t>
            </w:r>
          </w:p>
        </w:tc>
        <w:tc>
          <w:tcPr>
            <w:tcW w:w="4644" w:type="dxa"/>
            <w:vMerge w:val="restart"/>
            <w:vAlign w:val="center"/>
          </w:tcPr>
          <w:p w14:paraId="2F53CA5D">
            <w:pPr>
              <w:pStyle w:val="70"/>
              <w:rPr>
                <w:color w:val="000000" w:themeColor="text1"/>
                <w14:textFill>
                  <w14:solidFill>
                    <w14:schemeClr w14:val="tx1"/>
                  </w14:solidFill>
                </w14:textFill>
              </w:rPr>
            </w:pPr>
            <w:r>
              <w:rPr>
                <w:color w:val="000000" w:themeColor="text1"/>
                <w14:textFill>
                  <w14:solidFill>
                    <w14:schemeClr w14:val="tx1"/>
                  </w14:solidFill>
                </w14:textFill>
              </w:rPr>
              <w:t>水质 无机阴子（F</w:t>
            </w:r>
            <w:r>
              <w:rPr>
                <w:color w:val="000000" w:themeColor="text1"/>
                <w:vertAlign w:val="superscript"/>
                <w14:textFill>
                  <w14:solidFill>
                    <w14:schemeClr w14:val="tx1"/>
                  </w14:solidFill>
                </w14:textFill>
              </w:rPr>
              <w:t>-</w:t>
            </w:r>
            <w:r>
              <w:rPr>
                <w:color w:val="000000" w:themeColor="text1"/>
                <w14:textFill>
                  <w14:solidFill>
                    <w14:schemeClr w14:val="tx1"/>
                  </w14:solidFill>
                </w14:textFill>
              </w:rPr>
              <w:t>、Cl</w:t>
            </w:r>
            <w:r>
              <w:rPr>
                <w:color w:val="000000" w:themeColor="text1"/>
                <w:vertAlign w:val="superscript"/>
                <w14:textFill>
                  <w14:solidFill>
                    <w14:schemeClr w14:val="tx1"/>
                  </w14:solidFill>
                </w14:textFill>
              </w:rPr>
              <w:t>-</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vertAlign w:val="superscript"/>
                <w14:textFill>
                  <w14:solidFill>
                    <w14:schemeClr w14:val="tx1"/>
                  </w14:solidFill>
                </w14:textFill>
              </w:rPr>
              <w:t>-</w:t>
            </w:r>
            <w:r>
              <w:rPr>
                <w:color w:val="000000" w:themeColor="text1"/>
                <w14:textFill>
                  <w14:solidFill>
                    <w14:schemeClr w14:val="tx1"/>
                  </w14:solidFill>
                </w14:textFill>
              </w:rPr>
              <w:t>、Br</w:t>
            </w:r>
            <w:r>
              <w:rPr>
                <w:color w:val="000000" w:themeColor="text1"/>
                <w:vertAlign w:val="superscript"/>
                <w14:textFill>
                  <w14:solidFill>
                    <w14:schemeClr w14:val="tx1"/>
                  </w14:solidFill>
                </w14:textFill>
              </w:rPr>
              <w:t>-</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3</w:t>
            </w:r>
            <w:r>
              <w:rPr>
                <w:color w:val="000000" w:themeColor="text1"/>
                <w:vertAlign w:val="superscript"/>
                <w14:textFill>
                  <w14:solidFill>
                    <w14:schemeClr w14:val="tx1"/>
                  </w14:solidFill>
                </w14:textFill>
              </w:rPr>
              <w:t>-</w:t>
            </w:r>
            <w:r>
              <w:rPr>
                <w:color w:val="000000" w:themeColor="text1"/>
                <w14:textFill>
                  <w14:solidFill>
                    <w14:schemeClr w14:val="tx1"/>
                  </w14:solidFill>
                </w14:textFill>
              </w:rPr>
              <w:t>、PO</w:t>
            </w:r>
            <w:r>
              <w:rPr>
                <w:color w:val="000000" w:themeColor="text1"/>
                <w:vertAlign w:val="subscript"/>
                <w14:textFill>
                  <w14:solidFill>
                    <w14:schemeClr w14:val="tx1"/>
                  </w14:solidFill>
                </w14:textFill>
              </w:rPr>
              <w:t>4</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3</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4</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）的测定 离子色谱法（HJ 84-2016）</w:t>
            </w:r>
            <w:r>
              <w:rPr>
                <w:rFonts w:hint="eastAsia"/>
                <w:color w:val="000000" w:themeColor="text1"/>
                <w14:textFill>
                  <w14:solidFill>
                    <w14:schemeClr w14:val="tx1"/>
                  </w14:solidFill>
                </w14:textFill>
              </w:rPr>
              <w:t xml:space="preserve"> </w:t>
            </w:r>
          </w:p>
        </w:tc>
        <w:tc>
          <w:tcPr>
            <w:tcW w:w="2320" w:type="dxa"/>
            <w:vAlign w:val="center"/>
          </w:tcPr>
          <w:p w14:paraId="4D49C9AA">
            <w:pPr>
              <w:pStyle w:val="70"/>
              <w:rPr>
                <w:color w:val="000000" w:themeColor="text1"/>
                <w14:textFill>
                  <w14:solidFill>
                    <w14:schemeClr w14:val="tx1"/>
                  </w14:solidFill>
                </w14:textFill>
              </w:rPr>
            </w:pPr>
            <w:r>
              <w:rPr>
                <w:color w:val="000000" w:themeColor="text1"/>
                <w14:textFill>
                  <w14:solidFill>
                    <w14:schemeClr w14:val="tx1"/>
                  </w14:solidFill>
                </w14:textFill>
              </w:rPr>
              <w:t>0.007mg/L</w:t>
            </w:r>
          </w:p>
        </w:tc>
      </w:tr>
      <w:tr w14:paraId="710C9F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3550D314">
            <w:pPr>
              <w:pStyle w:val="70"/>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4</w:t>
            </w:r>
            <w:r>
              <w:rPr>
                <w:color w:val="000000" w:themeColor="text1"/>
                <w:vertAlign w:val="superscript"/>
                <w14:textFill>
                  <w14:solidFill>
                    <w14:schemeClr w14:val="tx1"/>
                  </w14:solidFill>
                </w14:textFill>
              </w:rPr>
              <w:t>2-</w:t>
            </w:r>
          </w:p>
        </w:tc>
        <w:tc>
          <w:tcPr>
            <w:tcW w:w="4644" w:type="dxa"/>
            <w:vMerge w:val="continue"/>
            <w:vAlign w:val="center"/>
          </w:tcPr>
          <w:p w14:paraId="622B9202">
            <w:pPr>
              <w:pStyle w:val="70"/>
              <w:rPr>
                <w:color w:val="000000" w:themeColor="text1"/>
                <w:lang w:val="zh-CN"/>
                <w14:textFill>
                  <w14:solidFill>
                    <w14:schemeClr w14:val="tx1"/>
                  </w14:solidFill>
                </w14:textFill>
              </w:rPr>
            </w:pPr>
          </w:p>
        </w:tc>
        <w:tc>
          <w:tcPr>
            <w:tcW w:w="2320" w:type="dxa"/>
            <w:vAlign w:val="center"/>
          </w:tcPr>
          <w:p w14:paraId="7A11CB61">
            <w:pPr>
              <w:pStyle w:val="70"/>
              <w:rPr>
                <w:color w:val="000000" w:themeColor="text1"/>
                <w:lang w:val="zh-CN"/>
                <w14:textFill>
                  <w14:solidFill>
                    <w14:schemeClr w14:val="tx1"/>
                  </w14:solidFill>
                </w14:textFill>
              </w:rPr>
            </w:pPr>
            <w:r>
              <w:rPr>
                <w:color w:val="000000" w:themeColor="text1"/>
                <w14:textFill>
                  <w14:solidFill>
                    <w14:schemeClr w14:val="tx1"/>
                  </w14:solidFill>
                </w14:textFill>
              </w:rPr>
              <w:t>0.018mg/L</w:t>
            </w:r>
          </w:p>
        </w:tc>
      </w:tr>
      <w:tr w14:paraId="31B7DF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6E0DE101">
            <w:pPr>
              <w:pStyle w:val="70"/>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3</w:t>
            </w:r>
            <w:r>
              <w:rPr>
                <w:color w:val="000000" w:themeColor="text1"/>
                <w:vertAlign w:val="superscript"/>
                <w14:textFill>
                  <w14:solidFill>
                    <w14:schemeClr w14:val="tx1"/>
                  </w14:solidFill>
                </w14:textFill>
              </w:rPr>
              <w:t>-</w:t>
            </w:r>
          </w:p>
        </w:tc>
        <w:tc>
          <w:tcPr>
            <w:tcW w:w="4644" w:type="dxa"/>
            <w:vMerge w:val="continue"/>
            <w:vAlign w:val="center"/>
          </w:tcPr>
          <w:p w14:paraId="7E9CE59C">
            <w:pPr>
              <w:pStyle w:val="70"/>
              <w:rPr>
                <w:color w:val="000000" w:themeColor="text1"/>
                <w14:textFill>
                  <w14:solidFill>
                    <w14:schemeClr w14:val="tx1"/>
                  </w14:solidFill>
                </w14:textFill>
              </w:rPr>
            </w:pPr>
          </w:p>
        </w:tc>
        <w:tc>
          <w:tcPr>
            <w:tcW w:w="2320" w:type="dxa"/>
            <w:vAlign w:val="center"/>
          </w:tcPr>
          <w:p w14:paraId="32B284E2">
            <w:pPr>
              <w:pStyle w:val="70"/>
              <w:rPr>
                <w:color w:val="000000" w:themeColor="text1"/>
                <w14:textFill>
                  <w14:solidFill>
                    <w14:schemeClr w14:val="tx1"/>
                  </w14:solidFill>
                </w14:textFill>
              </w:rPr>
            </w:pPr>
            <w:r>
              <w:rPr>
                <w:color w:val="000000" w:themeColor="text1"/>
                <w14:textFill>
                  <w14:solidFill>
                    <w14:schemeClr w14:val="tx1"/>
                  </w14:solidFill>
                </w14:textFill>
              </w:rPr>
              <w:t>0.016mg/L</w:t>
            </w:r>
          </w:p>
        </w:tc>
      </w:tr>
      <w:tr w14:paraId="067F0D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63DA2FE2">
            <w:pPr>
              <w:pStyle w:val="70"/>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vertAlign w:val="superscript"/>
                <w14:textFill>
                  <w14:solidFill>
                    <w14:schemeClr w14:val="tx1"/>
                  </w14:solidFill>
                </w14:textFill>
              </w:rPr>
              <w:t>-</w:t>
            </w:r>
          </w:p>
        </w:tc>
        <w:tc>
          <w:tcPr>
            <w:tcW w:w="4644" w:type="dxa"/>
            <w:vMerge w:val="continue"/>
            <w:vAlign w:val="center"/>
          </w:tcPr>
          <w:p w14:paraId="7EDC7612">
            <w:pPr>
              <w:pStyle w:val="70"/>
              <w:rPr>
                <w:color w:val="000000" w:themeColor="text1"/>
                <w14:textFill>
                  <w14:solidFill>
                    <w14:schemeClr w14:val="tx1"/>
                  </w14:solidFill>
                </w14:textFill>
              </w:rPr>
            </w:pPr>
          </w:p>
        </w:tc>
        <w:tc>
          <w:tcPr>
            <w:tcW w:w="2320" w:type="dxa"/>
            <w:vAlign w:val="center"/>
          </w:tcPr>
          <w:p w14:paraId="141E4C98">
            <w:pPr>
              <w:pStyle w:val="70"/>
              <w:rPr>
                <w:color w:val="000000" w:themeColor="text1"/>
                <w:lang w:val="zh-CN"/>
                <w14:textFill>
                  <w14:solidFill>
                    <w14:schemeClr w14:val="tx1"/>
                  </w14:solidFill>
                </w14:textFill>
              </w:rPr>
            </w:pPr>
            <w:r>
              <w:rPr>
                <w:color w:val="000000" w:themeColor="text1"/>
                <w14:textFill>
                  <w14:solidFill>
                    <w14:schemeClr w14:val="tx1"/>
                  </w14:solidFill>
                </w14:textFill>
              </w:rPr>
              <w:t>0.016mg/L</w:t>
            </w:r>
          </w:p>
        </w:tc>
      </w:tr>
      <w:tr w14:paraId="2E62D9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0B099776">
            <w:pPr>
              <w:pStyle w:val="70"/>
              <w:rPr>
                <w:color w:val="000000" w:themeColor="text1"/>
                <w14:textFill>
                  <w14:solidFill>
                    <w14:schemeClr w14:val="tx1"/>
                  </w14:solidFill>
                </w14:textFill>
              </w:rPr>
            </w:pPr>
            <w:r>
              <w:rPr>
                <w:color w:val="000000" w:themeColor="text1"/>
                <w14:textFill>
                  <w14:solidFill>
                    <w14:schemeClr w14:val="tx1"/>
                  </w14:solidFill>
                </w14:textFill>
              </w:rPr>
              <w:t>F</w:t>
            </w:r>
            <w:r>
              <w:rPr>
                <w:color w:val="000000" w:themeColor="text1"/>
                <w:vertAlign w:val="superscript"/>
                <w14:textFill>
                  <w14:solidFill>
                    <w14:schemeClr w14:val="tx1"/>
                  </w14:solidFill>
                </w14:textFill>
              </w:rPr>
              <w:t>-</w:t>
            </w:r>
          </w:p>
        </w:tc>
        <w:tc>
          <w:tcPr>
            <w:tcW w:w="4644" w:type="dxa"/>
            <w:vMerge w:val="continue"/>
            <w:vAlign w:val="center"/>
          </w:tcPr>
          <w:p w14:paraId="357FDC5B">
            <w:pPr>
              <w:pStyle w:val="70"/>
              <w:rPr>
                <w:color w:val="000000" w:themeColor="text1"/>
                <w14:textFill>
                  <w14:solidFill>
                    <w14:schemeClr w14:val="tx1"/>
                  </w14:solidFill>
                </w14:textFill>
              </w:rPr>
            </w:pPr>
          </w:p>
        </w:tc>
        <w:tc>
          <w:tcPr>
            <w:tcW w:w="2320" w:type="dxa"/>
            <w:vAlign w:val="center"/>
          </w:tcPr>
          <w:p w14:paraId="0B9D711A">
            <w:pPr>
              <w:pStyle w:val="70"/>
              <w:rPr>
                <w:color w:val="000000" w:themeColor="text1"/>
                <w14:textFill>
                  <w14:solidFill>
                    <w14:schemeClr w14:val="tx1"/>
                  </w14:solidFill>
                </w14:textFill>
              </w:rPr>
            </w:pPr>
            <w:r>
              <w:rPr>
                <w:color w:val="000000" w:themeColor="text1"/>
                <w14:textFill>
                  <w14:solidFill>
                    <w14:schemeClr w14:val="tx1"/>
                  </w14:solidFill>
                </w14:textFill>
              </w:rPr>
              <w:t>0.006mg/L</w:t>
            </w:r>
          </w:p>
        </w:tc>
      </w:tr>
      <w:tr w14:paraId="032D68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271B3F47">
            <w:pPr>
              <w:pStyle w:val="70"/>
              <w:rPr>
                <w:color w:val="000000" w:themeColor="text1"/>
                <w14:textFill>
                  <w14:solidFill>
                    <w14:schemeClr w14:val="tx1"/>
                  </w14:solidFill>
                </w14:textFill>
              </w:rPr>
            </w:pPr>
            <w:r>
              <w:rPr>
                <w:color w:val="000000" w:themeColor="text1"/>
                <w14:textFill>
                  <w14:solidFill>
                    <w14:schemeClr w14:val="tx1"/>
                  </w14:solidFill>
                </w14:textFill>
              </w:rPr>
              <w:t>总硬度</w:t>
            </w:r>
          </w:p>
        </w:tc>
        <w:tc>
          <w:tcPr>
            <w:tcW w:w="4644" w:type="dxa"/>
            <w:vAlign w:val="center"/>
          </w:tcPr>
          <w:p w14:paraId="1DA22855">
            <w:pPr>
              <w:pStyle w:val="70"/>
              <w:rPr>
                <w:color w:val="000000" w:themeColor="text1"/>
                <w:lang w:val="zh-CN"/>
                <w14:textFill>
                  <w14:solidFill>
                    <w14:schemeClr w14:val="tx1"/>
                  </w14:solidFill>
                </w14:textFill>
              </w:rPr>
            </w:pPr>
            <w:r>
              <w:rPr>
                <w:rFonts w:hint="eastAsia"/>
                <w:color w:val="000000" w:themeColor="text1"/>
                <w14:textFill>
                  <w14:solidFill>
                    <w14:schemeClr w14:val="tx1"/>
                  </w14:solidFill>
                </w14:textFill>
              </w:rPr>
              <w:t>水质</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钙和镁总量的测定</w:t>
            </w:r>
            <w:r>
              <w:rPr>
                <w:color w:val="000000" w:themeColor="text1"/>
                <w14:textFill>
                  <w14:solidFill>
                    <w14:schemeClr w14:val="tx1"/>
                  </w14:solidFill>
                </w14:textFill>
              </w:rPr>
              <w:t xml:space="preserve"> EDTA</w:t>
            </w:r>
            <w:r>
              <w:rPr>
                <w:rFonts w:hint="eastAsia"/>
                <w:color w:val="000000" w:themeColor="text1"/>
                <w14:textFill>
                  <w14:solidFill>
                    <w14:schemeClr w14:val="tx1"/>
                  </w14:solidFill>
                </w14:textFill>
              </w:rPr>
              <w:t>滴定法（</w:t>
            </w:r>
            <w:r>
              <w:rPr>
                <w:color w:val="000000" w:themeColor="text1"/>
                <w14:textFill>
                  <w14:solidFill>
                    <w14:schemeClr w14:val="tx1"/>
                  </w14:solidFill>
                </w14:textFill>
              </w:rPr>
              <w:t>GB 7477-87</w:t>
            </w:r>
            <w:r>
              <w:rPr>
                <w:rFonts w:hint="eastAsia"/>
                <w:color w:val="000000" w:themeColor="text1"/>
                <w14:textFill>
                  <w14:solidFill>
                    <w14:schemeClr w14:val="tx1"/>
                  </w14:solidFill>
                </w14:textFill>
              </w:rPr>
              <w:t>）</w:t>
            </w:r>
          </w:p>
        </w:tc>
        <w:tc>
          <w:tcPr>
            <w:tcW w:w="2320" w:type="dxa"/>
            <w:vAlign w:val="center"/>
          </w:tcPr>
          <w:p w14:paraId="339134F4">
            <w:pPr>
              <w:pStyle w:val="70"/>
              <w:rPr>
                <w:color w:val="000000" w:themeColor="text1"/>
                <w:lang w:val="zh-CN"/>
                <w14:textFill>
                  <w14:solidFill>
                    <w14:schemeClr w14:val="tx1"/>
                  </w14:solidFill>
                </w14:textFill>
              </w:rPr>
            </w:pPr>
            <w:r>
              <w:rPr>
                <w:color w:val="000000" w:themeColor="text1"/>
                <w14:textFill>
                  <w14:solidFill>
                    <w14:schemeClr w14:val="tx1"/>
                  </w14:solidFill>
                </w14:textFill>
              </w:rPr>
              <w:t>5mg/L</w:t>
            </w:r>
          </w:p>
        </w:tc>
      </w:tr>
      <w:tr w14:paraId="6BBD9B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22DDC4D9">
            <w:pPr>
              <w:pStyle w:val="70"/>
              <w:rPr>
                <w:color w:val="000000" w:themeColor="text1"/>
                <w14:textFill>
                  <w14:solidFill>
                    <w14:schemeClr w14:val="tx1"/>
                  </w14:solidFill>
                </w14:textFill>
              </w:rPr>
            </w:pPr>
            <w:r>
              <w:rPr>
                <w:color w:val="000000" w:themeColor="text1"/>
                <w14:textFill>
                  <w14:solidFill>
                    <w14:schemeClr w14:val="tx1"/>
                  </w14:solidFill>
                </w14:textFill>
              </w:rPr>
              <w:t>溶解性总固体</w:t>
            </w:r>
          </w:p>
        </w:tc>
        <w:tc>
          <w:tcPr>
            <w:tcW w:w="4644" w:type="dxa"/>
            <w:vAlign w:val="center"/>
          </w:tcPr>
          <w:p w14:paraId="0AAC770A">
            <w:pPr>
              <w:pStyle w:val="70"/>
              <w:rPr>
                <w:color w:val="000000" w:themeColor="text1"/>
                <w14:textFill>
                  <w14:solidFill>
                    <w14:schemeClr w14:val="tx1"/>
                  </w14:solidFill>
                </w14:textFill>
              </w:rPr>
            </w:pPr>
            <w:r>
              <w:rPr>
                <w:color w:val="000000" w:themeColor="text1"/>
                <w14:textFill>
                  <w14:solidFill>
                    <w14:schemeClr w14:val="tx1"/>
                  </w14:solidFill>
                </w14:textFill>
              </w:rPr>
              <w:t>生活饮用水标准检验方法 第4部分： 感官性状和物理指标</w:t>
            </w:r>
          </w:p>
          <w:p w14:paraId="26A495D0">
            <w:pPr>
              <w:pStyle w:val="70"/>
              <w:rPr>
                <w:color w:val="000000" w:themeColor="text1"/>
                <w14:textFill>
                  <w14:solidFill>
                    <w14:schemeClr w14:val="tx1"/>
                  </w14:solidFill>
                </w14:textFill>
              </w:rPr>
            </w:pPr>
            <w:r>
              <w:rPr>
                <w:color w:val="000000" w:themeColor="text1"/>
                <w14:textFill>
                  <w14:solidFill>
                    <w14:schemeClr w14:val="tx1"/>
                  </w14:solidFill>
                </w14:textFill>
              </w:rPr>
              <w:t>（11.1称量法）（GB/T 5750.4-2023）</w:t>
            </w:r>
          </w:p>
        </w:tc>
        <w:tc>
          <w:tcPr>
            <w:tcW w:w="2320" w:type="dxa"/>
            <w:vAlign w:val="center"/>
          </w:tcPr>
          <w:p w14:paraId="2C4D99B3">
            <w:pPr>
              <w:pStyle w:val="70"/>
              <w:rPr>
                <w:color w:val="000000" w:themeColor="text1"/>
                <w14:textFill>
                  <w14:solidFill>
                    <w14:schemeClr w14:val="tx1"/>
                  </w14:solidFill>
                </w14:textFill>
              </w:rPr>
            </w:pPr>
            <w:r>
              <w:rPr>
                <w:color w:val="000000" w:themeColor="text1"/>
                <w14:textFill>
                  <w14:solidFill>
                    <w14:schemeClr w14:val="tx1"/>
                  </w14:solidFill>
                </w14:textFill>
              </w:rPr>
              <w:t>4mg/L</w:t>
            </w:r>
          </w:p>
        </w:tc>
      </w:tr>
      <w:tr w14:paraId="69DEC1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7A48A225">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挥发酚</w:t>
            </w:r>
          </w:p>
        </w:tc>
        <w:tc>
          <w:tcPr>
            <w:tcW w:w="4644" w:type="dxa"/>
            <w:vAlign w:val="center"/>
          </w:tcPr>
          <w:p w14:paraId="3095C42B">
            <w:pPr>
              <w:pStyle w:val="70"/>
              <w:rPr>
                <w:color w:val="000000" w:themeColor="text1"/>
                <w:lang w:val="zh-CN"/>
                <w14:textFill>
                  <w14:solidFill>
                    <w14:schemeClr w14:val="tx1"/>
                  </w14:solidFill>
                </w14:textFill>
              </w:rPr>
            </w:pPr>
            <w:r>
              <w:rPr>
                <w:rFonts w:hint="eastAsia"/>
                <w:color w:val="000000" w:themeColor="text1"/>
                <w14:textFill>
                  <w14:solidFill>
                    <w14:schemeClr w14:val="tx1"/>
                  </w14:solidFill>
                </w14:textFill>
              </w:rPr>
              <w:t>水质</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挥发酚的测定</w:t>
            </w:r>
            <w:r>
              <w:rPr>
                <w:color w:val="000000" w:themeColor="text1"/>
                <w14:textFill>
                  <w14:solidFill>
                    <w14:schemeClr w14:val="tx1"/>
                  </w14:solidFill>
                </w14:textFill>
              </w:rPr>
              <w:t xml:space="preserve"> 4-</w:t>
            </w:r>
            <w:r>
              <w:rPr>
                <w:rFonts w:hint="eastAsia"/>
                <w:color w:val="000000" w:themeColor="text1"/>
                <w14:textFill>
                  <w14:solidFill>
                    <w14:schemeClr w14:val="tx1"/>
                  </w14:solidFill>
                </w14:textFill>
              </w:rPr>
              <w:t>氨基安替比林分光光度法（方法</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萃取分光光度法）（</w:t>
            </w:r>
            <w:r>
              <w:rPr>
                <w:color w:val="000000" w:themeColor="text1"/>
                <w14:textFill>
                  <w14:solidFill>
                    <w14:schemeClr w14:val="tx1"/>
                  </w14:solidFill>
                </w14:textFill>
              </w:rPr>
              <w:t>HJ 503-2009</w:t>
            </w:r>
            <w:r>
              <w:rPr>
                <w:rFonts w:hint="eastAsia"/>
                <w:color w:val="000000" w:themeColor="text1"/>
                <w14:textFill>
                  <w14:solidFill>
                    <w14:schemeClr w14:val="tx1"/>
                  </w14:solidFill>
                </w14:textFill>
              </w:rPr>
              <w:t>）</w:t>
            </w:r>
          </w:p>
        </w:tc>
        <w:tc>
          <w:tcPr>
            <w:tcW w:w="2320" w:type="dxa"/>
            <w:vAlign w:val="center"/>
          </w:tcPr>
          <w:p w14:paraId="6585896B">
            <w:pPr>
              <w:pStyle w:val="70"/>
              <w:rPr>
                <w:color w:val="000000" w:themeColor="text1"/>
                <w:lang w:val="zh-CN"/>
                <w14:textFill>
                  <w14:solidFill>
                    <w14:schemeClr w14:val="tx1"/>
                  </w14:solidFill>
                </w14:textFill>
              </w:rPr>
            </w:pPr>
            <w:r>
              <w:rPr>
                <w:color w:val="000000" w:themeColor="text1"/>
                <w14:textFill>
                  <w14:solidFill>
                    <w14:schemeClr w14:val="tx1"/>
                  </w14:solidFill>
                </w14:textFill>
              </w:rPr>
              <w:t>0.0003mg/L</w:t>
            </w:r>
          </w:p>
        </w:tc>
      </w:tr>
      <w:tr w14:paraId="1CF8CB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7F45202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高锰酸盐指数（以O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计）</w:t>
            </w:r>
          </w:p>
        </w:tc>
        <w:tc>
          <w:tcPr>
            <w:tcW w:w="4644" w:type="dxa"/>
            <w:vAlign w:val="center"/>
          </w:tcPr>
          <w:p w14:paraId="5132DD13">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生活饮用水标准检验方法</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第</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部分：</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有机物综合指标（</w:t>
            </w:r>
            <w:r>
              <w:rPr>
                <w:color w:val="000000" w:themeColor="text1"/>
                <w14:textFill>
                  <w14:solidFill>
                    <w14:schemeClr w14:val="tx1"/>
                  </w14:solidFill>
                </w14:textFill>
              </w:rPr>
              <w:t xml:space="preserve">4.1 </w:t>
            </w:r>
            <w:r>
              <w:rPr>
                <w:rFonts w:hint="eastAsia"/>
                <w:color w:val="000000" w:themeColor="text1"/>
                <w14:textFill>
                  <w14:solidFill>
                    <w14:schemeClr w14:val="tx1"/>
                  </w14:solidFill>
                </w14:textFill>
              </w:rPr>
              <w:t>酸性高锰酸钾滴定法）（</w:t>
            </w:r>
            <w:r>
              <w:rPr>
                <w:color w:val="000000" w:themeColor="text1"/>
                <w14:textFill>
                  <w14:solidFill>
                    <w14:schemeClr w14:val="tx1"/>
                  </w14:solidFill>
                </w14:textFill>
              </w:rPr>
              <w:t>GB/T 5750.7-2023</w:t>
            </w:r>
            <w:r>
              <w:rPr>
                <w:rFonts w:hint="eastAsia"/>
                <w:color w:val="000000" w:themeColor="text1"/>
                <w14:textFill>
                  <w14:solidFill>
                    <w14:schemeClr w14:val="tx1"/>
                  </w14:solidFill>
                </w14:textFill>
              </w:rPr>
              <w:t>）</w:t>
            </w:r>
          </w:p>
        </w:tc>
        <w:tc>
          <w:tcPr>
            <w:tcW w:w="2320" w:type="dxa"/>
            <w:vAlign w:val="center"/>
          </w:tcPr>
          <w:p w14:paraId="43EF27B5">
            <w:pPr>
              <w:pStyle w:val="70"/>
              <w:rPr>
                <w:color w:val="000000" w:themeColor="text1"/>
                <w14:textFill>
                  <w14:solidFill>
                    <w14:schemeClr w14:val="tx1"/>
                  </w14:solidFill>
                </w14:textFill>
              </w:rPr>
            </w:pPr>
            <w:r>
              <w:rPr>
                <w:color w:val="000000" w:themeColor="text1"/>
                <w14:textFill>
                  <w14:solidFill>
                    <w14:schemeClr w14:val="tx1"/>
                  </w14:solidFill>
                </w14:textFill>
              </w:rPr>
              <w:t>0.05mg/L</w:t>
            </w:r>
          </w:p>
        </w:tc>
      </w:tr>
      <w:tr w14:paraId="5DD1F4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0D28915B">
            <w:pPr>
              <w:pStyle w:val="70"/>
              <w:rPr>
                <w:color w:val="000000" w:themeColor="text1"/>
                <w14:textFill>
                  <w14:solidFill>
                    <w14:schemeClr w14:val="tx1"/>
                  </w14:solidFill>
                </w14:textFill>
              </w:rPr>
            </w:pPr>
            <w:r>
              <w:rPr>
                <w:color w:val="000000" w:themeColor="text1"/>
                <w14:textFill>
                  <w14:solidFill>
                    <w14:schemeClr w14:val="tx1"/>
                  </w14:solidFill>
                </w14:textFill>
              </w:rPr>
              <w:t>氨氮</w:t>
            </w:r>
          </w:p>
        </w:tc>
        <w:tc>
          <w:tcPr>
            <w:tcW w:w="4644" w:type="dxa"/>
            <w:vAlign w:val="center"/>
          </w:tcPr>
          <w:p w14:paraId="7D479082">
            <w:pPr>
              <w:pStyle w:val="70"/>
              <w:rPr>
                <w:color w:val="000000" w:themeColor="text1"/>
                <w14:textFill>
                  <w14:solidFill>
                    <w14:schemeClr w14:val="tx1"/>
                  </w14:solidFill>
                </w14:textFill>
              </w:rPr>
            </w:pPr>
            <w:r>
              <w:rPr>
                <w:color w:val="000000" w:themeColor="text1"/>
                <w14:textFill>
                  <w14:solidFill>
                    <w14:schemeClr w14:val="tx1"/>
                  </w14:solidFill>
                </w14:textFill>
              </w:rPr>
              <w:t>水质 氨氮的测定 纳氏试剂分光光度法（HJ 535-2009）</w:t>
            </w:r>
          </w:p>
        </w:tc>
        <w:tc>
          <w:tcPr>
            <w:tcW w:w="2320" w:type="dxa"/>
            <w:vAlign w:val="center"/>
          </w:tcPr>
          <w:p w14:paraId="533257F5">
            <w:pPr>
              <w:pStyle w:val="70"/>
              <w:rPr>
                <w:color w:val="000000" w:themeColor="text1"/>
                <w14:textFill>
                  <w14:solidFill>
                    <w14:schemeClr w14:val="tx1"/>
                  </w14:solidFill>
                </w14:textFill>
              </w:rPr>
            </w:pPr>
            <w:r>
              <w:rPr>
                <w:color w:val="000000" w:themeColor="text1"/>
                <w14:textFill>
                  <w14:solidFill>
                    <w14:schemeClr w14:val="tx1"/>
                  </w14:solidFill>
                </w14:textFill>
              </w:rPr>
              <w:t>0.025mg/L</w:t>
            </w:r>
          </w:p>
        </w:tc>
      </w:tr>
      <w:tr w14:paraId="0C4CFA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160E48C1">
            <w:pPr>
              <w:pStyle w:val="70"/>
              <w:rPr>
                <w:color w:val="000000" w:themeColor="text1"/>
                <w14:textFill>
                  <w14:solidFill>
                    <w14:schemeClr w14:val="tx1"/>
                  </w14:solidFill>
                </w14:textFill>
              </w:rPr>
            </w:pPr>
            <w:r>
              <w:rPr>
                <w:color w:val="000000" w:themeColor="text1"/>
                <w14:textFill>
                  <w14:solidFill>
                    <w14:schemeClr w14:val="tx1"/>
                  </w14:solidFill>
                </w14:textFill>
              </w:rPr>
              <w:t>硫化物</w:t>
            </w:r>
          </w:p>
        </w:tc>
        <w:tc>
          <w:tcPr>
            <w:tcW w:w="4644" w:type="dxa"/>
            <w:vAlign w:val="center"/>
          </w:tcPr>
          <w:p w14:paraId="3804C59B">
            <w:pPr>
              <w:pStyle w:val="70"/>
              <w:rPr>
                <w:color w:val="000000" w:themeColor="text1"/>
                <w14:textFill>
                  <w14:solidFill>
                    <w14:schemeClr w14:val="tx1"/>
                  </w14:solidFill>
                </w14:textFill>
              </w:rPr>
            </w:pPr>
            <w:r>
              <w:rPr>
                <w:color w:val="000000" w:themeColor="text1"/>
                <w14:textFill>
                  <w14:solidFill>
                    <w14:schemeClr w14:val="tx1"/>
                  </w14:solidFill>
                </w14:textFill>
              </w:rPr>
              <w:t>水质 硫化物的测定 亚甲基蓝分光光度法（HJ 1226-2021）</w:t>
            </w:r>
          </w:p>
        </w:tc>
        <w:tc>
          <w:tcPr>
            <w:tcW w:w="2320" w:type="dxa"/>
            <w:vAlign w:val="center"/>
          </w:tcPr>
          <w:p w14:paraId="6AF34411">
            <w:pPr>
              <w:pStyle w:val="70"/>
              <w:rPr>
                <w:color w:val="000000" w:themeColor="text1"/>
                <w14:textFill>
                  <w14:solidFill>
                    <w14:schemeClr w14:val="tx1"/>
                  </w14:solidFill>
                </w14:textFill>
              </w:rPr>
            </w:pPr>
            <w:r>
              <w:rPr>
                <w:color w:val="000000" w:themeColor="text1"/>
                <w14:textFill>
                  <w14:solidFill>
                    <w14:schemeClr w14:val="tx1"/>
                  </w14:solidFill>
                </w14:textFill>
              </w:rPr>
              <w:t>0.003mg/L</w:t>
            </w:r>
          </w:p>
        </w:tc>
      </w:tr>
      <w:tr w14:paraId="6CD97E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70D2E35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氰化物</w:t>
            </w:r>
          </w:p>
        </w:tc>
        <w:tc>
          <w:tcPr>
            <w:tcW w:w="4644" w:type="dxa"/>
            <w:vAlign w:val="center"/>
          </w:tcPr>
          <w:p w14:paraId="4431E935">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生活饮用水标准检验方法</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第</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部分：</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无机非金属指标</w:t>
            </w:r>
          </w:p>
          <w:p w14:paraId="6B6C365A">
            <w:pPr>
              <w:pStyle w:val="70"/>
              <w:rPr>
                <w:color w:val="000000" w:themeColor="text1"/>
                <w:lang w:val="zh-CN"/>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 xml:space="preserve">7.1 </w:t>
            </w:r>
            <w:r>
              <w:rPr>
                <w:rFonts w:hint="eastAsia"/>
                <w:color w:val="000000" w:themeColor="text1"/>
                <w14:textFill>
                  <w14:solidFill>
                    <w14:schemeClr w14:val="tx1"/>
                  </w14:solidFill>
                </w14:textFill>
              </w:rPr>
              <w:t>异烟酸</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吡唑啉酮分光光度法）（</w:t>
            </w:r>
            <w:r>
              <w:rPr>
                <w:color w:val="000000" w:themeColor="text1"/>
                <w14:textFill>
                  <w14:solidFill>
                    <w14:schemeClr w14:val="tx1"/>
                  </w14:solidFill>
                </w14:textFill>
              </w:rPr>
              <w:t>GB/T 5750.5-2023</w:t>
            </w:r>
            <w:r>
              <w:rPr>
                <w:rFonts w:hint="eastAsia"/>
                <w:color w:val="000000" w:themeColor="text1"/>
                <w14:textFill>
                  <w14:solidFill>
                    <w14:schemeClr w14:val="tx1"/>
                  </w14:solidFill>
                </w14:textFill>
              </w:rPr>
              <w:t>）</w:t>
            </w:r>
          </w:p>
        </w:tc>
        <w:tc>
          <w:tcPr>
            <w:tcW w:w="2320" w:type="dxa"/>
            <w:vAlign w:val="center"/>
          </w:tcPr>
          <w:p w14:paraId="3C105B02">
            <w:pPr>
              <w:pStyle w:val="70"/>
              <w:rPr>
                <w:color w:val="000000" w:themeColor="text1"/>
                <w14:textFill>
                  <w14:solidFill>
                    <w14:schemeClr w14:val="tx1"/>
                  </w14:solidFill>
                </w14:textFill>
              </w:rPr>
            </w:pPr>
            <w:r>
              <w:rPr>
                <w:color w:val="000000" w:themeColor="text1"/>
                <w14:textFill>
                  <w14:solidFill>
                    <w14:schemeClr w14:val="tx1"/>
                  </w14:solidFill>
                </w14:textFill>
              </w:rPr>
              <w:t>0.002mg/L</w:t>
            </w:r>
          </w:p>
        </w:tc>
      </w:tr>
      <w:tr w14:paraId="204EB0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61679F6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汞</w:t>
            </w:r>
          </w:p>
        </w:tc>
        <w:tc>
          <w:tcPr>
            <w:tcW w:w="4644" w:type="dxa"/>
            <w:vMerge w:val="restart"/>
            <w:vAlign w:val="center"/>
          </w:tcPr>
          <w:p w14:paraId="06096C47">
            <w:pPr>
              <w:pStyle w:val="70"/>
              <w:rPr>
                <w:color w:val="000000" w:themeColor="text1"/>
                <w:lang w:val="zh-CN"/>
                <w14:textFill>
                  <w14:solidFill>
                    <w14:schemeClr w14:val="tx1"/>
                  </w14:solidFill>
                </w14:textFill>
              </w:rPr>
            </w:pPr>
            <w:r>
              <w:rPr>
                <w:rFonts w:hint="eastAsia"/>
                <w:color w:val="000000" w:themeColor="text1"/>
                <w14:textFill>
                  <w14:solidFill>
                    <w14:schemeClr w14:val="tx1"/>
                  </w14:solidFill>
                </w14:textFill>
              </w:rPr>
              <w:t>水质</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汞、砷、硒、铋和锑的测定</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原子荧光法（</w:t>
            </w:r>
            <w:r>
              <w:rPr>
                <w:color w:val="000000" w:themeColor="text1"/>
                <w14:textFill>
                  <w14:solidFill>
                    <w14:schemeClr w14:val="tx1"/>
                  </w14:solidFill>
                </w14:textFill>
              </w:rPr>
              <w:t>HJ 694-2014</w:t>
            </w:r>
            <w:r>
              <w:rPr>
                <w:rFonts w:hint="eastAsia"/>
                <w:color w:val="000000" w:themeColor="text1"/>
                <w14:textFill>
                  <w14:solidFill>
                    <w14:schemeClr w14:val="tx1"/>
                  </w14:solidFill>
                </w14:textFill>
              </w:rPr>
              <w:t>）</w:t>
            </w:r>
          </w:p>
        </w:tc>
        <w:tc>
          <w:tcPr>
            <w:tcW w:w="2320" w:type="dxa"/>
            <w:vAlign w:val="center"/>
          </w:tcPr>
          <w:p w14:paraId="7E074C0F">
            <w:pPr>
              <w:pStyle w:val="70"/>
              <w:rPr>
                <w:color w:val="000000" w:themeColor="text1"/>
                <w14:textFill>
                  <w14:solidFill>
                    <w14:schemeClr w14:val="tx1"/>
                  </w14:solidFill>
                </w14:textFill>
              </w:rPr>
            </w:pPr>
            <w:r>
              <w:rPr>
                <w:color w:val="000000" w:themeColor="text1"/>
                <w14:textFill>
                  <w14:solidFill>
                    <w14:schemeClr w14:val="tx1"/>
                  </w14:solidFill>
                </w14:textFill>
              </w:rPr>
              <w:t>0.04μg/L</w:t>
            </w:r>
          </w:p>
        </w:tc>
      </w:tr>
      <w:tr w14:paraId="64D65F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42FF1CF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砷</w:t>
            </w:r>
          </w:p>
        </w:tc>
        <w:tc>
          <w:tcPr>
            <w:tcW w:w="4644" w:type="dxa"/>
            <w:vMerge w:val="continue"/>
            <w:vAlign w:val="center"/>
          </w:tcPr>
          <w:p w14:paraId="784AA4E4">
            <w:pPr>
              <w:pStyle w:val="70"/>
              <w:rPr>
                <w:color w:val="000000" w:themeColor="text1"/>
                <w:lang w:val="zh-CN"/>
                <w14:textFill>
                  <w14:solidFill>
                    <w14:schemeClr w14:val="tx1"/>
                  </w14:solidFill>
                </w14:textFill>
              </w:rPr>
            </w:pPr>
          </w:p>
        </w:tc>
        <w:tc>
          <w:tcPr>
            <w:tcW w:w="2320" w:type="dxa"/>
            <w:vAlign w:val="center"/>
          </w:tcPr>
          <w:p w14:paraId="02E63BF5">
            <w:pPr>
              <w:pStyle w:val="70"/>
              <w:rPr>
                <w:color w:val="000000" w:themeColor="text1"/>
                <w14:textFill>
                  <w14:solidFill>
                    <w14:schemeClr w14:val="tx1"/>
                  </w14:solidFill>
                </w14:textFill>
              </w:rPr>
            </w:pPr>
            <w:r>
              <w:rPr>
                <w:color w:val="000000" w:themeColor="text1"/>
                <w14:textFill>
                  <w14:solidFill>
                    <w14:schemeClr w14:val="tx1"/>
                  </w14:solidFill>
                </w14:textFill>
              </w:rPr>
              <w:t>0.3μg/L</w:t>
            </w:r>
          </w:p>
        </w:tc>
      </w:tr>
      <w:tr w14:paraId="770073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2F2F239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铅</w:t>
            </w:r>
          </w:p>
        </w:tc>
        <w:tc>
          <w:tcPr>
            <w:tcW w:w="4644" w:type="dxa"/>
            <w:vMerge w:val="restart"/>
            <w:vAlign w:val="center"/>
          </w:tcPr>
          <w:p w14:paraId="4A6416B5">
            <w:pPr>
              <w:pStyle w:val="70"/>
              <w:rPr>
                <w:color w:val="000000" w:themeColor="text1"/>
                <w:lang w:val="zh-CN"/>
                <w14:textFill>
                  <w14:solidFill>
                    <w14:schemeClr w14:val="tx1"/>
                  </w14:solidFill>
                </w14:textFill>
              </w:rPr>
            </w:pPr>
            <w:r>
              <w:rPr>
                <w:rFonts w:hint="eastAsia"/>
                <w:color w:val="000000" w:themeColor="text1"/>
                <w14:textFill>
                  <w14:solidFill>
                    <w14:schemeClr w14:val="tx1"/>
                  </w14:solidFill>
                </w14:textFill>
              </w:rPr>
              <w:t>石墨炉原子吸收分光光度法《水和废水监测分析方法》（第四版）国家环境保护总局（</w:t>
            </w:r>
            <w:r>
              <w:rPr>
                <w:color w:val="000000" w:themeColor="text1"/>
                <w14:textFill>
                  <w14:solidFill>
                    <w14:schemeClr w14:val="tx1"/>
                  </w14:solidFill>
                </w14:textFill>
              </w:rPr>
              <w:t>2002</w:t>
            </w:r>
            <w:r>
              <w:rPr>
                <w:rFonts w:hint="eastAsia"/>
                <w:color w:val="000000" w:themeColor="text1"/>
                <w14:textFill>
                  <w14:solidFill>
                    <w14:schemeClr w14:val="tx1"/>
                  </w14:solidFill>
                </w14:textFill>
              </w:rPr>
              <w:t>年）</w:t>
            </w:r>
          </w:p>
        </w:tc>
        <w:tc>
          <w:tcPr>
            <w:tcW w:w="2320" w:type="dxa"/>
            <w:vAlign w:val="center"/>
          </w:tcPr>
          <w:p w14:paraId="3DF692E7">
            <w:pPr>
              <w:pStyle w:val="70"/>
              <w:rPr>
                <w:color w:val="000000" w:themeColor="text1"/>
                <w:lang w:val="zh-CN"/>
                <w14:textFill>
                  <w14:solidFill>
                    <w14:schemeClr w14:val="tx1"/>
                  </w14:solidFill>
                </w14:textFill>
              </w:rPr>
            </w:pPr>
            <w:r>
              <w:rPr>
                <w:color w:val="000000" w:themeColor="text1"/>
                <w14:textFill>
                  <w14:solidFill>
                    <w14:schemeClr w14:val="tx1"/>
                  </w14:solidFill>
                </w14:textFill>
              </w:rPr>
              <w:t>1μg/L</w:t>
            </w:r>
          </w:p>
        </w:tc>
      </w:tr>
      <w:tr w14:paraId="107E59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0ADA218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镉</w:t>
            </w:r>
          </w:p>
        </w:tc>
        <w:tc>
          <w:tcPr>
            <w:tcW w:w="4644" w:type="dxa"/>
            <w:vMerge w:val="continue"/>
            <w:vAlign w:val="center"/>
          </w:tcPr>
          <w:p w14:paraId="5ED71F0F">
            <w:pPr>
              <w:pStyle w:val="70"/>
              <w:rPr>
                <w:color w:val="000000" w:themeColor="text1"/>
                <w:lang w:val="zh-CN"/>
                <w14:textFill>
                  <w14:solidFill>
                    <w14:schemeClr w14:val="tx1"/>
                  </w14:solidFill>
                </w14:textFill>
              </w:rPr>
            </w:pPr>
          </w:p>
        </w:tc>
        <w:tc>
          <w:tcPr>
            <w:tcW w:w="2320" w:type="dxa"/>
            <w:vAlign w:val="center"/>
          </w:tcPr>
          <w:p w14:paraId="5D4D2F4B">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1μg/L</w:t>
            </w:r>
          </w:p>
        </w:tc>
      </w:tr>
      <w:tr w14:paraId="73EF99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3195BB71">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铬（六价）</w:t>
            </w:r>
          </w:p>
        </w:tc>
        <w:tc>
          <w:tcPr>
            <w:tcW w:w="4644" w:type="dxa"/>
            <w:vAlign w:val="center"/>
          </w:tcPr>
          <w:p w14:paraId="02C1271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生活饮用水标准检验方法</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第</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部分：</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金属和类金属指标</w:t>
            </w:r>
          </w:p>
          <w:p w14:paraId="68BDB9BC">
            <w:pPr>
              <w:pStyle w:val="70"/>
              <w:rPr>
                <w:color w:val="000000" w:themeColor="text1"/>
                <w:lang w:val="zh-CN"/>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 xml:space="preserve">13.1 </w:t>
            </w:r>
            <w:r>
              <w:rPr>
                <w:rFonts w:hint="eastAsia"/>
                <w:color w:val="000000" w:themeColor="text1"/>
                <w14:textFill>
                  <w14:solidFill>
                    <w14:schemeClr w14:val="tx1"/>
                  </w14:solidFill>
                </w14:textFill>
              </w:rPr>
              <w:t>二苯碳酰二肼分光光度法）（</w:t>
            </w:r>
            <w:r>
              <w:rPr>
                <w:color w:val="000000" w:themeColor="text1"/>
                <w14:textFill>
                  <w14:solidFill>
                    <w14:schemeClr w14:val="tx1"/>
                  </w14:solidFill>
                </w14:textFill>
              </w:rPr>
              <w:t>GB/T 5750.6-2023</w:t>
            </w:r>
            <w:r>
              <w:rPr>
                <w:rFonts w:hint="eastAsia"/>
                <w:color w:val="000000" w:themeColor="text1"/>
                <w14:textFill>
                  <w14:solidFill>
                    <w14:schemeClr w14:val="tx1"/>
                  </w14:solidFill>
                </w14:textFill>
              </w:rPr>
              <w:t>）</w:t>
            </w:r>
          </w:p>
        </w:tc>
        <w:tc>
          <w:tcPr>
            <w:tcW w:w="2320" w:type="dxa"/>
            <w:vAlign w:val="center"/>
          </w:tcPr>
          <w:p w14:paraId="6D8DC91B">
            <w:pPr>
              <w:pStyle w:val="70"/>
              <w:rPr>
                <w:color w:val="000000" w:themeColor="text1"/>
                <w14:textFill>
                  <w14:solidFill>
                    <w14:schemeClr w14:val="tx1"/>
                  </w14:solidFill>
                </w14:textFill>
              </w:rPr>
            </w:pPr>
            <w:r>
              <w:rPr>
                <w:color w:val="000000" w:themeColor="text1"/>
                <w14:textFill>
                  <w14:solidFill>
                    <w14:schemeClr w14:val="tx1"/>
                  </w14:solidFill>
                </w14:textFill>
              </w:rPr>
              <w:t>0.004mg/L</w:t>
            </w:r>
          </w:p>
        </w:tc>
      </w:tr>
      <w:tr w14:paraId="39E188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0A665C74">
            <w:pPr>
              <w:pStyle w:val="70"/>
              <w:rPr>
                <w:color w:val="000000" w:themeColor="text1"/>
                <w14:textFill>
                  <w14:solidFill>
                    <w14:schemeClr w14:val="tx1"/>
                  </w14:solidFill>
                </w14:textFill>
              </w:rPr>
            </w:pPr>
            <w:r>
              <w:rPr>
                <w:color w:val="000000" w:themeColor="text1"/>
                <w14:textFill>
                  <w14:solidFill>
                    <w14:schemeClr w14:val="tx1"/>
                  </w14:solidFill>
                </w14:textFill>
              </w:rPr>
              <w:t>苯乙烯</w:t>
            </w:r>
          </w:p>
        </w:tc>
        <w:tc>
          <w:tcPr>
            <w:tcW w:w="4644" w:type="dxa"/>
            <w:vAlign w:val="center"/>
          </w:tcPr>
          <w:p w14:paraId="1DD71DAA">
            <w:pPr>
              <w:pStyle w:val="70"/>
              <w:rPr>
                <w:color w:val="000000" w:themeColor="text1"/>
                <w:lang w:val="zh-CN"/>
                <w14:textFill>
                  <w14:solidFill>
                    <w14:schemeClr w14:val="tx1"/>
                  </w14:solidFill>
                </w14:textFill>
              </w:rPr>
            </w:pPr>
            <w:r>
              <w:rPr>
                <w:rFonts w:hint="eastAsia"/>
                <w:color w:val="000000" w:themeColor="text1"/>
                <w14:textFill>
                  <w14:solidFill>
                    <w14:schemeClr w14:val="tx1"/>
                  </w14:solidFill>
                </w14:textFill>
              </w:rPr>
              <w:t>水质 苯系物的测定 顶空/气相色谱法（HJ 1067-2019）</w:t>
            </w:r>
          </w:p>
        </w:tc>
        <w:tc>
          <w:tcPr>
            <w:tcW w:w="2320" w:type="dxa"/>
            <w:vAlign w:val="center"/>
          </w:tcPr>
          <w:p w14:paraId="535FDC8D">
            <w:pPr>
              <w:pStyle w:val="70"/>
              <w:rPr>
                <w:color w:val="000000" w:themeColor="text1"/>
                <w14:textFill>
                  <w14:solidFill>
                    <w14:schemeClr w14:val="tx1"/>
                  </w14:solidFill>
                </w14:textFill>
              </w:rPr>
            </w:pPr>
            <w:r>
              <w:rPr>
                <w:color w:val="000000" w:themeColor="text1"/>
                <w14:textFill>
                  <w14:solidFill>
                    <w14:schemeClr w14:val="tx1"/>
                  </w14:solidFill>
                </w14:textFill>
              </w:rPr>
              <w:t>3</w:t>
            </w:r>
            <w:r>
              <w:rPr>
                <w:color w:val="000000" w:themeColor="text1"/>
                <w14:textFill>
                  <w14:solidFill>
                    <w14:schemeClr w14:val="tx1"/>
                  </w14:solidFill>
                </w14:textFill>
              </w:rPr>
              <w:sym w:font="Symbol" w:char="006D"/>
            </w:r>
            <w:r>
              <w:rPr>
                <w:color w:val="000000" w:themeColor="text1"/>
                <w14:textFill>
                  <w14:solidFill>
                    <w14:schemeClr w14:val="tx1"/>
                  </w14:solidFill>
                </w14:textFill>
              </w:rPr>
              <w:t>g/L</w:t>
            </w:r>
          </w:p>
        </w:tc>
      </w:tr>
    </w:tbl>
    <w:p w14:paraId="44CFD98E">
      <w:pPr>
        <w:pStyle w:val="4"/>
        <w:rPr>
          <w:color w:val="000000" w:themeColor="text1"/>
          <w14:textFill>
            <w14:solidFill>
              <w14:schemeClr w14:val="tx1"/>
            </w14:solidFill>
          </w14:textFill>
        </w:rPr>
      </w:pPr>
      <w:bookmarkStart w:id="586" w:name="_Toc216620545"/>
      <w:bookmarkStart w:id="587" w:name="_Toc136878481"/>
      <w:r>
        <w:rPr>
          <w:color w:val="000000" w:themeColor="text1"/>
          <w14:textFill>
            <w14:solidFill>
              <w14:schemeClr w14:val="tx1"/>
            </w14:solidFill>
          </w14:textFill>
        </w:rPr>
        <w:t>监测时间和监测频次</w:t>
      </w:r>
      <w:bookmarkEnd w:id="586"/>
      <w:bookmarkEnd w:id="587"/>
    </w:p>
    <w:p w14:paraId="535F4418">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本次监测采样时间为202</w:t>
      </w:r>
      <w:r>
        <w:rPr>
          <w:rFonts w:hint="eastAsia"/>
          <w:color w:val="000000" w:themeColor="text1"/>
          <w:kern w:val="0"/>
          <w:szCs w:val="22"/>
          <w14:textFill>
            <w14:solidFill>
              <w14:schemeClr w14:val="tx1"/>
            </w14:solidFill>
          </w14:textFill>
        </w:rPr>
        <w:t>5</w:t>
      </w:r>
      <w:r>
        <w:rPr>
          <w:color w:val="000000" w:themeColor="text1"/>
          <w:kern w:val="0"/>
          <w:szCs w:val="22"/>
          <w14:textFill>
            <w14:solidFill>
              <w14:schemeClr w14:val="tx1"/>
            </w14:solidFill>
          </w14:textFill>
        </w:rPr>
        <w:t>年</w:t>
      </w:r>
      <w:r>
        <w:rPr>
          <w:rFonts w:hint="eastAsia"/>
          <w:color w:val="000000" w:themeColor="text1"/>
          <w:kern w:val="0"/>
          <w:szCs w:val="22"/>
          <w14:textFill>
            <w14:solidFill>
              <w14:schemeClr w14:val="tx1"/>
            </w14:solidFill>
          </w14:textFill>
        </w:rPr>
        <w:t>12</w:t>
      </w:r>
      <w:r>
        <w:rPr>
          <w:color w:val="000000" w:themeColor="text1"/>
          <w:kern w:val="0"/>
          <w:szCs w:val="22"/>
          <w14:textFill>
            <w14:solidFill>
              <w14:schemeClr w14:val="tx1"/>
            </w14:solidFill>
          </w14:textFill>
        </w:rPr>
        <w:t>月</w:t>
      </w:r>
      <w:r>
        <w:rPr>
          <w:rFonts w:hint="eastAsia"/>
          <w:color w:val="000000" w:themeColor="text1"/>
          <w:kern w:val="0"/>
          <w:szCs w:val="22"/>
          <w14:textFill>
            <w14:solidFill>
              <w14:schemeClr w14:val="tx1"/>
            </w14:solidFill>
          </w14:textFill>
        </w:rPr>
        <w:t>2</w:t>
      </w:r>
      <w:r>
        <w:rPr>
          <w:color w:val="000000" w:themeColor="text1"/>
          <w:kern w:val="0"/>
          <w:szCs w:val="22"/>
          <w14:textFill>
            <w14:solidFill>
              <w14:schemeClr w14:val="tx1"/>
            </w14:solidFill>
          </w14:textFill>
        </w:rPr>
        <w:t>日，以上各监测点采集1次水样进行测定。</w:t>
      </w:r>
    </w:p>
    <w:p w14:paraId="7A4787D9">
      <w:pPr>
        <w:pStyle w:val="4"/>
        <w:rPr>
          <w:color w:val="000000" w:themeColor="text1"/>
          <w14:textFill>
            <w14:solidFill>
              <w14:schemeClr w14:val="tx1"/>
            </w14:solidFill>
          </w14:textFill>
        </w:rPr>
      </w:pPr>
      <w:bookmarkStart w:id="588" w:name="_Toc136878482"/>
      <w:bookmarkStart w:id="589" w:name="_Toc216620546"/>
      <w:r>
        <w:rPr>
          <w:color w:val="000000" w:themeColor="text1"/>
          <w14:textFill>
            <w14:solidFill>
              <w14:schemeClr w14:val="tx1"/>
            </w14:solidFill>
          </w14:textFill>
        </w:rPr>
        <w:t>评价标准</w:t>
      </w:r>
      <w:bookmarkEnd w:id="588"/>
      <w:bookmarkEnd w:id="589"/>
    </w:p>
    <w:p w14:paraId="2EB4C39E">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地下水按《地下水质量标准》（GB/T14848-2017）III类标准进行评价。</w:t>
      </w:r>
    </w:p>
    <w:p w14:paraId="67B3B325">
      <w:pPr>
        <w:pStyle w:val="4"/>
        <w:rPr>
          <w:color w:val="000000" w:themeColor="text1"/>
          <w14:textFill>
            <w14:solidFill>
              <w14:schemeClr w14:val="tx1"/>
            </w14:solidFill>
          </w14:textFill>
        </w:rPr>
      </w:pPr>
      <w:bookmarkStart w:id="590" w:name="_Toc136878483"/>
      <w:bookmarkStart w:id="591" w:name="_Toc216620547"/>
      <w:r>
        <w:rPr>
          <w:color w:val="000000" w:themeColor="text1"/>
          <w14:textFill>
            <w14:solidFill>
              <w14:schemeClr w14:val="tx1"/>
            </w14:solidFill>
          </w14:textFill>
        </w:rPr>
        <w:t>评价方法</w:t>
      </w:r>
      <w:bookmarkEnd w:id="590"/>
      <w:bookmarkEnd w:id="591"/>
    </w:p>
    <w:p w14:paraId="566B563C">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单项评价采用标准指数法，即实测浓度值与评价标准限值之比。评价计算公式如下：</w:t>
      </w:r>
    </w:p>
    <w:p w14:paraId="280FC20B">
      <w:pPr>
        <w:ind w:firstLine="480"/>
        <w:jc w:val="center"/>
        <w:rPr>
          <w:color w:val="000000" w:themeColor="text1"/>
          <w:kern w:val="0"/>
          <w:szCs w:val="22"/>
          <w14:textFill>
            <w14:solidFill>
              <w14:schemeClr w14:val="tx1"/>
            </w14:solidFill>
          </w14:textFill>
        </w:rPr>
      </w:pPr>
      <w:r>
        <w:rPr>
          <w:i/>
          <w:color w:val="000000" w:themeColor="text1"/>
          <w:kern w:val="0"/>
          <w:szCs w:val="22"/>
          <w14:textFill>
            <w14:solidFill>
              <w14:schemeClr w14:val="tx1"/>
            </w14:solidFill>
          </w14:textFill>
        </w:rPr>
        <w:t>P</w:t>
      </w:r>
      <w:r>
        <w:rPr>
          <w:i/>
          <w:color w:val="000000" w:themeColor="text1"/>
          <w:kern w:val="0"/>
          <w:szCs w:val="22"/>
          <w:vertAlign w:val="subscript"/>
          <w14:textFill>
            <w14:solidFill>
              <w14:schemeClr w14:val="tx1"/>
            </w14:solidFill>
          </w14:textFill>
        </w:rPr>
        <w:t>i</w:t>
      </w:r>
      <w:r>
        <w:rPr>
          <w:color w:val="000000" w:themeColor="text1"/>
          <w:kern w:val="0"/>
          <w:szCs w:val="22"/>
          <w14:textFill>
            <w14:solidFill>
              <w14:schemeClr w14:val="tx1"/>
            </w14:solidFill>
          </w14:textFill>
        </w:rPr>
        <w:t>=</w:t>
      </w:r>
      <w:r>
        <w:rPr>
          <w:i/>
          <w:color w:val="000000" w:themeColor="text1"/>
          <w:kern w:val="0"/>
          <w:szCs w:val="22"/>
          <w14:textFill>
            <w14:solidFill>
              <w14:schemeClr w14:val="tx1"/>
            </w14:solidFill>
          </w14:textFill>
        </w:rPr>
        <w:t>C</w:t>
      </w:r>
      <w:r>
        <w:rPr>
          <w:i/>
          <w:color w:val="000000" w:themeColor="text1"/>
          <w:kern w:val="0"/>
          <w:szCs w:val="22"/>
          <w:vertAlign w:val="subscript"/>
          <w14:textFill>
            <w14:solidFill>
              <w14:schemeClr w14:val="tx1"/>
            </w14:solidFill>
          </w14:textFill>
        </w:rPr>
        <w:t>i</w:t>
      </w:r>
      <w:r>
        <w:rPr>
          <w:color w:val="000000" w:themeColor="text1"/>
          <w:kern w:val="0"/>
          <w:szCs w:val="22"/>
          <w14:textFill>
            <w14:solidFill>
              <w14:schemeClr w14:val="tx1"/>
            </w14:solidFill>
          </w14:textFill>
        </w:rPr>
        <w:t>/</w:t>
      </w:r>
      <w:r>
        <w:rPr>
          <w:i/>
          <w:color w:val="000000" w:themeColor="text1"/>
          <w:kern w:val="0"/>
          <w:szCs w:val="22"/>
          <w14:textFill>
            <w14:solidFill>
              <w14:schemeClr w14:val="tx1"/>
            </w14:solidFill>
          </w14:textFill>
        </w:rPr>
        <w:t>C</w:t>
      </w:r>
      <w:r>
        <w:rPr>
          <w:i/>
          <w:color w:val="000000" w:themeColor="text1"/>
          <w:kern w:val="0"/>
          <w:szCs w:val="22"/>
          <w:vertAlign w:val="subscript"/>
          <w14:textFill>
            <w14:solidFill>
              <w14:schemeClr w14:val="tx1"/>
            </w14:solidFill>
          </w14:textFill>
        </w:rPr>
        <w:t>si</w:t>
      </w:r>
    </w:p>
    <w:p w14:paraId="5BBD20D3">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式中：</w:t>
      </w:r>
    </w:p>
    <w:p w14:paraId="50ECDF3E">
      <w:pPr>
        <w:ind w:firstLine="480"/>
        <w:rPr>
          <w:color w:val="000000" w:themeColor="text1"/>
          <w:kern w:val="0"/>
          <w:szCs w:val="22"/>
          <w14:textFill>
            <w14:solidFill>
              <w14:schemeClr w14:val="tx1"/>
            </w14:solidFill>
          </w14:textFill>
        </w:rPr>
      </w:pPr>
      <w:r>
        <w:rPr>
          <w:i/>
          <w:color w:val="000000" w:themeColor="text1"/>
          <w:kern w:val="0"/>
          <w:szCs w:val="22"/>
          <w14:textFill>
            <w14:solidFill>
              <w14:schemeClr w14:val="tx1"/>
            </w14:solidFill>
          </w14:textFill>
        </w:rPr>
        <w:t>P</w:t>
      </w:r>
      <w:r>
        <w:rPr>
          <w:i/>
          <w:color w:val="000000" w:themeColor="text1"/>
          <w:kern w:val="0"/>
          <w:szCs w:val="22"/>
          <w:vertAlign w:val="subscript"/>
          <w14:textFill>
            <w14:solidFill>
              <w14:schemeClr w14:val="tx1"/>
            </w14:solidFill>
          </w14:textFill>
        </w:rPr>
        <w:t>i</w:t>
      </w:r>
      <w:r>
        <w:rPr>
          <w:i/>
          <w:color w:val="000000" w:themeColor="text1"/>
          <w:kern w:val="0"/>
          <w:szCs w:val="22"/>
          <w14:textFill>
            <w14:solidFill>
              <w14:schemeClr w14:val="tx1"/>
            </w14:solidFill>
          </w14:textFill>
        </w:rPr>
        <w:t>—</w:t>
      </w:r>
      <w:r>
        <w:rPr>
          <w:color w:val="000000" w:themeColor="text1"/>
          <w:kern w:val="0"/>
          <w:szCs w:val="22"/>
          <w14:textFill>
            <w14:solidFill>
              <w14:schemeClr w14:val="tx1"/>
            </w14:solidFill>
          </w14:textFill>
        </w:rPr>
        <w:t>第i个水质因子的标准指数，无量纲；</w:t>
      </w:r>
    </w:p>
    <w:p w14:paraId="0CCC512D">
      <w:pPr>
        <w:ind w:firstLine="480"/>
        <w:rPr>
          <w:color w:val="000000" w:themeColor="text1"/>
          <w:kern w:val="0"/>
          <w:szCs w:val="22"/>
          <w14:textFill>
            <w14:solidFill>
              <w14:schemeClr w14:val="tx1"/>
            </w14:solidFill>
          </w14:textFill>
        </w:rPr>
      </w:pPr>
      <w:r>
        <w:rPr>
          <w:i/>
          <w:color w:val="000000" w:themeColor="text1"/>
          <w:kern w:val="0"/>
          <w:szCs w:val="22"/>
          <w14:textFill>
            <w14:solidFill>
              <w14:schemeClr w14:val="tx1"/>
            </w14:solidFill>
          </w14:textFill>
        </w:rPr>
        <w:t>C</w:t>
      </w:r>
      <w:r>
        <w:rPr>
          <w:i/>
          <w:color w:val="000000" w:themeColor="text1"/>
          <w:kern w:val="0"/>
          <w:szCs w:val="22"/>
          <w:vertAlign w:val="subscript"/>
          <w14:textFill>
            <w14:solidFill>
              <w14:schemeClr w14:val="tx1"/>
            </w14:solidFill>
          </w14:textFill>
        </w:rPr>
        <w:t>i</w:t>
      </w:r>
      <w:r>
        <w:rPr>
          <w:i/>
          <w:color w:val="000000" w:themeColor="text1"/>
          <w:kern w:val="0"/>
          <w:szCs w:val="22"/>
          <w14:textFill>
            <w14:solidFill>
              <w14:schemeClr w14:val="tx1"/>
            </w14:solidFill>
          </w14:textFill>
        </w:rPr>
        <w:t>—</w:t>
      </w:r>
      <w:r>
        <w:rPr>
          <w:color w:val="000000" w:themeColor="text1"/>
          <w:kern w:val="0"/>
          <w:szCs w:val="22"/>
          <w14:textFill>
            <w14:solidFill>
              <w14:schemeClr w14:val="tx1"/>
            </w14:solidFill>
          </w14:textFill>
        </w:rPr>
        <w:t>第i个水质因子的监测浓度值，mg/L；</w:t>
      </w:r>
    </w:p>
    <w:p w14:paraId="207C1380">
      <w:pPr>
        <w:ind w:firstLine="480"/>
        <w:rPr>
          <w:color w:val="000000" w:themeColor="text1"/>
          <w:kern w:val="0"/>
          <w:szCs w:val="22"/>
          <w14:textFill>
            <w14:solidFill>
              <w14:schemeClr w14:val="tx1"/>
            </w14:solidFill>
          </w14:textFill>
        </w:rPr>
      </w:pPr>
      <w:r>
        <w:rPr>
          <w:i/>
          <w:color w:val="000000" w:themeColor="text1"/>
          <w:kern w:val="0"/>
          <w:szCs w:val="22"/>
          <w14:textFill>
            <w14:solidFill>
              <w14:schemeClr w14:val="tx1"/>
            </w14:solidFill>
          </w14:textFill>
        </w:rPr>
        <w:t>C</w:t>
      </w:r>
      <w:r>
        <w:rPr>
          <w:i/>
          <w:color w:val="000000" w:themeColor="text1"/>
          <w:kern w:val="0"/>
          <w:szCs w:val="22"/>
          <w:vertAlign w:val="subscript"/>
          <w14:textFill>
            <w14:solidFill>
              <w14:schemeClr w14:val="tx1"/>
            </w14:solidFill>
          </w14:textFill>
        </w:rPr>
        <w:t>si</w:t>
      </w:r>
      <w:r>
        <w:rPr>
          <w:i/>
          <w:color w:val="000000" w:themeColor="text1"/>
          <w:kern w:val="0"/>
          <w:szCs w:val="22"/>
          <w14:textFill>
            <w14:solidFill>
              <w14:schemeClr w14:val="tx1"/>
            </w14:solidFill>
          </w14:textFill>
        </w:rPr>
        <w:t>—</w:t>
      </w:r>
      <w:r>
        <w:rPr>
          <w:color w:val="000000" w:themeColor="text1"/>
          <w:kern w:val="0"/>
          <w:szCs w:val="22"/>
          <w14:textFill>
            <w14:solidFill>
              <w14:schemeClr w14:val="tx1"/>
            </w14:solidFill>
          </w14:textFill>
        </w:rPr>
        <w:t>第i个水质因子的标准浓度值，mg/L。</w:t>
      </w:r>
    </w:p>
    <w:p w14:paraId="0F3D0533">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pH值按以下公式计算和评价：</w:t>
      </w:r>
    </w:p>
    <w:p w14:paraId="7A0463A6">
      <w:pPr>
        <w:ind w:firstLine="480"/>
        <w:jc w:val="center"/>
        <w:rPr>
          <w:color w:val="000000" w:themeColor="text1"/>
          <w:kern w:val="0"/>
          <w:szCs w:val="22"/>
          <w14:textFill>
            <w14:solidFill>
              <w14:schemeClr w14:val="tx1"/>
            </w14:solidFill>
          </w14:textFill>
        </w:rPr>
      </w:pPr>
      <w:r>
        <w:rPr>
          <w:i/>
          <w:color w:val="000000" w:themeColor="text1"/>
          <w:kern w:val="0"/>
          <w:szCs w:val="22"/>
          <w14:textFill>
            <w14:solidFill>
              <w14:schemeClr w14:val="tx1"/>
            </w14:solidFill>
          </w14:textFill>
        </w:rPr>
        <w:t>P</w:t>
      </w:r>
      <w:r>
        <w:rPr>
          <w:i/>
          <w:color w:val="000000" w:themeColor="text1"/>
          <w:kern w:val="0"/>
          <w:szCs w:val="22"/>
          <w:vertAlign w:val="subscript"/>
          <w14:textFill>
            <w14:solidFill>
              <w14:schemeClr w14:val="tx1"/>
            </w14:solidFill>
          </w14:textFill>
        </w:rPr>
        <w:t>pH</w:t>
      </w:r>
      <w:r>
        <w:rPr>
          <w:color w:val="000000" w:themeColor="text1"/>
          <w:kern w:val="0"/>
          <w:szCs w:val="22"/>
          <w14:textFill>
            <w14:solidFill>
              <w14:schemeClr w14:val="tx1"/>
            </w14:solidFill>
          </w14:textFill>
        </w:rPr>
        <w:t>=（7.0－</w:t>
      </w:r>
      <w:r>
        <w:rPr>
          <w:i/>
          <w:color w:val="000000" w:themeColor="text1"/>
          <w:kern w:val="0"/>
          <w:szCs w:val="22"/>
          <w14:textFill>
            <w14:solidFill>
              <w14:schemeClr w14:val="tx1"/>
            </w14:solidFill>
          </w14:textFill>
        </w:rPr>
        <w:t>pH</w:t>
      </w:r>
      <w:r>
        <w:rPr>
          <w:color w:val="000000" w:themeColor="text1"/>
          <w:kern w:val="0"/>
          <w:szCs w:val="22"/>
          <w14:textFill>
            <w14:solidFill>
              <w14:schemeClr w14:val="tx1"/>
            </w14:solidFill>
          </w14:textFill>
        </w:rPr>
        <w:t>）/（7.0－</w:t>
      </w:r>
      <w:r>
        <w:rPr>
          <w:i/>
          <w:color w:val="000000" w:themeColor="text1"/>
          <w:kern w:val="0"/>
          <w:szCs w:val="22"/>
          <w14:textFill>
            <w14:solidFill>
              <w14:schemeClr w14:val="tx1"/>
            </w14:solidFill>
          </w14:textFill>
        </w:rPr>
        <w:t>pH</w:t>
      </w:r>
      <w:r>
        <w:rPr>
          <w:i/>
          <w:color w:val="000000" w:themeColor="text1"/>
          <w:kern w:val="0"/>
          <w:szCs w:val="22"/>
          <w:vertAlign w:val="subscript"/>
          <w14:textFill>
            <w14:solidFill>
              <w14:schemeClr w14:val="tx1"/>
            </w14:solidFill>
          </w14:textFill>
        </w:rPr>
        <w:t>sd</w:t>
      </w:r>
      <w:r>
        <w:rPr>
          <w:color w:val="000000" w:themeColor="text1"/>
          <w:kern w:val="0"/>
          <w:szCs w:val="22"/>
          <w14:textFill>
            <w14:solidFill>
              <w14:schemeClr w14:val="tx1"/>
            </w14:solidFill>
          </w14:textFill>
        </w:rPr>
        <w:t>）   pH≤7时</w:t>
      </w:r>
    </w:p>
    <w:p w14:paraId="1B4FA4D7">
      <w:pPr>
        <w:ind w:firstLine="480"/>
        <w:jc w:val="center"/>
        <w:rPr>
          <w:color w:val="000000" w:themeColor="text1"/>
          <w:kern w:val="0"/>
          <w:szCs w:val="22"/>
          <w14:textFill>
            <w14:solidFill>
              <w14:schemeClr w14:val="tx1"/>
            </w14:solidFill>
          </w14:textFill>
        </w:rPr>
      </w:pPr>
      <w:r>
        <w:rPr>
          <w:i/>
          <w:color w:val="000000" w:themeColor="text1"/>
          <w:kern w:val="0"/>
          <w:szCs w:val="22"/>
          <w14:textFill>
            <w14:solidFill>
              <w14:schemeClr w14:val="tx1"/>
            </w14:solidFill>
          </w14:textFill>
        </w:rPr>
        <w:t>P</w:t>
      </w:r>
      <w:r>
        <w:rPr>
          <w:i/>
          <w:color w:val="000000" w:themeColor="text1"/>
          <w:kern w:val="0"/>
          <w:szCs w:val="22"/>
          <w:vertAlign w:val="subscript"/>
          <w14:textFill>
            <w14:solidFill>
              <w14:schemeClr w14:val="tx1"/>
            </w14:solidFill>
          </w14:textFill>
        </w:rPr>
        <w:t>pH</w:t>
      </w:r>
      <w:r>
        <w:rPr>
          <w:color w:val="000000" w:themeColor="text1"/>
          <w:kern w:val="0"/>
          <w:szCs w:val="22"/>
          <w14:textFill>
            <w14:solidFill>
              <w14:schemeClr w14:val="tx1"/>
            </w14:solidFill>
          </w14:textFill>
        </w:rPr>
        <w:t>=（</w:t>
      </w:r>
      <w:r>
        <w:rPr>
          <w:i/>
          <w:color w:val="000000" w:themeColor="text1"/>
          <w:kern w:val="0"/>
          <w:szCs w:val="22"/>
          <w14:textFill>
            <w14:solidFill>
              <w14:schemeClr w14:val="tx1"/>
            </w14:solidFill>
          </w14:textFill>
        </w:rPr>
        <w:t>pH</w:t>
      </w:r>
      <w:r>
        <w:rPr>
          <w:color w:val="000000" w:themeColor="text1"/>
          <w:kern w:val="0"/>
          <w:szCs w:val="22"/>
          <w14:textFill>
            <w14:solidFill>
              <w14:schemeClr w14:val="tx1"/>
            </w14:solidFill>
          </w14:textFill>
        </w:rPr>
        <w:t>－7.0）/（</w:t>
      </w:r>
      <w:r>
        <w:rPr>
          <w:i/>
          <w:color w:val="000000" w:themeColor="text1"/>
          <w:kern w:val="0"/>
          <w:szCs w:val="22"/>
          <w14:textFill>
            <w14:solidFill>
              <w14:schemeClr w14:val="tx1"/>
            </w14:solidFill>
          </w14:textFill>
        </w:rPr>
        <w:t>pH</w:t>
      </w:r>
      <w:r>
        <w:rPr>
          <w:i/>
          <w:color w:val="000000" w:themeColor="text1"/>
          <w:kern w:val="0"/>
          <w:szCs w:val="22"/>
          <w:vertAlign w:val="subscript"/>
          <w14:textFill>
            <w14:solidFill>
              <w14:schemeClr w14:val="tx1"/>
            </w14:solidFill>
          </w14:textFill>
        </w:rPr>
        <w:t>Su</w:t>
      </w:r>
      <w:r>
        <w:rPr>
          <w:color w:val="000000" w:themeColor="text1"/>
          <w:kern w:val="0"/>
          <w:szCs w:val="22"/>
          <w14:textFill>
            <w14:solidFill>
              <w14:schemeClr w14:val="tx1"/>
            </w14:solidFill>
          </w14:textFill>
        </w:rPr>
        <w:t>－7.0）   pH＞7时</w:t>
      </w:r>
    </w:p>
    <w:p w14:paraId="6BF8DEB1">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式中：</w:t>
      </w:r>
    </w:p>
    <w:p w14:paraId="6F7ABF51">
      <w:pPr>
        <w:ind w:firstLine="480"/>
        <w:rPr>
          <w:color w:val="000000" w:themeColor="text1"/>
          <w:kern w:val="0"/>
          <w:szCs w:val="22"/>
          <w14:textFill>
            <w14:solidFill>
              <w14:schemeClr w14:val="tx1"/>
            </w14:solidFill>
          </w14:textFill>
        </w:rPr>
      </w:pPr>
      <w:r>
        <w:rPr>
          <w:i/>
          <w:color w:val="000000" w:themeColor="text1"/>
          <w:kern w:val="0"/>
          <w:szCs w:val="22"/>
          <w14:textFill>
            <w14:solidFill>
              <w14:schemeClr w14:val="tx1"/>
            </w14:solidFill>
          </w14:textFill>
        </w:rPr>
        <w:t>P</w:t>
      </w:r>
      <w:r>
        <w:rPr>
          <w:i/>
          <w:color w:val="000000" w:themeColor="text1"/>
          <w:kern w:val="0"/>
          <w:szCs w:val="22"/>
          <w:vertAlign w:val="subscript"/>
          <w14:textFill>
            <w14:solidFill>
              <w14:schemeClr w14:val="tx1"/>
            </w14:solidFill>
          </w14:textFill>
        </w:rPr>
        <w:t>pH</w:t>
      </w:r>
      <w:r>
        <w:rPr>
          <w:i/>
          <w:color w:val="000000" w:themeColor="text1"/>
          <w:kern w:val="0"/>
          <w:szCs w:val="22"/>
          <w14:textFill>
            <w14:solidFill>
              <w14:schemeClr w14:val="tx1"/>
            </w14:solidFill>
          </w14:textFill>
        </w:rPr>
        <w:t>—</w:t>
      </w:r>
      <w:r>
        <w:rPr>
          <w:color w:val="000000" w:themeColor="text1"/>
          <w:kern w:val="0"/>
          <w:szCs w:val="22"/>
          <w14:textFill>
            <w14:solidFill>
              <w14:schemeClr w14:val="tx1"/>
            </w14:solidFill>
          </w14:textFill>
        </w:rPr>
        <w:t>pH的标准指数，无量纲；</w:t>
      </w:r>
    </w:p>
    <w:p w14:paraId="6BED5ADC">
      <w:pPr>
        <w:ind w:firstLine="480"/>
        <w:rPr>
          <w:color w:val="000000" w:themeColor="text1"/>
          <w:kern w:val="0"/>
          <w:szCs w:val="22"/>
          <w14:textFill>
            <w14:solidFill>
              <w14:schemeClr w14:val="tx1"/>
            </w14:solidFill>
          </w14:textFill>
        </w:rPr>
      </w:pPr>
      <w:r>
        <w:rPr>
          <w:i/>
          <w:color w:val="000000" w:themeColor="text1"/>
          <w:kern w:val="0"/>
          <w:szCs w:val="22"/>
          <w14:textFill>
            <w14:solidFill>
              <w14:schemeClr w14:val="tx1"/>
            </w14:solidFill>
          </w14:textFill>
        </w:rPr>
        <w:t>pH—</w:t>
      </w:r>
      <w:r>
        <w:rPr>
          <w:color w:val="000000" w:themeColor="text1"/>
          <w:kern w:val="0"/>
          <w:szCs w:val="22"/>
          <w14:textFill>
            <w14:solidFill>
              <w14:schemeClr w14:val="tx1"/>
            </w14:solidFill>
          </w14:textFill>
        </w:rPr>
        <w:t>pH监测值；</w:t>
      </w:r>
    </w:p>
    <w:p w14:paraId="7604A7EB">
      <w:pPr>
        <w:ind w:firstLine="480"/>
        <w:rPr>
          <w:color w:val="000000" w:themeColor="text1"/>
          <w:kern w:val="0"/>
          <w:szCs w:val="22"/>
          <w14:textFill>
            <w14:solidFill>
              <w14:schemeClr w14:val="tx1"/>
            </w14:solidFill>
          </w14:textFill>
        </w:rPr>
      </w:pPr>
      <w:r>
        <w:rPr>
          <w:i/>
          <w:color w:val="000000" w:themeColor="text1"/>
          <w:kern w:val="0"/>
          <w:szCs w:val="22"/>
          <w14:textFill>
            <w14:solidFill>
              <w14:schemeClr w14:val="tx1"/>
            </w14:solidFill>
          </w14:textFill>
        </w:rPr>
        <w:t>pH</w:t>
      </w:r>
      <w:r>
        <w:rPr>
          <w:i/>
          <w:color w:val="000000" w:themeColor="text1"/>
          <w:kern w:val="0"/>
          <w:szCs w:val="22"/>
          <w:vertAlign w:val="subscript"/>
          <w14:textFill>
            <w14:solidFill>
              <w14:schemeClr w14:val="tx1"/>
            </w14:solidFill>
          </w14:textFill>
        </w:rPr>
        <w:t>Su</w:t>
      </w:r>
      <w:r>
        <w:rPr>
          <w:i/>
          <w:color w:val="000000" w:themeColor="text1"/>
          <w:kern w:val="0"/>
          <w:szCs w:val="22"/>
          <w14:textFill>
            <w14:solidFill>
              <w14:schemeClr w14:val="tx1"/>
            </w14:solidFill>
          </w14:textFill>
        </w:rPr>
        <w:t>—</w:t>
      </w:r>
      <w:r>
        <w:rPr>
          <w:color w:val="000000" w:themeColor="text1"/>
          <w:kern w:val="0"/>
          <w:szCs w:val="22"/>
          <w14:textFill>
            <w14:solidFill>
              <w14:schemeClr w14:val="tx1"/>
            </w14:solidFill>
          </w14:textFill>
        </w:rPr>
        <w:t>标准中pH的上限值；</w:t>
      </w:r>
    </w:p>
    <w:p w14:paraId="73A84A09">
      <w:pPr>
        <w:ind w:firstLine="480"/>
        <w:rPr>
          <w:color w:val="000000" w:themeColor="text1"/>
          <w:kern w:val="0"/>
          <w:szCs w:val="22"/>
          <w14:textFill>
            <w14:solidFill>
              <w14:schemeClr w14:val="tx1"/>
            </w14:solidFill>
          </w14:textFill>
        </w:rPr>
      </w:pPr>
      <w:r>
        <w:rPr>
          <w:i/>
          <w:color w:val="000000" w:themeColor="text1"/>
          <w:kern w:val="0"/>
          <w:szCs w:val="22"/>
          <w14:textFill>
            <w14:solidFill>
              <w14:schemeClr w14:val="tx1"/>
            </w14:solidFill>
          </w14:textFill>
        </w:rPr>
        <w:t>pH</w:t>
      </w:r>
      <w:r>
        <w:rPr>
          <w:i/>
          <w:color w:val="000000" w:themeColor="text1"/>
          <w:kern w:val="0"/>
          <w:szCs w:val="22"/>
          <w:vertAlign w:val="subscript"/>
          <w14:textFill>
            <w14:solidFill>
              <w14:schemeClr w14:val="tx1"/>
            </w14:solidFill>
          </w14:textFill>
        </w:rPr>
        <w:t>sd</w:t>
      </w:r>
      <w:r>
        <w:rPr>
          <w:i/>
          <w:color w:val="000000" w:themeColor="text1"/>
          <w:kern w:val="0"/>
          <w:szCs w:val="22"/>
          <w14:textFill>
            <w14:solidFill>
              <w14:schemeClr w14:val="tx1"/>
            </w14:solidFill>
          </w14:textFill>
        </w:rPr>
        <w:t>—</w:t>
      </w:r>
      <w:r>
        <w:rPr>
          <w:color w:val="000000" w:themeColor="text1"/>
          <w:kern w:val="0"/>
          <w:szCs w:val="22"/>
          <w14:textFill>
            <w14:solidFill>
              <w14:schemeClr w14:val="tx1"/>
            </w14:solidFill>
          </w14:textFill>
        </w:rPr>
        <w:t>标准中pH的下限值。</w:t>
      </w:r>
    </w:p>
    <w:p w14:paraId="525E46FF">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水质参数的标准指数＞1，表明该水质参数超过了规定的水质标准限值，水质参数标准指数越大，说明水质参数超标越严重。</w:t>
      </w:r>
    </w:p>
    <w:p w14:paraId="0E6D7BF3">
      <w:pPr>
        <w:pStyle w:val="4"/>
        <w:rPr>
          <w:color w:val="000000" w:themeColor="text1"/>
          <w14:textFill>
            <w14:solidFill>
              <w14:schemeClr w14:val="tx1"/>
            </w14:solidFill>
          </w14:textFill>
        </w:rPr>
      </w:pPr>
      <w:bookmarkStart w:id="592" w:name="_Toc136878484"/>
      <w:bookmarkStart w:id="593" w:name="_Toc216620548"/>
      <w:r>
        <w:rPr>
          <w:color w:val="000000" w:themeColor="text1"/>
          <w14:textFill>
            <w14:solidFill>
              <w14:schemeClr w14:val="tx1"/>
            </w14:solidFill>
          </w14:textFill>
        </w:rPr>
        <w:t>评价结果</w:t>
      </w:r>
      <w:bookmarkEnd w:id="592"/>
      <w:bookmarkEnd w:id="593"/>
    </w:p>
    <w:p w14:paraId="2802D7D5">
      <w:pPr>
        <w:ind w:firstLine="480"/>
        <w:rPr>
          <w:color w:val="000000" w:themeColor="text1"/>
          <w:u w:val="single"/>
          <w14:textFill>
            <w14:solidFill>
              <w14:schemeClr w14:val="tx1"/>
            </w14:solidFill>
          </w14:textFill>
        </w:rPr>
      </w:pPr>
      <w:r>
        <w:rPr>
          <w:color w:val="000000" w:themeColor="text1"/>
          <w:kern w:val="0"/>
          <w:szCs w:val="22"/>
          <w14:textFill>
            <w14:solidFill>
              <w14:schemeClr w14:val="tx1"/>
            </w14:solidFill>
          </w14:textFill>
        </w:rPr>
        <w:t>根据监测数据</w:t>
      </w:r>
      <w:r>
        <w:rPr>
          <w:color w:val="000000" w:themeColor="text1"/>
          <w:kern w:val="0"/>
          <w:szCs w:val="22"/>
          <w:u w:val="single"/>
          <w14:textFill>
            <w14:solidFill>
              <w14:schemeClr w14:val="tx1"/>
            </w14:solidFill>
          </w14:textFill>
        </w:rPr>
        <w:t>统计分析，</w:t>
      </w:r>
      <w:r>
        <w:rPr>
          <w:rFonts w:hint="eastAsia"/>
          <w:color w:val="000000" w:themeColor="text1"/>
          <w:kern w:val="0"/>
          <w:szCs w:val="22"/>
          <w:u w:val="single"/>
          <w14:textFill>
            <w14:solidFill>
              <w14:schemeClr w14:val="tx1"/>
            </w14:solidFill>
          </w14:textFill>
        </w:rPr>
        <w:t>D1</w:t>
      </w:r>
      <w:r>
        <w:rPr>
          <w:color w:val="000000" w:themeColor="text1"/>
          <w:kern w:val="0"/>
          <w:szCs w:val="22"/>
          <w:u w:val="single"/>
          <w14:textFill>
            <w14:solidFill>
              <w14:schemeClr w14:val="tx1"/>
            </w14:solidFill>
          </w14:textFill>
        </w:rPr>
        <w:t>监测点出现</w:t>
      </w:r>
      <w:r>
        <w:rPr>
          <w:rFonts w:hint="eastAsia"/>
          <w:color w:val="000000" w:themeColor="text1"/>
          <w:kern w:val="0"/>
          <w:szCs w:val="22"/>
          <w:u w:val="single"/>
          <w14:textFill>
            <w14:solidFill>
              <w14:schemeClr w14:val="tx1"/>
            </w14:solidFill>
          </w14:textFill>
        </w:rPr>
        <w:t>氟化物</w:t>
      </w:r>
      <w:r>
        <w:rPr>
          <w:color w:val="000000" w:themeColor="text1"/>
          <w:kern w:val="0"/>
          <w:szCs w:val="22"/>
          <w:u w:val="single"/>
          <w14:textFill>
            <w14:solidFill>
              <w14:schemeClr w14:val="tx1"/>
            </w14:solidFill>
          </w14:textFill>
        </w:rPr>
        <w:t>超标现象</w:t>
      </w:r>
      <w:r>
        <w:rPr>
          <w:rFonts w:hint="eastAsia"/>
          <w:color w:val="000000" w:themeColor="text1"/>
          <w:kern w:val="0"/>
          <w:szCs w:val="22"/>
          <w:u w:val="single"/>
          <w14:textFill>
            <w14:solidFill>
              <w14:schemeClr w14:val="tx1"/>
            </w14:solidFill>
          </w14:textFill>
        </w:rPr>
        <w:t>，</w:t>
      </w:r>
      <w:r>
        <w:rPr>
          <w:rFonts w:hint="eastAsia"/>
          <w:color w:val="000000" w:themeColor="text1"/>
          <w:kern w:val="0"/>
          <w:szCs w:val="22"/>
          <w:u w:val="single"/>
          <w:lang w:val="en-US" w:eastAsia="zh-CN"/>
          <w14:textFill>
            <w14:solidFill>
              <w14:schemeClr w14:val="tx1"/>
            </w14:solidFill>
          </w14:textFill>
        </w:rPr>
        <w:t>初步推断为上游企业撒漏，随地表径流下渗引起的氟化物浓度超标</w:t>
      </w:r>
      <w:r>
        <w:rPr>
          <w:rFonts w:hint="eastAsia"/>
          <w:color w:val="000000" w:themeColor="text1"/>
          <w:kern w:val="0"/>
          <w:szCs w:val="22"/>
          <w:u w:val="single"/>
          <w14:textFill>
            <w14:solidFill>
              <w14:schemeClr w14:val="tx1"/>
            </w14:solidFill>
          </w14:textFill>
        </w:rPr>
        <w:t>。</w:t>
      </w:r>
      <w:r>
        <w:rPr>
          <w:color w:val="000000" w:themeColor="text1"/>
          <w:kern w:val="0"/>
          <w:szCs w:val="22"/>
          <w:u w:val="single"/>
          <w14:textFill>
            <w14:solidFill>
              <w14:schemeClr w14:val="tx1"/>
            </w14:solidFill>
          </w14:textFill>
        </w:rPr>
        <w:t>其余监测指标均能满足《地下水质量标准》（GB/T14848-2017）Ⅲ类标准要求。</w:t>
      </w:r>
      <w:r>
        <w:rPr>
          <w:color w:val="000000" w:themeColor="text1"/>
          <w:u w:val="single"/>
          <w14:textFill>
            <w14:solidFill>
              <w14:schemeClr w14:val="tx1"/>
            </w14:solidFill>
          </w14:textFill>
        </w:rPr>
        <w:t>地下水水质调查与评价结果（单位：mg/L，pH除外）</w:t>
      </w:r>
    </w:p>
    <w:p w14:paraId="5122889A">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地下水水质调查与评价结果（单位：mg/L，pH除外）</w:t>
      </w:r>
    </w:p>
    <w:tbl>
      <w:tblPr>
        <w:tblStyle w:val="43"/>
        <w:tblW w:w="963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1" w:type="dxa"/>
          <w:bottom w:w="0" w:type="dxa"/>
          <w:right w:w="51" w:type="dxa"/>
        </w:tblCellMar>
      </w:tblPr>
      <w:tblGrid>
        <w:gridCol w:w="986"/>
        <w:gridCol w:w="1701"/>
        <w:gridCol w:w="1370"/>
        <w:gridCol w:w="1370"/>
        <w:gridCol w:w="1371"/>
        <w:gridCol w:w="1134"/>
        <w:gridCol w:w="992"/>
        <w:gridCol w:w="714"/>
      </w:tblGrid>
      <w:tr w14:paraId="6EE85D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restart"/>
            <w:vAlign w:val="center"/>
          </w:tcPr>
          <w:p w14:paraId="08DDBE19">
            <w:pPr>
              <w:pStyle w:val="7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采样日期</w:t>
            </w:r>
          </w:p>
        </w:tc>
        <w:tc>
          <w:tcPr>
            <w:tcW w:w="1701" w:type="dxa"/>
            <w:vMerge w:val="restart"/>
            <w:vAlign w:val="center"/>
          </w:tcPr>
          <w:p w14:paraId="50597562">
            <w:pPr>
              <w:pStyle w:val="7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检测</w:t>
            </w:r>
            <w:r>
              <w:rPr>
                <w:b/>
                <w:bCs/>
                <w:color w:val="000000" w:themeColor="text1"/>
                <w14:textFill>
                  <w14:solidFill>
                    <w14:schemeClr w14:val="tx1"/>
                  </w14:solidFill>
                </w14:textFill>
              </w:rPr>
              <w:t>项目</w:t>
            </w:r>
          </w:p>
        </w:tc>
        <w:tc>
          <w:tcPr>
            <w:tcW w:w="4111" w:type="dxa"/>
            <w:gridSpan w:val="3"/>
            <w:vAlign w:val="center"/>
          </w:tcPr>
          <w:p w14:paraId="05F797B6">
            <w:pPr>
              <w:pStyle w:val="7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检测点位</w:t>
            </w:r>
            <w:r>
              <w:rPr>
                <w:b/>
                <w:bCs/>
                <w:color w:val="000000" w:themeColor="text1"/>
                <w14:textFill>
                  <w14:solidFill>
                    <w14:schemeClr w14:val="tx1"/>
                  </w14:solidFill>
                </w14:textFill>
              </w:rPr>
              <w:t>及检测结果</w:t>
            </w:r>
          </w:p>
        </w:tc>
        <w:tc>
          <w:tcPr>
            <w:tcW w:w="1134" w:type="dxa"/>
            <w:vMerge w:val="restart"/>
            <w:vAlign w:val="center"/>
          </w:tcPr>
          <w:p w14:paraId="630433E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标准值</w:t>
            </w:r>
          </w:p>
        </w:tc>
        <w:tc>
          <w:tcPr>
            <w:tcW w:w="992" w:type="dxa"/>
            <w:vMerge w:val="restart"/>
            <w:vAlign w:val="center"/>
          </w:tcPr>
          <w:p w14:paraId="19A3B354">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Sij</w:t>
            </w:r>
          </w:p>
        </w:tc>
        <w:tc>
          <w:tcPr>
            <w:tcW w:w="714" w:type="dxa"/>
            <w:vMerge w:val="restart"/>
            <w:vAlign w:val="center"/>
          </w:tcPr>
          <w:p w14:paraId="0CBCE99A">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是否达标</w:t>
            </w:r>
          </w:p>
        </w:tc>
      </w:tr>
      <w:tr w14:paraId="6748DB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62913605">
            <w:pPr>
              <w:pStyle w:val="70"/>
              <w:rPr>
                <w:b/>
                <w:bCs/>
                <w:color w:val="000000" w:themeColor="text1"/>
                <w14:textFill>
                  <w14:solidFill>
                    <w14:schemeClr w14:val="tx1"/>
                  </w14:solidFill>
                </w14:textFill>
              </w:rPr>
            </w:pPr>
          </w:p>
        </w:tc>
        <w:tc>
          <w:tcPr>
            <w:tcW w:w="1701" w:type="dxa"/>
            <w:vMerge w:val="continue"/>
            <w:vAlign w:val="center"/>
          </w:tcPr>
          <w:p w14:paraId="013E4827">
            <w:pPr>
              <w:pStyle w:val="70"/>
              <w:rPr>
                <w:b/>
                <w:bCs/>
                <w:color w:val="000000" w:themeColor="text1"/>
                <w14:textFill>
                  <w14:solidFill>
                    <w14:schemeClr w14:val="tx1"/>
                  </w14:solidFill>
                </w14:textFill>
              </w:rPr>
            </w:pPr>
          </w:p>
        </w:tc>
        <w:tc>
          <w:tcPr>
            <w:tcW w:w="1370" w:type="dxa"/>
            <w:vAlign w:val="center"/>
          </w:tcPr>
          <w:p w14:paraId="7471FB57">
            <w:pPr>
              <w:pStyle w:val="70"/>
              <w:rPr>
                <w:rFonts w:hint="eastAsia" w:eastAsia="宋体"/>
                <w:b/>
                <w:bCs/>
                <w:color w:val="000000" w:themeColor="text1"/>
                <w:lang w:eastAsia="zh-CN"/>
                <w14:textFill>
                  <w14:solidFill>
                    <w14:schemeClr w14:val="tx1"/>
                  </w14:solidFill>
                </w14:textFill>
              </w:rPr>
            </w:pPr>
            <w:r>
              <w:rPr>
                <w:b/>
                <w:bCs/>
                <w:color w:val="000000" w:themeColor="text1"/>
                <w14:textFill>
                  <w14:solidFill>
                    <w14:schemeClr w14:val="tx1"/>
                  </w14:solidFill>
                </w14:textFill>
              </w:rPr>
              <w:t>D1广西华谊新材料有限公司罐区</w:t>
            </w:r>
            <w:r>
              <w:rPr>
                <w:rFonts w:hint="eastAsia"/>
                <w:b/>
                <w:bCs/>
                <w:color w:val="000000" w:themeColor="text1"/>
                <w:lang w:eastAsia="zh-CN"/>
                <w14:textFill>
                  <w14:solidFill>
                    <w14:schemeClr w14:val="tx1"/>
                  </w14:solidFill>
                </w14:textFill>
              </w:rPr>
              <w:t>（</w:t>
            </w:r>
            <w:r>
              <w:rPr>
                <w:rFonts w:hint="eastAsia"/>
                <w:b/>
                <w:bCs/>
                <w:color w:val="000000" w:themeColor="text1"/>
                <w:lang w:val="en-US" w:eastAsia="zh-CN"/>
                <w14:textFill>
                  <w14:solidFill>
                    <w14:schemeClr w14:val="tx1"/>
                  </w14:solidFill>
                </w14:textFill>
              </w:rPr>
              <w:t>氯苯</w:t>
            </w:r>
            <w:r>
              <w:rPr>
                <w:rFonts w:hint="eastAsia"/>
                <w:b/>
                <w:bCs/>
                <w:color w:val="000000" w:themeColor="text1"/>
                <w:lang w:eastAsia="zh-CN"/>
                <w14:textFill>
                  <w14:solidFill>
                    <w14:schemeClr w14:val="tx1"/>
                  </w14:solidFill>
                </w14:textFill>
              </w:rPr>
              <w:t>）</w:t>
            </w:r>
          </w:p>
        </w:tc>
        <w:tc>
          <w:tcPr>
            <w:tcW w:w="1370" w:type="dxa"/>
            <w:vAlign w:val="center"/>
          </w:tcPr>
          <w:p w14:paraId="1F60A659">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D2高沙头村</w:t>
            </w:r>
          </w:p>
        </w:tc>
        <w:tc>
          <w:tcPr>
            <w:tcW w:w="1371" w:type="dxa"/>
            <w:vAlign w:val="center"/>
          </w:tcPr>
          <w:p w14:paraId="3AAE4A51">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D3尖岭</w:t>
            </w:r>
          </w:p>
        </w:tc>
        <w:tc>
          <w:tcPr>
            <w:tcW w:w="1134" w:type="dxa"/>
            <w:vMerge w:val="continue"/>
            <w:vAlign w:val="center"/>
          </w:tcPr>
          <w:p w14:paraId="6BDFC588">
            <w:pPr>
              <w:pStyle w:val="70"/>
              <w:rPr>
                <w:b/>
                <w:bCs/>
                <w:color w:val="000000" w:themeColor="text1"/>
                <w14:textFill>
                  <w14:solidFill>
                    <w14:schemeClr w14:val="tx1"/>
                  </w14:solidFill>
                </w14:textFill>
              </w:rPr>
            </w:pPr>
          </w:p>
        </w:tc>
        <w:tc>
          <w:tcPr>
            <w:tcW w:w="992" w:type="dxa"/>
            <w:vMerge w:val="continue"/>
            <w:vAlign w:val="center"/>
          </w:tcPr>
          <w:p w14:paraId="20798325">
            <w:pPr>
              <w:pStyle w:val="70"/>
              <w:rPr>
                <w:b/>
                <w:bCs/>
                <w:color w:val="000000" w:themeColor="text1"/>
                <w14:textFill>
                  <w14:solidFill>
                    <w14:schemeClr w14:val="tx1"/>
                  </w14:solidFill>
                </w14:textFill>
              </w:rPr>
            </w:pPr>
          </w:p>
        </w:tc>
        <w:tc>
          <w:tcPr>
            <w:tcW w:w="714" w:type="dxa"/>
            <w:vMerge w:val="continue"/>
            <w:vAlign w:val="center"/>
          </w:tcPr>
          <w:p w14:paraId="4A0583EB">
            <w:pPr>
              <w:pStyle w:val="70"/>
              <w:rPr>
                <w:b/>
                <w:bCs/>
                <w:color w:val="000000" w:themeColor="text1"/>
                <w14:textFill>
                  <w14:solidFill>
                    <w14:schemeClr w14:val="tx1"/>
                  </w14:solidFill>
                </w14:textFill>
              </w:rPr>
            </w:pPr>
          </w:p>
        </w:tc>
      </w:tr>
      <w:tr w14:paraId="2EE7DA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restart"/>
            <w:vAlign w:val="center"/>
          </w:tcPr>
          <w:p w14:paraId="7C6ED32B">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2025.12.02</w:t>
            </w:r>
          </w:p>
        </w:tc>
        <w:tc>
          <w:tcPr>
            <w:tcW w:w="1701" w:type="dxa"/>
            <w:shd w:val="clear" w:color="auto" w:fill="auto"/>
            <w:vAlign w:val="center"/>
          </w:tcPr>
          <w:p w14:paraId="1966E613">
            <w:pPr>
              <w:pStyle w:val="70"/>
              <w:rPr>
                <w:color w:val="000000" w:themeColor="text1"/>
                <w14:textFill>
                  <w14:solidFill>
                    <w14:schemeClr w14:val="tx1"/>
                  </w14:solidFill>
                </w14:textFill>
              </w:rPr>
            </w:pPr>
            <w:r>
              <w:rPr>
                <w:color w:val="000000" w:themeColor="text1"/>
                <w14:textFill>
                  <w14:solidFill>
                    <w14:schemeClr w14:val="tx1"/>
                  </w14:solidFill>
                </w14:textFill>
              </w:rPr>
              <w:t>pH值</w:t>
            </w:r>
          </w:p>
        </w:tc>
        <w:tc>
          <w:tcPr>
            <w:tcW w:w="1370" w:type="dxa"/>
            <w:shd w:val="clear" w:color="auto" w:fill="auto"/>
            <w:vAlign w:val="center"/>
          </w:tcPr>
          <w:p w14:paraId="50548F01">
            <w:pPr>
              <w:pStyle w:val="70"/>
              <w:rPr>
                <w:color w:val="000000" w:themeColor="text1"/>
                <w14:textFill>
                  <w14:solidFill>
                    <w14:schemeClr w14:val="tx1"/>
                  </w14:solidFill>
                </w14:textFill>
              </w:rPr>
            </w:pPr>
          </w:p>
        </w:tc>
        <w:tc>
          <w:tcPr>
            <w:tcW w:w="1370" w:type="dxa"/>
            <w:vAlign w:val="center"/>
          </w:tcPr>
          <w:p w14:paraId="3FBF507F">
            <w:pPr>
              <w:pStyle w:val="70"/>
              <w:rPr>
                <w:color w:val="000000" w:themeColor="text1"/>
                <w14:textFill>
                  <w14:solidFill>
                    <w14:schemeClr w14:val="tx1"/>
                  </w14:solidFill>
                </w14:textFill>
              </w:rPr>
            </w:pPr>
          </w:p>
        </w:tc>
        <w:tc>
          <w:tcPr>
            <w:tcW w:w="1371" w:type="dxa"/>
            <w:vAlign w:val="center"/>
          </w:tcPr>
          <w:p w14:paraId="61E09AA1">
            <w:pPr>
              <w:pStyle w:val="70"/>
              <w:rPr>
                <w:color w:val="000000" w:themeColor="text1"/>
                <w14:textFill>
                  <w14:solidFill>
                    <w14:schemeClr w14:val="tx1"/>
                  </w14:solidFill>
                </w14:textFill>
              </w:rPr>
            </w:pPr>
          </w:p>
        </w:tc>
        <w:tc>
          <w:tcPr>
            <w:tcW w:w="1134" w:type="dxa"/>
            <w:vAlign w:val="center"/>
          </w:tcPr>
          <w:p w14:paraId="31D0BB74">
            <w:pPr>
              <w:pStyle w:val="70"/>
              <w:rPr>
                <w:color w:val="000000" w:themeColor="text1"/>
                <w14:textFill>
                  <w14:solidFill>
                    <w14:schemeClr w14:val="tx1"/>
                  </w14:solidFill>
                </w14:textFill>
              </w:rPr>
            </w:pPr>
            <w:r>
              <w:rPr>
                <w:color w:val="000000" w:themeColor="text1"/>
                <w14:textFill>
                  <w14:solidFill>
                    <w14:schemeClr w14:val="tx1"/>
                  </w14:solidFill>
                </w14:textFill>
              </w:rPr>
              <w:t>6.5≤pH≤8.5</w:t>
            </w:r>
          </w:p>
        </w:tc>
        <w:tc>
          <w:tcPr>
            <w:tcW w:w="992" w:type="dxa"/>
            <w:vAlign w:val="center"/>
          </w:tcPr>
          <w:p w14:paraId="137B24F5">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0.07</w:t>
            </w:r>
          </w:p>
        </w:tc>
        <w:tc>
          <w:tcPr>
            <w:tcW w:w="714" w:type="dxa"/>
            <w:vAlign w:val="center"/>
          </w:tcPr>
          <w:p w14:paraId="31E985B3">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770BF2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092852AE">
            <w:pPr>
              <w:pStyle w:val="70"/>
              <w:rPr>
                <w:color w:val="000000" w:themeColor="text1"/>
                <w14:textFill>
                  <w14:solidFill>
                    <w14:schemeClr w14:val="tx1"/>
                  </w14:solidFill>
                </w14:textFill>
              </w:rPr>
            </w:pPr>
          </w:p>
        </w:tc>
        <w:tc>
          <w:tcPr>
            <w:tcW w:w="1701" w:type="dxa"/>
            <w:shd w:val="clear" w:color="auto" w:fill="auto"/>
            <w:vAlign w:val="center"/>
          </w:tcPr>
          <w:p w14:paraId="51E100C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镉</w:t>
            </w:r>
          </w:p>
        </w:tc>
        <w:tc>
          <w:tcPr>
            <w:tcW w:w="1370" w:type="dxa"/>
            <w:shd w:val="clear" w:color="auto" w:fill="auto"/>
            <w:vAlign w:val="center"/>
          </w:tcPr>
          <w:p w14:paraId="76359FF0">
            <w:pPr>
              <w:pStyle w:val="70"/>
              <w:rPr>
                <w:color w:val="000000" w:themeColor="text1"/>
                <w14:textFill>
                  <w14:solidFill>
                    <w14:schemeClr w14:val="tx1"/>
                  </w14:solidFill>
                </w14:textFill>
              </w:rPr>
            </w:pPr>
          </w:p>
        </w:tc>
        <w:tc>
          <w:tcPr>
            <w:tcW w:w="1370" w:type="dxa"/>
            <w:vAlign w:val="center"/>
          </w:tcPr>
          <w:p w14:paraId="3CC13F58">
            <w:pPr>
              <w:pStyle w:val="70"/>
              <w:rPr>
                <w:color w:val="000000" w:themeColor="text1"/>
                <w14:textFill>
                  <w14:solidFill>
                    <w14:schemeClr w14:val="tx1"/>
                  </w14:solidFill>
                </w14:textFill>
              </w:rPr>
            </w:pPr>
          </w:p>
        </w:tc>
        <w:tc>
          <w:tcPr>
            <w:tcW w:w="1371" w:type="dxa"/>
            <w:vAlign w:val="center"/>
          </w:tcPr>
          <w:p w14:paraId="57EAC3A9">
            <w:pPr>
              <w:pStyle w:val="70"/>
              <w:rPr>
                <w:color w:val="000000" w:themeColor="text1"/>
                <w14:textFill>
                  <w14:solidFill>
                    <w14:schemeClr w14:val="tx1"/>
                  </w14:solidFill>
                </w14:textFill>
              </w:rPr>
            </w:pPr>
          </w:p>
        </w:tc>
        <w:tc>
          <w:tcPr>
            <w:tcW w:w="1134" w:type="dxa"/>
            <w:vAlign w:val="center"/>
          </w:tcPr>
          <w:p w14:paraId="6803E821">
            <w:pPr>
              <w:pStyle w:val="70"/>
              <w:rPr>
                <w:color w:val="000000" w:themeColor="text1"/>
                <w14:textFill>
                  <w14:solidFill>
                    <w14:schemeClr w14:val="tx1"/>
                  </w14:solidFill>
                </w14:textFill>
              </w:rPr>
            </w:pPr>
            <w:r>
              <w:rPr>
                <w:color w:val="000000" w:themeColor="text1"/>
                <w14:textFill>
                  <w14:solidFill>
                    <w14:schemeClr w14:val="tx1"/>
                  </w14:solidFill>
                </w14:textFill>
              </w:rPr>
              <w:t>≤0.005</w:t>
            </w:r>
          </w:p>
        </w:tc>
        <w:tc>
          <w:tcPr>
            <w:tcW w:w="992" w:type="dxa"/>
            <w:vAlign w:val="center"/>
          </w:tcPr>
          <w:p w14:paraId="349C000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14" w:type="dxa"/>
            <w:vAlign w:val="center"/>
          </w:tcPr>
          <w:p w14:paraId="12F38CB4">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0614BB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1678E367">
            <w:pPr>
              <w:pStyle w:val="70"/>
              <w:rPr>
                <w:color w:val="000000" w:themeColor="text1"/>
                <w14:textFill>
                  <w14:solidFill>
                    <w14:schemeClr w14:val="tx1"/>
                  </w14:solidFill>
                </w14:textFill>
              </w:rPr>
            </w:pPr>
          </w:p>
        </w:tc>
        <w:tc>
          <w:tcPr>
            <w:tcW w:w="1701" w:type="dxa"/>
            <w:shd w:val="clear" w:color="auto" w:fill="auto"/>
            <w:vAlign w:val="center"/>
          </w:tcPr>
          <w:p w14:paraId="2D2E611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铅</w:t>
            </w:r>
          </w:p>
        </w:tc>
        <w:tc>
          <w:tcPr>
            <w:tcW w:w="1370" w:type="dxa"/>
            <w:shd w:val="clear" w:color="auto" w:fill="auto"/>
            <w:vAlign w:val="center"/>
          </w:tcPr>
          <w:p w14:paraId="4BC2949F">
            <w:pPr>
              <w:pStyle w:val="70"/>
              <w:rPr>
                <w:color w:val="000000" w:themeColor="text1"/>
                <w14:textFill>
                  <w14:solidFill>
                    <w14:schemeClr w14:val="tx1"/>
                  </w14:solidFill>
                </w14:textFill>
              </w:rPr>
            </w:pPr>
          </w:p>
        </w:tc>
        <w:tc>
          <w:tcPr>
            <w:tcW w:w="1370" w:type="dxa"/>
            <w:shd w:val="clear" w:color="auto" w:fill="auto"/>
            <w:vAlign w:val="center"/>
          </w:tcPr>
          <w:p w14:paraId="299F8F4A">
            <w:pPr>
              <w:pStyle w:val="70"/>
              <w:rPr>
                <w:color w:val="000000" w:themeColor="text1"/>
                <w14:textFill>
                  <w14:solidFill>
                    <w14:schemeClr w14:val="tx1"/>
                  </w14:solidFill>
                </w14:textFill>
              </w:rPr>
            </w:pPr>
          </w:p>
        </w:tc>
        <w:tc>
          <w:tcPr>
            <w:tcW w:w="1371" w:type="dxa"/>
            <w:shd w:val="clear" w:color="auto" w:fill="auto"/>
            <w:vAlign w:val="center"/>
          </w:tcPr>
          <w:p w14:paraId="1231B227">
            <w:pPr>
              <w:pStyle w:val="70"/>
              <w:rPr>
                <w:color w:val="000000" w:themeColor="text1"/>
                <w14:textFill>
                  <w14:solidFill>
                    <w14:schemeClr w14:val="tx1"/>
                  </w14:solidFill>
                </w14:textFill>
              </w:rPr>
            </w:pPr>
          </w:p>
        </w:tc>
        <w:tc>
          <w:tcPr>
            <w:tcW w:w="1134" w:type="dxa"/>
            <w:vAlign w:val="center"/>
          </w:tcPr>
          <w:p w14:paraId="134E5C88">
            <w:pPr>
              <w:pStyle w:val="70"/>
              <w:rPr>
                <w:color w:val="000000" w:themeColor="text1"/>
                <w14:textFill>
                  <w14:solidFill>
                    <w14:schemeClr w14:val="tx1"/>
                  </w14:solidFill>
                </w14:textFill>
              </w:rPr>
            </w:pPr>
            <w:r>
              <w:rPr>
                <w:color w:val="000000" w:themeColor="text1"/>
                <w14:textFill>
                  <w14:solidFill>
                    <w14:schemeClr w14:val="tx1"/>
                  </w14:solidFill>
                </w14:textFill>
              </w:rPr>
              <w:t>≤0.01</w:t>
            </w:r>
          </w:p>
        </w:tc>
        <w:tc>
          <w:tcPr>
            <w:tcW w:w="992" w:type="dxa"/>
            <w:vAlign w:val="center"/>
          </w:tcPr>
          <w:p w14:paraId="7147496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14" w:type="dxa"/>
            <w:vAlign w:val="center"/>
          </w:tcPr>
          <w:p w14:paraId="4E82C608">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035D8B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0D7F836A">
            <w:pPr>
              <w:pStyle w:val="70"/>
              <w:rPr>
                <w:color w:val="000000" w:themeColor="text1"/>
                <w14:textFill>
                  <w14:solidFill>
                    <w14:schemeClr w14:val="tx1"/>
                  </w14:solidFill>
                </w14:textFill>
              </w:rPr>
            </w:pPr>
          </w:p>
        </w:tc>
        <w:tc>
          <w:tcPr>
            <w:tcW w:w="1701" w:type="dxa"/>
            <w:shd w:val="clear" w:color="auto" w:fill="auto"/>
            <w:vAlign w:val="center"/>
          </w:tcPr>
          <w:p w14:paraId="38C05FB7">
            <w:pPr>
              <w:pStyle w:val="70"/>
              <w:rPr>
                <w:color w:val="000000" w:themeColor="text1"/>
                <w14:textFill>
                  <w14:solidFill>
                    <w14:schemeClr w14:val="tx1"/>
                  </w14:solidFill>
                </w14:textFill>
              </w:rPr>
            </w:pPr>
            <w:r>
              <w:rPr>
                <w:color w:val="000000" w:themeColor="text1"/>
                <w14:textFill>
                  <w14:solidFill>
                    <w14:schemeClr w14:val="tx1"/>
                  </w14:solidFill>
                </w14:textFill>
              </w:rPr>
              <w:t>苯乙烯</w:t>
            </w:r>
          </w:p>
        </w:tc>
        <w:tc>
          <w:tcPr>
            <w:tcW w:w="1370" w:type="dxa"/>
            <w:shd w:val="clear" w:color="auto" w:fill="auto"/>
            <w:vAlign w:val="center"/>
          </w:tcPr>
          <w:p w14:paraId="49FE477B">
            <w:pPr>
              <w:pStyle w:val="70"/>
              <w:rPr>
                <w:color w:val="000000" w:themeColor="text1"/>
                <w14:textFill>
                  <w14:solidFill>
                    <w14:schemeClr w14:val="tx1"/>
                  </w14:solidFill>
                </w14:textFill>
              </w:rPr>
            </w:pPr>
          </w:p>
        </w:tc>
        <w:tc>
          <w:tcPr>
            <w:tcW w:w="1370" w:type="dxa"/>
            <w:vAlign w:val="center"/>
          </w:tcPr>
          <w:p w14:paraId="312F6136">
            <w:pPr>
              <w:pStyle w:val="70"/>
              <w:rPr>
                <w:color w:val="000000" w:themeColor="text1"/>
                <w14:textFill>
                  <w14:solidFill>
                    <w14:schemeClr w14:val="tx1"/>
                  </w14:solidFill>
                </w14:textFill>
              </w:rPr>
            </w:pPr>
          </w:p>
        </w:tc>
        <w:tc>
          <w:tcPr>
            <w:tcW w:w="1371" w:type="dxa"/>
            <w:vAlign w:val="center"/>
          </w:tcPr>
          <w:p w14:paraId="2A35D4FC">
            <w:pPr>
              <w:pStyle w:val="70"/>
              <w:rPr>
                <w:color w:val="000000" w:themeColor="text1"/>
                <w14:textFill>
                  <w14:solidFill>
                    <w14:schemeClr w14:val="tx1"/>
                  </w14:solidFill>
                </w14:textFill>
              </w:rPr>
            </w:pPr>
          </w:p>
        </w:tc>
        <w:tc>
          <w:tcPr>
            <w:tcW w:w="1134" w:type="dxa"/>
            <w:vAlign w:val="center"/>
          </w:tcPr>
          <w:p w14:paraId="3B7A2B13">
            <w:pPr>
              <w:pStyle w:val="70"/>
              <w:rPr>
                <w:color w:val="000000" w:themeColor="text1"/>
                <w14:textFill>
                  <w14:solidFill>
                    <w14:schemeClr w14:val="tx1"/>
                  </w14:solidFill>
                </w14:textFill>
              </w:rPr>
            </w:pPr>
            <w:r>
              <w:rPr>
                <w:color w:val="000000" w:themeColor="text1"/>
                <w14:textFill>
                  <w14:solidFill>
                    <w14:schemeClr w14:val="tx1"/>
                  </w14:solidFill>
                </w14:textFill>
              </w:rPr>
              <w:t>≤0.02</w:t>
            </w:r>
          </w:p>
        </w:tc>
        <w:tc>
          <w:tcPr>
            <w:tcW w:w="992" w:type="dxa"/>
            <w:vAlign w:val="center"/>
          </w:tcPr>
          <w:p w14:paraId="4647C5A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14" w:type="dxa"/>
            <w:vAlign w:val="center"/>
          </w:tcPr>
          <w:p w14:paraId="1B1E4518">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3D4CB3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28DEAF65">
            <w:pPr>
              <w:pStyle w:val="70"/>
              <w:rPr>
                <w:color w:val="000000" w:themeColor="text1"/>
                <w14:textFill>
                  <w14:solidFill>
                    <w14:schemeClr w14:val="tx1"/>
                  </w14:solidFill>
                </w14:textFill>
              </w:rPr>
            </w:pPr>
          </w:p>
        </w:tc>
        <w:tc>
          <w:tcPr>
            <w:tcW w:w="1701" w:type="dxa"/>
            <w:shd w:val="clear" w:color="auto" w:fill="auto"/>
            <w:vAlign w:val="center"/>
          </w:tcPr>
          <w:p w14:paraId="4A72F819">
            <w:pPr>
              <w:pStyle w:val="70"/>
              <w:rPr>
                <w:color w:val="000000" w:themeColor="text1"/>
                <w14:textFill>
                  <w14:solidFill>
                    <w14:schemeClr w14:val="tx1"/>
                  </w14:solidFill>
                </w14:textFill>
              </w:rPr>
            </w:pPr>
            <w:r>
              <w:rPr>
                <w:color w:val="000000" w:themeColor="text1"/>
                <w14:textFill>
                  <w14:solidFill>
                    <w14:schemeClr w14:val="tx1"/>
                  </w14:solidFill>
                </w14:textFill>
              </w:rPr>
              <w:t>硫化物</w:t>
            </w:r>
          </w:p>
        </w:tc>
        <w:tc>
          <w:tcPr>
            <w:tcW w:w="1370" w:type="dxa"/>
            <w:shd w:val="clear" w:color="auto" w:fill="auto"/>
            <w:vAlign w:val="center"/>
          </w:tcPr>
          <w:p w14:paraId="2B656D56">
            <w:pPr>
              <w:pStyle w:val="70"/>
              <w:rPr>
                <w:color w:val="000000" w:themeColor="text1"/>
                <w14:textFill>
                  <w14:solidFill>
                    <w14:schemeClr w14:val="tx1"/>
                  </w14:solidFill>
                </w14:textFill>
              </w:rPr>
            </w:pPr>
          </w:p>
        </w:tc>
        <w:tc>
          <w:tcPr>
            <w:tcW w:w="1370" w:type="dxa"/>
            <w:vAlign w:val="center"/>
          </w:tcPr>
          <w:p w14:paraId="4084F527">
            <w:pPr>
              <w:pStyle w:val="70"/>
              <w:rPr>
                <w:color w:val="000000" w:themeColor="text1"/>
                <w14:textFill>
                  <w14:solidFill>
                    <w14:schemeClr w14:val="tx1"/>
                  </w14:solidFill>
                </w14:textFill>
              </w:rPr>
            </w:pPr>
          </w:p>
        </w:tc>
        <w:tc>
          <w:tcPr>
            <w:tcW w:w="1371" w:type="dxa"/>
            <w:vAlign w:val="center"/>
          </w:tcPr>
          <w:p w14:paraId="3179DA25">
            <w:pPr>
              <w:pStyle w:val="70"/>
              <w:rPr>
                <w:color w:val="000000" w:themeColor="text1"/>
                <w14:textFill>
                  <w14:solidFill>
                    <w14:schemeClr w14:val="tx1"/>
                  </w14:solidFill>
                </w14:textFill>
              </w:rPr>
            </w:pPr>
          </w:p>
        </w:tc>
        <w:tc>
          <w:tcPr>
            <w:tcW w:w="1134" w:type="dxa"/>
            <w:vAlign w:val="center"/>
          </w:tcPr>
          <w:p w14:paraId="21423D50">
            <w:pPr>
              <w:pStyle w:val="70"/>
              <w:rPr>
                <w:color w:val="000000" w:themeColor="text1"/>
                <w14:textFill>
                  <w14:solidFill>
                    <w14:schemeClr w14:val="tx1"/>
                  </w14:solidFill>
                </w14:textFill>
              </w:rPr>
            </w:pPr>
            <w:r>
              <w:rPr>
                <w:color w:val="000000" w:themeColor="text1"/>
                <w14:textFill>
                  <w14:solidFill>
                    <w14:schemeClr w14:val="tx1"/>
                  </w14:solidFill>
                </w14:textFill>
              </w:rPr>
              <w:t>≤0.02</w:t>
            </w:r>
          </w:p>
        </w:tc>
        <w:tc>
          <w:tcPr>
            <w:tcW w:w="992" w:type="dxa"/>
            <w:vAlign w:val="center"/>
          </w:tcPr>
          <w:p w14:paraId="1A65A46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14" w:type="dxa"/>
            <w:vAlign w:val="center"/>
          </w:tcPr>
          <w:p w14:paraId="4269FC1E">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0070EB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7FF6372D">
            <w:pPr>
              <w:pStyle w:val="70"/>
              <w:rPr>
                <w:color w:val="000000" w:themeColor="text1"/>
                <w14:textFill>
                  <w14:solidFill>
                    <w14:schemeClr w14:val="tx1"/>
                  </w14:solidFill>
                </w14:textFill>
              </w:rPr>
            </w:pPr>
          </w:p>
        </w:tc>
        <w:tc>
          <w:tcPr>
            <w:tcW w:w="1701" w:type="dxa"/>
            <w:shd w:val="clear" w:color="auto" w:fill="auto"/>
            <w:vAlign w:val="center"/>
          </w:tcPr>
          <w:p w14:paraId="72338187">
            <w:pPr>
              <w:pStyle w:val="70"/>
              <w:rPr>
                <w:color w:val="000000" w:themeColor="text1"/>
                <w14:textFill>
                  <w14:solidFill>
                    <w14:schemeClr w14:val="tx1"/>
                  </w14:solidFill>
                </w14:textFill>
              </w:rPr>
            </w:pPr>
            <w:r>
              <w:rPr>
                <w:color w:val="000000" w:themeColor="text1"/>
                <w14:textFill>
                  <w14:solidFill>
                    <w14:schemeClr w14:val="tx1"/>
                  </w14:solidFill>
                </w14:textFill>
              </w:rPr>
              <w:t>总硬度</w:t>
            </w:r>
          </w:p>
        </w:tc>
        <w:tc>
          <w:tcPr>
            <w:tcW w:w="1370" w:type="dxa"/>
            <w:shd w:val="clear" w:color="auto" w:fill="auto"/>
            <w:vAlign w:val="center"/>
          </w:tcPr>
          <w:p w14:paraId="1F6899C5">
            <w:pPr>
              <w:pStyle w:val="70"/>
              <w:rPr>
                <w:color w:val="000000" w:themeColor="text1"/>
                <w14:textFill>
                  <w14:solidFill>
                    <w14:schemeClr w14:val="tx1"/>
                  </w14:solidFill>
                </w14:textFill>
              </w:rPr>
            </w:pPr>
          </w:p>
        </w:tc>
        <w:tc>
          <w:tcPr>
            <w:tcW w:w="1370" w:type="dxa"/>
            <w:vAlign w:val="center"/>
          </w:tcPr>
          <w:p w14:paraId="5C2B4B82">
            <w:pPr>
              <w:pStyle w:val="70"/>
              <w:rPr>
                <w:color w:val="000000" w:themeColor="text1"/>
                <w14:textFill>
                  <w14:solidFill>
                    <w14:schemeClr w14:val="tx1"/>
                  </w14:solidFill>
                </w14:textFill>
              </w:rPr>
            </w:pPr>
          </w:p>
        </w:tc>
        <w:tc>
          <w:tcPr>
            <w:tcW w:w="1371" w:type="dxa"/>
            <w:vAlign w:val="center"/>
          </w:tcPr>
          <w:p w14:paraId="0BF67C50">
            <w:pPr>
              <w:pStyle w:val="70"/>
              <w:rPr>
                <w:color w:val="000000" w:themeColor="text1"/>
                <w14:textFill>
                  <w14:solidFill>
                    <w14:schemeClr w14:val="tx1"/>
                  </w14:solidFill>
                </w14:textFill>
              </w:rPr>
            </w:pPr>
          </w:p>
        </w:tc>
        <w:tc>
          <w:tcPr>
            <w:tcW w:w="1134" w:type="dxa"/>
            <w:vAlign w:val="center"/>
          </w:tcPr>
          <w:p w14:paraId="7A9CE104">
            <w:pPr>
              <w:pStyle w:val="70"/>
              <w:rPr>
                <w:color w:val="000000" w:themeColor="text1"/>
                <w14:textFill>
                  <w14:solidFill>
                    <w14:schemeClr w14:val="tx1"/>
                  </w14:solidFill>
                </w14:textFill>
              </w:rPr>
            </w:pPr>
            <w:r>
              <w:rPr>
                <w:color w:val="000000" w:themeColor="text1"/>
                <w14:textFill>
                  <w14:solidFill>
                    <w14:schemeClr w14:val="tx1"/>
                  </w14:solidFill>
                </w14:textFill>
              </w:rPr>
              <w:t>≤450</w:t>
            </w:r>
          </w:p>
        </w:tc>
        <w:tc>
          <w:tcPr>
            <w:tcW w:w="992" w:type="dxa"/>
            <w:vAlign w:val="center"/>
          </w:tcPr>
          <w:p w14:paraId="2BC4FD5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0.2~0.41</w:t>
            </w:r>
          </w:p>
        </w:tc>
        <w:tc>
          <w:tcPr>
            <w:tcW w:w="714" w:type="dxa"/>
            <w:vAlign w:val="center"/>
          </w:tcPr>
          <w:p w14:paraId="2843C403">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6228D2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0BC26A12">
            <w:pPr>
              <w:pStyle w:val="70"/>
              <w:rPr>
                <w:color w:val="000000" w:themeColor="text1"/>
                <w14:textFill>
                  <w14:solidFill>
                    <w14:schemeClr w14:val="tx1"/>
                  </w14:solidFill>
                </w14:textFill>
              </w:rPr>
            </w:pPr>
          </w:p>
        </w:tc>
        <w:tc>
          <w:tcPr>
            <w:tcW w:w="1701" w:type="dxa"/>
            <w:shd w:val="clear" w:color="auto" w:fill="auto"/>
            <w:vAlign w:val="center"/>
          </w:tcPr>
          <w:p w14:paraId="1166DAF7">
            <w:pPr>
              <w:pStyle w:val="70"/>
              <w:rPr>
                <w:color w:val="000000" w:themeColor="text1"/>
                <w14:textFill>
                  <w14:solidFill>
                    <w14:schemeClr w14:val="tx1"/>
                  </w14:solidFill>
                </w14:textFill>
              </w:rPr>
            </w:pPr>
            <w:r>
              <w:rPr>
                <w:color w:val="000000" w:themeColor="text1"/>
                <w14:textFill>
                  <w14:solidFill>
                    <w14:schemeClr w14:val="tx1"/>
                  </w14:solidFill>
                </w14:textFill>
              </w:rPr>
              <w:t>氨氮</w:t>
            </w:r>
          </w:p>
        </w:tc>
        <w:tc>
          <w:tcPr>
            <w:tcW w:w="1370" w:type="dxa"/>
            <w:shd w:val="clear" w:color="auto" w:fill="auto"/>
            <w:vAlign w:val="center"/>
          </w:tcPr>
          <w:p w14:paraId="361E2414">
            <w:pPr>
              <w:pStyle w:val="70"/>
              <w:rPr>
                <w:color w:val="000000" w:themeColor="text1"/>
                <w14:textFill>
                  <w14:solidFill>
                    <w14:schemeClr w14:val="tx1"/>
                  </w14:solidFill>
                </w14:textFill>
              </w:rPr>
            </w:pPr>
          </w:p>
        </w:tc>
        <w:tc>
          <w:tcPr>
            <w:tcW w:w="1370" w:type="dxa"/>
            <w:vAlign w:val="center"/>
          </w:tcPr>
          <w:p w14:paraId="3B9988AD">
            <w:pPr>
              <w:pStyle w:val="70"/>
              <w:rPr>
                <w:color w:val="000000" w:themeColor="text1"/>
                <w14:textFill>
                  <w14:solidFill>
                    <w14:schemeClr w14:val="tx1"/>
                  </w14:solidFill>
                </w14:textFill>
              </w:rPr>
            </w:pPr>
          </w:p>
        </w:tc>
        <w:tc>
          <w:tcPr>
            <w:tcW w:w="1371" w:type="dxa"/>
            <w:vAlign w:val="center"/>
          </w:tcPr>
          <w:p w14:paraId="50D9F209">
            <w:pPr>
              <w:pStyle w:val="70"/>
              <w:rPr>
                <w:color w:val="000000" w:themeColor="text1"/>
                <w14:textFill>
                  <w14:solidFill>
                    <w14:schemeClr w14:val="tx1"/>
                  </w14:solidFill>
                </w14:textFill>
              </w:rPr>
            </w:pPr>
          </w:p>
        </w:tc>
        <w:tc>
          <w:tcPr>
            <w:tcW w:w="1134" w:type="dxa"/>
            <w:vAlign w:val="center"/>
          </w:tcPr>
          <w:p w14:paraId="7CB7B2B7">
            <w:pPr>
              <w:pStyle w:val="70"/>
              <w:rPr>
                <w:color w:val="000000" w:themeColor="text1"/>
                <w14:textFill>
                  <w14:solidFill>
                    <w14:schemeClr w14:val="tx1"/>
                  </w14:solidFill>
                </w14:textFill>
              </w:rPr>
            </w:pPr>
            <w:r>
              <w:rPr>
                <w:color w:val="000000" w:themeColor="text1"/>
                <w14:textFill>
                  <w14:solidFill>
                    <w14:schemeClr w14:val="tx1"/>
                  </w14:solidFill>
                </w14:textFill>
              </w:rPr>
              <w:t>≤0.5</w:t>
            </w:r>
          </w:p>
        </w:tc>
        <w:tc>
          <w:tcPr>
            <w:tcW w:w="992" w:type="dxa"/>
            <w:vAlign w:val="center"/>
          </w:tcPr>
          <w:p w14:paraId="5F8322DC">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0.07~0.92</w:t>
            </w:r>
          </w:p>
        </w:tc>
        <w:tc>
          <w:tcPr>
            <w:tcW w:w="714" w:type="dxa"/>
            <w:vAlign w:val="center"/>
          </w:tcPr>
          <w:p w14:paraId="04DF6749">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06597A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61EAC43F">
            <w:pPr>
              <w:pStyle w:val="70"/>
              <w:rPr>
                <w:color w:val="000000" w:themeColor="text1"/>
                <w14:textFill>
                  <w14:solidFill>
                    <w14:schemeClr w14:val="tx1"/>
                  </w14:solidFill>
                </w14:textFill>
              </w:rPr>
            </w:pPr>
          </w:p>
        </w:tc>
        <w:tc>
          <w:tcPr>
            <w:tcW w:w="1701" w:type="dxa"/>
            <w:shd w:val="clear" w:color="auto" w:fill="auto"/>
            <w:vAlign w:val="center"/>
          </w:tcPr>
          <w:p w14:paraId="2C74B87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高锰酸盐指数（以O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计）</w:t>
            </w:r>
          </w:p>
        </w:tc>
        <w:tc>
          <w:tcPr>
            <w:tcW w:w="1370" w:type="dxa"/>
            <w:shd w:val="clear" w:color="auto" w:fill="auto"/>
            <w:vAlign w:val="center"/>
          </w:tcPr>
          <w:p w14:paraId="024781A7">
            <w:pPr>
              <w:pStyle w:val="70"/>
              <w:rPr>
                <w:color w:val="000000" w:themeColor="text1"/>
                <w14:textFill>
                  <w14:solidFill>
                    <w14:schemeClr w14:val="tx1"/>
                  </w14:solidFill>
                </w14:textFill>
              </w:rPr>
            </w:pPr>
          </w:p>
        </w:tc>
        <w:tc>
          <w:tcPr>
            <w:tcW w:w="1370" w:type="dxa"/>
            <w:vAlign w:val="center"/>
          </w:tcPr>
          <w:p w14:paraId="63DA8283">
            <w:pPr>
              <w:pStyle w:val="70"/>
              <w:rPr>
                <w:color w:val="000000" w:themeColor="text1"/>
                <w14:textFill>
                  <w14:solidFill>
                    <w14:schemeClr w14:val="tx1"/>
                  </w14:solidFill>
                </w14:textFill>
              </w:rPr>
            </w:pPr>
          </w:p>
        </w:tc>
        <w:tc>
          <w:tcPr>
            <w:tcW w:w="1371" w:type="dxa"/>
            <w:vAlign w:val="center"/>
          </w:tcPr>
          <w:p w14:paraId="75AA332F">
            <w:pPr>
              <w:pStyle w:val="70"/>
              <w:rPr>
                <w:color w:val="000000" w:themeColor="text1"/>
                <w14:textFill>
                  <w14:solidFill>
                    <w14:schemeClr w14:val="tx1"/>
                  </w14:solidFill>
                </w14:textFill>
              </w:rPr>
            </w:pPr>
          </w:p>
        </w:tc>
        <w:tc>
          <w:tcPr>
            <w:tcW w:w="1134" w:type="dxa"/>
            <w:vAlign w:val="center"/>
          </w:tcPr>
          <w:p w14:paraId="75B874CF">
            <w:pPr>
              <w:pStyle w:val="7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3.0</w:t>
            </w:r>
          </w:p>
        </w:tc>
        <w:tc>
          <w:tcPr>
            <w:tcW w:w="992" w:type="dxa"/>
            <w:vAlign w:val="center"/>
          </w:tcPr>
          <w:p w14:paraId="7F6A5D8C">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0.17~0.60</w:t>
            </w:r>
          </w:p>
        </w:tc>
        <w:tc>
          <w:tcPr>
            <w:tcW w:w="714" w:type="dxa"/>
            <w:vAlign w:val="center"/>
          </w:tcPr>
          <w:p w14:paraId="1F069DB3">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3785FF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5FEC072E">
            <w:pPr>
              <w:pStyle w:val="70"/>
              <w:rPr>
                <w:color w:val="000000" w:themeColor="text1"/>
                <w14:textFill>
                  <w14:solidFill>
                    <w14:schemeClr w14:val="tx1"/>
                  </w14:solidFill>
                </w14:textFill>
              </w:rPr>
            </w:pPr>
          </w:p>
        </w:tc>
        <w:tc>
          <w:tcPr>
            <w:tcW w:w="1701" w:type="dxa"/>
            <w:shd w:val="clear" w:color="auto" w:fill="auto"/>
            <w:vAlign w:val="center"/>
          </w:tcPr>
          <w:p w14:paraId="627ECFB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铬（六价）</w:t>
            </w:r>
          </w:p>
        </w:tc>
        <w:tc>
          <w:tcPr>
            <w:tcW w:w="1370" w:type="dxa"/>
            <w:shd w:val="clear" w:color="auto" w:fill="auto"/>
            <w:vAlign w:val="center"/>
          </w:tcPr>
          <w:p w14:paraId="512DD2D6">
            <w:pPr>
              <w:pStyle w:val="70"/>
              <w:rPr>
                <w:color w:val="000000" w:themeColor="text1"/>
                <w14:textFill>
                  <w14:solidFill>
                    <w14:schemeClr w14:val="tx1"/>
                  </w14:solidFill>
                </w14:textFill>
              </w:rPr>
            </w:pPr>
          </w:p>
        </w:tc>
        <w:tc>
          <w:tcPr>
            <w:tcW w:w="1370" w:type="dxa"/>
            <w:vAlign w:val="center"/>
          </w:tcPr>
          <w:p w14:paraId="0C71B174">
            <w:pPr>
              <w:pStyle w:val="70"/>
              <w:rPr>
                <w:color w:val="000000" w:themeColor="text1"/>
                <w14:textFill>
                  <w14:solidFill>
                    <w14:schemeClr w14:val="tx1"/>
                  </w14:solidFill>
                </w14:textFill>
              </w:rPr>
            </w:pPr>
          </w:p>
        </w:tc>
        <w:tc>
          <w:tcPr>
            <w:tcW w:w="1371" w:type="dxa"/>
            <w:vAlign w:val="center"/>
          </w:tcPr>
          <w:p w14:paraId="650B6013">
            <w:pPr>
              <w:pStyle w:val="70"/>
              <w:rPr>
                <w:color w:val="000000" w:themeColor="text1"/>
                <w14:textFill>
                  <w14:solidFill>
                    <w14:schemeClr w14:val="tx1"/>
                  </w14:solidFill>
                </w14:textFill>
              </w:rPr>
            </w:pPr>
          </w:p>
        </w:tc>
        <w:tc>
          <w:tcPr>
            <w:tcW w:w="1134" w:type="dxa"/>
            <w:vAlign w:val="center"/>
          </w:tcPr>
          <w:p w14:paraId="1AA2569C">
            <w:pPr>
              <w:pStyle w:val="70"/>
              <w:rPr>
                <w:color w:val="000000" w:themeColor="text1"/>
                <w14:textFill>
                  <w14:solidFill>
                    <w14:schemeClr w14:val="tx1"/>
                  </w14:solidFill>
                </w14:textFill>
              </w:rPr>
            </w:pPr>
            <w:r>
              <w:rPr>
                <w:color w:val="000000" w:themeColor="text1"/>
                <w14:textFill>
                  <w14:solidFill>
                    <w14:schemeClr w14:val="tx1"/>
                  </w14:solidFill>
                </w14:textFill>
              </w:rPr>
              <w:t>≤0.05</w:t>
            </w:r>
          </w:p>
        </w:tc>
        <w:tc>
          <w:tcPr>
            <w:tcW w:w="992" w:type="dxa"/>
            <w:vAlign w:val="center"/>
          </w:tcPr>
          <w:p w14:paraId="52A7055C">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14" w:type="dxa"/>
            <w:vAlign w:val="center"/>
          </w:tcPr>
          <w:p w14:paraId="17EDDD60">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7A550B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0812CE3C">
            <w:pPr>
              <w:pStyle w:val="70"/>
              <w:rPr>
                <w:color w:val="000000" w:themeColor="text1"/>
                <w14:textFill>
                  <w14:solidFill>
                    <w14:schemeClr w14:val="tx1"/>
                  </w14:solidFill>
                </w14:textFill>
              </w:rPr>
            </w:pPr>
          </w:p>
        </w:tc>
        <w:tc>
          <w:tcPr>
            <w:tcW w:w="1701" w:type="dxa"/>
            <w:shd w:val="clear" w:color="auto" w:fill="auto"/>
            <w:vAlign w:val="center"/>
          </w:tcPr>
          <w:p w14:paraId="38CDD9D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汞</w:t>
            </w:r>
          </w:p>
        </w:tc>
        <w:tc>
          <w:tcPr>
            <w:tcW w:w="1370" w:type="dxa"/>
            <w:shd w:val="clear" w:color="auto" w:fill="auto"/>
            <w:vAlign w:val="center"/>
          </w:tcPr>
          <w:p w14:paraId="6D850F29">
            <w:pPr>
              <w:pStyle w:val="70"/>
              <w:rPr>
                <w:color w:val="000000" w:themeColor="text1"/>
                <w14:textFill>
                  <w14:solidFill>
                    <w14:schemeClr w14:val="tx1"/>
                  </w14:solidFill>
                </w14:textFill>
              </w:rPr>
            </w:pPr>
          </w:p>
        </w:tc>
        <w:tc>
          <w:tcPr>
            <w:tcW w:w="1370" w:type="dxa"/>
            <w:vAlign w:val="center"/>
          </w:tcPr>
          <w:p w14:paraId="6FAFA2C0">
            <w:pPr>
              <w:pStyle w:val="70"/>
              <w:rPr>
                <w:color w:val="000000" w:themeColor="text1"/>
                <w14:textFill>
                  <w14:solidFill>
                    <w14:schemeClr w14:val="tx1"/>
                  </w14:solidFill>
                </w14:textFill>
              </w:rPr>
            </w:pPr>
          </w:p>
        </w:tc>
        <w:tc>
          <w:tcPr>
            <w:tcW w:w="1371" w:type="dxa"/>
            <w:vAlign w:val="center"/>
          </w:tcPr>
          <w:p w14:paraId="0CF5E793">
            <w:pPr>
              <w:pStyle w:val="70"/>
              <w:rPr>
                <w:color w:val="000000" w:themeColor="text1"/>
                <w14:textFill>
                  <w14:solidFill>
                    <w14:schemeClr w14:val="tx1"/>
                  </w14:solidFill>
                </w14:textFill>
              </w:rPr>
            </w:pPr>
          </w:p>
        </w:tc>
        <w:tc>
          <w:tcPr>
            <w:tcW w:w="1134" w:type="dxa"/>
            <w:vAlign w:val="center"/>
          </w:tcPr>
          <w:p w14:paraId="7FDFFF10">
            <w:pPr>
              <w:pStyle w:val="70"/>
              <w:rPr>
                <w:color w:val="000000" w:themeColor="text1"/>
                <w14:textFill>
                  <w14:solidFill>
                    <w14:schemeClr w14:val="tx1"/>
                  </w14:solidFill>
                </w14:textFill>
              </w:rPr>
            </w:pPr>
            <w:r>
              <w:rPr>
                <w:color w:val="000000" w:themeColor="text1"/>
                <w14:textFill>
                  <w14:solidFill>
                    <w14:schemeClr w14:val="tx1"/>
                  </w14:solidFill>
                </w14:textFill>
              </w:rPr>
              <w:t>≤0.001</w:t>
            </w:r>
          </w:p>
        </w:tc>
        <w:tc>
          <w:tcPr>
            <w:tcW w:w="992" w:type="dxa"/>
            <w:vAlign w:val="center"/>
          </w:tcPr>
          <w:p w14:paraId="0A49EAD5">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14" w:type="dxa"/>
            <w:vAlign w:val="center"/>
          </w:tcPr>
          <w:p w14:paraId="7D2C50AD">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1D2460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6A34DC08">
            <w:pPr>
              <w:pStyle w:val="70"/>
              <w:rPr>
                <w:color w:val="000000" w:themeColor="text1"/>
                <w14:textFill>
                  <w14:solidFill>
                    <w14:schemeClr w14:val="tx1"/>
                  </w14:solidFill>
                </w14:textFill>
              </w:rPr>
            </w:pPr>
          </w:p>
        </w:tc>
        <w:tc>
          <w:tcPr>
            <w:tcW w:w="1701" w:type="dxa"/>
            <w:shd w:val="clear" w:color="auto" w:fill="auto"/>
            <w:vAlign w:val="center"/>
          </w:tcPr>
          <w:p w14:paraId="6C4C9B5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砷</w:t>
            </w:r>
          </w:p>
        </w:tc>
        <w:tc>
          <w:tcPr>
            <w:tcW w:w="1370" w:type="dxa"/>
            <w:shd w:val="clear" w:color="auto" w:fill="auto"/>
            <w:vAlign w:val="center"/>
          </w:tcPr>
          <w:p w14:paraId="4385EB18">
            <w:pPr>
              <w:pStyle w:val="70"/>
              <w:rPr>
                <w:color w:val="000000" w:themeColor="text1"/>
                <w14:textFill>
                  <w14:solidFill>
                    <w14:schemeClr w14:val="tx1"/>
                  </w14:solidFill>
                </w14:textFill>
              </w:rPr>
            </w:pPr>
          </w:p>
        </w:tc>
        <w:tc>
          <w:tcPr>
            <w:tcW w:w="1370" w:type="dxa"/>
            <w:vAlign w:val="center"/>
          </w:tcPr>
          <w:p w14:paraId="66048F9C">
            <w:pPr>
              <w:pStyle w:val="70"/>
              <w:rPr>
                <w:color w:val="000000" w:themeColor="text1"/>
                <w14:textFill>
                  <w14:solidFill>
                    <w14:schemeClr w14:val="tx1"/>
                  </w14:solidFill>
                </w14:textFill>
              </w:rPr>
            </w:pPr>
          </w:p>
        </w:tc>
        <w:tc>
          <w:tcPr>
            <w:tcW w:w="1371" w:type="dxa"/>
            <w:vAlign w:val="center"/>
          </w:tcPr>
          <w:p w14:paraId="0616A803">
            <w:pPr>
              <w:pStyle w:val="70"/>
              <w:rPr>
                <w:color w:val="000000" w:themeColor="text1"/>
                <w14:textFill>
                  <w14:solidFill>
                    <w14:schemeClr w14:val="tx1"/>
                  </w14:solidFill>
                </w14:textFill>
              </w:rPr>
            </w:pPr>
          </w:p>
        </w:tc>
        <w:tc>
          <w:tcPr>
            <w:tcW w:w="1134" w:type="dxa"/>
            <w:vAlign w:val="center"/>
          </w:tcPr>
          <w:p w14:paraId="0006B3A5">
            <w:pPr>
              <w:pStyle w:val="70"/>
              <w:rPr>
                <w:color w:val="000000" w:themeColor="text1"/>
                <w14:textFill>
                  <w14:solidFill>
                    <w14:schemeClr w14:val="tx1"/>
                  </w14:solidFill>
                </w14:textFill>
              </w:rPr>
            </w:pPr>
            <w:r>
              <w:rPr>
                <w:color w:val="000000" w:themeColor="text1"/>
                <w14:textFill>
                  <w14:solidFill>
                    <w14:schemeClr w14:val="tx1"/>
                  </w14:solidFill>
                </w14:textFill>
              </w:rPr>
              <w:t>≤0.01</w:t>
            </w:r>
          </w:p>
        </w:tc>
        <w:tc>
          <w:tcPr>
            <w:tcW w:w="992" w:type="dxa"/>
            <w:vAlign w:val="center"/>
          </w:tcPr>
          <w:p w14:paraId="788F7267">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0.04~0.16</w:t>
            </w:r>
          </w:p>
        </w:tc>
        <w:tc>
          <w:tcPr>
            <w:tcW w:w="714" w:type="dxa"/>
            <w:vAlign w:val="center"/>
          </w:tcPr>
          <w:p w14:paraId="199A38D6">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2CBD83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3AFB42BE">
            <w:pPr>
              <w:pStyle w:val="70"/>
              <w:rPr>
                <w:color w:val="000000" w:themeColor="text1"/>
                <w14:textFill>
                  <w14:solidFill>
                    <w14:schemeClr w14:val="tx1"/>
                  </w14:solidFill>
                </w14:textFill>
              </w:rPr>
            </w:pPr>
          </w:p>
        </w:tc>
        <w:tc>
          <w:tcPr>
            <w:tcW w:w="1701" w:type="dxa"/>
            <w:shd w:val="clear" w:color="auto" w:fill="auto"/>
            <w:vAlign w:val="center"/>
          </w:tcPr>
          <w:p w14:paraId="4AD313C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氰化物</w:t>
            </w:r>
          </w:p>
        </w:tc>
        <w:tc>
          <w:tcPr>
            <w:tcW w:w="1370" w:type="dxa"/>
            <w:shd w:val="clear" w:color="auto" w:fill="auto"/>
            <w:vAlign w:val="center"/>
          </w:tcPr>
          <w:p w14:paraId="6111DF6A">
            <w:pPr>
              <w:pStyle w:val="70"/>
              <w:rPr>
                <w:color w:val="000000" w:themeColor="text1"/>
                <w14:textFill>
                  <w14:solidFill>
                    <w14:schemeClr w14:val="tx1"/>
                  </w14:solidFill>
                </w14:textFill>
              </w:rPr>
            </w:pPr>
          </w:p>
        </w:tc>
        <w:tc>
          <w:tcPr>
            <w:tcW w:w="1370" w:type="dxa"/>
            <w:vAlign w:val="center"/>
          </w:tcPr>
          <w:p w14:paraId="61AB9886">
            <w:pPr>
              <w:pStyle w:val="70"/>
              <w:rPr>
                <w:color w:val="000000" w:themeColor="text1"/>
                <w14:textFill>
                  <w14:solidFill>
                    <w14:schemeClr w14:val="tx1"/>
                  </w14:solidFill>
                </w14:textFill>
              </w:rPr>
            </w:pPr>
          </w:p>
        </w:tc>
        <w:tc>
          <w:tcPr>
            <w:tcW w:w="1371" w:type="dxa"/>
            <w:vAlign w:val="center"/>
          </w:tcPr>
          <w:p w14:paraId="3C05DA66">
            <w:pPr>
              <w:pStyle w:val="70"/>
              <w:rPr>
                <w:color w:val="000000" w:themeColor="text1"/>
                <w14:textFill>
                  <w14:solidFill>
                    <w14:schemeClr w14:val="tx1"/>
                  </w14:solidFill>
                </w14:textFill>
              </w:rPr>
            </w:pPr>
          </w:p>
        </w:tc>
        <w:tc>
          <w:tcPr>
            <w:tcW w:w="1134" w:type="dxa"/>
            <w:vAlign w:val="center"/>
          </w:tcPr>
          <w:p w14:paraId="73D8BF93">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c>
          <w:tcPr>
            <w:tcW w:w="992" w:type="dxa"/>
            <w:vAlign w:val="center"/>
          </w:tcPr>
          <w:p w14:paraId="6AEBD63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14" w:type="dxa"/>
            <w:vAlign w:val="center"/>
          </w:tcPr>
          <w:p w14:paraId="1A2CC04D">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720868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60D6F56A">
            <w:pPr>
              <w:pStyle w:val="70"/>
              <w:rPr>
                <w:color w:val="000000" w:themeColor="text1"/>
                <w14:textFill>
                  <w14:solidFill>
                    <w14:schemeClr w14:val="tx1"/>
                  </w14:solidFill>
                </w14:textFill>
              </w:rPr>
            </w:pPr>
          </w:p>
        </w:tc>
        <w:tc>
          <w:tcPr>
            <w:tcW w:w="1701" w:type="dxa"/>
            <w:shd w:val="clear" w:color="auto" w:fill="auto"/>
            <w:vAlign w:val="center"/>
          </w:tcPr>
          <w:p w14:paraId="47B8CBC2">
            <w:pPr>
              <w:pStyle w:val="70"/>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4</w:t>
            </w:r>
            <w:r>
              <w:rPr>
                <w:color w:val="000000" w:themeColor="text1"/>
                <w:vertAlign w:val="superscript"/>
                <w14:textFill>
                  <w14:solidFill>
                    <w14:schemeClr w14:val="tx1"/>
                  </w14:solidFill>
                </w14:textFill>
              </w:rPr>
              <w:t>2-</w:t>
            </w:r>
          </w:p>
        </w:tc>
        <w:tc>
          <w:tcPr>
            <w:tcW w:w="1370" w:type="dxa"/>
            <w:shd w:val="clear" w:color="auto" w:fill="auto"/>
            <w:vAlign w:val="center"/>
          </w:tcPr>
          <w:p w14:paraId="542617E3">
            <w:pPr>
              <w:pStyle w:val="70"/>
              <w:rPr>
                <w:color w:val="000000" w:themeColor="text1"/>
                <w14:textFill>
                  <w14:solidFill>
                    <w14:schemeClr w14:val="tx1"/>
                  </w14:solidFill>
                </w14:textFill>
              </w:rPr>
            </w:pPr>
          </w:p>
        </w:tc>
        <w:tc>
          <w:tcPr>
            <w:tcW w:w="1370" w:type="dxa"/>
            <w:vAlign w:val="center"/>
          </w:tcPr>
          <w:p w14:paraId="02811959">
            <w:pPr>
              <w:pStyle w:val="70"/>
              <w:rPr>
                <w:color w:val="000000" w:themeColor="text1"/>
                <w14:textFill>
                  <w14:solidFill>
                    <w14:schemeClr w14:val="tx1"/>
                  </w14:solidFill>
                </w14:textFill>
              </w:rPr>
            </w:pPr>
          </w:p>
        </w:tc>
        <w:tc>
          <w:tcPr>
            <w:tcW w:w="1371" w:type="dxa"/>
            <w:vAlign w:val="center"/>
          </w:tcPr>
          <w:p w14:paraId="2E85A4DE">
            <w:pPr>
              <w:pStyle w:val="70"/>
              <w:rPr>
                <w:color w:val="000000" w:themeColor="text1"/>
                <w14:textFill>
                  <w14:solidFill>
                    <w14:schemeClr w14:val="tx1"/>
                  </w14:solidFill>
                </w14:textFill>
              </w:rPr>
            </w:pPr>
          </w:p>
        </w:tc>
        <w:tc>
          <w:tcPr>
            <w:tcW w:w="1134" w:type="dxa"/>
            <w:vAlign w:val="center"/>
          </w:tcPr>
          <w:p w14:paraId="15254700">
            <w:pPr>
              <w:pStyle w:val="7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250</w:t>
            </w:r>
          </w:p>
        </w:tc>
        <w:tc>
          <w:tcPr>
            <w:tcW w:w="992" w:type="dxa"/>
            <w:vAlign w:val="center"/>
          </w:tcPr>
          <w:p w14:paraId="6071AE1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0.07~0.68</w:t>
            </w:r>
          </w:p>
        </w:tc>
        <w:tc>
          <w:tcPr>
            <w:tcW w:w="714" w:type="dxa"/>
            <w:vAlign w:val="center"/>
          </w:tcPr>
          <w:p w14:paraId="79080640">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23979F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77AA3D6C">
            <w:pPr>
              <w:pStyle w:val="70"/>
              <w:rPr>
                <w:color w:val="000000" w:themeColor="text1"/>
                <w14:textFill>
                  <w14:solidFill>
                    <w14:schemeClr w14:val="tx1"/>
                  </w14:solidFill>
                </w14:textFill>
              </w:rPr>
            </w:pPr>
          </w:p>
        </w:tc>
        <w:tc>
          <w:tcPr>
            <w:tcW w:w="1701" w:type="dxa"/>
            <w:vAlign w:val="center"/>
          </w:tcPr>
          <w:p w14:paraId="696A6BAC">
            <w:pPr>
              <w:pStyle w:val="70"/>
              <w:rPr>
                <w:color w:val="000000" w:themeColor="text1"/>
                <w14:textFill>
                  <w14:solidFill>
                    <w14:schemeClr w14:val="tx1"/>
                  </w14:solidFill>
                </w14:textFill>
              </w:rPr>
            </w:pPr>
            <w:r>
              <w:rPr>
                <w:color w:val="000000" w:themeColor="text1"/>
                <w14:textFill>
                  <w14:solidFill>
                    <w14:schemeClr w14:val="tx1"/>
                  </w14:solidFill>
                </w14:textFill>
              </w:rPr>
              <w:t>Cl</w:t>
            </w:r>
            <w:r>
              <w:rPr>
                <w:color w:val="000000" w:themeColor="text1"/>
                <w:vertAlign w:val="superscript"/>
                <w14:textFill>
                  <w14:solidFill>
                    <w14:schemeClr w14:val="tx1"/>
                  </w14:solidFill>
                </w14:textFill>
              </w:rPr>
              <w:t>-</w:t>
            </w:r>
          </w:p>
        </w:tc>
        <w:tc>
          <w:tcPr>
            <w:tcW w:w="1370" w:type="dxa"/>
            <w:shd w:val="clear" w:color="auto" w:fill="auto"/>
            <w:vAlign w:val="center"/>
          </w:tcPr>
          <w:p w14:paraId="7DB37582">
            <w:pPr>
              <w:pStyle w:val="70"/>
              <w:rPr>
                <w:color w:val="000000" w:themeColor="text1"/>
                <w14:textFill>
                  <w14:solidFill>
                    <w14:schemeClr w14:val="tx1"/>
                  </w14:solidFill>
                </w14:textFill>
              </w:rPr>
            </w:pPr>
          </w:p>
        </w:tc>
        <w:tc>
          <w:tcPr>
            <w:tcW w:w="1370" w:type="dxa"/>
            <w:vAlign w:val="center"/>
          </w:tcPr>
          <w:p w14:paraId="0DE24F73">
            <w:pPr>
              <w:pStyle w:val="70"/>
              <w:rPr>
                <w:color w:val="000000" w:themeColor="text1"/>
                <w14:textFill>
                  <w14:solidFill>
                    <w14:schemeClr w14:val="tx1"/>
                  </w14:solidFill>
                </w14:textFill>
              </w:rPr>
            </w:pPr>
          </w:p>
        </w:tc>
        <w:tc>
          <w:tcPr>
            <w:tcW w:w="1371" w:type="dxa"/>
            <w:vAlign w:val="center"/>
          </w:tcPr>
          <w:p w14:paraId="6B9913AA">
            <w:pPr>
              <w:pStyle w:val="70"/>
              <w:rPr>
                <w:color w:val="000000" w:themeColor="text1"/>
                <w14:textFill>
                  <w14:solidFill>
                    <w14:schemeClr w14:val="tx1"/>
                  </w14:solidFill>
                </w14:textFill>
              </w:rPr>
            </w:pPr>
          </w:p>
        </w:tc>
        <w:tc>
          <w:tcPr>
            <w:tcW w:w="1134" w:type="dxa"/>
            <w:vAlign w:val="center"/>
          </w:tcPr>
          <w:p w14:paraId="7D906C15">
            <w:pPr>
              <w:pStyle w:val="7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250</w:t>
            </w:r>
          </w:p>
        </w:tc>
        <w:tc>
          <w:tcPr>
            <w:tcW w:w="992" w:type="dxa"/>
            <w:vAlign w:val="center"/>
          </w:tcPr>
          <w:p w14:paraId="4BDD1AB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0.03~0.39</w:t>
            </w:r>
          </w:p>
        </w:tc>
        <w:tc>
          <w:tcPr>
            <w:tcW w:w="714" w:type="dxa"/>
            <w:vAlign w:val="center"/>
          </w:tcPr>
          <w:p w14:paraId="203E028A">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04BE8E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07CBF182">
            <w:pPr>
              <w:pStyle w:val="70"/>
              <w:rPr>
                <w:color w:val="000000" w:themeColor="text1"/>
                <w14:textFill>
                  <w14:solidFill>
                    <w14:schemeClr w14:val="tx1"/>
                  </w14:solidFill>
                </w14:textFill>
              </w:rPr>
            </w:pPr>
          </w:p>
        </w:tc>
        <w:tc>
          <w:tcPr>
            <w:tcW w:w="1701" w:type="dxa"/>
            <w:shd w:val="clear" w:color="auto" w:fill="auto"/>
            <w:vAlign w:val="center"/>
          </w:tcPr>
          <w:p w14:paraId="1C1F939E">
            <w:pPr>
              <w:pStyle w:val="70"/>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3</w:t>
            </w:r>
            <w:r>
              <w:rPr>
                <w:color w:val="000000" w:themeColor="text1"/>
                <w:vertAlign w:val="superscript"/>
                <w14:textFill>
                  <w14:solidFill>
                    <w14:schemeClr w14:val="tx1"/>
                  </w14:solidFill>
                </w14:textFill>
              </w:rPr>
              <w:t>-</w:t>
            </w:r>
          </w:p>
        </w:tc>
        <w:tc>
          <w:tcPr>
            <w:tcW w:w="1370" w:type="dxa"/>
            <w:shd w:val="clear" w:color="auto" w:fill="auto"/>
            <w:vAlign w:val="center"/>
          </w:tcPr>
          <w:p w14:paraId="703B624C">
            <w:pPr>
              <w:pStyle w:val="70"/>
              <w:rPr>
                <w:color w:val="000000" w:themeColor="text1"/>
                <w14:textFill>
                  <w14:solidFill>
                    <w14:schemeClr w14:val="tx1"/>
                  </w14:solidFill>
                </w14:textFill>
              </w:rPr>
            </w:pPr>
          </w:p>
        </w:tc>
        <w:tc>
          <w:tcPr>
            <w:tcW w:w="1370" w:type="dxa"/>
            <w:vAlign w:val="center"/>
          </w:tcPr>
          <w:p w14:paraId="239A1C36">
            <w:pPr>
              <w:pStyle w:val="70"/>
              <w:rPr>
                <w:color w:val="000000" w:themeColor="text1"/>
                <w14:textFill>
                  <w14:solidFill>
                    <w14:schemeClr w14:val="tx1"/>
                  </w14:solidFill>
                </w14:textFill>
              </w:rPr>
            </w:pPr>
          </w:p>
        </w:tc>
        <w:tc>
          <w:tcPr>
            <w:tcW w:w="1371" w:type="dxa"/>
            <w:vAlign w:val="center"/>
          </w:tcPr>
          <w:p w14:paraId="4C08FAA7">
            <w:pPr>
              <w:pStyle w:val="70"/>
              <w:rPr>
                <w:color w:val="000000" w:themeColor="text1"/>
                <w14:textFill>
                  <w14:solidFill>
                    <w14:schemeClr w14:val="tx1"/>
                  </w14:solidFill>
                </w14:textFill>
              </w:rPr>
            </w:pPr>
          </w:p>
        </w:tc>
        <w:tc>
          <w:tcPr>
            <w:tcW w:w="1134" w:type="dxa"/>
            <w:vAlign w:val="center"/>
          </w:tcPr>
          <w:p w14:paraId="1CE28BBD">
            <w:pPr>
              <w:pStyle w:val="7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20.0</w:t>
            </w:r>
          </w:p>
        </w:tc>
        <w:tc>
          <w:tcPr>
            <w:tcW w:w="992" w:type="dxa"/>
            <w:vAlign w:val="center"/>
          </w:tcPr>
          <w:p w14:paraId="53AB3CB1">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0.01~0.15</w:t>
            </w:r>
          </w:p>
        </w:tc>
        <w:tc>
          <w:tcPr>
            <w:tcW w:w="714" w:type="dxa"/>
            <w:vAlign w:val="center"/>
          </w:tcPr>
          <w:p w14:paraId="79BA858C">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4C6956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143067CA">
            <w:pPr>
              <w:pStyle w:val="70"/>
              <w:rPr>
                <w:color w:val="000000" w:themeColor="text1"/>
                <w14:textFill>
                  <w14:solidFill>
                    <w14:schemeClr w14:val="tx1"/>
                  </w14:solidFill>
                </w14:textFill>
              </w:rPr>
            </w:pPr>
          </w:p>
        </w:tc>
        <w:tc>
          <w:tcPr>
            <w:tcW w:w="1701" w:type="dxa"/>
            <w:shd w:val="clear" w:color="auto" w:fill="auto"/>
            <w:vAlign w:val="center"/>
          </w:tcPr>
          <w:p w14:paraId="2931063B">
            <w:pPr>
              <w:pStyle w:val="70"/>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vertAlign w:val="superscript"/>
                <w14:textFill>
                  <w14:solidFill>
                    <w14:schemeClr w14:val="tx1"/>
                  </w14:solidFill>
                </w14:textFill>
              </w:rPr>
              <w:t>-</w:t>
            </w:r>
          </w:p>
        </w:tc>
        <w:tc>
          <w:tcPr>
            <w:tcW w:w="1370" w:type="dxa"/>
            <w:shd w:val="clear" w:color="auto" w:fill="auto"/>
            <w:vAlign w:val="center"/>
          </w:tcPr>
          <w:p w14:paraId="33E31C26">
            <w:pPr>
              <w:pStyle w:val="70"/>
              <w:rPr>
                <w:color w:val="000000" w:themeColor="text1"/>
                <w14:textFill>
                  <w14:solidFill>
                    <w14:schemeClr w14:val="tx1"/>
                  </w14:solidFill>
                </w14:textFill>
              </w:rPr>
            </w:pPr>
          </w:p>
        </w:tc>
        <w:tc>
          <w:tcPr>
            <w:tcW w:w="1370" w:type="dxa"/>
            <w:vAlign w:val="center"/>
          </w:tcPr>
          <w:p w14:paraId="4CE09F93">
            <w:pPr>
              <w:pStyle w:val="70"/>
              <w:rPr>
                <w:color w:val="000000" w:themeColor="text1"/>
                <w14:textFill>
                  <w14:solidFill>
                    <w14:schemeClr w14:val="tx1"/>
                  </w14:solidFill>
                </w14:textFill>
              </w:rPr>
            </w:pPr>
          </w:p>
        </w:tc>
        <w:tc>
          <w:tcPr>
            <w:tcW w:w="1371" w:type="dxa"/>
            <w:vAlign w:val="center"/>
          </w:tcPr>
          <w:p w14:paraId="7B183F9D">
            <w:pPr>
              <w:pStyle w:val="70"/>
              <w:rPr>
                <w:color w:val="000000" w:themeColor="text1"/>
                <w14:textFill>
                  <w14:solidFill>
                    <w14:schemeClr w14:val="tx1"/>
                  </w14:solidFill>
                </w14:textFill>
              </w:rPr>
            </w:pPr>
          </w:p>
        </w:tc>
        <w:tc>
          <w:tcPr>
            <w:tcW w:w="1134" w:type="dxa"/>
            <w:vAlign w:val="center"/>
          </w:tcPr>
          <w:p w14:paraId="6BBEFAE0">
            <w:pPr>
              <w:pStyle w:val="7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.00</w:t>
            </w:r>
          </w:p>
        </w:tc>
        <w:tc>
          <w:tcPr>
            <w:tcW w:w="992" w:type="dxa"/>
            <w:vAlign w:val="center"/>
          </w:tcPr>
          <w:p w14:paraId="5F109AC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14" w:type="dxa"/>
            <w:vAlign w:val="center"/>
          </w:tcPr>
          <w:p w14:paraId="563373E7">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1025BD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336BEEFD">
            <w:pPr>
              <w:pStyle w:val="70"/>
              <w:rPr>
                <w:color w:val="000000" w:themeColor="text1"/>
                <w14:textFill>
                  <w14:solidFill>
                    <w14:schemeClr w14:val="tx1"/>
                  </w14:solidFill>
                </w14:textFill>
              </w:rPr>
            </w:pPr>
          </w:p>
        </w:tc>
        <w:tc>
          <w:tcPr>
            <w:tcW w:w="1701" w:type="dxa"/>
            <w:shd w:val="clear" w:color="auto" w:fill="auto"/>
            <w:vAlign w:val="center"/>
          </w:tcPr>
          <w:p w14:paraId="799CD142">
            <w:pPr>
              <w:pStyle w:val="70"/>
              <w:rPr>
                <w:color w:val="000000" w:themeColor="text1"/>
                <w14:textFill>
                  <w14:solidFill>
                    <w14:schemeClr w14:val="tx1"/>
                  </w14:solidFill>
                </w14:textFill>
              </w:rPr>
            </w:pPr>
            <w:r>
              <w:rPr>
                <w:color w:val="000000" w:themeColor="text1"/>
                <w14:textFill>
                  <w14:solidFill>
                    <w14:schemeClr w14:val="tx1"/>
                  </w14:solidFill>
                </w14:textFill>
              </w:rPr>
              <w:t>F</w:t>
            </w:r>
            <w:r>
              <w:rPr>
                <w:color w:val="000000" w:themeColor="text1"/>
                <w:vertAlign w:val="superscript"/>
                <w14:textFill>
                  <w14:solidFill>
                    <w14:schemeClr w14:val="tx1"/>
                  </w14:solidFill>
                </w14:textFill>
              </w:rPr>
              <w:t>-</w:t>
            </w:r>
          </w:p>
        </w:tc>
        <w:tc>
          <w:tcPr>
            <w:tcW w:w="1370" w:type="dxa"/>
            <w:shd w:val="clear" w:color="auto" w:fill="auto"/>
            <w:vAlign w:val="center"/>
          </w:tcPr>
          <w:p w14:paraId="2277FA25">
            <w:pPr>
              <w:pStyle w:val="70"/>
              <w:rPr>
                <w:color w:val="000000" w:themeColor="text1"/>
                <w14:textFill>
                  <w14:solidFill>
                    <w14:schemeClr w14:val="tx1"/>
                  </w14:solidFill>
                </w14:textFill>
              </w:rPr>
            </w:pPr>
          </w:p>
        </w:tc>
        <w:tc>
          <w:tcPr>
            <w:tcW w:w="1370" w:type="dxa"/>
            <w:vAlign w:val="center"/>
          </w:tcPr>
          <w:p w14:paraId="3AC5AB31">
            <w:pPr>
              <w:pStyle w:val="70"/>
              <w:rPr>
                <w:color w:val="000000" w:themeColor="text1"/>
                <w14:textFill>
                  <w14:solidFill>
                    <w14:schemeClr w14:val="tx1"/>
                  </w14:solidFill>
                </w14:textFill>
              </w:rPr>
            </w:pPr>
          </w:p>
        </w:tc>
        <w:tc>
          <w:tcPr>
            <w:tcW w:w="1371" w:type="dxa"/>
            <w:vAlign w:val="center"/>
          </w:tcPr>
          <w:p w14:paraId="78A62B94">
            <w:pPr>
              <w:pStyle w:val="70"/>
              <w:rPr>
                <w:color w:val="000000" w:themeColor="text1"/>
                <w14:textFill>
                  <w14:solidFill>
                    <w14:schemeClr w14:val="tx1"/>
                  </w14:solidFill>
                </w14:textFill>
              </w:rPr>
            </w:pPr>
          </w:p>
        </w:tc>
        <w:tc>
          <w:tcPr>
            <w:tcW w:w="1134" w:type="dxa"/>
            <w:vAlign w:val="center"/>
          </w:tcPr>
          <w:p w14:paraId="065D730F">
            <w:pPr>
              <w:pStyle w:val="7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.0</w:t>
            </w:r>
          </w:p>
        </w:tc>
        <w:tc>
          <w:tcPr>
            <w:tcW w:w="992" w:type="dxa"/>
            <w:vAlign w:val="center"/>
          </w:tcPr>
          <w:p w14:paraId="4C9B5FE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0.05~2.13</w:t>
            </w:r>
          </w:p>
        </w:tc>
        <w:tc>
          <w:tcPr>
            <w:tcW w:w="714" w:type="dxa"/>
            <w:vAlign w:val="center"/>
          </w:tcPr>
          <w:p w14:paraId="69140F15">
            <w:pPr>
              <w:pStyle w:val="70"/>
              <w:rPr>
                <w:color w:val="000000" w:themeColor="text1"/>
                <w14:textFill>
                  <w14:solidFill>
                    <w14:schemeClr w14:val="tx1"/>
                  </w14:solidFill>
                </w14:textFill>
              </w:rPr>
            </w:pPr>
            <w:r>
              <w:rPr>
                <w:color w:val="000000" w:themeColor="text1"/>
                <w14:textFill>
                  <w14:solidFill>
                    <w14:schemeClr w14:val="tx1"/>
                  </w14:solidFill>
                </w14:textFill>
              </w:rPr>
              <w:t>否</w:t>
            </w:r>
          </w:p>
        </w:tc>
      </w:tr>
      <w:tr w14:paraId="274F2C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7AB262D4">
            <w:pPr>
              <w:pStyle w:val="70"/>
              <w:rPr>
                <w:color w:val="000000" w:themeColor="text1"/>
                <w14:textFill>
                  <w14:solidFill>
                    <w14:schemeClr w14:val="tx1"/>
                  </w14:solidFill>
                </w14:textFill>
              </w:rPr>
            </w:pPr>
          </w:p>
        </w:tc>
        <w:tc>
          <w:tcPr>
            <w:tcW w:w="1701" w:type="dxa"/>
            <w:shd w:val="clear" w:color="auto" w:fill="auto"/>
            <w:vAlign w:val="center"/>
          </w:tcPr>
          <w:p w14:paraId="3E8BEFE5">
            <w:pPr>
              <w:pStyle w:val="70"/>
              <w:rPr>
                <w:color w:val="000000" w:themeColor="text1"/>
                <w14:textFill>
                  <w14:solidFill>
                    <w14:schemeClr w14:val="tx1"/>
                  </w14:solidFill>
                </w14:textFill>
              </w:rPr>
            </w:pPr>
            <w:r>
              <w:rPr>
                <w:color w:val="000000" w:themeColor="text1"/>
                <w14:textFill>
                  <w14:solidFill>
                    <w14:schemeClr w14:val="tx1"/>
                  </w14:solidFill>
                </w14:textFill>
              </w:rPr>
              <w:t>溶解性总固体</w:t>
            </w:r>
          </w:p>
        </w:tc>
        <w:tc>
          <w:tcPr>
            <w:tcW w:w="1370" w:type="dxa"/>
            <w:shd w:val="clear" w:color="auto" w:fill="auto"/>
            <w:vAlign w:val="center"/>
          </w:tcPr>
          <w:p w14:paraId="0115FD26">
            <w:pPr>
              <w:pStyle w:val="70"/>
              <w:rPr>
                <w:color w:val="000000" w:themeColor="text1"/>
                <w14:textFill>
                  <w14:solidFill>
                    <w14:schemeClr w14:val="tx1"/>
                  </w14:solidFill>
                </w14:textFill>
              </w:rPr>
            </w:pPr>
          </w:p>
        </w:tc>
        <w:tc>
          <w:tcPr>
            <w:tcW w:w="1370" w:type="dxa"/>
            <w:vAlign w:val="center"/>
          </w:tcPr>
          <w:p w14:paraId="14C2EEE0">
            <w:pPr>
              <w:pStyle w:val="70"/>
              <w:rPr>
                <w:color w:val="000000" w:themeColor="text1"/>
                <w14:textFill>
                  <w14:solidFill>
                    <w14:schemeClr w14:val="tx1"/>
                  </w14:solidFill>
                </w14:textFill>
              </w:rPr>
            </w:pPr>
          </w:p>
        </w:tc>
        <w:tc>
          <w:tcPr>
            <w:tcW w:w="1371" w:type="dxa"/>
            <w:vAlign w:val="center"/>
          </w:tcPr>
          <w:p w14:paraId="60DA6F31">
            <w:pPr>
              <w:pStyle w:val="70"/>
              <w:rPr>
                <w:color w:val="000000" w:themeColor="text1"/>
                <w14:textFill>
                  <w14:solidFill>
                    <w14:schemeClr w14:val="tx1"/>
                  </w14:solidFill>
                </w14:textFill>
              </w:rPr>
            </w:pPr>
          </w:p>
        </w:tc>
        <w:tc>
          <w:tcPr>
            <w:tcW w:w="1134" w:type="dxa"/>
            <w:vAlign w:val="center"/>
          </w:tcPr>
          <w:p w14:paraId="7E9BF41E">
            <w:pPr>
              <w:pStyle w:val="7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000</w:t>
            </w:r>
          </w:p>
        </w:tc>
        <w:tc>
          <w:tcPr>
            <w:tcW w:w="992" w:type="dxa"/>
            <w:vAlign w:val="center"/>
          </w:tcPr>
          <w:p w14:paraId="4ED840A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0.18~0.37</w:t>
            </w:r>
          </w:p>
        </w:tc>
        <w:tc>
          <w:tcPr>
            <w:tcW w:w="714" w:type="dxa"/>
            <w:vAlign w:val="center"/>
          </w:tcPr>
          <w:p w14:paraId="5E491321">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5035E0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43F7DDE0">
            <w:pPr>
              <w:pStyle w:val="70"/>
              <w:rPr>
                <w:color w:val="000000" w:themeColor="text1"/>
                <w14:textFill>
                  <w14:solidFill>
                    <w14:schemeClr w14:val="tx1"/>
                  </w14:solidFill>
                </w14:textFill>
              </w:rPr>
            </w:pPr>
          </w:p>
        </w:tc>
        <w:tc>
          <w:tcPr>
            <w:tcW w:w="1701" w:type="dxa"/>
            <w:shd w:val="clear" w:color="auto" w:fill="auto"/>
            <w:vAlign w:val="center"/>
          </w:tcPr>
          <w:p w14:paraId="5A411C2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挥发酚</w:t>
            </w:r>
          </w:p>
        </w:tc>
        <w:tc>
          <w:tcPr>
            <w:tcW w:w="1370" w:type="dxa"/>
            <w:shd w:val="clear" w:color="auto" w:fill="auto"/>
            <w:vAlign w:val="center"/>
          </w:tcPr>
          <w:p w14:paraId="5AA48C1C">
            <w:pPr>
              <w:pStyle w:val="70"/>
              <w:rPr>
                <w:color w:val="000000" w:themeColor="text1"/>
                <w14:textFill>
                  <w14:solidFill>
                    <w14:schemeClr w14:val="tx1"/>
                  </w14:solidFill>
                </w14:textFill>
              </w:rPr>
            </w:pPr>
          </w:p>
        </w:tc>
        <w:tc>
          <w:tcPr>
            <w:tcW w:w="1370" w:type="dxa"/>
            <w:vAlign w:val="center"/>
          </w:tcPr>
          <w:p w14:paraId="72F20D92">
            <w:pPr>
              <w:pStyle w:val="70"/>
              <w:rPr>
                <w:color w:val="000000" w:themeColor="text1"/>
                <w14:textFill>
                  <w14:solidFill>
                    <w14:schemeClr w14:val="tx1"/>
                  </w14:solidFill>
                </w14:textFill>
              </w:rPr>
            </w:pPr>
          </w:p>
        </w:tc>
        <w:tc>
          <w:tcPr>
            <w:tcW w:w="1371" w:type="dxa"/>
            <w:vAlign w:val="center"/>
          </w:tcPr>
          <w:p w14:paraId="5B1A1D34">
            <w:pPr>
              <w:pStyle w:val="70"/>
              <w:rPr>
                <w:color w:val="000000" w:themeColor="text1"/>
                <w14:textFill>
                  <w14:solidFill>
                    <w14:schemeClr w14:val="tx1"/>
                  </w14:solidFill>
                </w14:textFill>
              </w:rPr>
            </w:pPr>
          </w:p>
        </w:tc>
        <w:tc>
          <w:tcPr>
            <w:tcW w:w="1134" w:type="dxa"/>
            <w:vAlign w:val="center"/>
          </w:tcPr>
          <w:p w14:paraId="09EE97CC">
            <w:pPr>
              <w:pStyle w:val="7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0.002</w:t>
            </w:r>
          </w:p>
        </w:tc>
        <w:tc>
          <w:tcPr>
            <w:tcW w:w="992" w:type="dxa"/>
            <w:vAlign w:val="center"/>
          </w:tcPr>
          <w:p w14:paraId="53B2CEC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14" w:type="dxa"/>
            <w:vAlign w:val="center"/>
          </w:tcPr>
          <w:p w14:paraId="5C8B9F06">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bl>
    <w:p w14:paraId="08A774F9">
      <w:pPr>
        <w:widowControl/>
        <w:adjustRightInd w:val="0"/>
        <w:snapToGrid w:val="0"/>
        <w:spacing w:line="0" w:lineRule="atLeast"/>
        <w:ind w:firstLine="0" w:firstLineChars="0"/>
        <w:jc w:val="center"/>
        <w:rPr>
          <w:color w:val="000000" w:themeColor="text1"/>
          <w:sz w:val="21"/>
          <w:szCs w:val="21"/>
          <w:lang w:val="zh-CN"/>
          <w14:textFill>
            <w14:solidFill>
              <w14:schemeClr w14:val="tx1"/>
            </w14:solidFill>
          </w14:textFill>
        </w:rPr>
      </w:pPr>
    </w:p>
    <w:p w14:paraId="78C7F6EC">
      <w:pPr>
        <w:widowControl/>
        <w:adjustRightInd w:val="0"/>
        <w:snapToGrid w:val="0"/>
        <w:spacing w:line="0" w:lineRule="atLeast"/>
        <w:ind w:firstLine="0" w:firstLineChars="0"/>
        <w:jc w:val="center"/>
        <w:rPr>
          <w:color w:val="000000" w:themeColor="text1"/>
          <w:sz w:val="21"/>
          <w:szCs w:val="21"/>
          <w:lang w:val="zh-CN"/>
          <w14:textFill>
            <w14:solidFill>
              <w14:schemeClr w14:val="tx1"/>
            </w14:solidFill>
          </w14:textFill>
        </w:rPr>
      </w:pPr>
    </w:p>
    <w:p w14:paraId="7B1E2E72">
      <w:pPr>
        <w:widowControl/>
        <w:ind w:firstLine="0" w:firstLineChars="0"/>
        <w:jc w:val="left"/>
        <w:rPr>
          <w:b/>
          <w:color w:val="000000" w:themeColor="text1"/>
          <w:sz w:val="21"/>
          <w:szCs w:val="20"/>
          <w14:textFill>
            <w14:solidFill>
              <w14:schemeClr w14:val="tx1"/>
            </w14:solidFill>
          </w14:textFill>
        </w:rPr>
        <w:sectPr>
          <w:headerReference r:id="rId23" w:type="default"/>
          <w:pgSz w:w="11906" w:h="16838"/>
          <w:pgMar w:top="1411" w:right="1411" w:bottom="1411" w:left="1411" w:header="720" w:footer="720" w:gutter="0"/>
          <w:pgBorders>
            <w:top w:val="none" w:sz="0" w:space="0"/>
            <w:left w:val="none" w:sz="0" w:space="0"/>
            <w:bottom w:val="none" w:sz="0" w:space="0"/>
            <w:right w:val="none" w:sz="0" w:space="0"/>
          </w:pgBorders>
          <w:pgNumType w:fmt="numberInDash"/>
          <w:cols w:space="720" w:num="1"/>
        </w:sectPr>
      </w:pPr>
    </w:p>
    <w:p w14:paraId="5A4EB25A">
      <w:pPr>
        <w:pStyle w:val="5"/>
        <w:rPr>
          <w:color w:val="000000" w:themeColor="text1"/>
          <w14:textFill>
            <w14:solidFill>
              <w14:schemeClr w14:val="tx1"/>
            </w14:solidFill>
          </w14:textFill>
        </w:rPr>
      </w:pPr>
      <w:bookmarkStart w:id="594" w:name="_Toc216620549"/>
      <w:bookmarkStart w:id="595" w:name="_Toc26910021"/>
      <w:bookmarkStart w:id="596" w:name="_Toc136878485"/>
      <w:bookmarkStart w:id="597" w:name="_Toc25436976"/>
      <w:bookmarkStart w:id="598" w:name="_Toc135090231"/>
      <w:bookmarkStart w:id="599" w:name="_Toc29131834"/>
      <w:r>
        <w:rPr>
          <w:color w:val="000000" w:themeColor="text1"/>
          <w14:textFill>
            <w14:solidFill>
              <w14:schemeClr w14:val="tx1"/>
            </w14:solidFill>
          </w14:textFill>
        </w:rPr>
        <w:t>声环境质量现状调查与评价</w:t>
      </w:r>
      <w:bookmarkEnd w:id="594"/>
      <w:bookmarkEnd w:id="595"/>
      <w:bookmarkEnd w:id="596"/>
      <w:bookmarkEnd w:id="597"/>
      <w:bookmarkEnd w:id="598"/>
      <w:bookmarkEnd w:id="599"/>
    </w:p>
    <w:p w14:paraId="659EEEA7">
      <w:pPr>
        <w:pStyle w:val="4"/>
        <w:rPr>
          <w:color w:val="000000" w:themeColor="text1"/>
          <w14:textFill>
            <w14:solidFill>
              <w14:schemeClr w14:val="tx1"/>
            </w14:solidFill>
          </w14:textFill>
        </w:rPr>
      </w:pPr>
      <w:bookmarkStart w:id="600" w:name="_Toc136878486"/>
      <w:bookmarkStart w:id="601" w:name="_Toc216620550"/>
      <w:r>
        <w:rPr>
          <w:color w:val="000000" w:themeColor="text1"/>
          <w14:textFill>
            <w14:solidFill>
              <w14:schemeClr w14:val="tx1"/>
            </w14:solidFill>
          </w14:textFill>
        </w:rPr>
        <w:t>监测点布设</w:t>
      </w:r>
      <w:bookmarkEnd w:id="600"/>
      <w:bookmarkEnd w:id="601"/>
    </w:p>
    <w:p w14:paraId="3DD2AA5D">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本次评价在拟建项目厂界设置4个厂界噪声监测点，点位信息见表3.5-1。</w:t>
      </w:r>
    </w:p>
    <w:p w14:paraId="5547D30E">
      <w:pPr>
        <w:pStyle w:val="7"/>
        <w:rPr>
          <w:color w:val="000000" w:themeColor="text1"/>
          <w14:textFill>
            <w14:solidFill>
              <w14:schemeClr w14:val="tx1"/>
            </w14:solidFill>
          </w14:textFill>
        </w:rPr>
      </w:pPr>
      <w:r>
        <w:rPr>
          <w:color w:val="000000" w:themeColor="text1"/>
          <w14:textFill>
            <w14:solidFill>
              <w14:schemeClr w14:val="tx1"/>
            </w14:solidFill>
          </w14:textFill>
        </w:rPr>
        <w:t>声环境监测点布设</w:t>
      </w:r>
    </w:p>
    <w:tbl>
      <w:tblPr>
        <w:tblStyle w:val="43"/>
        <w:tblW w:w="874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71"/>
        <w:gridCol w:w="3608"/>
        <w:gridCol w:w="1874"/>
        <w:gridCol w:w="2187"/>
      </w:tblGrid>
      <w:tr w14:paraId="598499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071" w:type="dxa"/>
            <w:vAlign w:val="center"/>
          </w:tcPr>
          <w:p w14:paraId="3B4C87EE">
            <w:pPr>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编号</w:t>
            </w:r>
          </w:p>
        </w:tc>
        <w:tc>
          <w:tcPr>
            <w:tcW w:w="3608" w:type="dxa"/>
            <w:vAlign w:val="center"/>
          </w:tcPr>
          <w:p w14:paraId="475C8D82">
            <w:pPr>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点位名称</w:t>
            </w:r>
          </w:p>
        </w:tc>
        <w:tc>
          <w:tcPr>
            <w:tcW w:w="1874" w:type="dxa"/>
            <w:vAlign w:val="center"/>
          </w:tcPr>
          <w:p w14:paraId="41F90FED">
            <w:pPr>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点位位置</w:t>
            </w:r>
          </w:p>
        </w:tc>
        <w:tc>
          <w:tcPr>
            <w:tcW w:w="2187" w:type="dxa"/>
            <w:vAlign w:val="center"/>
          </w:tcPr>
          <w:p w14:paraId="101B99F2">
            <w:pPr>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点位性质</w:t>
            </w:r>
          </w:p>
        </w:tc>
      </w:tr>
      <w:tr w14:paraId="5DF018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071" w:type="dxa"/>
            <w:vAlign w:val="center"/>
          </w:tcPr>
          <w:p w14:paraId="484BBF12">
            <w:pPr>
              <w:adjustRightInd w:val="0"/>
              <w:snapToGrid w:val="0"/>
              <w:spacing w:line="240" w:lineRule="auto"/>
              <w:ind w:firstLine="0" w:firstLineChars="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N1</w:t>
            </w:r>
          </w:p>
        </w:tc>
        <w:tc>
          <w:tcPr>
            <w:tcW w:w="3608" w:type="dxa"/>
            <w:vAlign w:val="center"/>
          </w:tcPr>
          <w:p w14:paraId="66622320">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shd w:val="clear" w:color="auto" w:fill="FFFFFF"/>
                <w14:textFill>
                  <w14:solidFill>
                    <w14:schemeClr w14:val="tx1"/>
                  </w14:solidFill>
                </w14:textFill>
              </w:rPr>
              <w:t>厂界东面</w:t>
            </w:r>
          </w:p>
        </w:tc>
        <w:tc>
          <w:tcPr>
            <w:tcW w:w="1874" w:type="dxa"/>
            <w:vAlign w:val="center"/>
          </w:tcPr>
          <w:p w14:paraId="46812859">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shd w:val="clear" w:color="auto" w:fill="FFFFFF"/>
                <w14:textFill>
                  <w14:solidFill>
                    <w14:schemeClr w14:val="tx1"/>
                  </w14:solidFill>
                </w14:textFill>
              </w:rPr>
              <w:t>厂界</w:t>
            </w:r>
          </w:p>
        </w:tc>
        <w:tc>
          <w:tcPr>
            <w:tcW w:w="2187" w:type="dxa"/>
            <w:vAlign w:val="center"/>
          </w:tcPr>
          <w:p w14:paraId="21F737EA">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厂界噪声</w:t>
            </w:r>
          </w:p>
        </w:tc>
      </w:tr>
      <w:tr w14:paraId="11CF92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071" w:type="dxa"/>
            <w:vAlign w:val="center"/>
          </w:tcPr>
          <w:p w14:paraId="37FCF1F1">
            <w:pPr>
              <w:adjustRightInd w:val="0"/>
              <w:snapToGrid w:val="0"/>
              <w:spacing w:line="240" w:lineRule="auto"/>
              <w:ind w:firstLine="0" w:firstLineChars="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N2</w:t>
            </w:r>
          </w:p>
        </w:tc>
        <w:tc>
          <w:tcPr>
            <w:tcW w:w="3608" w:type="dxa"/>
            <w:vAlign w:val="center"/>
          </w:tcPr>
          <w:p w14:paraId="3161EADA">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shd w:val="clear" w:color="auto" w:fill="FFFFFF"/>
                <w14:textFill>
                  <w14:solidFill>
                    <w14:schemeClr w14:val="tx1"/>
                  </w14:solidFill>
                </w14:textFill>
              </w:rPr>
              <w:t>厂界南面</w:t>
            </w:r>
          </w:p>
        </w:tc>
        <w:tc>
          <w:tcPr>
            <w:tcW w:w="1874" w:type="dxa"/>
            <w:vAlign w:val="center"/>
          </w:tcPr>
          <w:p w14:paraId="4326AC44">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shd w:val="clear" w:color="auto" w:fill="FFFFFF"/>
                <w14:textFill>
                  <w14:solidFill>
                    <w14:schemeClr w14:val="tx1"/>
                  </w14:solidFill>
                </w14:textFill>
              </w:rPr>
              <w:t>厂界</w:t>
            </w:r>
          </w:p>
        </w:tc>
        <w:tc>
          <w:tcPr>
            <w:tcW w:w="2187" w:type="dxa"/>
            <w:vAlign w:val="center"/>
          </w:tcPr>
          <w:p w14:paraId="362ADEDE">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厂界噪声</w:t>
            </w:r>
          </w:p>
        </w:tc>
      </w:tr>
      <w:tr w14:paraId="630C31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071" w:type="dxa"/>
            <w:vAlign w:val="center"/>
          </w:tcPr>
          <w:p w14:paraId="372EA4BE">
            <w:pPr>
              <w:adjustRightInd w:val="0"/>
              <w:snapToGrid w:val="0"/>
              <w:spacing w:line="240" w:lineRule="auto"/>
              <w:ind w:firstLine="0" w:firstLineChars="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N3</w:t>
            </w:r>
          </w:p>
        </w:tc>
        <w:tc>
          <w:tcPr>
            <w:tcW w:w="3608" w:type="dxa"/>
            <w:vAlign w:val="center"/>
          </w:tcPr>
          <w:p w14:paraId="727DEBD8">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shd w:val="clear" w:color="auto" w:fill="FFFFFF"/>
                <w14:textFill>
                  <w14:solidFill>
                    <w14:schemeClr w14:val="tx1"/>
                  </w14:solidFill>
                </w14:textFill>
              </w:rPr>
              <w:t>厂界西面</w:t>
            </w:r>
          </w:p>
        </w:tc>
        <w:tc>
          <w:tcPr>
            <w:tcW w:w="1874" w:type="dxa"/>
            <w:vAlign w:val="center"/>
          </w:tcPr>
          <w:p w14:paraId="088100CA">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shd w:val="clear" w:color="auto" w:fill="FFFFFF"/>
                <w14:textFill>
                  <w14:solidFill>
                    <w14:schemeClr w14:val="tx1"/>
                  </w14:solidFill>
                </w14:textFill>
              </w:rPr>
              <w:t>厂界</w:t>
            </w:r>
          </w:p>
        </w:tc>
        <w:tc>
          <w:tcPr>
            <w:tcW w:w="2187" w:type="dxa"/>
            <w:vAlign w:val="center"/>
          </w:tcPr>
          <w:p w14:paraId="5D148E9A">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厂界噪声</w:t>
            </w:r>
          </w:p>
        </w:tc>
      </w:tr>
      <w:tr w14:paraId="0C5429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071" w:type="dxa"/>
            <w:vAlign w:val="center"/>
          </w:tcPr>
          <w:p w14:paraId="55491395">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N4</w:t>
            </w:r>
          </w:p>
        </w:tc>
        <w:tc>
          <w:tcPr>
            <w:tcW w:w="3608" w:type="dxa"/>
            <w:vAlign w:val="center"/>
          </w:tcPr>
          <w:p w14:paraId="08C14548">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shd w:val="clear" w:color="auto" w:fill="FFFFFF"/>
                <w14:textFill>
                  <w14:solidFill>
                    <w14:schemeClr w14:val="tx1"/>
                  </w14:solidFill>
                </w14:textFill>
              </w:rPr>
              <w:t>厂界北面</w:t>
            </w:r>
          </w:p>
        </w:tc>
        <w:tc>
          <w:tcPr>
            <w:tcW w:w="1874" w:type="dxa"/>
            <w:vAlign w:val="center"/>
          </w:tcPr>
          <w:p w14:paraId="6D8EC311">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shd w:val="clear" w:color="auto" w:fill="FFFFFF"/>
                <w14:textFill>
                  <w14:solidFill>
                    <w14:schemeClr w14:val="tx1"/>
                  </w14:solidFill>
                </w14:textFill>
              </w:rPr>
              <w:t>厂界</w:t>
            </w:r>
          </w:p>
        </w:tc>
        <w:tc>
          <w:tcPr>
            <w:tcW w:w="2187" w:type="dxa"/>
            <w:vAlign w:val="center"/>
          </w:tcPr>
          <w:p w14:paraId="45AC2477">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厂界噪声</w:t>
            </w:r>
          </w:p>
        </w:tc>
      </w:tr>
    </w:tbl>
    <w:p w14:paraId="28256183">
      <w:pPr>
        <w:pStyle w:val="4"/>
        <w:rPr>
          <w:color w:val="000000" w:themeColor="text1"/>
          <w14:textFill>
            <w14:solidFill>
              <w14:schemeClr w14:val="tx1"/>
            </w14:solidFill>
          </w14:textFill>
        </w:rPr>
      </w:pPr>
      <w:bookmarkStart w:id="602" w:name="_Toc216620551"/>
      <w:bookmarkStart w:id="603" w:name="_Toc136878487"/>
      <w:r>
        <w:rPr>
          <w:color w:val="000000" w:themeColor="text1"/>
          <w14:textFill>
            <w14:solidFill>
              <w14:schemeClr w14:val="tx1"/>
            </w14:solidFill>
          </w14:textFill>
        </w:rPr>
        <w:t>监测因子与监测方法</w:t>
      </w:r>
      <w:bookmarkEnd w:id="602"/>
      <w:bookmarkEnd w:id="603"/>
    </w:p>
    <w:p w14:paraId="40C5FA53">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监测因子：等效连续A声级。</w:t>
      </w:r>
    </w:p>
    <w:p w14:paraId="0B01B27F">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监测方法：按照</w:t>
      </w:r>
      <w:r>
        <w:rPr>
          <w:color w:val="000000" w:themeColor="text1"/>
          <w:u w:val="none"/>
          <w14:textFill>
            <w14:solidFill>
              <w14:schemeClr w14:val="tx1"/>
            </w14:solidFill>
          </w14:textFill>
        </w:rPr>
        <w:t>《</w:t>
      </w:r>
      <w:r>
        <w:rPr>
          <w:rFonts w:hint="eastAsia"/>
          <w:color w:val="000000" w:themeColor="text1"/>
          <w:u w:val="none"/>
          <w:lang w:val="en-US" w:eastAsia="zh-CN"/>
          <w14:textFill>
            <w14:solidFill>
              <w14:schemeClr w14:val="tx1"/>
            </w14:solidFill>
          </w14:textFill>
        </w:rPr>
        <w:t>声环境质量</w:t>
      </w:r>
      <w:r>
        <w:rPr>
          <w:color w:val="000000" w:themeColor="text1"/>
          <w:u w:val="none"/>
          <w14:textFill>
            <w14:solidFill>
              <w14:schemeClr w14:val="tx1"/>
            </w14:solidFill>
          </w14:textFill>
        </w:rPr>
        <w:t>标准》（GB</w:t>
      </w:r>
      <w:r>
        <w:rPr>
          <w:rFonts w:hint="eastAsia"/>
          <w:color w:val="000000" w:themeColor="text1"/>
          <w:u w:val="none"/>
          <w:lang w:val="en-US" w:eastAsia="zh-CN"/>
          <w14:textFill>
            <w14:solidFill>
              <w14:schemeClr w14:val="tx1"/>
            </w14:solidFill>
          </w14:textFill>
        </w:rPr>
        <w:t>/T15190</w:t>
      </w:r>
      <w:r>
        <w:rPr>
          <w:color w:val="000000" w:themeColor="text1"/>
          <w:u w:val="none"/>
          <w14:textFill>
            <w14:solidFill>
              <w14:schemeClr w14:val="tx1"/>
            </w14:solidFill>
          </w14:textFill>
        </w:rPr>
        <w:t>-20</w:t>
      </w:r>
      <w:r>
        <w:rPr>
          <w:rFonts w:hint="eastAsia"/>
          <w:color w:val="000000" w:themeColor="text1"/>
          <w:u w:val="none"/>
          <w:lang w:val="en-US" w:eastAsia="zh-CN"/>
          <w14:textFill>
            <w14:solidFill>
              <w14:schemeClr w14:val="tx1"/>
            </w14:solidFill>
          </w14:textFill>
        </w:rPr>
        <w:t>14</w:t>
      </w:r>
      <w:r>
        <w:rPr>
          <w:color w:val="000000" w:themeColor="text1"/>
          <w:u w:val="none"/>
          <w14:textFill>
            <w14:solidFill>
              <w14:schemeClr w14:val="tx1"/>
            </w14:solidFill>
          </w14:textFill>
        </w:rPr>
        <w:t>）</w:t>
      </w:r>
      <w:r>
        <w:rPr>
          <w:color w:val="000000" w:themeColor="text1"/>
          <w:kern w:val="0"/>
          <w:szCs w:val="22"/>
          <w14:textFill>
            <w14:solidFill>
              <w14:schemeClr w14:val="tx1"/>
            </w14:solidFill>
          </w14:textFill>
        </w:rPr>
        <w:t>进行。</w:t>
      </w:r>
    </w:p>
    <w:p w14:paraId="23FACBF3">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监测环境及条件：监测时无雨、无雷电、风速小于5m/s，以避开突发噪声源。</w:t>
      </w:r>
    </w:p>
    <w:p w14:paraId="3B6F231B">
      <w:pPr>
        <w:pStyle w:val="4"/>
        <w:rPr>
          <w:color w:val="000000" w:themeColor="text1"/>
          <w14:textFill>
            <w14:solidFill>
              <w14:schemeClr w14:val="tx1"/>
            </w14:solidFill>
          </w14:textFill>
        </w:rPr>
      </w:pPr>
      <w:bookmarkStart w:id="604" w:name="_Toc136878488"/>
      <w:bookmarkStart w:id="605" w:name="_Toc216620552"/>
      <w:r>
        <w:rPr>
          <w:color w:val="000000" w:themeColor="text1"/>
          <w14:textFill>
            <w14:solidFill>
              <w14:schemeClr w14:val="tx1"/>
            </w14:solidFill>
          </w14:textFill>
        </w:rPr>
        <w:t>监测时间和监测频次</w:t>
      </w:r>
      <w:bookmarkEnd w:id="604"/>
      <w:bookmarkEnd w:id="605"/>
    </w:p>
    <w:p w14:paraId="1DF5270E">
      <w:pPr>
        <w:ind w:firstLine="480"/>
        <w:rPr>
          <w:color w:val="000000" w:themeColor="text1"/>
          <w:kern w:val="0"/>
          <w:szCs w:val="22"/>
          <w14:textFill>
            <w14:solidFill>
              <w14:schemeClr w14:val="tx1"/>
            </w14:solidFill>
          </w14:textFill>
        </w:rPr>
      </w:pPr>
      <w:bookmarkStart w:id="606" w:name="_Toc136878489"/>
      <w:r>
        <w:rPr>
          <w:rFonts w:hint="eastAsia"/>
          <w:color w:val="000000" w:themeColor="text1"/>
          <w:kern w:val="0"/>
          <w:szCs w:val="22"/>
          <w14:textFill>
            <w14:solidFill>
              <w14:schemeClr w14:val="tx1"/>
            </w14:solidFill>
          </w14:textFill>
        </w:rPr>
        <w:t>监测时间为2025年1</w:t>
      </w:r>
      <w:r>
        <w:rPr>
          <w:rFonts w:hint="eastAsia"/>
          <w:color w:val="000000" w:themeColor="text1"/>
          <w:kern w:val="0"/>
          <w:szCs w:val="22"/>
          <w:lang w:val="en-US" w:eastAsia="zh-CN"/>
          <w14:textFill>
            <w14:solidFill>
              <w14:schemeClr w14:val="tx1"/>
            </w14:solidFill>
          </w14:textFill>
        </w:rPr>
        <w:t>0</w:t>
      </w:r>
      <w:r>
        <w:rPr>
          <w:rFonts w:hint="eastAsia"/>
          <w:color w:val="000000" w:themeColor="text1"/>
          <w:kern w:val="0"/>
          <w:szCs w:val="22"/>
          <w14:textFill>
            <w14:solidFill>
              <w14:schemeClr w14:val="tx1"/>
            </w14:solidFill>
          </w14:textFill>
        </w:rPr>
        <w:t>月</w:t>
      </w:r>
      <w:r>
        <w:rPr>
          <w:rFonts w:hint="eastAsia"/>
          <w:color w:val="000000" w:themeColor="text1"/>
          <w:kern w:val="0"/>
          <w:szCs w:val="22"/>
          <w:lang w:val="en-US" w:eastAsia="zh-CN"/>
          <w14:textFill>
            <w14:solidFill>
              <w14:schemeClr w14:val="tx1"/>
            </w14:solidFill>
          </w14:textFill>
        </w:rPr>
        <w:t>15</w:t>
      </w:r>
      <w:r>
        <w:rPr>
          <w:rFonts w:hint="eastAsia"/>
          <w:color w:val="000000" w:themeColor="text1"/>
          <w:kern w:val="0"/>
          <w:szCs w:val="22"/>
          <w14:textFill>
            <w14:solidFill>
              <w14:schemeClr w14:val="tx1"/>
            </w14:solidFill>
          </w14:textFill>
        </w:rPr>
        <w:t>日~</w:t>
      </w:r>
      <w:r>
        <w:rPr>
          <w:rFonts w:hint="eastAsia"/>
          <w:color w:val="000000" w:themeColor="text1"/>
          <w:kern w:val="0"/>
          <w:szCs w:val="22"/>
          <w:lang w:val="en-US" w:eastAsia="zh-CN"/>
          <w14:textFill>
            <w14:solidFill>
              <w14:schemeClr w14:val="tx1"/>
            </w14:solidFill>
          </w14:textFill>
        </w:rPr>
        <w:t>16</w:t>
      </w:r>
      <w:r>
        <w:rPr>
          <w:rFonts w:hint="eastAsia"/>
          <w:color w:val="000000" w:themeColor="text1"/>
          <w:kern w:val="0"/>
          <w:szCs w:val="22"/>
          <w14:textFill>
            <w14:solidFill>
              <w14:schemeClr w14:val="tx1"/>
            </w14:solidFill>
          </w14:textFill>
        </w:rPr>
        <w:t>日，</w:t>
      </w:r>
      <w:r>
        <w:rPr>
          <w:color w:val="000000" w:themeColor="text1"/>
          <w:kern w:val="0"/>
          <w:szCs w:val="22"/>
          <w14:textFill>
            <w14:solidFill>
              <w14:schemeClr w14:val="tx1"/>
            </w14:solidFill>
          </w14:textFill>
        </w:rPr>
        <w:t>连续监测2天，每天昼间（6:00-22:00）和夜间（22:00-6:00）各1次。</w:t>
      </w:r>
    </w:p>
    <w:p w14:paraId="766A4837">
      <w:pPr>
        <w:pStyle w:val="4"/>
        <w:rPr>
          <w:color w:val="000000" w:themeColor="text1"/>
          <w14:textFill>
            <w14:solidFill>
              <w14:schemeClr w14:val="tx1"/>
            </w14:solidFill>
          </w14:textFill>
        </w:rPr>
      </w:pPr>
      <w:bookmarkStart w:id="607" w:name="_Toc216620553"/>
      <w:r>
        <w:rPr>
          <w:color w:val="000000" w:themeColor="text1"/>
          <w14:textFill>
            <w14:solidFill>
              <w14:schemeClr w14:val="tx1"/>
            </w14:solidFill>
          </w14:textFill>
        </w:rPr>
        <w:t>评价标准</w:t>
      </w:r>
      <w:bookmarkEnd w:id="606"/>
      <w:bookmarkEnd w:id="607"/>
    </w:p>
    <w:p w14:paraId="2B241945">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本项目位于工业区内，根据</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钦州市中心城区声环境功能区划</w:t>
      </w:r>
      <w:r>
        <w:rPr>
          <w:color w:val="000000" w:themeColor="text1"/>
          <w14:textFill>
            <w14:solidFill>
              <w14:schemeClr w14:val="tx1"/>
            </w14:solidFill>
          </w14:textFill>
        </w:rPr>
        <w:t>》</w:t>
      </w:r>
      <w:r>
        <w:rPr>
          <w:color w:val="000000" w:themeColor="text1"/>
          <w:kern w:val="0"/>
          <w:szCs w:val="22"/>
          <w14:textFill>
            <w14:solidFill>
              <w14:schemeClr w14:val="tx1"/>
            </w14:solidFill>
          </w14:textFill>
        </w:rPr>
        <w:t>划分为3类声功能区，执行</w:t>
      </w:r>
      <w:r>
        <w:rPr>
          <w:color w:val="000000" w:themeColor="text1"/>
          <w:u w:val="none"/>
          <w14:textFill>
            <w14:solidFill>
              <w14:schemeClr w14:val="tx1"/>
            </w14:solidFill>
          </w14:textFill>
        </w:rPr>
        <w:t>《</w:t>
      </w:r>
      <w:r>
        <w:rPr>
          <w:rFonts w:hint="eastAsia"/>
          <w:color w:val="000000" w:themeColor="text1"/>
          <w:u w:val="none"/>
          <w:lang w:val="en-US" w:eastAsia="zh-CN"/>
          <w14:textFill>
            <w14:solidFill>
              <w14:schemeClr w14:val="tx1"/>
            </w14:solidFill>
          </w14:textFill>
        </w:rPr>
        <w:t>声环境质量</w:t>
      </w:r>
      <w:r>
        <w:rPr>
          <w:color w:val="000000" w:themeColor="text1"/>
          <w:u w:val="none"/>
          <w14:textFill>
            <w14:solidFill>
              <w14:schemeClr w14:val="tx1"/>
            </w14:solidFill>
          </w14:textFill>
        </w:rPr>
        <w:t>标准》（GB</w:t>
      </w:r>
      <w:r>
        <w:rPr>
          <w:rFonts w:hint="eastAsia"/>
          <w:color w:val="000000" w:themeColor="text1"/>
          <w:u w:val="none"/>
          <w:lang w:val="en-US" w:eastAsia="zh-CN"/>
          <w14:textFill>
            <w14:solidFill>
              <w14:schemeClr w14:val="tx1"/>
            </w14:solidFill>
          </w14:textFill>
        </w:rPr>
        <w:t>/T15190</w:t>
      </w:r>
      <w:r>
        <w:rPr>
          <w:color w:val="000000" w:themeColor="text1"/>
          <w:u w:val="none"/>
          <w14:textFill>
            <w14:solidFill>
              <w14:schemeClr w14:val="tx1"/>
            </w14:solidFill>
          </w14:textFill>
        </w:rPr>
        <w:t>-20</w:t>
      </w:r>
      <w:r>
        <w:rPr>
          <w:rFonts w:hint="eastAsia"/>
          <w:color w:val="000000" w:themeColor="text1"/>
          <w:u w:val="none"/>
          <w:lang w:val="en-US" w:eastAsia="zh-CN"/>
          <w14:textFill>
            <w14:solidFill>
              <w14:schemeClr w14:val="tx1"/>
            </w14:solidFill>
          </w14:textFill>
        </w:rPr>
        <w:t>14</w:t>
      </w:r>
      <w:r>
        <w:rPr>
          <w:color w:val="000000" w:themeColor="text1"/>
          <w:u w:val="none"/>
          <w14:textFill>
            <w14:solidFill>
              <w14:schemeClr w14:val="tx1"/>
            </w14:solidFill>
          </w14:textFill>
        </w:rPr>
        <w:t>）</w:t>
      </w:r>
      <w:r>
        <w:rPr>
          <w:color w:val="000000" w:themeColor="text1"/>
          <w:kern w:val="0"/>
          <w:szCs w:val="22"/>
          <w14:textFill>
            <w14:solidFill>
              <w14:schemeClr w14:val="tx1"/>
            </w14:solidFill>
          </w14:textFill>
        </w:rPr>
        <w:t>3类标准（昼间65 dB(A)，夜间55 dB(A)）。</w:t>
      </w:r>
    </w:p>
    <w:p w14:paraId="450BDBC8">
      <w:pPr>
        <w:pStyle w:val="4"/>
        <w:rPr>
          <w:color w:val="000000" w:themeColor="text1"/>
          <w14:textFill>
            <w14:solidFill>
              <w14:schemeClr w14:val="tx1"/>
            </w14:solidFill>
          </w14:textFill>
        </w:rPr>
      </w:pPr>
      <w:bookmarkStart w:id="608" w:name="_Toc136878490"/>
      <w:bookmarkStart w:id="609" w:name="_Toc216620554"/>
      <w:r>
        <w:rPr>
          <w:color w:val="000000" w:themeColor="text1"/>
          <w14:textFill>
            <w14:solidFill>
              <w14:schemeClr w14:val="tx1"/>
            </w14:solidFill>
          </w14:textFill>
        </w:rPr>
        <w:t>监测结果及评价</w:t>
      </w:r>
      <w:bookmarkEnd w:id="608"/>
      <w:bookmarkEnd w:id="609"/>
    </w:p>
    <w:p w14:paraId="6A6FF725">
      <w:pPr>
        <w:ind w:firstLine="480" w:firstLineChars="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噪声监测与评价结果见表3.5-2。</w:t>
      </w:r>
    </w:p>
    <w:p w14:paraId="7BC21483">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由表3.5-2可知，本项目厂界噪声监测点的昼间、夜间监测值均达到</w:t>
      </w:r>
      <w:r>
        <w:rPr>
          <w:color w:val="000000" w:themeColor="text1"/>
          <w:u w:val="none"/>
          <w14:textFill>
            <w14:solidFill>
              <w14:schemeClr w14:val="tx1"/>
            </w14:solidFill>
          </w14:textFill>
        </w:rPr>
        <w:t>《</w:t>
      </w:r>
      <w:r>
        <w:rPr>
          <w:rFonts w:hint="eastAsia"/>
          <w:color w:val="000000" w:themeColor="text1"/>
          <w:u w:val="none"/>
          <w:lang w:val="en-US" w:eastAsia="zh-CN"/>
          <w14:textFill>
            <w14:solidFill>
              <w14:schemeClr w14:val="tx1"/>
            </w14:solidFill>
          </w14:textFill>
        </w:rPr>
        <w:t>声环境质量</w:t>
      </w:r>
      <w:r>
        <w:rPr>
          <w:color w:val="000000" w:themeColor="text1"/>
          <w:u w:val="none"/>
          <w14:textFill>
            <w14:solidFill>
              <w14:schemeClr w14:val="tx1"/>
            </w14:solidFill>
          </w14:textFill>
        </w:rPr>
        <w:t>标准》（GB</w:t>
      </w:r>
      <w:r>
        <w:rPr>
          <w:rFonts w:hint="eastAsia"/>
          <w:color w:val="000000" w:themeColor="text1"/>
          <w:u w:val="none"/>
          <w:lang w:val="en-US" w:eastAsia="zh-CN"/>
          <w14:textFill>
            <w14:solidFill>
              <w14:schemeClr w14:val="tx1"/>
            </w14:solidFill>
          </w14:textFill>
        </w:rPr>
        <w:t>/T15190</w:t>
      </w:r>
      <w:r>
        <w:rPr>
          <w:color w:val="000000" w:themeColor="text1"/>
          <w:u w:val="none"/>
          <w14:textFill>
            <w14:solidFill>
              <w14:schemeClr w14:val="tx1"/>
            </w14:solidFill>
          </w14:textFill>
        </w:rPr>
        <w:t>-20</w:t>
      </w:r>
      <w:r>
        <w:rPr>
          <w:rFonts w:hint="eastAsia"/>
          <w:color w:val="000000" w:themeColor="text1"/>
          <w:u w:val="none"/>
          <w:lang w:val="en-US" w:eastAsia="zh-CN"/>
          <w14:textFill>
            <w14:solidFill>
              <w14:schemeClr w14:val="tx1"/>
            </w14:solidFill>
          </w14:textFill>
        </w:rPr>
        <w:t>14</w:t>
      </w:r>
      <w:r>
        <w:rPr>
          <w:color w:val="000000" w:themeColor="text1"/>
          <w:u w:val="none"/>
          <w14:textFill>
            <w14:solidFill>
              <w14:schemeClr w14:val="tx1"/>
            </w14:solidFill>
          </w14:textFill>
        </w:rPr>
        <w:t>）</w:t>
      </w:r>
      <w:r>
        <w:rPr>
          <w:color w:val="000000" w:themeColor="text1"/>
          <w:kern w:val="0"/>
          <w:szCs w:val="22"/>
          <w14:textFill>
            <w14:solidFill>
              <w14:schemeClr w14:val="tx1"/>
            </w14:solidFill>
          </w14:textFill>
        </w:rPr>
        <w:t>中3类标准，无超标现象。</w:t>
      </w:r>
    </w:p>
    <w:p w14:paraId="36CFB52F">
      <w:pPr>
        <w:pStyle w:val="41"/>
        <w:ind w:firstLine="240"/>
        <w:rPr>
          <w:color w:val="000000" w:themeColor="text1"/>
          <w14:textFill>
            <w14:solidFill>
              <w14:schemeClr w14:val="tx1"/>
            </w14:solidFill>
          </w14:textFill>
        </w:rPr>
      </w:pPr>
    </w:p>
    <w:p w14:paraId="7242329C">
      <w:pPr>
        <w:pStyle w:val="42"/>
        <w:ind w:left="480" w:firstLine="480"/>
        <w:rPr>
          <w:color w:val="000000" w:themeColor="text1"/>
          <w14:textFill>
            <w14:solidFill>
              <w14:schemeClr w14:val="tx1"/>
            </w14:solidFill>
          </w14:textFill>
        </w:rPr>
      </w:pPr>
    </w:p>
    <w:p w14:paraId="11817C12">
      <w:pPr>
        <w:ind w:firstLine="480"/>
        <w:rPr>
          <w:color w:val="000000" w:themeColor="text1"/>
          <w14:textFill>
            <w14:solidFill>
              <w14:schemeClr w14:val="tx1"/>
            </w14:solidFill>
          </w14:textFill>
        </w:rPr>
      </w:pPr>
    </w:p>
    <w:p w14:paraId="623D24EE">
      <w:pPr>
        <w:pStyle w:val="7"/>
        <w:rPr>
          <w:color w:val="000000" w:themeColor="text1"/>
          <w14:textFill>
            <w14:solidFill>
              <w14:schemeClr w14:val="tx1"/>
            </w14:solidFill>
          </w14:textFill>
        </w:rPr>
      </w:pPr>
      <w:r>
        <w:rPr>
          <w:color w:val="000000" w:themeColor="text1"/>
          <w14:textFill>
            <w14:solidFill>
              <w14:schemeClr w14:val="tx1"/>
            </w14:solidFill>
          </w14:textFill>
        </w:rPr>
        <w:t>噪声监测结果及评价（单位：dB(A)）</w:t>
      </w:r>
    </w:p>
    <w:tbl>
      <w:tblPr>
        <w:tblStyle w:val="72"/>
        <w:tblW w:w="5012"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515"/>
        <w:gridCol w:w="1018"/>
        <w:gridCol w:w="506"/>
        <w:gridCol w:w="508"/>
        <w:gridCol w:w="637"/>
        <w:gridCol w:w="889"/>
        <w:gridCol w:w="506"/>
        <w:gridCol w:w="766"/>
        <w:gridCol w:w="506"/>
        <w:gridCol w:w="891"/>
        <w:gridCol w:w="759"/>
        <w:gridCol w:w="855"/>
      </w:tblGrid>
      <w:tr w14:paraId="2475CE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 w:hRule="atLeast"/>
        </w:trPr>
        <w:tc>
          <w:tcPr>
            <w:tcW w:w="308" w:type="pct"/>
            <w:vMerge w:val="restart"/>
            <w:tcBorders>
              <w:top w:val="single" w:color="000000" w:sz="12" w:space="0"/>
              <w:left w:val="single" w:color="000000" w:sz="12" w:space="0"/>
              <w:bottom w:val="single" w:color="000000" w:sz="4" w:space="0"/>
            </w:tcBorders>
          </w:tcPr>
          <w:p w14:paraId="0DE37203">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zh-CN"/>
                <w14:textFill>
                  <w14:solidFill>
                    <w14:schemeClr w14:val="tx1"/>
                  </w14:solidFill>
                </w14:textFill>
              </w:rPr>
            </w:pPr>
            <w:bookmarkStart w:id="610" w:name="_Toc135090232"/>
            <w:bookmarkStart w:id="611" w:name="_Toc136878491"/>
            <w:bookmarkStart w:id="612" w:name="_Toc25436977"/>
            <w:bookmarkStart w:id="613" w:name="_Toc29131835"/>
            <w:bookmarkStart w:id="614" w:name="_Toc26910022"/>
          </w:p>
          <w:p w14:paraId="009D4BB9">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编号</w:t>
            </w:r>
          </w:p>
        </w:tc>
        <w:tc>
          <w:tcPr>
            <w:tcW w:w="609" w:type="pct"/>
            <w:vMerge w:val="restart"/>
            <w:tcBorders>
              <w:top w:val="single" w:color="000000" w:sz="12" w:space="0"/>
              <w:bottom w:val="single" w:color="000000" w:sz="4" w:space="0"/>
            </w:tcBorders>
          </w:tcPr>
          <w:p w14:paraId="2B346071">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p>
          <w:p w14:paraId="2C1FA9A4">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监测点位</w:t>
            </w:r>
          </w:p>
        </w:tc>
        <w:tc>
          <w:tcPr>
            <w:tcW w:w="607" w:type="pct"/>
            <w:gridSpan w:val="2"/>
            <w:vMerge w:val="restart"/>
            <w:tcBorders>
              <w:top w:val="single" w:color="000000" w:sz="12" w:space="0"/>
              <w:bottom w:val="single" w:color="000000" w:sz="4" w:space="0"/>
            </w:tcBorders>
          </w:tcPr>
          <w:p w14:paraId="2E93E087">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标准</w:t>
            </w:r>
          </w:p>
        </w:tc>
        <w:tc>
          <w:tcPr>
            <w:tcW w:w="3475" w:type="pct"/>
            <w:gridSpan w:val="8"/>
            <w:tcBorders>
              <w:top w:val="single" w:color="000000" w:sz="12" w:space="0"/>
              <w:bottom w:val="single" w:color="000000" w:sz="4" w:space="0"/>
              <w:right w:val="single" w:color="000000" w:sz="12" w:space="0"/>
            </w:tcBorders>
          </w:tcPr>
          <w:p w14:paraId="48E73B32">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监测时间</w:t>
            </w:r>
          </w:p>
        </w:tc>
      </w:tr>
      <w:tr w14:paraId="08438E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4" w:hRule="atLeast"/>
        </w:trPr>
        <w:tc>
          <w:tcPr>
            <w:tcW w:w="308" w:type="pct"/>
            <w:vMerge w:val="continue"/>
            <w:tcBorders>
              <w:top w:val="single" w:color="000000" w:sz="4" w:space="0"/>
              <w:left w:val="single" w:color="000000" w:sz="12" w:space="0"/>
              <w:bottom w:val="single" w:color="000000" w:sz="4" w:space="0"/>
            </w:tcBorders>
          </w:tcPr>
          <w:p w14:paraId="5137B2CA">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p>
        </w:tc>
        <w:tc>
          <w:tcPr>
            <w:tcW w:w="609" w:type="pct"/>
            <w:vMerge w:val="continue"/>
            <w:tcBorders>
              <w:top w:val="single" w:color="000000" w:sz="4" w:space="0"/>
              <w:bottom w:val="single" w:color="000000" w:sz="4" w:space="0"/>
            </w:tcBorders>
          </w:tcPr>
          <w:p w14:paraId="68949992">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p>
        </w:tc>
        <w:tc>
          <w:tcPr>
            <w:tcW w:w="607" w:type="pct"/>
            <w:gridSpan w:val="2"/>
            <w:vMerge w:val="continue"/>
            <w:tcBorders>
              <w:top w:val="single" w:color="000000" w:sz="4" w:space="0"/>
              <w:bottom w:val="single" w:color="000000" w:sz="4" w:space="0"/>
            </w:tcBorders>
          </w:tcPr>
          <w:p w14:paraId="5307D197">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p>
        </w:tc>
        <w:tc>
          <w:tcPr>
            <w:tcW w:w="1674" w:type="pct"/>
            <w:gridSpan w:val="4"/>
            <w:tcBorders>
              <w:top w:val="single" w:color="000000" w:sz="4" w:space="0"/>
              <w:bottom w:val="single" w:color="000000" w:sz="4" w:space="0"/>
            </w:tcBorders>
          </w:tcPr>
          <w:p w14:paraId="24102BB7">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202</w:t>
            </w:r>
            <w:r>
              <w:rPr>
                <w:rFonts w:hint="eastAsia" w:asciiTheme="minorHAnsi" w:hAnsiTheme="minorHAnsi" w:eastAsiaTheme="minorEastAsia" w:cstheme="minorBidi"/>
                <w:b/>
                <w:bCs/>
                <w:color w:val="000000" w:themeColor="text1"/>
                <w:kern w:val="0"/>
                <w:sz w:val="21"/>
                <w:szCs w:val="22"/>
                <w:lang w:eastAsia="en-US"/>
                <w14:textFill>
                  <w14:solidFill>
                    <w14:schemeClr w14:val="tx1"/>
                  </w14:solidFill>
                </w14:textFill>
              </w:rPr>
              <w:t>5</w:t>
            </w: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年</w:t>
            </w:r>
            <w:r>
              <w:rPr>
                <w:rFonts w:hint="eastAsia" w:asciiTheme="minorHAnsi" w:hAnsiTheme="minorHAnsi" w:eastAsiaTheme="minorEastAsia" w:cstheme="minorBidi"/>
                <w:b/>
                <w:bCs/>
                <w:color w:val="000000" w:themeColor="text1"/>
                <w:kern w:val="0"/>
                <w:sz w:val="21"/>
                <w:szCs w:val="22"/>
                <w:lang w:eastAsia="en-US"/>
                <w14:textFill>
                  <w14:solidFill>
                    <w14:schemeClr w14:val="tx1"/>
                  </w14:solidFill>
                </w14:textFill>
              </w:rPr>
              <w:t>1</w:t>
            </w:r>
            <w:r>
              <w:rPr>
                <w:rFonts w:hint="eastAsia" w:asciiTheme="minorHAnsi" w:hAnsiTheme="minorHAnsi" w:eastAsiaTheme="minorEastAsia" w:cstheme="minorBidi"/>
                <w:b/>
                <w:bCs/>
                <w:color w:val="000000" w:themeColor="text1"/>
                <w:kern w:val="0"/>
                <w:sz w:val="21"/>
                <w:szCs w:val="22"/>
                <w:lang w:val="en-US" w:eastAsia="zh-CN"/>
                <w14:textFill>
                  <w14:solidFill>
                    <w14:schemeClr w14:val="tx1"/>
                  </w14:solidFill>
                </w14:textFill>
              </w:rPr>
              <w:t>0</w:t>
            </w: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月</w:t>
            </w:r>
            <w:r>
              <w:rPr>
                <w:rFonts w:hint="eastAsia" w:asciiTheme="minorHAnsi" w:hAnsiTheme="minorHAnsi" w:eastAsiaTheme="minorEastAsia" w:cstheme="minorBidi"/>
                <w:b/>
                <w:bCs/>
                <w:color w:val="000000" w:themeColor="text1"/>
                <w:kern w:val="0"/>
                <w:sz w:val="21"/>
                <w:szCs w:val="22"/>
                <w:lang w:val="en-US" w:eastAsia="zh-CN"/>
                <w14:textFill>
                  <w14:solidFill>
                    <w14:schemeClr w14:val="tx1"/>
                  </w14:solidFill>
                </w14:textFill>
              </w:rPr>
              <w:t>15</w:t>
            </w: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日</w:t>
            </w:r>
          </w:p>
        </w:tc>
        <w:tc>
          <w:tcPr>
            <w:tcW w:w="1800" w:type="pct"/>
            <w:gridSpan w:val="4"/>
            <w:tcBorders>
              <w:top w:val="single" w:color="000000" w:sz="4" w:space="0"/>
              <w:bottom w:val="single" w:color="000000" w:sz="4" w:space="0"/>
              <w:right w:val="single" w:color="000000" w:sz="12" w:space="0"/>
            </w:tcBorders>
          </w:tcPr>
          <w:p w14:paraId="663C3DDD">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202</w:t>
            </w:r>
            <w:r>
              <w:rPr>
                <w:rFonts w:hint="eastAsia" w:asciiTheme="minorHAnsi" w:hAnsiTheme="minorHAnsi" w:eastAsiaTheme="minorEastAsia" w:cstheme="minorBidi"/>
                <w:b/>
                <w:bCs/>
                <w:color w:val="000000" w:themeColor="text1"/>
                <w:kern w:val="0"/>
                <w:sz w:val="21"/>
                <w:szCs w:val="22"/>
                <w:lang w:eastAsia="en-US"/>
                <w14:textFill>
                  <w14:solidFill>
                    <w14:schemeClr w14:val="tx1"/>
                  </w14:solidFill>
                </w14:textFill>
              </w:rPr>
              <w:t>5</w:t>
            </w: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年</w:t>
            </w:r>
            <w:r>
              <w:rPr>
                <w:rFonts w:hint="eastAsia" w:asciiTheme="minorHAnsi" w:hAnsiTheme="minorHAnsi" w:eastAsiaTheme="minorEastAsia" w:cstheme="minorBidi"/>
                <w:b/>
                <w:bCs/>
                <w:color w:val="000000" w:themeColor="text1"/>
                <w:kern w:val="0"/>
                <w:sz w:val="21"/>
                <w:szCs w:val="22"/>
                <w:lang w:eastAsia="en-US"/>
                <w14:textFill>
                  <w14:solidFill>
                    <w14:schemeClr w14:val="tx1"/>
                  </w14:solidFill>
                </w14:textFill>
              </w:rPr>
              <w:t>1</w:t>
            </w:r>
            <w:r>
              <w:rPr>
                <w:rFonts w:hint="eastAsia" w:asciiTheme="minorHAnsi" w:hAnsiTheme="minorHAnsi" w:eastAsiaTheme="minorEastAsia" w:cstheme="minorBidi"/>
                <w:b/>
                <w:bCs/>
                <w:color w:val="000000" w:themeColor="text1"/>
                <w:kern w:val="0"/>
                <w:sz w:val="21"/>
                <w:szCs w:val="22"/>
                <w:lang w:val="en-US" w:eastAsia="zh-CN"/>
                <w14:textFill>
                  <w14:solidFill>
                    <w14:schemeClr w14:val="tx1"/>
                  </w14:solidFill>
                </w14:textFill>
              </w:rPr>
              <w:t>0</w:t>
            </w: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月</w:t>
            </w:r>
            <w:r>
              <w:rPr>
                <w:rFonts w:hint="eastAsia" w:asciiTheme="minorHAnsi" w:hAnsiTheme="minorHAnsi" w:eastAsiaTheme="minorEastAsia" w:cstheme="minorBidi"/>
                <w:b/>
                <w:bCs/>
                <w:color w:val="000000" w:themeColor="text1"/>
                <w:kern w:val="0"/>
                <w:sz w:val="21"/>
                <w:szCs w:val="22"/>
                <w:lang w:val="en-US" w:eastAsia="zh-CN"/>
                <w14:textFill>
                  <w14:solidFill>
                    <w14:schemeClr w14:val="tx1"/>
                  </w14:solidFill>
                </w14:textFill>
              </w:rPr>
              <w:t>16</w:t>
            </w: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日</w:t>
            </w:r>
          </w:p>
        </w:tc>
      </w:tr>
      <w:tr w14:paraId="2FD216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8" w:hRule="atLeast"/>
        </w:trPr>
        <w:tc>
          <w:tcPr>
            <w:tcW w:w="308" w:type="pct"/>
            <w:vMerge w:val="continue"/>
            <w:tcBorders>
              <w:top w:val="single" w:color="000000" w:sz="4" w:space="0"/>
              <w:left w:val="single" w:color="000000" w:sz="12" w:space="0"/>
              <w:bottom w:val="single" w:color="000000" w:sz="4" w:space="0"/>
            </w:tcBorders>
          </w:tcPr>
          <w:p w14:paraId="78965337">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p>
        </w:tc>
        <w:tc>
          <w:tcPr>
            <w:tcW w:w="609" w:type="pct"/>
            <w:vMerge w:val="continue"/>
            <w:tcBorders>
              <w:top w:val="single" w:color="000000" w:sz="4" w:space="0"/>
              <w:bottom w:val="single" w:color="000000" w:sz="4" w:space="0"/>
            </w:tcBorders>
          </w:tcPr>
          <w:p w14:paraId="7100235B">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p>
        </w:tc>
        <w:tc>
          <w:tcPr>
            <w:tcW w:w="303" w:type="pct"/>
            <w:tcBorders>
              <w:top w:val="single" w:color="000000" w:sz="4" w:space="0"/>
              <w:bottom w:val="single" w:color="000000" w:sz="4" w:space="0"/>
            </w:tcBorders>
          </w:tcPr>
          <w:p w14:paraId="14ED2DF2">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昼间</w:t>
            </w:r>
          </w:p>
        </w:tc>
        <w:tc>
          <w:tcPr>
            <w:tcW w:w="304" w:type="pct"/>
            <w:tcBorders>
              <w:top w:val="single" w:color="000000" w:sz="4" w:space="0"/>
              <w:bottom w:val="single" w:color="000000" w:sz="4" w:space="0"/>
            </w:tcBorders>
          </w:tcPr>
          <w:p w14:paraId="6EAE0CF0">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夜间</w:t>
            </w:r>
          </w:p>
        </w:tc>
        <w:tc>
          <w:tcPr>
            <w:tcW w:w="381" w:type="pct"/>
            <w:tcBorders>
              <w:top w:val="single" w:color="000000" w:sz="4" w:space="0"/>
              <w:bottom w:val="single" w:color="000000" w:sz="4" w:space="0"/>
            </w:tcBorders>
          </w:tcPr>
          <w:p w14:paraId="38F78238">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昼间</w:t>
            </w:r>
          </w:p>
        </w:tc>
        <w:tc>
          <w:tcPr>
            <w:tcW w:w="532" w:type="pct"/>
            <w:tcBorders>
              <w:top w:val="single" w:color="000000" w:sz="4" w:space="0"/>
              <w:bottom w:val="single" w:color="000000" w:sz="4" w:space="0"/>
            </w:tcBorders>
          </w:tcPr>
          <w:p w14:paraId="18B8CDF9">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达标情况</w:t>
            </w:r>
          </w:p>
        </w:tc>
        <w:tc>
          <w:tcPr>
            <w:tcW w:w="303" w:type="pct"/>
            <w:tcBorders>
              <w:top w:val="single" w:color="000000" w:sz="4" w:space="0"/>
              <w:bottom w:val="single" w:color="000000" w:sz="4" w:space="0"/>
            </w:tcBorders>
          </w:tcPr>
          <w:p w14:paraId="23754436">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夜间</w:t>
            </w:r>
          </w:p>
        </w:tc>
        <w:tc>
          <w:tcPr>
            <w:tcW w:w="458" w:type="pct"/>
            <w:tcBorders>
              <w:top w:val="single" w:color="000000" w:sz="4" w:space="0"/>
              <w:bottom w:val="single" w:color="000000" w:sz="4" w:space="0"/>
            </w:tcBorders>
          </w:tcPr>
          <w:p w14:paraId="14AA2ACB">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达标情况</w:t>
            </w:r>
          </w:p>
        </w:tc>
        <w:tc>
          <w:tcPr>
            <w:tcW w:w="303" w:type="pct"/>
            <w:tcBorders>
              <w:top w:val="single" w:color="000000" w:sz="4" w:space="0"/>
              <w:bottom w:val="single" w:color="000000" w:sz="4" w:space="0"/>
            </w:tcBorders>
          </w:tcPr>
          <w:p w14:paraId="1E369CCF">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昼间</w:t>
            </w:r>
          </w:p>
        </w:tc>
        <w:tc>
          <w:tcPr>
            <w:tcW w:w="533" w:type="pct"/>
            <w:tcBorders>
              <w:top w:val="single" w:color="000000" w:sz="4" w:space="0"/>
              <w:bottom w:val="single" w:color="000000" w:sz="4" w:space="0"/>
            </w:tcBorders>
          </w:tcPr>
          <w:p w14:paraId="3DC05154">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达标情况</w:t>
            </w:r>
          </w:p>
        </w:tc>
        <w:tc>
          <w:tcPr>
            <w:tcW w:w="454" w:type="pct"/>
            <w:tcBorders>
              <w:top w:val="single" w:color="000000" w:sz="4" w:space="0"/>
              <w:bottom w:val="single" w:color="000000" w:sz="4" w:space="0"/>
            </w:tcBorders>
          </w:tcPr>
          <w:p w14:paraId="61769740">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夜间</w:t>
            </w:r>
          </w:p>
        </w:tc>
        <w:tc>
          <w:tcPr>
            <w:tcW w:w="508" w:type="pct"/>
            <w:tcBorders>
              <w:top w:val="single" w:color="000000" w:sz="4" w:space="0"/>
              <w:bottom w:val="single" w:color="000000" w:sz="4" w:space="0"/>
              <w:right w:val="single" w:color="000000" w:sz="12" w:space="0"/>
            </w:tcBorders>
          </w:tcPr>
          <w:p w14:paraId="710C82A1">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达标情况</w:t>
            </w:r>
          </w:p>
        </w:tc>
      </w:tr>
      <w:tr w14:paraId="4D2D39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1" w:hRule="atLeast"/>
        </w:trPr>
        <w:tc>
          <w:tcPr>
            <w:tcW w:w="308" w:type="pct"/>
            <w:tcBorders>
              <w:top w:val="single" w:color="000000" w:sz="4" w:space="0"/>
              <w:left w:val="single" w:color="000000" w:sz="12" w:space="0"/>
              <w:bottom w:val="single" w:color="000000" w:sz="4" w:space="0"/>
            </w:tcBorders>
          </w:tcPr>
          <w:p w14:paraId="4B808778">
            <w:pPr>
              <w:autoSpaceDE w:val="0"/>
              <w:autoSpaceDN w:val="0"/>
              <w:adjustRightInd w:val="0"/>
              <w:snapToGrid w:val="0"/>
              <w:spacing w:line="300" w:lineRule="exact"/>
              <w:ind w:firstLine="0" w:firstLineChars="0"/>
              <w:jc w:val="center"/>
              <w:rPr>
                <w:rFonts w:asciiTheme="minorHAnsi" w:hAnsiTheme="minorHAnsi" w:eastAsiaTheme="minorEastAsia" w:cstheme="minorBidi"/>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color w:val="000000" w:themeColor="text1"/>
                <w:kern w:val="0"/>
                <w:sz w:val="21"/>
                <w:szCs w:val="22"/>
                <w:lang w:eastAsia="en-US"/>
                <w14:textFill>
                  <w14:solidFill>
                    <w14:schemeClr w14:val="tx1"/>
                  </w14:solidFill>
                </w14:textFill>
              </w:rPr>
              <w:t>N1</w:t>
            </w:r>
          </w:p>
        </w:tc>
        <w:tc>
          <w:tcPr>
            <w:tcW w:w="609" w:type="pct"/>
            <w:tcBorders>
              <w:top w:val="single" w:color="000000" w:sz="4" w:space="0"/>
              <w:bottom w:val="single" w:color="000000" w:sz="4" w:space="0"/>
            </w:tcBorders>
          </w:tcPr>
          <w:p w14:paraId="74E2C852">
            <w:pPr>
              <w:autoSpaceDE w:val="0"/>
              <w:autoSpaceDN w:val="0"/>
              <w:adjustRightInd w:val="0"/>
              <w:snapToGrid w:val="0"/>
              <w:spacing w:line="300" w:lineRule="exact"/>
              <w:ind w:firstLine="0" w:firstLineChars="0"/>
              <w:jc w:val="center"/>
              <w:rPr>
                <w:rFonts w:asciiTheme="minorHAnsi" w:hAnsiTheme="minorHAnsi" w:eastAsiaTheme="minorEastAsia" w:cstheme="minorBidi"/>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color w:val="000000" w:themeColor="text1"/>
                <w:kern w:val="0"/>
                <w:sz w:val="21"/>
                <w:szCs w:val="22"/>
                <w:lang w:eastAsia="en-US"/>
                <w14:textFill>
                  <w14:solidFill>
                    <w14:schemeClr w14:val="tx1"/>
                  </w14:solidFill>
                </w14:textFill>
              </w:rPr>
              <w:t>厂界东面</w:t>
            </w:r>
          </w:p>
        </w:tc>
        <w:tc>
          <w:tcPr>
            <w:tcW w:w="506" w:type="dxa"/>
            <w:tcBorders>
              <w:top w:val="single" w:color="000000" w:sz="4" w:space="0"/>
              <w:bottom w:val="single" w:color="000000" w:sz="4" w:space="0"/>
            </w:tcBorders>
            <w:vAlign w:val="top"/>
          </w:tcPr>
          <w:p w14:paraId="1AD4FC7D">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65</w:t>
            </w:r>
          </w:p>
        </w:tc>
        <w:tc>
          <w:tcPr>
            <w:tcW w:w="508" w:type="dxa"/>
            <w:tcBorders>
              <w:top w:val="single" w:color="000000" w:sz="4" w:space="0"/>
              <w:bottom w:val="single" w:color="000000" w:sz="4" w:space="0"/>
            </w:tcBorders>
            <w:vAlign w:val="top"/>
          </w:tcPr>
          <w:p w14:paraId="0333B8C0">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55</w:t>
            </w:r>
          </w:p>
        </w:tc>
        <w:tc>
          <w:tcPr>
            <w:tcW w:w="637" w:type="dxa"/>
            <w:tcBorders>
              <w:top w:val="single" w:color="000000" w:sz="4" w:space="0"/>
              <w:bottom w:val="single" w:color="000000" w:sz="4" w:space="0"/>
            </w:tcBorders>
            <w:vAlign w:val="top"/>
          </w:tcPr>
          <w:p w14:paraId="13EEBF46">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889" w:type="dxa"/>
            <w:tcBorders>
              <w:top w:val="single" w:color="000000" w:sz="4" w:space="0"/>
              <w:bottom w:val="single" w:color="000000" w:sz="4" w:space="0"/>
            </w:tcBorders>
            <w:vAlign w:val="top"/>
          </w:tcPr>
          <w:p w14:paraId="3739251D">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c>
          <w:tcPr>
            <w:tcW w:w="506" w:type="dxa"/>
            <w:tcBorders>
              <w:top w:val="single" w:color="000000" w:sz="4" w:space="0"/>
              <w:bottom w:val="single" w:color="000000" w:sz="4" w:space="0"/>
            </w:tcBorders>
            <w:vAlign w:val="top"/>
          </w:tcPr>
          <w:p w14:paraId="767C4B30">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766" w:type="dxa"/>
            <w:tcBorders>
              <w:top w:val="single" w:color="000000" w:sz="4" w:space="0"/>
              <w:bottom w:val="single" w:color="000000" w:sz="4" w:space="0"/>
            </w:tcBorders>
            <w:vAlign w:val="top"/>
          </w:tcPr>
          <w:p w14:paraId="4C5350D1">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c>
          <w:tcPr>
            <w:tcW w:w="506" w:type="dxa"/>
            <w:tcBorders>
              <w:top w:val="single" w:color="000000" w:sz="4" w:space="0"/>
              <w:bottom w:val="single" w:color="000000" w:sz="4" w:space="0"/>
            </w:tcBorders>
            <w:vAlign w:val="top"/>
          </w:tcPr>
          <w:p w14:paraId="585DE7B5">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891" w:type="dxa"/>
            <w:tcBorders>
              <w:top w:val="single" w:color="000000" w:sz="4" w:space="0"/>
              <w:bottom w:val="single" w:color="000000" w:sz="4" w:space="0"/>
            </w:tcBorders>
            <w:vAlign w:val="top"/>
          </w:tcPr>
          <w:p w14:paraId="5EAE68C7">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c>
          <w:tcPr>
            <w:tcW w:w="759" w:type="dxa"/>
            <w:tcBorders>
              <w:top w:val="single" w:color="000000" w:sz="4" w:space="0"/>
              <w:bottom w:val="single" w:color="000000" w:sz="4" w:space="0"/>
            </w:tcBorders>
            <w:vAlign w:val="top"/>
          </w:tcPr>
          <w:p w14:paraId="0817D75B">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855" w:type="dxa"/>
            <w:tcBorders>
              <w:top w:val="single" w:color="000000" w:sz="4" w:space="0"/>
              <w:bottom w:val="single" w:color="000000" w:sz="4" w:space="0"/>
              <w:right w:val="single" w:color="000000" w:sz="12" w:space="0"/>
            </w:tcBorders>
            <w:vAlign w:val="top"/>
          </w:tcPr>
          <w:p w14:paraId="3012CAD8">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r>
      <w:tr w14:paraId="7E152C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1" w:hRule="atLeast"/>
        </w:trPr>
        <w:tc>
          <w:tcPr>
            <w:tcW w:w="308" w:type="pct"/>
            <w:tcBorders>
              <w:top w:val="single" w:color="000000" w:sz="4" w:space="0"/>
              <w:left w:val="single" w:color="000000" w:sz="12" w:space="0"/>
              <w:bottom w:val="single" w:color="000000" w:sz="4" w:space="0"/>
            </w:tcBorders>
          </w:tcPr>
          <w:p w14:paraId="45020629">
            <w:pPr>
              <w:autoSpaceDE w:val="0"/>
              <w:autoSpaceDN w:val="0"/>
              <w:adjustRightInd w:val="0"/>
              <w:snapToGrid w:val="0"/>
              <w:spacing w:line="300" w:lineRule="exact"/>
              <w:ind w:firstLine="0" w:firstLineChars="0"/>
              <w:jc w:val="center"/>
              <w:rPr>
                <w:rFonts w:asciiTheme="minorHAnsi" w:hAnsiTheme="minorHAnsi" w:eastAsiaTheme="minorEastAsia" w:cstheme="minorBidi"/>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color w:val="000000" w:themeColor="text1"/>
                <w:kern w:val="0"/>
                <w:sz w:val="21"/>
                <w:szCs w:val="22"/>
                <w:lang w:eastAsia="en-US"/>
                <w14:textFill>
                  <w14:solidFill>
                    <w14:schemeClr w14:val="tx1"/>
                  </w14:solidFill>
                </w14:textFill>
              </w:rPr>
              <w:t>N2</w:t>
            </w:r>
          </w:p>
        </w:tc>
        <w:tc>
          <w:tcPr>
            <w:tcW w:w="609" w:type="pct"/>
            <w:tcBorders>
              <w:top w:val="single" w:color="000000" w:sz="4" w:space="0"/>
              <w:bottom w:val="single" w:color="000000" w:sz="4" w:space="0"/>
            </w:tcBorders>
          </w:tcPr>
          <w:p w14:paraId="36FED142">
            <w:pPr>
              <w:autoSpaceDE w:val="0"/>
              <w:autoSpaceDN w:val="0"/>
              <w:adjustRightInd w:val="0"/>
              <w:snapToGrid w:val="0"/>
              <w:spacing w:line="300" w:lineRule="exact"/>
              <w:ind w:firstLine="0" w:firstLineChars="0"/>
              <w:jc w:val="center"/>
              <w:rPr>
                <w:rFonts w:asciiTheme="minorHAnsi" w:hAnsiTheme="minorHAnsi" w:eastAsiaTheme="minorEastAsia" w:cstheme="minorBidi"/>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color w:val="000000" w:themeColor="text1"/>
                <w:kern w:val="0"/>
                <w:sz w:val="21"/>
                <w:szCs w:val="22"/>
                <w:lang w:eastAsia="en-US"/>
                <w14:textFill>
                  <w14:solidFill>
                    <w14:schemeClr w14:val="tx1"/>
                  </w14:solidFill>
                </w14:textFill>
              </w:rPr>
              <w:t>厂界南面</w:t>
            </w:r>
          </w:p>
        </w:tc>
        <w:tc>
          <w:tcPr>
            <w:tcW w:w="506" w:type="dxa"/>
            <w:tcBorders>
              <w:top w:val="single" w:color="000000" w:sz="4" w:space="0"/>
              <w:bottom w:val="single" w:color="000000" w:sz="4" w:space="0"/>
            </w:tcBorders>
            <w:vAlign w:val="top"/>
          </w:tcPr>
          <w:p w14:paraId="2F506A0A">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65</w:t>
            </w:r>
          </w:p>
        </w:tc>
        <w:tc>
          <w:tcPr>
            <w:tcW w:w="508" w:type="dxa"/>
            <w:tcBorders>
              <w:top w:val="single" w:color="000000" w:sz="4" w:space="0"/>
              <w:bottom w:val="single" w:color="000000" w:sz="4" w:space="0"/>
            </w:tcBorders>
            <w:vAlign w:val="top"/>
          </w:tcPr>
          <w:p w14:paraId="4E7D0F8B">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55</w:t>
            </w:r>
          </w:p>
        </w:tc>
        <w:tc>
          <w:tcPr>
            <w:tcW w:w="637" w:type="dxa"/>
            <w:tcBorders>
              <w:top w:val="single" w:color="000000" w:sz="4" w:space="0"/>
              <w:bottom w:val="single" w:color="000000" w:sz="4" w:space="0"/>
            </w:tcBorders>
            <w:vAlign w:val="top"/>
          </w:tcPr>
          <w:p w14:paraId="5E1D7D26">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889" w:type="dxa"/>
            <w:tcBorders>
              <w:top w:val="single" w:color="000000" w:sz="4" w:space="0"/>
              <w:bottom w:val="single" w:color="000000" w:sz="4" w:space="0"/>
            </w:tcBorders>
            <w:vAlign w:val="top"/>
          </w:tcPr>
          <w:p w14:paraId="64A22B76">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c>
          <w:tcPr>
            <w:tcW w:w="506" w:type="dxa"/>
            <w:tcBorders>
              <w:top w:val="single" w:color="000000" w:sz="4" w:space="0"/>
              <w:bottom w:val="single" w:color="000000" w:sz="4" w:space="0"/>
            </w:tcBorders>
            <w:vAlign w:val="top"/>
          </w:tcPr>
          <w:p w14:paraId="6B68B641">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766" w:type="dxa"/>
            <w:tcBorders>
              <w:top w:val="single" w:color="000000" w:sz="4" w:space="0"/>
              <w:bottom w:val="single" w:color="000000" w:sz="4" w:space="0"/>
            </w:tcBorders>
            <w:vAlign w:val="top"/>
          </w:tcPr>
          <w:p w14:paraId="3B4C2817">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c>
          <w:tcPr>
            <w:tcW w:w="506" w:type="dxa"/>
            <w:tcBorders>
              <w:top w:val="single" w:color="000000" w:sz="4" w:space="0"/>
              <w:bottom w:val="single" w:color="000000" w:sz="4" w:space="0"/>
            </w:tcBorders>
            <w:vAlign w:val="top"/>
          </w:tcPr>
          <w:p w14:paraId="7EFB963E">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891" w:type="dxa"/>
            <w:tcBorders>
              <w:top w:val="single" w:color="000000" w:sz="4" w:space="0"/>
              <w:bottom w:val="single" w:color="000000" w:sz="4" w:space="0"/>
            </w:tcBorders>
            <w:vAlign w:val="top"/>
          </w:tcPr>
          <w:p w14:paraId="77870218">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c>
          <w:tcPr>
            <w:tcW w:w="759" w:type="dxa"/>
            <w:tcBorders>
              <w:top w:val="single" w:color="000000" w:sz="4" w:space="0"/>
              <w:bottom w:val="single" w:color="000000" w:sz="4" w:space="0"/>
            </w:tcBorders>
            <w:vAlign w:val="top"/>
          </w:tcPr>
          <w:p w14:paraId="3F39D259">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855" w:type="dxa"/>
            <w:tcBorders>
              <w:top w:val="single" w:color="000000" w:sz="4" w:space="0"/>
              <w:bottom w:val="single" w:color="000000" w:sz="4" w:space="0"/>
              <w:right w:val="single" w:color="000000" w:sz="12" w:space="0"/>
            </w:tcBorders>
            <w:vAlign w:val="top"/>
          </w:tcPr>
          <w:p w14:paraId="561B1CD8">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r>
      <w:tr w14:paraId="392FBD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4" w:hRule="atLeast"/>
        </w:trPr>
        <w:tc>
          <w:tcPr>
            <w:tcW w:w="308" w:type="pct"/>
            <w:tcBorders>
              <w:top w:val="single" w:color="000000" w:sz="4" w:space="0"/>
              <w:left w:val="single" w:color="000000" w:sz="12" w:space="0"/>
              <w:bottom w:val="single" w:color="000000" w:sz="4" w:space="0"/>
            </w:tcBorders>
          </w:tcPr>
          <w:p w14:paraId="73FD06EC">
            <w:pPr>
              <w:autoSpaceDE w:val="0"/>
              <w:autoSpaceDN w:val="0"/>
              <w:adjustRightInd w:val="0"/>
              <w:snapToGrid w:val="0"/>
              <w:spacing w:line="300" w:lineRule="exact"/>
              <w:ind w:firstLine="0" w:firstLineChars="0"/>
              <w:jc w:val="center"/>
              <w:rPr>
                <w:rFonts w:asciiTheme="minorHAnsi" w:hAnsiTheme="minorHAnsi" w:eastAsiaTheme="minorEastAsia" w:cstheme="minorBidi"/>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color w:val="000000" w:themeColor="text1"/>
                <w:kern w:val="0"/>
                <w:sz w:val="21"/>
                <w:szCs w:val="22"/>
                <w:lang w:eastAsia="en-US"/>
                <w14:textFill>
                  <w14:solidFill>
                    <w14:schemeClr w14:val="tx1"/>
                  </w14:solidFill>
                </w14:textFill>
              </w:rPr>
              <w:t>N3</w:t>
            </w:r>
          </w:p>
        </w:tc>
        <w:tc>
          <w:tcPr>
            <w:tcW w:w="609" w:type="pct"/>
            <w:tcBorders>
              <w:top w:val="single" w:color="000000" w:sz="4" w:space="0"/>
              <w:bottom w:val="single" w:color="000000" w:sz="4" w:space="0"/>
            </w:tcBorders>
          </w:tcPr>
          <w:p w14:paraId="548429FA">
            <w:pPr>
              <w:autoSpaceDE w:val="0"/>
              <w:autoSpaceDN w:val="0"/>
              <w:adjustRightInd w:val="0"/>
              <w:snapToGrid w:val="0"/>
              <w:spacing w:line="300" w:lineRule="exact"/>
              <w:ind w:firstLine="0" w:firstLineChars="0"/>
              <w:jc w:val="center"/>
              <w:rPr>
                <w:rFonts w:asciiTheme="minorHAnsi" w:hAnsiTheme="minorHAnsi" w:eastAsiaTheme="minorEastAsia" w:cstheme="minorBidi"/>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color w:val="000000" w:themeColor="text1"/>
                <w:kern w:val="0"/>
                <w:sz w:val="21"/>
                <w:szCs w:val="22"/>
                <w:lang w:eastAsia="en-US"/>
                <w14:textFill>
                  <w14:solidFill>
                    <w14:schemeClr w14:val="tx1"/>
                  </w14:solidFill>
                </w14:textFill>
              </w:rPr>
              <w:t>厂界西面</w:t>
            </w:r>
          </w:p>
        </w:tc>
        <w:tc>
          <w:tcPr>
            <w:tcW w:w="506" w:type="dxa"/>
            <w:tcBorders>
              <w:top w:val="single" w:color="000000" w:sz="4" w:space="0"/>
              <w:bottom w:val="single" w:color="000000" w:sz="4" w:space="0"/>
            </w:tcBorders>
            <w:vAlign w:val="top"/>
          </w:tcPr>
          <w:p w14:paraId="657AEE94">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65</w:t>
            </w:r>
          </w:p>
        </w:tc>
        <w:tc>
          <w:tcPr>
            <w:tcW w:w="508" w:type="dxa"/>
            <w:tcBorders>
              <w:top w:val="single" w:color="000000" w:sz="4" w:space="0"/>
              <w:bottom w:val="single" w:color="000000" w:sz="4" w:space="0"/>
            </w:tcBorders>
            <w:vAlign w:val="top"/>
          </w:tcPr>
          <w:p w14:paraId="4E9F7878">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55</w:t>
            </w:r>
          </w:p>
        </w:tc>
        <w:tc>
          <w:tcPr>
            <w:tcW w:w="637" w:type="dxa"/>
            <w:tcBorders>
              <w:top w:val="single" w:color="000000" w:sz="4" w:space="0"/>
              <w:bottom w:val="single" w:color="000000" w:sz="4" w:space="0"/>
            </w:tcBorders>
            <w:vAlign w:val="top"/>
          </w:tcPr>
          <w:p w14:paraId="7A542C7A">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889" w:type="dxa"/>
            <w:tcBorders>
              <w:top w:val="single" w:color="000000" w:sz="4" w:space="0"/>
              <w:bottom w:val="single" w:color="000000" w:sz="4" w:space="0"/>
            </w:tcBorders>
            <w:vAlign w:val="top"/>
          </w:tcPr>
          <w:p w14:paraId="1A95B1A7">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c>
          <w:tcPr>
            <w:tcW w:w="506" w:type="dxa"/>
            <w:tcBorders>
              <w:top w:val="single" w:color="000000" w:sz="4" w:space="0"/>
              <w:bottom w:val="single" w:color="000000" w:sz="4" w:space="0"/>
            </w:tcBorders>
            <w:vAlign w:val="top"/>
          </w:tcPr>
          <w:p w14:paraId="294CEC7C">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766" w:type="dxa"/>
            <w:tcBorders>
              <w:top w:val="single" w:color="000000" w:sz="4" w:space="0"/>
              <w:bottom w:val="single" w:color="000000" w:sz="4" w:space="0"/>
            </w:tcBorders>
            <w:vAlign w:val="top"/>
          </w:tcPr>
          <w:p w14:paraId="2D68DFED">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c>
          <w:tcPr>
            <w:tcW w:w="506" w:type="dxa"/>
            <w:tcBorders>
              <w:top w:val="single" w:color="000000" w:sz="4" w:space="0"/>
              <w:bottom w:val="single" w:color="000000" w:sz="4" w:space="0"/>
            </w:tcBorders>
            <w:vAlign w:val="top"/>
          </w:tcPr>
          <w:p w14:paraId="61806915">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891" w:type="dxa"/>
            <w:tcBorders>
              <w:top w:val="single" w:color="000000" w:sz="4" w:space="0"/>
              <w:bottom w:val="single" w:color="000000" w:sz="4" w:space="0"/>
            </w:tcBorders>
            <w:vAlign w:val="top"/>
          </w:tcPr>
          <w:p w14:paraId="17826C34">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c>
          <w:tcPr>
            <w:tcW w:w="759" w:type="dxa"/>
            <w:tcBorders>
              <w:top w:val="single" w:color="000000" w:sz="4" w:space="0"/>
              <w:bottom w:val="single" w:color="000000" w:sz="4" w:space="0"/>
            </w:tcBorders>
            <w:vAlign w:val="top"/>
          </w:tcPr>
          <w:p w14:paraId="34B7FB7A">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855" w:type="dxa"/>
            <w:tcBorders>
              <w:top w:val="single" w:color="000000" w:sz="4" w:space="0"/>
              <w:bottom w:val="single" w:color="000000" w:sz="4" w:space="0"/>
              <w:right w:val="single" w:color="000000" w:sz="12" w:space="0"/>
            </w:tcBorders>
            <w:vAlign w:val="top"/>
          </w:tcPr>
          <w:p w14:paraId="2294686E">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r>
      <w:tr w14:paraId="479B41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308" w:type="pct"/>
            <w:tcBorders>
              <w:top w:val="single" w:color="000000" w:sz="4" w:space="0"/>
              <w:left w:val="single" w:color="000000" w:sz="12" w:space="0"/>
              <w:bottom w:val="single" w:color="000000" w:sz="12" w:space="0"/>
            </w:tcBorders>
          </w:tcPr>
          <w:p w14:paraId="50BCB456">
            <w:pPr>
              <w:autoSpaceDE w:val="0"/>
              <w:autoSpaceDN w:val="0"/>
              <w:adjustRightInd w:val="0"/>
              <w:snapToGrid w:val="0"/>
              <w:spacing w:line="300" w:lineRule="exact"/>
              <w:ind w:firstLine="0" w:firstLineChars="0"/>
              <w:jc w:val="center"/>
              <w:rPr>
                <w:rFonts w:asciiTheme="minorHAnsi" w:hAnsiTheme="minorHAnsi" w:eastAsiaTheme="minorEastAsia" w:cstheme="minorBidi"/>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color w:val="000000" w:themeColor="text1"/>
                <w:kern w:val="0"/>
                <w:sz w:val="21"/>
                <w:szCs w:val="22"/>
                <w:lang w:eastAsia="en-US"/>
                <w14:textFill>
                  <w14:solidFill>
                    <w14:schemeClr w14:val="tx1"/>
                  </w14:solidFill>
                </w14:textFill>
              </w:rPr>
              <w:t>N4</w:t>
            </w:r>
          </w:p>
        </w:tc>
        <w:tc>
          <w:tcPr>
            <w:tcW w:w="609" w:type="pct"/>
            <w:tcBorders>
              <w:top w:val="single" w:color="000000" w:sz="4" w:space="0"/>
              <w:bottom w:val="single" w:color="000000" w:sz="12" w:space="0"/>
            </w:tcBorders>
          </w:tcPr>
          <w:p w14:paraId="19F4DE3A">
            <w:pPr>
              <w:autoSpaceDE w:val="0"/>
              <w:autoSpaceDN w:val="0"/>
              <w:adjustRightInd w:val="0"/>
              <w:snapToGrid w:val="0"/>
              <w:spacing w:line="300" w:lineRule="exact"/>
              <w:ind w:firstLine="0" w:firstLineChars="0"/>
              <w:jc w:val="center"/>
              <w:rPr>
                <w:rFonts w:asciiTheme="minorHAnsi" w:hAnsiTheme="minorHAnsi" w:eastAsiaTheme="minorEastAsia" w:cstheme="minorBidi"/>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color w:val="000000" w:themeColor="text1"/>
                <w:kern w:val="0"/>
                <w:sz w:val="21"/>
                <w:szCs w:val="22"/>
                <w:lang w:eastAsia="en-US"/>
                <w14:textFill>
                  <w14:solidFill>
                    <w14:schemeClr w14:val="tx1"/>
                  </w14:solidFill>
                </w14:textFill>
              </w:rPr>
              <w:t>厂界北面</w:t>
            </w:r>
          </w:p>
        </w:tc>
        <w:tc>
          <w:tcPr>
            <w:tcW w:w="506" w:type="dxa"/>
            <w:tcBorders>
              <w:top w:val="single" w:color="000000" w:sz="4" w:space="0"/>
              <w:bottom w:val="single" w:color="000000" w:sz="12" w:space="0"/>
            </w:tcBorders>
            <w:vAlign w:val="top"/>
          </w:tcPr>
          <w:p w14:paraId="16EA8F45">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65</w:t>
            </w:r>
          </w:p>
        </w:tc>
        <w:tc>
          <w:tcPr>
            <w:tcW w:w="508" w:type="dxa"/>
            <w:tcBorders>
              <w:top w:val="single" w:color="000000" w:sz="4" w:space="0"/>
              <w:bottom w:val="single" w:color="000000" w:sz="12" w:space="0"/>
            </w:tcBorders>
            <w:vAlign w:val="top"/>
          </w:tcPr>
          <w:p w14:paraId="1EEB7A86">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55</w:t>
            </w:r>
          </w:p>
        </w:tc>
        <w:tc>
          <w:tcPr>
            <w:tcW w:w="637" w:type="dxa"/>
            <w:tcBorders>
              <w:top w:val="single" w:color="000000" w:sz="4" w:space="0"/>
              <w:bottom w:val="single" w:color="000000" w:sz="12" w:space="0"/>
            </w:tcBorders>
            <w:vAlign w:val="top"/>
          </w:tcPr>
          <w:p w14:paraId="3A50816E">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889" w:type="dxa"/>
            <w:tcBorders>
              <w:top w:val="single" w:color="000000" w:sz="4" w:space="0"/>
              <w:bottom w:val="single" w:color="000000" w:sz="12" w:space="0"/>
            </w:tcBorders>
            <w:vAlign w:val="top"/>
          </w:tcPr>
          <w:p w14:paraId="1F31DEB2">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c>
          <w:tcPr>
            <w:tcW w:w="506" w:type="dxa"/>
            <w:tcBorders>
              <w:top w:val="single" w:color="000000" w:sz="4" w:space="0"/>
              <w:bottom w:val="single" w:color="000000" w:sz="12" w:space="0"/>
            </w:tcBorders>
            <w:vAlign w:val="top"/>
          </w:tcPr>
          <w:p w14:paraId="78E05995">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766" w:type="dxa"/>
            <w:tcBorders>
              <w:top w:val="single" w:color="000000" w:sz="4" w:space="0"/>
              <w:bottom w:val="single" w:color="000000" w:sz="12" w:space="0"/>
            </w:tcBorders>
            <w:vAlign w:val="top"/>
          </w:tcPr>
          <w:p w14:paraId="12A41A40">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c>
          <w:tcPr>
            <w:tcW w:w="506" w:type="dxa"/>
            <w:tcBorders>
              <w:top w:val="single" w:color="000000" w:sz="4" w:space="0"/>
              <w:bottom w:val="single" w:color="000000" w:sz="12" w:space="0"/>
            </w:tcBorders>
            <w:vAlign w:val="top"/>
          </w:tcPr>
          <w:p w14:paraId="09B8395F">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891" w:type="dxa"/>
            <w:tcBorders>
              <w:top w:val="single" w:color="000000" w:sz="4" w:space="0"/>
              <w:bottom w:val="single" w:color="000000" w:sz="12" w:space="0"/>
            </w:tcBorders>
            <w:vAlign w:val="top"/>
          </w:tcPr>
          <w:p w14:paraId="5E65880E">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c>
          <w:tcPr>
            <w:tcW w:w="759" w:type="dxa"/>
            <w:tcBorders>
              <w:top w:val="single" w:color="000000" w:sz="4" w:space="0"/>
              <w:bottom w:val="single" w:color="000000" w:sz="12" w:space="0"/>
            </w:tcBorders>
            <w:vAlign w:val="top"/>
          </w:tcPr>
          <w:p w14:paraId="4554D2B0">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855" w:type="dxa"/>
            <w:tcBorders>
              <w:top w:val="single" w:color="000000" w:sz="4" w:space="0"/>
              <w:bottom w:val="single" w:color="000000" w:sz="12" w:space="0"/>
              <w:right w:val="single" w:color="000000" w:sz="12" w:space="0"/>
            </w:tcBorders>
            <w:vAlign w:val="top"/>
          </w:tcPr>
          <w:p w14:paraId="5C6BE551">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r>
    </w:tbl>
    <w:p w14:paraId="2FDEFDA2">
      <w:pPr>
        <w:pStyle w:val="5"/>
        <w:rPr>
          <w:color w:val="000000" w:themeColor="text1"/>
          <w14:textFill>
            <w14:solidFill>
              <w14:schemeClr w14:val="tx1"/>
            </w14:solidFill>
          </w14:textFill>
        </w:rPr>
      </w:pPr>
      <w:bookmarkStart w:id="615" w:name="_Toc216620555"/>
      <w:r>
        <w:rPr>
          <w:color w:val="000000" w:themeColor="text1"/>
          <w14:textFill>
            <w14:solidFill>
              <w14:schemeClr w14:val="tx1"/>
            </w14:solidFill>
          </w14:textFill>
        </w:rPr>
        <w:t>土壤环境</w:t>
      </w:r>
      <w:bookmarkEnd w:id="610"/>
      <w:bookmarkEnd w:id="611"/>
      <w:bookmarkEnd w:id="615"/>
    </w:p>
    <w:p w14:paraId="114739DA">
      <w:pPr>
        <w:pStyle w:val="4"/>
        <w:rPr>
          <w:color w:val="000000" w:themeColor="text1"/>
          <w14:textFill>
            <w14:solidFill>
              <w14:schemeClr w14:val="tx1"/>
            </w14:solidFill>
          </w14:textFill>
        </w:rPr>
      </w:pPr>
      <w:bookmarkStart w:id="616" w:name="_Toc216620556"/>
      <w:bookmarkStart w:id="617" w:name="_Toc136878492"/>
      <w:r>
        <w:rPr>
          <w:color w:val="000000" w:themeColor="text1"/>
          <w14:textFill>
            <w14:solidFill>
              <w14:schemeClr w14:val="tx1"/>
            </w14:solidFill>
          </w14:textFill>
        </w:rPr>
        <w:t>监测点位及监测因子</w:t>
      </w:r>
      <w:bookmarkEnd w:id="616"/>
      <w:bookmarkEnd w:id="617"/>
    </w:p>
    <w:p w14:paraId="0CB3ADB3">
      <w:pPr>
        <w:ind w:firstLine="480"/>
        <w:rPr>
          <w:color w:val="000000" w:themeColor="text1"/>
          <w14:textFill>
            <w14:solidFill>
              <w14:schemeClr w14:val="tx1"/>
            </w14:solidFill>
          </w14:textFill>
        </w:rPr>
      </w:pPr>
      <w:r>
        <w:rPr>
          <w:color w:val="000000" w:themeColor="text1"/>
          <w14:textFill>
            <w14:solidFill>
              <w14:schemeClr w14:val="tx1"/>
            </w14:solidFill>
          </w14:textFill>
        </w:rPr>
        <w:t>项目土壤监测布点设置3个表层样点。土壤质量现状监测点位、监测因子见表3.6-1。</w:t>
      </w:r>
    </w:p>
    <w:p w14:paraId="53445D9F">
      <w:pPr>
        <w:pStyle w:val="7"/>
        <w:rPr>
          <w:color w:val="000000" w:themeColor="text1"/>
          <w14:textFill>
            <w14:solidFill>
              <w14:schemeClr w14:val="tx1"/>
            </w14:solidFill>
          </w14:textFill>
        </w:rPr>
      </w:pPr>
      <w:r>
        <w:rPr>
          <w:color w:val="000000" w:themeColor="text1"/>
          <w14:textFill>
            <w14:solidFill>
              <w14:schemeClr w14:val="tx1"/>
            </w14:solidFill>
          </w14:textFill>
        </w:rPr>
        <w:t>土壤监测点位</w:t>
      </w:r>
    </w:p>
    <w:tbl>
      <w:tblPr>
        <w:tblStyle w:val="43"/>
        <w:tblW w:w="874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219"/>
        <w:gridCol w:w="6521"/>
      </w:tblGrid>
      <w:tr w14:paraId="639F27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219" w:type="dxa"/>
            <w:vAlign w:val="center"/>
          </w:tcPr>
          <w:p w14:paraId="5909817C">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监测点位</w:t>
            </w:r>
          </w:p>
        </w:tc>
        <w:tc>
          <w:tcPr>
            <w:tcW w:w="6521" w:type="dxa"/>
            <w:vAlign w:val="center"/>
          </w:tcPr>
          <w:p w14:paraId="28931AB2">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监测因子</w:t>
            </w:r>
          </w:p>
        </w:tc>
      </w:tr>
      <w:tr w14:paraId="1CDC92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15" w:hRule="atLeast"/>
          <w:jc w:val="center"/>
        </w:trPr>
        <w:tc>
          <w:tcPr>
            <w:tcW w:w="2219" w:type="dxa"/>
            <w:vAlign w:val="center"/>
          </w:tcPr>
          <w:p w14:paraId="31CBA007">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T1</w:t>
            </w:r>
            <w:r>
              <w:rPr>
                <w:rFonts w:hint="eastAsia"/>
                <w:color w:val="000000" w:themeColor="text1"/>
                <w:sz w:val="21"/>
                <w:szCs w:val="21"/>
                <w14:textFill>
                  <w14:solidFill>
                    <w14:schemeClr w14:val="tx1"/>
                  </w14:solidFill>
                </w14:textFill>
              </w:rPr>
              <w:t>码头西南侧罐区</w:t>
            </w:r>
          </w:p>
        </w:tc>
        <w:tc>
          <w:tcPr>
            <w:tcW w:w="6521" w:type="dxa"/>
            <w:vAlign w:val="center"/>
          </w:tcPr>
          <w:p w14:paraId="2FC2AB37">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石油烃</w:t>
            </w:r>
            <w:r>
              <w:rPr>
                <w:color w:val="000000" w:themeColor="text1"/>
                <w:sz w:val="21"/>
                <w:szCs w:val="21"/>
                <w14:textFill>
                  <w14:solidFill>
                    <w14:schemeClr w14:val="tx1"/>
                  </w14:solidFill>
                </w14:textFill>
              </w:rPr>
              <w:t>(C10-C40)*</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pH</w:t>
            </w:r>
            <w:r>
              <w:rPr>
                <w:rFonts w:hint="eastAsia"/>
                <w:color w:val="000000" w:themeColor="text1"/>
                <w:sz w:val="21"/>
                <w:szCs w:val="21"/>
                <w14:textFill>
                  <w14:solidFill>
                    <w14:schemeClr w14:val="tx1"/>
                  </w14:solidFill>
                </w14:textFill>
              </w:rPr>
              <w:t>、镉、汞、砷、铅、铜、镍、六价铬、四氯化碳</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、氯仿</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、氯甲烷</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二氯乙烷</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二氯乙烷</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二氯乙烯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、顺</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二氯乙烯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、反</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二氯乙烯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、二氯甲烷</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二氯丙烷</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四氯乙烷</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四氯乙烷</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、四氯乙烯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三氯乙烷</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三氯乙烷</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、三氯乙烯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3-</w:t>
            </w:r>
            <w:r>
              <w:rPr>
                <w:rFonts w:hint="eastAsia"/>
                <w:color w:val="000000" w:themeColor="text1"/>
                <w:sz w:val="21"/>
                <w:szCs w:val="21"/>
                <w14:textFill>
                  <w14:solidFill>
                    <w14:schemeClr w14:val="tx1"/>
                  </w14:solidFill>
                </w14:textFill>
              </w:rPr>
              <w:t>三氯丙烷</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、氯乙烯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、氯苯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二氯苯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4-</w:t>
            </w:r>
            <w:r>
              <w:rPr>
                <w:rFonts w:hint="eastAsia"/>
                <w:color w:val="000000" w:themeColor="text1"/>
                <w:sz w:val="21"/>
                <w:szCs w:val="21"/>
                <w14:textFill>
                  <w14:solidFill>
                    <w14:schemeClr w14:val="tx1"/>
                  </w14:solidFill>
                </w14:textFill>
              </w:rPr>
              <w:t>二氯苯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、乙苯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、苯乙烯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、甲苯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、间二甲苯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对二甲苯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、邻二甲苯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、硝基苯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、苯胺</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氯酚</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、苯并［</w:t>
            </w:r>
            <w:r>
              <w:rPr>
                <w:color w:val="000000" w:themeColor="text1"/>
                <w:sz w:val="21"/>
                <w:szCs w:val="21"/>
                <w14:textFill>
                  <w14:solidFill>
                    <w14:schemeClr w14:val="tx1"/>
                  </w14:solidFill>
                </w14:textFill>
              </w:rPr>
              <w:t>a</w:t>
            </w:r>
            <w:r>
              <w:rPr>
                <w:rFonts w:hint="eastAsia"/>
                <w:color w:val="000000" w:themeColor="text1"/>
                <w:sz w:val="21"/>
                <w:szCs w:val="21"/>
                <w14:textFill>
                  <w14:solidFill>
                    <w14:schemeClr w14:val="tx1"/>
                  </w14:solidFill>
                </w14:textFill>
              </w:rPr>
              <w:t>］蒽</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、苯并［</w:t>
            </w:r>
            <w:r>
              <w:rPr>
                <w:color w:val="000000" w:themeColor="text1"/>
                <w:sz w:val="21"/>
                <w:szCs w:val="21"/>
                <w14:textFill>
                  <w14:solidFill>
                    <w14:schemeClr w14:val="tx1"/>
                  </w14:solidFill>
                </w14:textFill>
              </w:rPr>
              <w:t>a</w:t>
            </w:r>
            <w:r>
              <w:rPr>
                <w:rFonts w:hint="eastAsia"/>
                <w:color w:val="000000" w:themeColor="text1"/>
                <w:sz w:val="21"/>
                <w:szCs w:val="21"/>
                <w14:textFill>
                  <w14:solidFill>
                    <w14:schemeClr w14:val="tx1"/>
                  </w14:solidFill>
                </w14:textFill>
              </w:rPr>
              <w:t>］芘</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、苯并［</w:t>
            </w:r>
            <w:r>
              <w:rPr>
                <w:color w:val="000000" w:themeColor="text1"/>
                <w:sz w:val="21"/>
                <w:szCs w:val="21"/>
                <w14:textFill>
                  <w14:solidFill>
                    <w14:schemeClr w14:val="tx1"/>
                  </w14:solidFill>
                </w14:textFill>
              </w:rPr>
              <w:t>b</w:t>
            </w:r>
            <w:r>
              <w:rPr>
                <w:rFonts w:hint="eastAsia"/>
                <w:color w:val="000000" w:themeColor="text1"/>
                <w:sz w:val="21"/>
                <w:szCs w:val="21"/>
                <w14:textFill>
                  <w14:solidFill>
                    <w14:schemeClr w14:val="tx1"/>
                  </w14:solidFill>
                </w14:textFill>
              </w:rPr>
              <w:t>］荧蒽</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、苯并［</w:t>
            </w:r>
            <w:r>
              <w:rPr>
                <w:color w:val="000000" w:themeColor="text1"/>
                <w:sz w:val="21"/>
                <w:szCs w:val="21"/>
                <w14:textFill>
                  <w14:solidFill>
                    <w14:schemeClr w14:val="tx1"/>
                  </w14:solidFill>
                </w14:textFill>
              </w:rPr>
              <w:t>k</w:t>
            </w:r>
            <w:r>
              <w:rPr>
                <w:rFonts w:hint="eastAsia"/>
                <w:color w:val="000000" w:themeColor="text1"/>
                <w:sz w:val="21"/>
                <w:szCs w:val="21"/>
                <w14:textFill>
                  <w14:solidFill>
                    <w14:schemeClr w14:val="tx1"/>
                  </w14:solidFill>
                </w14:textFill>
              </w:rPr>
              <w:t>］荧蒽</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、䓛</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、二苯并</w:t>
            </w:r>
            <w:r>
              <w:rPr>
                <w:color w:val="000000" w:themeColor="text1"/>
                <w:sz w:val="21"/>
                <w:szCs w:val="21"/>
                <w14:textFill>
                  <w14:solidFill>
                    <w14:schemeClr w14:val="tx1"/>
                  </w14:solidFill>
                </w14:textFill>
              </w:rPr>
              <w:t>[a,h]</w:t>
            </w:r>
            <w:r>
              <w:rPr>
                <w:rFonts w:hint="eastAsia"/>
                <w:color w:val="000000" w:themeColor="text1"/>
                <w:sz w:val="21"/>
                <w:szCs w:val="21"/>
                <w14:textFill>
                  <w14:solidFill>
                    <w14:schemeClr w14:val="tx1"/>
                  </w14:solidFill>
                </w14:textFill>
              </w:rPr>
              <w:t>蒽</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、茚并</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3-cd]</w:t>
            </w:r>
            <w:r>
              <w:rPr>
                <w:rFonts w:hint="eastAsia"/>
                <w:color w:val="000000" w:themeColor="text1"/>
                <w:sz w:val="21"/>
                <w:szCs w:val="21"/>
                <w14:textFill>
                  <w14:solidFill>
                    <w14:schemeClr w14:val="tx1"/>
                  </w14:solidFill>
                </w14:textFill>
              </w:rPr>
              <w:t>芘</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、萘</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、阳离子交换量、氧化还原电位、饱和导水率、土壤容重、孔隙度</w:t>
            </w:r>
            <w:r>
              <w:rPr>
                <w:rFonts w:hint="eastAsia"/>
                <w:color w:val="000000" w:themeColor="text1"/>
                <w:sz w:val="21"/>
                <w:szCs w:val="21"/>
                <w:lang w:eastAsia="zh-CN"/>
                <w14:textFill>
                  <w14:solidFill>
                    <w14:schemeClr w14:val="tx1"/>
                  </w14:solidFill>
                </w14:textFill>
              </w:rPr>
              <w:t>记录</w:t>
            </w:r>
            <w:r>
              <w:rPr>
                <w:color w:val="000000" w:themeColor="text1"/>
                <w:sz w:val="21"/>
                <w:szCs w:val="21"/>
                <w14:textFill>
                  <w14:solidFill>
                    <w14:schemeClr w14:val="tx1"/>
                  </w14:solidFill>
                </w14:textFill>
              </w:rPr>
              <w:t>颜色、结构、质地、砂砾含量、其他异物</w:t>
            </w:r>
          </w:p>
        </w:tc>
      </w:tr>
      <w:tr w14:paraId="7140ED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219" w:type="dxa"/>
            <w:vAlign w:val="center"/>
          </w:tcPr>
          <w:p w14:paraId="2F715FDD">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T2</w:t>
            </w:r>
            <w:r>
              <w:rPr>
                <w:rFonts w:hint="eastAsia"/>
                <w:color w:val="000000" w:themeColor="text1"/>
                <w:sz w:val="21"/>
                <w:szCs w:val="21"/>
                <w14:textFill>
                  <w14:solidFill>
                    <w14:schemeClr w14:val="tx1"/>
                  </w14:solidFill>
                </w14:textFill>
              </w:rPr>
              <w:t>码头西北面绿化带</w:t>
            </w:r>
          </w:p>
        </w:tc>
        <w:tc>
          <w:tcPr>
            <w:tcW w:w="6521" w:type="dxa"/>
            <w:vMerge w:val="restart"/>
            <w:vAlign w:val="center"/>
          </w:tcPr>
          <w:p w14:paraId="74C8D187">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pH、镉、汞、砷、铅、铜、镍、六价铬、苯乙烯阳离子交换量、氧化还原电位、饱和导水率、土壤容重、孔隙度</w:t>
            </w:r>
            <w:r>
              <w:rPr>
                <w:rFonts w:hint="eastAsia"/>
                <w:color w:val="000000" w:themeColor="text1"/>
                <w:sz w:val="21"/>
                <w:szCs w:val="21"/>
                <w:lang w:eastAsia="zh-CN"/>
                <w14:textFill>
                  <w14:solidFill>
                    <w14:schemeClr w14:val="tx1"/>
                  </w14:solidFill>
                </w14:textFill>
              </w:rPr>
              <w:t>记录</w:t>
            </w:r>
            <w:r>
              <w:rPr>
                <w:color w:val="000000" w:themeColor="text1"/>
                <w:sz w:val="21"/>
                <w:szCs w:val="21"/>
                <w14:textFill>
                  <w14:solidFill>
                    <w14:schemeClr w14:val="tx1"/>
                  </w14:solidFill>
                </w14:textFill>
              </w:rPr>
              <w:t>颜色、结构、质地、砂砾含量、其他异物</w:t>
            </w:r>
          </w:p>
        </w:tc>
      </w:tr>
      <w:tr w14:paraId="75DDF3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219" w:type="dxa"/>
            <w:vAlign w:val="center"/>
          </w:tcPr>
          <w:p w14:paraId="77CDEA59">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T3</w:t>
            </w:r>
            <w:r>
              <w:rPr>
                <w:rFonts w:hint="eastAsia"/>
                <w:color w:val="000000" w:themeColor="text1"/>
                <w:sz w:val="21"/>
                <w:szCs w:val="21"/>
                <w14:textFill>
                  <w14:solidFill>
                    <w14:schemeClr w14:val="tx1"/>
                  </w14:solidFill>
                </w14:textFill>
              </w:rPr>
              <w:t>码头西侧罐区</w:t>
            </w:r>
          </w:p>
        </w:tc>
        <w:tc>
          <w:tcPr>
            <w:tcW w:w="6521" w:type="dxa"/>
            <w:vMerge w:val="continue"/>
            <w:vAlign w:val="center"/>
          </w:tcPr>
          <w:p w14:paraId="5E80F7E8">
            <w:pPr>
              <w:spacing w:line="240" w:lineRule="exact"/>
              <w:ind w:firstLine="0" w:firstLineChars="0"/>
              <w:jc w:val="center"/>
              <w:rPr>
                <w:color w:val="000000" w:themeColor="text1"/>
                <w:sz w:val="21"/>
                <w:szCs w:val="21"/>
                <w14:textFill>
                  <w14:solidFill>
                    <w14:schemeClr w14:val="tx1"/>
                  </w14:solidFill>
                </w14:textFill>
              </w:rPr>
            </w:pPr>
          </w:p>
        </w:tc>
      </w:tr>
    </w:tbl>
    <w:p w14:paraId="4D60FB5F">
      <w:pPr>
        <w:pStyle w:val="4"/>
        <w:rPr>
          <w:color w:val="000000" w:themeColor="text1"/>
          <w14:textFill>
            <w14:solidFill>
              <w14:schemeClr w14:val="tx1"/>
            </w14:solidFill>
          </w14:textFill>
        </w:rPr>
      </w:pPr>
      <w:bookmarkStart w:id="618" w:name="_Toc136878493"/>
      <w:bookmarkStart w:id="619" w:name="_Toc216620557"/>
      <w:r>
        <w:rPr>
          <w:color w:val="000000" w:themeColor="text1"/>
          <w14:textFill>
            <w14:solidFill>
              <w14:schemeClr w14:val="tx1"/>
            </w14:solidFill>
          </w14:textFill>
        </w:rPr>
        <w:t>评价标准</w:t>
      </w:r>
      <w:bookmarkEnd w:id="618"/>
      <w:bookmarkEnd w:id="619"/>
    </w:p>
    <w:p w14:paraId="13A7AC1B">
      <w:pPr>
        <w:ind w:firstLine="480"/>
        <w:rPr>
          <w:color w:val="000000" w:themeColor="text1"/>
          <w14:textFill>
            <w14:solidFill>
              <w14:schemeClr w14:val="tx1"/>
            </w14:solidFill>
          </w14:textFill>
        </w:rPr>
      </w:pPr>
      <w:r>
        <w:rPr>
          <w:color w:val="000000" w:themeColor="text1"/>
          <w14:textFill>
            <w14:solidFill>
              <w14:schemeClr w14:val="tx1"/>
            </w14:solidFill>
          </w14:textFill>
        </w:rPr>
        <w:t>评价范围内的土地利用类型主要为建设用地，选取《土壤环境质量建设用地土壤污染风险管控标准（试行）》（GB36600-2018）中筛选值进行评价。</w:t>
      </w:r>
    </w:p>
    <w:p w14:paraId="1C1A8C28">
      <w:pPr>
        <w:pStyle w:val="4"/>
        <w:rPr>
          <w:color w:val="000000" w:themeColor="text1"/>
          <w14:textFill>
            <w14:solidFill>
              <w14:schemeClr w14:val="tx1"/>
            </w14:solidFill>
          </w14:textFill>
        </w:rPr>
      </w:pPr>
      <w:bookmarkStart w:id="620" w:name="_Toc136878494"/>
      <w:bookmarkStart w:id="621" w:name="_Toc216620558"/>
      <w:r>
        <w:rPr>
          <w:color w:val="000000" w:themeColor="text1"/>
          <w14:textFill>
            <w14:solidFill>
              <w14:schemeClr w14:val="tx1"/>
            </w14:solidFill>
          </w14:textFill>
        </w:rPr>
        <w:t>监测结果及评价</w:t>
      </w:r>
      <w:bookmarkEnd w:id="620"/>
      <w:bookmarkEnd w:id="621"/>
    </w:p>
    <w:p w14:paraId="3F59B2F3">
      <w:pPr>
        <w:ind w:firstLine="480"/>
        <w:rPr>
          <w:color w:val="000000" w:themeColor="text1"/>
          <w14:textFill>
            <w14:solidFill>
              <w14:schemeClr w14:val="tx1"/>
            </w14:solidFill>
          </w14:textFill>
        </w:rPr>
      </w:pPr>
      <w:r>
        <w:rPr>
          <w:color w:val="000000" w:themeColor="text1"/>
          <w14:textFill>
            <w14:solidFill>
              <w14:schemeClr w14:val="tx1"/>
            </w14:solidFill>
          </w14:textFill>
        </w:rPr>
        <w:t>项目土壤环境现状监测统计结果见表3.6-2。项目土壤现状各指标均满足《土壤环境质量建设用地土壤污染风险管控标准（试行）》（GB36600-2018）中第二类用地筛选值限制要求。</w:t>
      </w:r>
    </w:p>
    <w:p w14:paraId="7E95FF1F">
      <w:pPr>
        <w:pStyle w:val="41"/>
        <w:ind w:firstLine="240"/>
        <w:rPr>
          <w:color w:val="000000" w:themeColor="text1"/>
          <w14:textFill>
            <w14:solidFill>
              <w14:schemeClr w14:val="tx1"/>
            </w14:solidFill>
          </w14:textFill>
        </w:rPr>
      </w:pPr>
    </w:p>
    <w:p w14:paraId="7878755C">
      <w:pPr>
        <w:pStyle w:val="42"/>
        <w:ind w:left="480" w:firstLine="480"/>
        <w:rPr>
          <w:color w:val="000000" w:themeColor="text1"/>
          <w14:textFill>
            <w14:solidFill>
              <w14:schemeClr w14:val="tx1"/>
            </w14:solidFill>
          </w14:textFill>
        </w:rPr>
      </w:pPr>
    </w:p>
    <w:p w14:paraId="50F68D7C">
      <w:pPr>
        <w:pStyle w:val="7"/>
        <w:rPr>
          <w:color w:val="000000" w:themeColor="text1"/>
          <w14:textFill>
            <w14:solidFill>
              <w14:schemeClr w14:val="tx1"/>
            </w14:solidFill>
          </w14:textFill>
        </w:rPr>
      </w:pPr>
      <w:r>
        <w:rPr>
          <w:color w:val="000000" w:themeColor="text1"/>
          <w14:textFill>
            <w14:solidFill>
              <w14:schemeClr w14:val="tx1"/>
            </w14:solidFill>
          </w14:textFill>
        </w:rPr>
        <w:t xml:space="preserve">土壤环境现状监测结果及评价  </w:t>
      </w:r>
      <w:r>
        <w:rPr>
          <w:color w:val="000000" w:themeColor="text1"/>
          <w:sz w:val="18"/>
          <w:szCs w:val="18"/>
          <w14:textFill>
            <w14:solidFill>
              <w14:schemeClr w14:val="tx1"/>
            </w14:solidFill>
          </w14:textFill>
        </w:rPr>
        <w:t>单位：mg/kg</w:t>
      </w:r>
    </w:p>
    <w:tbl>
      <w:tblPr>
        <w:tblStyle w:val="43"/>
        <w:tblW w:w="874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822"/>
        <w:gridCol w:w="1415"/>
        <w:gridCol w:w="1132"/>
        <w:gridCol w:w="1321"/>
        <w:gridCol w:w="942"/>
        <w:gridCol w:w="1108"/>
      </w:tblGrid>
      <w:tr w14:paraId="1D4B2E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2822" w:type="dxa"/>
            <w:vMerge w:val="restart"/>
            <w:vAlign w:val="center"/>
          </w:tcPr>
          <w:p w14:paraId="56F8712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检测项目</w:t>
            </w:r>
          </w:p>
        </w:tc>
        <w:tc>
          <w:tcPr>
            <w:tcW w:w="3868" w:type="dxa"/>
            <w:gridSpan w:val="3"/>
            <w:vAlign w:val="center"/>
          </w:tcPr>
          <w:p w14:paraId="5F54CFF4">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检测结果及采样点位</w:t>
            </w:r>
          </w:p>
        </w:tc>
        <w:tc>
          <w:tcPr>
            <w:tcW w:w="942" w:type="dxa"/>
            <w:vMerge w:val="restart"/>
            <w:vAlign w:val="center"/>
          </w:tcPr>
          <w:p w14:paraId="6DAB753B">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标准值</w:t>
            </w:r>
          </w:p>
        </w:tc>
        <w:tc>
          <w:tcPr>
            <w:tcW w:w="1108" w:type="dxa"/>
            <w:vMerge w:val="restart"/>
            <w:vAlign w:val="center"/>
          </w:tcPr>
          <w:p w14:paraId="3899402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达标情况</w:t>
            </w:r>
          </w:p>
        </w:tc>
      </w:tr>
      <w:tr w14:paraId="7D8C95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2822" w:type="dxa"/>
            <w:vMerge w:val="continue"/>
            <w:vAlign w:val="center"/>
          </w:tcPr>
          <w:p w14:paraId="025E60F5">
            <w:pPr>
              <w:pStyle w:val="70"/>
              <w:rPr>
                <w:b/>
                <w:bCs/>
                <w:color w:val="000000" w:themeColor="text1"/>
                <w14:textFill>
                  <w14:solidFill>
                    <w14:schemeClr w14:val="tx1"/>
                  </w14:solidFill>
                </w14:textFill>
              </w:rPr>
            </w:pPr>
          </w:p>
        </w:tc>
        <w:tc>
          <w:tcPr>
            <w:tcW w:w="1415" w:type="dxa"/>
            <w:vAlign w:val="center"/>
          </w:tcPr>
          <w:p w14:paraId="1D3A9145">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 xml:space="preserve">T1 </w:t>
            </w:r>
          </w:p>
        </w:tc>
        <w:tc>
          <w:tcPr>
            <w:tcW w:w="1132" w:type="dxa"/>
            <w:vAlign w:val="center"/>
          </w:tcPr>
          <w:p w14:paraId="462E2BB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T2</w:t>
            </w:r>
          </w:p>
        </w:tc>
        <w:tc>
          <w:tcPr>
            <w:tcW w:w="1321" w:type="dxa"/>
            <w:vAlign w:val="center"/>
          </w:tcPr>
          <w:p w14:paraId="23D389E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T3</w:t>
            </w:r>
          </w:p>
        </w:tc>
        <w:tc>
          <w:tcPr>
            <w:tcW w:w="942" w:type="dxa"/>
            <w:vMerge w:val="continue"/>
            <w:vAlign w:val="center"/>
          </w:tcPr>
          <w:p w14:paraId="0523F366">
            <w:pPr>
              <w:pStyle w:val="70"/>
              <w:rPr>
                <w:b/>
                <w:bCs/>
                <w:color w:val="000000" w:themeColor="text1"/>
                <w14:textFill>
                  <w14:solidFill>
                    <w14:schemeClr w14:val="tx1"/>
                  </w14:solidFill>
                </w14:textFill>
              </w:rPr>
            </w:pPr>
          </w:p>
        </w:tc>
        <w:tc>
          <w:tcPr>
            <w:tcW w:w="1108" w:type="dxa"/>
            <w:vMerge w:val="continue"/>
            <w:vAlign w:val="center"/>
          </w:tcPr>
          <w:p w14:paraId="1033D34A">
            <w:pPr>
              <w:pStyle w:val="70"/>
              <w:rPr>
                <w:b/>
                <w:bCs/>
                <w:color w:val="000000" w:themeColor="text1"/>
                <w14:textFill>
                  <w14:solidFill>
                    <w14:schemeClr w14:val="tx1"/>
                  </w14:solidFill>
                </w14:textFill>
              </w:rPr>
            </w:pPr>
          </w:p>
        </w:tc>
      </w:tr>
      <w:tr w14:paraId="514726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347A921B">
            <w:pPr>
              <w:pStyle w:val="70"/>
              <w:rPr>
                <w:color w:val="000000" w:themeColor="text1"/>
                <w14:textFill>
                  <w14:solidFill>
                    <w14:schemeClr w14:val="tx1"/>
                  </w14:solidFill>
                </w14:textFill>
              </w:rPr>
            </w:pPr>
            <w:r>
              <w:rPr>
                <w:color w:val="000000" w:themeColor="text1"/>
                <w14:textFill>
                  <w14:solidFill>
                    <w14:schemeClr w14:val="tx1"/>
                  </w14:solidFill>
                </w14:textFill>
              </w:rPr>
              <w:t>土壤性状</w:t>
            </w:r>
          </w:p>
        </w:tc>
        <w:tc>
          <w:tcPr>
            <w:tcW w:w="1415" w:type="dxa"/>
            <w:vAlign w:val="center"/>
          </w:tcPr>
          <w:p w14:paraId="326CE1DD">
            <w:pPr>
              <w:pStyle w:val="70"/>
              <w:rPr>
                <w:color w:val="000000" w:themeColor="text1"/>
                <w14:textFill>
                  <w14:solidFill>
                    <w14:schemeClr w14:val="tx1"/>
                  </w14:solidFill>
                </w14:textFill>
              </w:rPr>
            </w:pPr>
          </w:p>
        </w:tc>
        <w:tc>
          <w:tcPr>
            <w:tcW w:w="1132" w:type="dxa"/>
            <w:vAlign w:val="center"/>
          </w:tcPr>
          <w:p w14:paraId="78BE0341">
            <w:pPr>
              <w:pStyle w:val="70"/>
              <w:rPr>
                <w:color w:val="000000" w:themeColor="text1"/>
                <w14:textFill>
                  <w14:solidFill>
                    <w14:schemeClr w14:val="tx1"/>
                  </w14:solidFill>
                </w14:textFill>
              </w:rPr>
            </w:pPr>
          </w:p>
        </w:tc>
        <w:tc>
          <w:tcPr>
            <w:tcW w:w="1321" w:type="dxa"/>
            <w:vAlign w:val="center"/>
          </w:tcPr>
          <w:p w14:paraId="2D897765">
            <w:pPr>
              <w:pStyle w:val="70"/>
              <w:rPr>
                <w:color w:val="000000" w:themeColor="text1"/>
                <w14:textFill>
                  <w14:solidFill>
                    <w14:schemeClr w14:val="tx1"/>
                  </w14:solidFill>
                </w14:textFill>
              </w:rPr>
            </w:pPr>
          </w:p>
        </w:tc>
        <w:tc>
          <w:tcPr>
            <w:tcW w:w="942" w:type="dxa"/>
            <w:vAlign w:val="center"/>
          </w:tcPr>
          <w:p w14:paraId="73FC06BB">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108" w:type="dxa"/>
            <w:vAlign w:val="center"/>
          </w:tcPr>
          <w:p w14:paraId="44FF5B8F">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2BF503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4D07BCFC">
            <w:pPr>
              <w:pStyle w:val="70"/>
              <w:rPr>
                <w:color w:val="000000" w:themeColor="text1"/>
                <w14:textFill>
                  <w14:solidFill>
                    <w14:schemeClr w14:val="tx1"/>
                  </w14:solidFill>
                </w14:textFill>
              </w:rPr>
            </w:pPr>
            <w:r>
              <w:rPr>
                <w:color w:val="000000" w:themeColor="text1"/>
                <w:kern w:val="0"/>
                <w14:textFill>
                  <w14:solidFill>
                    <w14:schemeClr w14:val="tx1"/>
                  </w14:solidFill>
                </w14:textFill>
              </w:rPr>
              <w:t>氧化还原电位（mV）</w:t>
            </w:r>
          </w:p>
        </w:tc>
        <w:tc>
          <w:tcPr>
            <w:tcW w:w="1415" w:type="dxa"/>
            <w:vAlign w:val="center"/>
          </w:tcPr>
          <w:p w14:paraId="57EFD838">
            <w:pPr>
              <w:pStyle w:val="70"/>
              <w:rPr>
                <w:color w:val="000000" w:themeColor="text1"/>
                <w14:textFill>
                  <w14:solidFill>
                    <w14:schemeClr w14:val="tx1"/>
                  </w14:solidFill>
                </w14:textFill>
              </w:rPr>
            </w:pPr>
          </w:p>
        </w:tc>
        <w:tc>
          <w:tcPr>
            <w:tcW w:w="1132" w:type="dxa"/>
            <w:vAlign w:val="center"/>
          </w:tcPr>
          <w:p w14:paraId="1FDDF31D">
            <w:pPr>
              <w:pStyle w:val="70"/>
              <w:rPr>
                <w:color w:val="000000" w:themeColor="text1"/>
                <w14:textFill>
                  <w14:solidFill>
                    <w14:schemeClr w14:val="tx1"/>
                  </w14:solidFill>
                </w14:textFill>
              </w:rPr>
            </w:pPr>
          </w:p>
        </w:tc>
        <w:tc>
          <w:tcPr>
            <w:tcW w:w="1321" w:type="dxa"/>
            <w:vAlign w:val="center"/>
          </w:tcPr>
          <w:p w14:paraId="7D10A3C6">
            <w:pPr>
              <w:pStyle w:val="70"/>
              <w:rPr>
                <w:color w:val="000000" w:themeColor="text1"/>
                <w14:textFill>
                  <w14:solidFill>
                    <w14:schemeClr w14:val="tx1"/>
                  </w14:solidFill>
                </w14:textFill>
              </w:rPr>
            </w:pPr>
          </w:p>
        </w:tc>
        <w:tc>
          <w:tcPr>
            <w:tcW w:w="942" w:type="dxa"/>
            <w:vAlign w:val="center"/>
          </w:tcPr>
          <w:p w14:paraId="3871D284">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108" w:type="dxa"/>
            <w:vAlign w:val="center"/>
          </w:tcPr>
          <w:p w14:paraId="18430450">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2F2287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70530E4B">
            <w:pPr>
              <w:pStyle w:val="70"/>
              <w:rPr>
                <w:color w:val="000000" w:themeColor="text1"/>
                <w14:textFill>
                  <w14:solidFill>
                    <w14:schemeClr w14:val="tx1"/>
                  </w14:solidFill>
                </w14:textFill>
              </w:rPr>
            </w:pPr>
            <w:r>
              <w:rPr>
                <w:color w:val="000000" w:themeColor="text1"/>
                <w:kern w:val="0"/>
                <w14:textFill>
                  <w14:solidFill>
                    <w14:schemeClr w14:val="tx1"/>
                  </w14:solidFill>
                </w14:textFill>
              </w:rPr>
              <w:t>砷（mg/kg）</w:t>
            </w:r>
          </w:p>
        </w:tc>
        <w:tc>
          <w:tcPr>
            <w:tcW w:w="1415" w:type="dxa"/>
            <w:vAlign w:val="center"/>
          </w:tcPr>
          <w:p w14:paraId="04151D8C">
            <w:pPr>
              <w:pStyle w:val="70"/>
              <w:rPr>
                <w:color w:val="000000" w:themeColor="text1"/>
                <w14:textFill>
                  <w14:solidFill>
                    <w14:schemeClr w14:val="tx1"/>
                  </w14:solidFill>
                </w14:textFill>
              </w:rPr>
            </w:pPr>
          </w:p>
        </w:tc>
        <w:tc>
          <w:tcPr>
            <w:tcW w:w="1132" w:type="dxa"/>
            <w:vAlign w:val="center"/>
          </w:tcPr>
          <w:p w14:paraId="7242AEE0">
            <w:pPr>
              <w:pStyle w:val="70"/>
              <w:rPr>
                <w:color w:val="000000" w:themeColor="text1"/>
                <w14:textFill>
                  <w14:solidFill>
                    <w14:schemeClr w14:val="tx1"/>
                  </w14:solidFill>
                </w14:textFill>
              </w:rPr>
            </w:pPr>
          </w:p>
        </w:tc>
        <w:tc>
          <w:tcPr>
            <w:tcW w:w="1321" w:type="dxa"/>
            <w:vAlign w:val="center"/>
          </w:tcPr>
          <w:p w14:paraId="6D500906">
            <w:pPr>
              <w:pStyle w:val="70"/>
              <w:rPr>
                <w:color w:val="000000" w:themeColor="text1"/>
                <w14:textFill>
                  <w14:solidFill>
                    <w14:schemeClr w14:val="tx1"/>
                  </w14:solidFill>
                </w14:textFill>
              </w:rPr>
            </w:pPr>
          </w:p>
        </w:tc>
        <w:tc>
          <w:tcPr>
            <w:tcW w:w="942" w:type="dxa"/>
            <w:vAlign w:val="center"/>
          </w:tcPr>
          <w:p w14:paraId="05F7AC64">
            <w:pPr>
              <w:pStyle w:val="70"/>
              <w:rPr>
                <w:color w:val="000000" w:themeColor="text1"/>
                <w14:textFill>
                  <w14:solidFill>
                    <w14:schemeClr w14:val="tx1"/>
                  </w14:solidFill>
                </w14:textFill>
              </w:rPr>
            </w:pPr>
            <w:r>
              <w:rPr>
                <w:color w:val="000000" w:themeColor="text1"/>
                <w14:textFill>
                  <w14:solidFill>
                    <w14:schemeClr w14:val="tx1"/>
                  </w14:solidFill>
                </w14:textFill>
              </w:rPr>
              <w:t>60</w:t>
            </w:r>
          </w:p>
        </w:tc>
        <w:tc>
          <w:tcPr>
            <w:tcW w:w="1108" w:type="dxa"/>
            <w:vAlign w:val="center"/>
          </w:tcPr>
          <w:p w14:paraId="4F2E3054">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1D309D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09E89860">
            <w:pPr>
              <w:pStyle w:val="70"/>
              <w:rPr>
                <w:color w:val="000000" w:themeColor="text1"/>
                <w14:textFill>
                  <w14:solidFill>
                    <w14:schemeClr w14:val="tx1"/>
                  </w14:solidFill>
                </w14:textFill>
              </w:rPr>
            </w:pPr>
            <w:r>
              <w:rPr>
                <w:color w:val="000000" w:themeColor="text1"/>
                <w:kern w:val="0"/>
                <w14:textFill>
                  <w14:solidFill>
                    <w14:schemeClr w14:val="tx1"/>
                  </w14:solidFill>
                </w14:textFill>
              </w:rPr>
              <w:t>六价铬（mg/kg）</w:t>
            </w:r>
          </w:p>
        </w:tc>
        <w:tc>
          <w:tcPr>
            <w:tcW w:w="1415" w:type="dxa"/>
            <w:vAlign w:val="center"/>
          </w:tcPr>
          <w:p w14:paraId="44169F16">
            <w:pPr>
              <w:pStyle w:val="70"/>
              <w:rPr>
                <w:color w:val="000000" w:themeColor="text1"/>
                <w14:textFill>
                  <w14:solidFill>
                    <w14:schemeClr w14:val="tx1"/>
                  </w14:solidFill>
                </w14:textFill>
              </w:rPr>
            </w:pPr>
          </w:p>
        </w:tc>
        <w:tc>
          <w:tcPr>
            <w:tcW w:w="1132" w:type="dxa"/>
            <w:vAlign w:val="center"/>
          </w:tcPr>
          <w:p w14:paraId="3CF54E0D">
            <w:pPr>
              <w:pStyle w:val="70"/>
              <w:rPr>
                <w:color w:val="000000" w:themeColor="text1"/>
                <w14:textFill>
                  <w14:solidFill>
                    <w14:schemeClr w14:val="tx1"/>
                  </w14:solidFill>
                </w14:textFill>
              </w:rPr>
            </w:pPr>
          </w:p>
        </w:tc>
        <w:tc>
          <w:tcPr>
            <w:tcW w:w="1321" w:type="dxa"/>
            <w:vAlign w:val="center"/>
          </w:tcPr>
          <w:p w14:paraId="2E8CA376">
            <w:pPr>
              <w:pStyle w:val="70"/>
              <w:rPr>
                <w:color w:val="000000" w:themeColor="text1"/>
                <w14:textFill>
                  <w14:solidFill>
                    <w14:schemeClr w14:val="tx1"/>
                  </w14:solidFill>
                </w14:textFill>
              </w:rPr>
            </w:pPr>
          </w:p>
        </w:tc>
        <w:tc>
          <w:tcPr>
            <w:tcW w:w="942" w:type="dxa"/>
            <w:vAlign w:val="center"/>
          </w:tcPr>
          <w:p w14:paraId="5F2D81E4">
            <w:pPr>
              <w:pStyle w:val="70"/>
              <w:rPr>
                <w:color w:val="000000" w:themeColor="text1"/>
                <w14:textFill>
                  <w14:solidFill>
                    <w14:schemeClr w14:val="tx1"/>
                  </w14:solidFill>
                </w14:textFill>
              </w:rPr>
            </w:pPr>
            <w:r>
              <w:rPr>
                <w:color w:val="000000" w:themeColor="text1"/>
                <w14:textFill>
                  <w14:solidFill>
                    <w14:schemeClr w14:val="tx1"/>
                  </w14:solidFill>
                </w14:textFill>
              </w:rPr>
              <w:t>5.7</w:t>
            </w:r>
          </w:p>
        </w:tc>
        <w:tc>
          <w:tcPr>
            <w:tcW w:w="1108" w:type="dxa"/>
            <w:vAlign w:val="center"/>
          </w:tcPr>
          <w:p w14:paraId="01C40B1C">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4733B4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1827198A">
            <w:pPr>
              <w:pStyle w:val="70"/>
              <w:rPr>
                <w:color w:val="000000" w:themeColor="text1"/>
                <w14:textFill>
                  <w14:solidFill>
                    <w14:schemeClr w14:val="tx1"/>
                  </w14:solidFill>
                </w14:textFill>
              </w:rPr>
            </w:pPr>
            <w:r>
              <w:rPr>
                <w:color w:val="000000" w:themeColor="text1"/>
                <w:kern w:val="0"/>
                <w14:textFill>
                  <w14:solidFill>
                    <w14:schemeClr w14:val="tx1"/>
                  </w14:solidFill>
                </w14:textFill>
              </w:rPr>
              <w:t>铜（mg/kg）</w:t>
            </w:r>
          </w:p>
        </w:tc>
        <w:tc>
          <w:tcPr>
            <w:tcW w:w="1415" w:type="dxa"/>
            <w:vAlign w:val="center"/>
          </w:tcPr>
          <w:p w14:paraId="7996C3F3">
            <w:pPr>
              <w:pStyle w:val="70"/>
              <w:rPr>
                <w:color w:val="000000" w:themeColor="text1"/>
                <w14:textFill>
                  <w14:solidFill>
                    <w14:schemeClr w14:val="tx1"/>
                  </w14:solidFill>
                </w14:textFill>
              </w:rPr>
            </w:pPr>
          </w:p>
        </w:tc>
        <w:tc>
          <w:tcPr>
            <w:tcW w:w="1132" w:type="dxa"/>
            <w:vAlign w:val="center"/>
          </w:tcPr>
          <w:p w14:paraId="74A88A7C">
            <w:pPr>
              <w:pStyle w:val="70"/>
              <w:rPr>
                <w:color w:val="000000" w:themeColor="text1"/>
                <w14:textFill>
                  <w14:solidFill>
                    <w14:schemeClr w14:val="tx1"/>
                  </w14:solidFill>
                </w14:textFill>
              </w:rPr>
            </w:pPr>
          </w:p>
        </w:tc>
        <w:tc>
          <w:tcPr>
            <w:tcW w:w="1321" w:type="dxa"/>
            <w:vAlign w:val="center"/>
          </w:tcPr>
          <w:p w14:paraId="129161F6">
            <w:pPr>
              <w:pStyle w:val="70"/>
              <w:rPr>
                <w:color w:val="000000" w:themeColor="text1"/>
                <w14:textFill>
                  <w14:solidFill>
                    <w14:schemeClr w14:val="tx1"/>
                  </w14:solidFill>
                </w14:textFill>
              </w:rPr>
            </w:pPr>
          </w:p>
        </w:tc>
        <w:tc>
          <w:tcPr>
            <w:tcW w:w="942" w:type="dxa"/>
            <w:vAlign w:val="center"/>
          </w:tcPr>
          <w:p w14:paraId="4B989B63">
            <w:pPr>
              <w:pStyle w:val="70"/>
              <w:rPr>
                <w:color w:val="000000" w:themeColor="text1"/>
                <w14:textFill>
                  <w14:solidFill>
                    <w14:schemeClr w14:val="tx1"/>
                  </w14:solidFill>
                </w14:textFill>
              </w:rPr>
            </w:pPr>
            <w:r>
              <w:rPr>
                <w:color w:val="000000" w:themeColor="text1"/>
                <w14:textFill>
                  <w14:solidFill>
                    <w14:schemeClr w14:val="tx1"/>
                  </w14:solidFill>
                </w14:textFill>
              </w:rPr>
              <w:t>18000</w:t>
            </w:r>
          </w:p>
        </w:tc>
        <w:tc>
          <w:tcPr>
            <w:tcW w:w="1108" w:type="dxa"/>
            <w:vAlign w:val="center"/>
          </w:tcPr>
          <w:p w14:paraId="45AAFED2">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1CA9A6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62B17271">
            <w:pPr>
              <w:pStyle w:val="70"/>
              <w:rPr>
                <w:color w:val="000000" w:themeColor="text1"/>
                <w14:textFill>
                  <w14:solidFill>
                    <w14:schemeClr w14:val="tx1"/>
                  </w14:solidFill>
                </w14:textFill>
              </w:rPr>
            </w:pPr>
            <w:r>
              <w:rPr>
                <w:color w:val="000000" w:themeColor="text1"/>
                <w:kern w:val="0"/>
                <w14:textFill>
                  <w14:solidFill>
                    <w14:schemeClr w14:val="tx1"/>
                  </w14:solidFill>
                </w14:textFill>
              </w:rPr>
              <w:t>镍（mg/kg）</w:t>
            </w:r>
          </w:p>
        </w:tc>
        <w:tc>
          <w:tcPr>
            <w:tcW w:w="1415" w:type="dxa"/>
            <w:vAlign w:val="center"/>
          </w:tcPr>
          <w:p w14:paraId="4B18FC48">
            <w:pPr>
              <w:pStyle w:val="70"/>
              <w:rPr>
                <w:color w:val="000000" w:themeColor="text1"/>
                <w14:textFill>
                  <w14:solidFill>
                    <w14:schemeClr w14:val="tx1"/>
                  </w14:solidFill>
                </w14:textFill>
              </w:rPr>
            </w:pPr>
          </w:p>
        </w:tc>
        <w:tc>
          <w:tcPr>
            <w:tcW w:w="1132" w:type="dxa"/>
            <w:vAlign w:val="center"/>
          </w:tcPr>
          <w:p w14:paraId="03A1B89A">
            <w:pPr>
              <w:pStyle w:val="70"/>
              <w:rPr>
                <w:color w:val="000000" w:themeColor="text1"/>
                <w14:textFill>
                  <w14:solidFill>
                    <w14:schemeClr w14:val="tx1"/>
                  </w14:solidFill>
                </w14:textFill>
              </w:rPr>
            </w:pPr>
          </w:p>
        </w:tc>
        <w:tc>
          <w:tcPr>
            <w:tcW w:w="1321" w:type="dxa"/>
            <w:vAlign w:val="center"/>
          </w:tcPr>
          <w:p w14:paraId="4EAEB2DA">
            <w:pPr>
              <w:pStyle w:val="70"/>
              <w:rPr>
                <w:color w:val="000000" w:themeColor="text1"/>
                <w14:textFill>
                  <w14:solidFill>
                    <w14:schemeClr w14:val="tx1"/>
                  </w14:solidFill>
                </w14:textFill>
              </w:rPr>
            </w:pPr>
          </w:p>
        </w:tc>
        <w:tc>
          <w:tcPr>
            <w:tcW w:w="942" w:type="dxa"/>
            <w:vAlign w:val="center"/>
          </w:tcPr>
          <w:p w14:paraId="29873611">
            <w:pPr>
              <w:pStyle w:val="70"/>
              <w:rPr>
                <w:color w:val="000000" w:themeColor="text1"/>
                <w14:textFill>
                  <w14:solidFill>
                    <w14:schemeClr w14:val="tx1"/>
                  </w14:solidFill>
                </w14:textFill>
              </w:rPr>
            </w:pPr>
            <w:r>
              <w:rPr>
                <w:color w:val="000000" w:themeColor="text1"/>
                <w14:textFill>
                  <w14:solidFill>
                    <w14:schemeClr w14:val="tx1"/>
                  </w14:solidFill>
                </w14:textFill>
              </w:rPr>
              <w:t>900</w:t>
            </w:r>
          </w:p>
        </w:tc>
        <w:tc>
          <w:tcPr>
            <w:tcW w:w="1108" w:type="dxa"/>
            <w:vAlign w:val="center"/>
          </w:tcPr>
          <w:p w14:paraId="7A06E20A">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07C83D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335C4034">
            <w:pPr>
              <w:pStyle w:val="70"/>
              <w:rPr>
                <w:color w:val="000000" w:themeColor="text1"/>
                <w14:textFill>
                  <w14:solidFill>
                    <w14:schemeClr w14:val="tx1"/>
                  </w14:solidFill>
                </w14:textFill>
              </w:rPr>
            </w:pPr>
            <w:r>
              <w:rPr>
                <w:color w:val="000000" w:themeColor="text1"/>
                <w:kern w:val="0"/>
                <w14:textFill>
                  <w14:solidFill>
                    <w14:schemeClr w14:val="tx1"/>
                  </w14:solidFill>
                </w14:textFill>
              </w:rPr>
              <w:t>铅（mg/kg）</w:t>
            </w:r>
          </w:p>
        </w:tc>
        <w:tc>
          <w:tcPr>
            <w:tcW w:w="1415" w:type="dxa"/>
            <w:vAlign w:val="center"/>
          </w:tcPr>
          <w:p w14:paraId="5CACC932">
            <w:pPr>
              <w:pStyle w:val="70"/>
              <w:rPr>
                <w:color w:val="000000" w:themeColor="text1"/>
                <w14:textFill>
                  <w14:solidFill>
                    <w14:schemeClr w14:val="tx1"/>
                  </w14:solidFill>
                </w14:textFill>
              </w:rPr>
            </w:pPr>
          </w:p>
        </w:tc>
        <w:tc>
          <w:tcPr>
            <w:tcW w:w="1132" w:type="dxa"/>
            <w:vAlign w:val="center"/>
          </w:tcPr>
          <w:p w14:paraId="2C2C8425">
            <w:pPr>
              <w:pStyle w:val="70"/>
              <w:rPr>
                <w:color w:val="000000" w:themeColor="text1"/>
                <w14:textFill>
                  <w14:solidFill>
                    <w14:schemeClr w14:val="tx1"/>
                  </w14:solidFill>
                </w14:textFill>
              </w:rPr>
            </w:pPr>
          </w:p>
        </w:tc>
        <w:tc>
          <w:tcPr>
            <w:tcW w:w="1321" w:type="dxa"/>
            <w:vAlign w:val="center"/>
          </w:tcPr>
          <w:p w14:paraId="07B07BA4">
            <w:pPr>
              <w:pStyle w:val="70"/>
              <w:rPr>
                <w:color w:val="000000" w:themeColor="text1"/>
                <w14:textFill>
                  <w14:solidFill>
                    <w14:schemeClr w14:val="tx1"/>
                  </w14:solidFill>
                </w14:textFill>
              </w:rPr>
            </w:pPr>
          </w:p>
        </w:tc>
        <w:tc>
          <w:tcPr>
            <w:tcW w:w="942" w:type="dxa"/>
            <w:vAlign w:val="center"/>
          </w:tcPr>
          <w:p w14:paraId="1DD854A8">
            <w:pPr>
              <w:pStyle w:val="70"/>
              <w:rPr>
                <w:color w:val="000000" w:themeColor="text1"/>
                <w14:textFill>
                  <w14:solidFill>
                    <w14:schemeClr w14:val="tx1"/>
                  </w14:solidFill>
                </w14:textFill>
              </w:rPr>
            </w:pPr>
            <w:r>
              <w:rPr>
                <w:color w:val="000000" w:themeColor="text1"/>
                <w14:textFill>
                  <w14:solidFill>
                    <w14:schemeClr w14:val="tx1"/>
                  </w14:solidFill>
                </w14:textFill>
              </w:rPr>
              <w:t>800</w:t>
            </w:r>
          </w:p>
        </w:tc>
        <w:tc>
          <w:tcPr>
            <w:tcW w:w="1108" w:type="dxa"/>
            <w:vAlign w:val="center"/>
          </w:tcPr>
          <w:p w14:paraId="0506B284">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24D133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4639E4C6">
            <w:pPr>
              <w:pStyle w:val="70"/>
              <w:rPr>
                <w:color w:val="000000" w:themeColor="text1"/>
                <w14:textFill>
                  <w14:solidFill>
                    <w14:schemeClr w14:val="tx1"/>
                  </w14:solidFill>
                </w14:textFill>
              </w:rPr>
            </w:pPr>
            <w:r>
              <w:rPr>
                <w:color w:val="000000" w:themeColor="text1"/>
                <w:kern w:val="0"/>
                <w14:textFill>
                  <w14:solidFill>
                    <w14:schemeClr w14:val="tx1"/>
                  </w14:solidFill>
                </w14:textFill>
              </w:rPr>
              <w:t>镉（mg/kg）</w:t>
            </w:r>
          </w:p>
        </w:tc>
        <w:tc>
          <w:tcPr>
            <w:tcW w:w="1415" w:type="dxa"/>
            <w:vAlign w:val="center"/>
          </w:tcPr>
          <w:p w14:paraId="1C2A2427">
            <w:pPr>
              <w:pStyle w:val="70"/>
              <w:rPr>
                <w:color w:val="000000" w:themeColor="text1"/>
                <w14:textFill>
                  <w14:solidFill>
                    <w14:schemeClr w14:val="tx1"/>
                  </w14:solidFill>
                </w14:textFill>
              </w:rPr>
            </w:pPr>
          </w:p>
        </w:tc>
        <w:tc>
          <w:tcPr>
            <w:tcW w:w="1132" w:type="dxa"/>
            <w:vAlign w:val="center"/>
          </w:tcPr>
          <w:p w14:paraId="09F1F0AF">
            <w:pPr>
              <w:pStyle w:val="70"/>
              <w:rPr>
                <w:color w:val="000000" w:themeColor="text1"/>
                <w14:textFill>
                  <w14:solidFill>
                    <w14:schemeClr w14:val="tx1"/>
                  </w14:solidFill>
                </w14:textFill>
              </w:rPr>
            </w:pPr>
          </w:p>
        </w:tc>
        <w:tc>
          <w:tcPr>
            <w:tcW w:w="1321" w:type="dxa"/>
            <w:vAlign w:val="center"/>
          </w:tcPr>
          <w:p w14:paraId="2096AC0C">
            <w:pPr>
              <w:pStyle w:val="70"/>
              <w:rPr>
                <w:color w:val="000000" w:themeColor="text1"/>
                <w14:textFill>
                  <w14:solidFill>
                    <w14:schemeClr w14:val="tx1"/>
                  </w14:solidFill>
                </w14:textFill>
              </w:rPr>
            </w:pPr>
          </w:p>
        </w:tc>
        <w:tc>
          <w:tcPr>
            <w:tcW w:w="942" w:type="dxa"/>
            <w:vAlign w:val="center"/>
          </w:tcPr>
          <w:p w14:paraId="4309442A">
            <w:pPr>
              <w:pStyle w:val="70"/>
              <w:rPr>
                <w:color w:val="000000" w:themeColor="text1"/>
                <w14:textFill>
                  <w14:solidFill>
                    <w14:schemeClr w14:val="tx1"/>
                  </w14:solidFill>
                </w14:textFill>
              </w:rPr>
            </w:pPr>
            <w:r>
              <w:rPr>
                <w:color w:val="000000" w:themeColor="text1"/>
                <w14:textFill>
                  <w14:solidFill>
                    <w14:schemeClr w14:val="tx1"/>
                  </w14:solidFill>
                </w14:textFill>
              </w:rPr>
              <w:t>65</w:t>
            </w:r>
          </w:p>
        </w:tc>
        <w:tc>
          <w:tcPr>
            <w:tcW w:w="1108" w:type="dxa"/>
            <w:vAlign w:val="center"/>
          </w:tcPr>
          <w:p w14:paraId="045E3E94">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5DFB7D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4A606553">
            <w:pPr>
              <w:pStyle w:val="70"/>
              <w:rPr>
                <w:color w:val="000000" w:themeColor="text1"/>
                <w14:textFill>
                  <w14:solidFill>
                    <w14:schemeClr w14:val="tx1"/>
                  </w14:solidFill>
                </w14:textFill>
              </w:rPr>
            </w:pPr>
            <w:r>
              <w:rPr>
                <w:color w:val="000000" w:themeColor="text1"/>
                <w:kern w:val="0"/>
                <w14:textFill>
                  <w14:solidFill>
                    <w14:schemeClr w14:val="tx1"/>
                  </w14:solidFill>
                </w14:textFill>
              </w:rPr>
              <w:t>汞（mg/kg）</w:t>
            </w:r>
          </w:p>
        </w:tc>
        <w:tc>
          <w:tcPr>
            <w:tcW w:w="1415" w:type="dxa"/>
            <w:vAlign w:val="center"/>
          </w:tcPr>
          <w:p w14:paraId="4B25DF77">
            <w:pPr>
              <w:pStyle w:val="70"/>
              <w:rPr>
                <w:color w:val="000000" w:themeColor="text1"/>
                <w14:textFill>
                  <w14:solidFill>
                    <w14:schemeClr w14:val="tx1"/>
                  </w14:solidFill>
                </w14:textFill>
              </w:rPr>
            </w:pPr>
          </w:p>
        </w:tc>
        <w:tc>
          <w:tcPr>
            <w:tcW w:w="1132" w:type="dxa"/>
            <w:vAlign w:val="center"/>
          </w:tcPr>
          <w:p w14:paraId="0ADBD799">
            <w:pPr>
              <w:pStyle w:val="70"/>
              <w:rPr>
                <w:color w:val="000000" w:themeColor="text1"/>
                <w14:textFill>
                  <w14:solidFill>
                    <w14:schemeClr w14:val="tx1"/>
                  </w14:solidFill>
                </w14:textFill>
              </w:rPr>
            </w:pPr>
          </w:p>
        </w:tc>
        <w:tc>
          <w:tcPr>
            <w:tcW w:w="1321" w:type="dxa"/>
            <w:vAlign w:val="center"/>
          </w:tcPr>
          <w:p w14:paraId="1F4BF9B3">
            <w:pPr>
              <w:pStyle w:val="70"/>
              <w:rPr>
                <w:color w:val="000000" w:themeColor="text1"/>
                <w14:textFill>
                  <w14:solidFill>
                    <w14:schemeClr w14:val="tx1"/>
                  </w14:solidFill>
                </w14:textFill>
              </w:rPr>
            </w:pPr>
          </w:p>
        </w:tc>
        <w:tc>
          <w:tcPr>
            <w:tcW w:w="942" w:type="dxa"/>
            <w:vAlign w:val="center"/>
          </w:tcPr>
          <w:p w14:paraId="19474E91">
            <w:pPr>
              <w:pStyle w:val="70"/>
              <w:rPr>
                <w:color w:val="000000" w:themeColor="text1"/>
                <w14:textFill>
                  <w14:solidFill>
                    <w14:schemeClr w14:val="tx1"/>
                  </w14:solidFill>
                </w14:textFill>
              </w:rPr>
            </w:pPr>
            <w:r>
              <w:rPr>
                <w:color w:val="000000" w:themeColor="text1"/>
                <w14:textFill>
                  <w14:solidFill>
                    <w14:schemeClr w14:val="tx1"/>
                  </w14:solidFill>
                </w14:textFill>
              </w:rPr>
              <w:t>38</w:t>
            </w:r>
          </w:p>
        </w:tc>
        <w:tc>
          <w:tcPr>
            <w:tcW w:w="1108" w:type="dxa"/>
            <w:vAlign w:val="center"/>
          </w:tcPr>
          <w:p w14:paraId="4A2F9927">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7E728C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4C33233B">
            <w:pPr>
              <w:pStyle w:val="70"/>
              <w:rPr>
                <w:color w:val="000000" w:themeColor="text1"/>
                <w14:textFill>
                  <w14:solidFill>
                    <w14:schemeClr w14:val="tx1"/>
                  </w14:solidFill>
                </w14:textFill>
              </w:rPr>
            </w:pPr>
            <w:r>
              <w:rPr>
                <w:color w:val="000000" w:themeColor="text1"/>
                <w14:textFill>
                  <w14:solidFill>
                    <w14:schemeClr w14:val="tx1"/>
                  </w14:solidFill>
                </w14:textFill>
              </w:rPr>
              <w:t>pH值（无量纲）</w:t>
            </w:r>
          </w:p>
        </w:tc>
        <w:tc>
          <w:tcPr>
            <w:tcW w:w="1415" w:type="dxa"/>
            <w:vAlign w:val="center"/>
          </w:tcPr>
          <w:p w14:paraId="19586587">
            <w:pPr>
              <w:pStyle w:val="70"/>
              <w:rPr>
                <w:color w:val="000000" w:themeColor="text1"/>
                <w14:textFill>
                  <w14:solidFill>
                    <w14:schemeClr w14:val="tx1"/>
                  </w14:solidFill>
                </w14:textFill>
              </w:rPr>
            </w:pPr>
          </w:p>
        </w:tc>
        <w:tc>
          <w:tcPr>
            <w:tcW w:w="1132" w:type="dxa"/>
            <w:vAlign w:val="center"/>
          </w:tcPr>
          <w:p w14:paraId="2B174B9F">
            <w:pPr>
              <w:pStyle w:val="70"/>
              <w:rPr>
                <w:color w:val="000000" w:themeColor="text1"/>
                <w14:textFill>
                  <w14:solidFill>
                    <w14:schemeClr w14:val="tx1"/>
                  </w14:solidFill>
                </w14:textFill>
              </w:rPr>
            </w:pPr>
          </w:p>
        </w:tc>
        <w:tc>
          <w:tcPr>
            <w:tcW w:w="1321" w:type="dxa"/>
            <w:vAlign w:val="center"/>
          </w:tcPr>
          <w:p w14:paraId="1B7C2E29">
            <w:pPr>
              <w:pStyle w:val="70"/>
              <w:rPr>
                <w:color w:val="000000" w:themeColor="text1"/>
                <w14:textFill>
                  <w14:solidFill>
                    <w14:schemeClr w14:val="tx1"/>
                  </w14:solidFill>
                </w14:textFill>
              </w:rPr>
            </w:pPr>
          </w:p>
        </w:tc>
        <w:tc>
          <w:tcPr>
            <w:tcW w:w="942" w:type="dxa"/>
            <w:vAlign w:val="center"/>
          </w:tcPr>
          <w:p w14:paraId="1CC26A7B">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108" w:type="dxa"/>
            <w:vAlign w:val="center"/>
          </w:tcPr>
          <w:p w14:paraId="7D6A8A63">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3787F4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75EE532D">
            <w:pPr>
              <w:pStyle w:val="70"/>
              <w:rPr>
                <w:color w:val="000000" w:themeColor="text1"/>
                <w14:textFill>
                  <w14:solidFill>
                    <w14:schemeClr w14:val="tx1"/>
                  </w14:solidFill>
                </w14:textFill>
              </w:rPr>
            </w:pPr>
            <w:r>
              <w:rPr>
                <w:color w:val="000000" w:themeColor="text1"/>
                <w14:textFill>
                  <w14:solidFill>
                    <w14:schemeClr w14:val="tx1"/>
                  </w14:solidFill>
                </w14:textFill>
              </w:rPr>
              <w:t>阳离子交换量（cmol</w:t>
            </w:r>
            <w:r>
              <w:rPr>
                <w:color w:val="000000" w:themeColor="text1"/>
                <w:vertAlign w:val="superscript"/>
                <w14:textFill>
                  <w14:solidFill>
                    <w14:schemeClr w14:val="tx1"/>
                  </w14:solidFill>
                </w14:textFill>
              </w:rPr>
              <w:t>+</w:t>
            </w:r>
            <w:r>
              <w:rPr>
                <w:color w:val="000000" w:themeColor="text1"/>
                <w14:textFill>
                  <w14:solidFill>
                    <w14:schemeClr w14:val="tx1"/>
                  </w14:solidFill>
                </w14:textFill>
              </w:rPr>
              <w:t>/kg）</w:t>
            </w:r>
          </w:p>
        </w:tc>
        <w:tc>
          <w:tcPr>
            <w:tcW w:w="1415" w:type="dxa"/>
            <w:vAlign w:val="center"/>
          </w:tcPr>
          <w:p w14:paraId="27B732C6">
            <w:pPr>
              <w:pStyle w:val="70"/>
              <w:rPr>
                <w:color w:val="000000" w:themeColor="text1"/>
                <w14:textFill>
                  <w14:solidFill>
                    <w14:schemeClr w14:val="tx1"/>
                  </w14:solidFill>
                </w14:textFill>
              </w:rPr>
            </w:pPr>
          </w:p>
        </w:tc>
        <w:tc>
          <w:tcPr>
            <w:tcW w:w="1132" w:type="dxa"/>
            <w:vAlign w:val="center"/>
          </w:tcPr>
          <w:p w14:paraId="37C5D423">
            <w:pPr>
              <w:pStyle w:val="70"/>
              <w:rPr>
                <w:color w:val="000000" w:themeColor="text1"/>
                <w14:textFill>
                  <w14:solidFill>
                    <w14:schemeClr w14:val="tx1"/>
                  </w14:solidFill>
                </w14:textFill>
              </w:rPr>
            </w:pPr>
          </w:p>
        </w:tc>
        <w:tc>
          <w:tcPr>
            <w:tcW w:w="1321" w:type="dxa"/>
            <w:vAlign w:val="center"/>
          </w:tcPr>
          <w:p w14:paraId="5935377E">
            <w:pPr>
              <w:pStyle w:val="70"/>
              <w:rPr>
                <w:color w:val="000000" w:themeColor="text1"/>
                <w14:textFill>
                  <w14:solidFill>
                    <w14:schemeClr w14:val="tx1"/>
                  </w14:solidFill>
                </w14:textFill>
              </w:rPr>
            </w:pPr>
          </w:p>
        </w:tc>
        <w:tc>
          <w:tcPr>
            <w:tcW w:w="942" w:type="dxa"/>
            <w:vAlign w:val="center"/>
          </w:tcPr>
          <w:p w14:paraId="2E280C24">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108" w:type="dxa"/>
            <w:vAlign w:val="center"/>
          </w:tcPr>
          <w:p w14:paraId="2416E43B">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67E11A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6B481A9A">
            <w:pPr>
              <w:pStyle w:val="70"/>
              <w:rPr>
                <w:color w:val="000000" w:themeColor="text1"/>
                <w14:textFill>
                  <w14:solidFill>
                    <w14:schemeClr w14:val="tx1"/>
                  </w14:solidFill>
                </w14:textFill>
              </w:rPr>
            </w:pPr>
            <w:r>
              <w:rPr>
                <w:color w:val="000000" w:themeColor="text1"/>
                <w14:textFill>
                  <w14:solidFill>
                    <w14:schemeClr w14:val="tx1"/>
                  </w14:solidFill>
                </w14:textFill>
              </w:rPr>
              <w:t>饱和导水率（mm/min）</w:t>
            </w:r>
          </w:p>
        </w:tc>
        <w:tc>
          <w:tcPr>
            <w:tcW w:w="1415" w:type="dxa"/>
            <w:vAlign w:val="center"/>
          </w:tcPr>
          <w:p w14:paraId="4C4D47B8">
            <w:pPr>
              <w:pStyle w:val="70"/>
              <w:rPr>
                <w:color w:val="000000" w:themeColor="text1"/>
                <w14:textFill>
                  <w14:solidFill>
                    <w14:schemeClr w14:val="tx1"/>
                  </w14:solidFill>
                </w14:textFill>
              </w:rPr>
            </w:pPr>
          </w:p>
        </w:tc>
        <w:tc>
          <w:tcPr>
            <w:tcW w:w="1132" w:type="dxa"/>
            <w:vAlign w:val="center"/>
          </w:tcPr>
          <w:p w14:paraId="552A7482">
            <w:pPr>
              <w:pStyle w:val="70"/>
              <w:rPr>
                <w:color w:val="000000" w:themeColor="text1"/>
                <w14:textFill>
                  <w14:solidFill>
                    <w14:schemeClr w14:val="tx1"/>
                  </w14:solidFill>
                </w14:textFill>
              </w:rPr>
            </w:pPr>
          </w:p>
        </w:tc>
        <w:tc>
          <w:tcPr>
            <w:tcW w:w="1321" w:type="dxa"/>
            <w:vAlign w:val="center"/>
          </w:tcPr>
          <w:p w14:paraId="10D90809">
            <w:pPr>
              <w:pStyle w:val="70"/>
              <w:rPr>
                <w:color w:val="000000" w:themeColor="text1"/>
                <w14:textFill>
                  <w14:solidFill>
                    <w14:schemeClr w14:val="tx1"/>
                  </w14:solidFill>
                </w14:textFill>
              </w:rPr>
            </w:pPr>
          </w:p>
        </w:tc>
        <w:tc>
          <w:tcPr>
            <w:tcW w:w="942" w:type="dxa"/>
            <w:vAlign w:val="center"/>
          </w:tcPr>
          <w:p w14:paraId="2E693037">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108" w:type="dxa"/>
            <w:vAlign w:val="center"/>
          </w:tcPr>
          <w:p w14:paraId="4AEDC478">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1AAB16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506AE9D1">
            <w:pPr>
              <w:pStyle w:val="70"/>
              <w:rPr>
                <w:color w:val="000000" w:themeColor="text1"/>
                <w14:textFill>
                  <w14:solidFill>
                    <w14:schemeClr w14:val="tx1"/>
                  </w14:solidFill>
                </w14:textFill>
              </w:rPr>
            </w:pPr>
            <w:r>
              <w:rPr>
                <w:color w:val="000000" w:themeColor="text1"/>
                <w14:textFill>
                  <w14:solidFill>
                    <w14:schemeClr w14:val="tx1"/>
                  </w14:solidFill>
                </w14:textFill>
              </w:rPr>
              <w:t>容重（g/cm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1415" w:type="dxa"/>
            <w:vAlign w:val="center"/>
          </w:tcPr>
          <w:p w14:paraId="72343B37">
            <w:pPr>
              <w:pStyle w:val="70"/>
              <w:rPr>
                <w:color w:val="000000" w:themeColor="text1"/>
                <w14:textFill>
                  <w14:solidFill>
                    <w14:schemeClr w14:val="tx1"/>
                  </w14:solidFill>
                </w14:textFill>
              </w:rPr>
            </w:pPr>
          </w:p>
        </w:tc>
        <w:tc>
          <w:tcPr>
            <w:tcW w:w="1132" w:type="dxa"/>
            <w:vAlign w:val="center"/>
          </w:tcPr>
          <w:p w14:paraId="4EAB213A">
            <w:pPr>
              <w:pStyle w:val="70"/>
              <w:rPr>
                <w:color w:val="000000" w:themeColor="text1"/>
                <w14:textFill>
                  <w14:solidFill>
                    <w14:schemeClr w14:val="tx1"/>
                  </w14:solidFill>
                </w14:textFill>
              </w:rPr>
            </w:pPr>
          </w:p>
        </w:tc>
        <w:tc>
          <w:tcPr>
            <w:tcW w:w="1321" w:type="dxa"/>
            <w:vAlign w:val="center"/>
          </w:tcPr>
          <w:p w14:paraId="6A473598">
            <w:pPr>
              <w:pStyle w:val="70"/>
              <w:rPr>
                <w:color w:val="000000" w:themeColor="text1"/>
                <w14:textFill>
                  <w14:solidFill>
                    <w14:schemeClr w14:val="tx1"/>
                  </w14:solidFill>
                </w14:textFill>
              </w:rPr>
            </w:pPr>
          </w:p>
        </w:tc>
        <w:tc>
          <w:tcPr>
            <w:tcW w:w="942" w:type="dxa"/>
            <w:vAlign w:val="center"/>
          </w:tcPr>
          <w:p w14:paraId="46435BB7">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108" w:type="dxa"/>
            <w:vAlign w:val="center"/>
          </w:tcPr>
          <w:p w14:paraId="7839A8AF">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611A24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5A8E31B4">
            <w:pPr>
              <w:pStyle w:val="70"/>
              <w:rPr>
                <w:color w:val="000000" w:themeColor="text1"/>
                <w14:textFill>
                  <w14:solidFill>
                    <w14:schemeClr w14:val="tx1"/>
                  </w14:solidFill>
                </w14:textFill>
              </w:rPr>
            </w:pPr>
            <w:r>
              <w:rPr>
                <w:color w:val="000000" w:themeColor="text1"/>
                <w14:textFill>
                  <w14:solidFill>
                    <w14:schemeClr w14:val="tx1"/>
                  </w14:solidFill>
                </w14:textFill>
              </w:rPr>
              <w:t>总孔隙度（体积%）</w:t>
            </w:r>
          </w:p>
        </w:tc>
        <w:tc>
          <w:tcPr>
            <w:tcW w:w="1415" w:type="dxa"/>
            <w:vAlign w:val="center"/>
          </w:tcPr>
          <w:p w14:paraId="0D0E459F">
            <w:pPr>
              <w:pStyle w:val="70"/>
              <w:rPr>
                <w:color w:val="000000" w:themeColor="text1"/>
                <w14:textFill>
                  <w14:solidFill>
                    <w14:schemeClr w14:val="tx1"/>
                  </w14:solidFill>
                </w14:textFill>
              </w:rPr>
            </w:pPr>
          </w:p>
        </w:tc>
        <w:tc>
          <w:tcPr>
            <w:tcW w:w="1132" w:type="dxa"/>
            <w:vAlign w:val="center"/>
          </w:tcPr>
          <w:p w14:paraId="491C84DC">
            <w:pPr>
              <w:pStyle w:val="70"/>
              <w:rPr>
                <w:color w:val="000000" w:themeColor="text1"/>
                <w14:textFill>
                  <w14:solidFill>
                    <w14:schemeClr w14:val="tx1"/>
                  </w14:solidFill>
                </w14:textFill>
              </w:rPr>
            </w:pPr>
          </w:p>
        </w:tc>
        <w:tc>
          <w:tcPr>
            <w:tcW w:w="1321" w:type="dxa"/>
            <w:vAlign w:val="center"/>
          </w:tcPr>
          <w:p w14:paraId="14962EAF">
            <w:pPr>
              <w:pStyle w:val="70"/>
              <w:rPr>
                <w:color w:val="000000" w:themeColor="text1"/>
                <w14:textFill>
                  <w14:solidFill>
                    <w14:schemeClr w14:val="tx1"/>
                  </w14:solidFill>
                </w14:textFill>
              </w:rPr>
            </w:pPr>
          </w:p>
        </w:tc>
        <w:tc>
          <w:tcPr>
            <w:tcW w:w="942" w:type="dxa"/>
            <w:vAlign w:val="center"/>
          </w:tcPr>
          <w:p w14:paraId="1F0272DE">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108" w:type="dxa"/>
            <w:vAlign w:val="center"/>
          </w:tcPr>
          <w:p w14:paraId="6F1B28E6">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7D5034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2E5D4B81">
            <w:pPr>
              <w:pStyle w:val="70"/>
              <w:rPr>
                <w:color w:val="000000" w:themeColor="text1"/>
                <w14:textFill>
                  <w14:solidFill>
                    <w14:schemeClr w14:val="tx1"/>
                  </w14:solidFill>
                </w14:textFill>
              </w:rPr>
            </w:pPr>
            <w:r>
              <w:rPr>
                <w:color w:val="000000" w:themeColor="text1"/>
                <w14:textFill>
                  <w14:solidFill>
                    <w14:schemeClr w14:val="tx1"/>
                  </w14:solidFill>
                </w14:textFill>
              </w:rPr>
              <w:t>2-氯</w:t>
            </w:r>
            <w:r>
              <w:rPr>
                <w:rFonts w:hint="eastAsia"/>
                <w:color w:val="000000" w:themeColor="text1"/>
                <w14:textFill>
                  <w14:solidFill>
                    <w14:schemeClr w14:val="tx1"/>
                  </w14:solidFill>
                </w14:textFill>
              </w:rPr>
              <w:t>苯</w:t>
            </w:r>
            <w:r>
              <w:rPr>
                <w:color w:val="000000" w:themeColor="text1"/>
                <w14:textFill>
                  <w14:solidFill>
                    <w14:schemeClr w14:val="tx1"/>
                  </w14:solidFill>
                </w14:textFill>
              </w:rPr>
              <w:t>酚</w:t>
            </w:r>
            <w:r>
              <w:rPr>
                <w:color w:val="000000" w:themeColor="text1"/>
                <w:kern w:val="0"/>
                <w14:textFill>
                  <w14:solidFill>
                    <w14:schemeClr w14:val="tx1"/>
                  </w14:solidFill>
                </w14:textFill>
              </w:rPr>
              <w:t>（mg/kg）</w:t>
            </w:r>
          </w:p>
        </w:tc>
        <w:tc>
          <w:tcPr>
            <w:tcW w:w="1415" w:type="dxa"/>
            <w:vAlign w:val="center"/>
          </w:tcPr>
          <w:p w14:paraId="0F4049E2">
            <w:pPr>
              <w:pStyle w:val="70"/>
              <w:rPr>
                <w:color w:val="000000" w:themeColor="text1"/>
                <w14:textFill>
                  <w14:solidFill>
                    <w14:schemeClr w14:val="tx1"/>
                  </w14:solidFill>
                </w14:textFill>
              </w:rPr>
            </w:pPr>
          </w:p>
        </w:tc>
        <w:tc>
          <w:tcPr>
            <w:tcW w:w="1132" w:type="dxa"/>
            <w:vAlign w:val="center"/>
          </w:tcPr>
          <w:p w14:paraId="41C91E3E">
            <w:pPr>
              <w:pStyle w:val="70"/>
              <w:rPr>
                <w:color w:val="000000" w:themeColor="text1"/>
                <w14:textFill>
                  <w14:solidFill>
                    <w14:schemeClr w14:val="tx1"/>
                  </w14:solidFill>
                </w14:textFill>
              </w:rPr>
            </w:pPr>
          </w:p>
        </w:tc>
        <w:tc>
          <w:tcPr>
            <w:tcW w:w="1321" w:type="dxa"/>
            <w:vAlign w:val="center"/>
          </w:tcPr>
          <w:p w14:paraId="589F7E55">
            <w:pPr>
              <w:pStyle w:val="70"/>
              <w:rPr>
                <w:color w:val="000000" w:themeColor="text1"/>
                <w14:textFill>
                  <w14:solidFill>
                    <w14:schemeClr w14:val="tx1"/>
                  </w14:solidFill>
                </w14:textFill>
              </w:rPr>
            </w:pPr>
          </w:p>
        </w:tc>
        <w:tc>
          <w:tcPr>
            <w:tcW w:w="942" w:type="dxa"/>
            <w:vAlign w:val="center"/>
          </w:tcPr>
          <w:p w14:paraId="624B0FEE">
            <w:pPr>
              <w:pStyle w:val="70"/>
              <w:rPr>
                <w:color w:val="000000" w:themeColor="text1"/>
                <w14:textFill>
                  <w14:solidFill>
                    <w14:schemeClr w14:val="tx1"/>
                  </w14:solidFill>
                </w14:textFill>
              </w:rPr>
            </w:pPr>
            <w:r>
              <w:rPr>
                <w:color w:val="000000" w:themeColor="text1"/>
                <w14:textFill>
                  <w14:solidFill>
                    <w14:schemeClr w14:val="tx1"/>
                  </w14:solidFill>
                </w14:textFill>
              </w:rPr>
              <w:t>2256</w:t>
            </w:r>
          </w:p>
        </w:tc>
        <w:tc>
          <w:tcPr>
            <w:tcW w:w="1108" w:type="dxa"/>
            <w:vAlign w:val="center"/>
          </w:tcPr>
          <w:p w14:paraId="3B304D5A">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13E9BF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5E313304">
            <w:pPr>
              <w:pStyle w:val="70"/>
              <w:rPr>
                <w:color w:val="000000" w:themeColor="text1"/>
                <w14:textFill>
                  <w14:solidFill>
                    <w14:schemeClr w14:val="tx1"/>
                  </w14:solidFill>
                </w14:textFill>
              </w:rPr>
            </w:pPr>
            <w:r>
              <w:rPr>
                <w:color w:val="000000" w:themeColor="text1"/>
                <w14:textFill>
                  <w14:solidFill>
                    <w14:schemeClr w14:val="tx1"/>
                  </w14:solidFill>
                </w14:textFill>
              </w:rPr>
              <w:t>苯（mg/kg）</w:t>
            </w:r>
          </w:p>
        </w:tc>
        <w:tc>
          <w:tcPr>
            <w:tcW w:w="1415" w:type="dxa"/>
            <w:vAlign w:val="center"/>
          </w:tcPr>
          <w:p w14:paraId="7FEBABBE">
            <w:pPr>
              <w:pStyle w:val="70"/>
              <w:rPr>
                <w:color w:val="000000" w:themeColor="text1"/>
                <w14:textFill>
                  <w14:solidFill>
                    <w14:schemeClr w14:val="tx1"/>
                  </w14:solidFill>
                </w14:textFill>
              </w:rPr>
            </w:pPr>
          </w:p>
        </w:tc>
        <w:tc>
          <w:tcPr>
            <w:tcW w:w="1132" w:type="dxa"/>
            <w:vAlign w:val="center"/>
          </w:tcPr>
          <w:p w14:paraId="64120CDA">
            <w:pPr>
              <w:pStyle w:val="70"/>
              <w:rPr>
                <w:color w:val="000000" w:themeColor="text1"/>
                <w14:textFill>
                  <w14:solidFill>
                    <w14:schemeClr w14:val="tx1"/>
                  </w14:solidFill>
                </w14:textFill>
              </w:rPr>
            </w:pPr>
          </w:p>
        </w:tc>
        <w:tc>
          <w:tcPr>
            <w:tcW w:w="1321" w:type="dxa"/>
            <w:vAlign w:val="center"/>
          </w:tcPr>
          <w:p w14:paraId="288ADB44">
            <w:pPr>
              <w:pStyle w:val="70"/>
              <w:rPr>
                <w:color w:val="000000" w:themeColor="text1"/>
                <w14:textFill>
                  <w14:solidFill>
                    <w14:schemeClr w14:val="tx1"/>
                  </w14:solidFill>
                </w14:textFill>
              </w:rPr>
            </w:pPr>
          </w:p>
        </w:tc>
        <w:tc>
          <w:tcPr>
            <w:tcW w:w="942" w:type="dxa"/>
            <w:vAlign w:val="center"/>
          </w:tcPr>
          <w:p w14:paraId="5DB32A86">
            <w:pPr>
              <w:pStyle w:val="70"/>
              <w:rPr>
                <w:color w:val="000000" w:themeColor="text1"/>
                <w14:textFill>
                  <w14:solidFill>
                    <w14:schemeClr w14:val="tx1"/>
                  </w14:solidFill>
                </w14:textFill>
              </w:rPr>
            </w:pPr>
            <w:r>
              <w:rPr>
                <w:color w:val="000000" w:themeColor="text1"/>
                <w14:textFill>
                  <w14:solidFill>
                    <w14:schemeClr w14:val="tx1"/>
                  </w14:solidFill>
                </w14:textFill>
              </w:rPr>
              <w:t>4</w:t>
            </w:r>
          </w:p>
        </w:tc>
        <w:tc>
          <w:tcPr>
            <w:tcW w:w="1108" w:type="dxa"/>
            <w:vAlign w:val="center"/>
          </w:tcPr>
          <w:p w14:paraId="7D0ED6A2">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432748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16272558">
            <w:pPr>
              <w:pStyle w:val="70"/>
              <w:rPr>
                <w:color w:val="000000" w:themeColor="text1"/>
                <w14:textFill>
                  <w14:solidFill>
                    <w14:schemeClr w14:val="tx1"/>
                  </w14:solidFill>
                </w14:textFill>
              </w:rPr>
            </w:pPr>
            <w:r>
              <w:rPr>
                <w:color w:val="000000" w:themeColor="text1"/>
                <w14:textFill>
                  <w14:solidFill>
                    <w14:schemeClr w14:val="tx1"/>
                  </w14:solidFill>
                </w14:textFill>
              </w:rPr>
              <w:t>苯乙烯（mg/kg）</w:t>
            </w:r>
          </w:p>
        </w:tc>
        <w:tc>
          <w:tcPr>
            <w:tcW w:w="1415" w:type="dxa"/>
            <w:vAlign w:val="center"/>
          </w:tcPr>
          <w:p w14:paraId="2A1D352C">
            <w:pPr>
              <w:pStyle w:val="70"/>
              <w:rPr>
                <w:color w:val="000000" w:themeColor="text1"/>
                <w14:textFill>
                  <w14:solidFill>
                    <w14:schemeClr w14:val="tx1"/>
                  </w14:solidFill>
                </w14:textFill>
              </w:rPr>
            </w:pPr>
          </w:p>
        </w:tc>
        <w:tc>
          <w:tcPr>
            <w:tcW w:w="1132" w:type="dxa"/>
            <w:vAlign w:val="center"/>
          </w:tcPr>
          <w:p w14:paraId="3E09D2B0">
            <w:pPr>
              <w:pStyle w:val="70"/>
              <w:rPr>
                <w:color w:val="000000" w:themeColor="text1"/>
                <w14:textFill>
                  <w14:solidFill>
                    <w14:schemeClr w14:val="tx1"/>
                  </w14:solidFill>
                </w14:textFill>
              </w:rPr>
            </w:pPr>
          </w:p>
        </w:tc>
        <w:tc>
          <w:tcPr>
            <w:tcW w:w="1321" w:type="dxa"/>
            <w:vAlign w:val="center"/>
          </w:tcPr>
          <w:p w14:paraId="0C68125F">
            <w:pPr>
              <w:pStyle w:val="70"/>
              <w:rPr>
                <w:color w:val="000000" w:themeColor="text1"/>
                <w14:textFill>
                  <w14:solidFill>
                    <w14:schemeClr w14:val="tx1"/>
                  </w14:solidFill>
                </w14:textFill>
              </w:rPr>
            </w:pPr>
          </w:p>
        </w:tc>
        <w:tc>
          <w:tcPr>
            <w:tcW w:w="942" w:type="dxa"/>
            <w:vAlign w:val="center"/>
          </w:tcPr>
          <w:p w14:paraId="6AC799E2">
            <w:pPr>
              <w:pStyle w:val="70"/>
              <w:rPr>
                <w:color w:val="000000" w:themeColor="text1"/>
                <w14:textFill>
                  <w14:solidFill>
                    <w14:schemeClr w14:val="tx1"/>
                  </w14:solidFill>
                </w14:textFill>
              </w:rPr>
            </w:pPr>
            <w:r>
              <w:rPr>
                <w:color w:val="000000" w:themeColor="text1"/>
                <w14:textFill>
                  <w14:solidFill>
                    <w14:schemeClr w14:val="tx1"/>
                  </w14:solidFill>
                </w14:textFill>
              </w:rPr>
              <w:t>1290</w:t>
            </w:r>
          </w:p>
        </w:tc>
        <w:tc>
          <w:tcPr>
            <w:tcW w:w="1108" w:type="dxa"/>
            <w:vAlign w:val="center"/>
          </w:tcPr>
          <w:p w14:paraId="61D112E2">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6C6116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2427FD64">
            <w:pPr>
              <w:pStyle w:val="70"/>
              <w:rPr>
                <w:color w:val="000000" w:themeColor="text1"/>
                <w14:textFill>
                  <w14:solidFill>
                    <w14:schemeClr w14:val="tx1"/>
                  </w14:solidFill>
                </w14:textFill>
              </w:rPr>
            </w:pPr>
            <w:r>
              <w:rPr>
                <w:color w:val="000000" w:themeColor="text1"/>
                <w14:textFill>
                  <w14:solidFill>
                    <w14:schemeClr w14:val="tx1"/>
                  </w14:solidFill>
                </w14:textFill>
              </w:rPr>
              <w:t>甲苯（mg/kg）</w:t>
            </w:r>
          </w:p>
        </w:tc>
        <w:tc>
          <w:tcPr>
            <w:tcW w:w="1415" w:type="dxa"/>
            <w:vAlign w:val="center"/>
          </w:tcPr>
          <w:p w14:paraId="314FCB07">
            <w:pPr>
              <w:pStyle w:val="70"/>
              <w:rPr>
                <w:color w:val="000000" w:themeColor="text1"/>
                <w14:textFill>
                  <w14:solidFill>
                    <w14:schemeClr w14:val="tx1"/>
                  </w14:solidFill>
                </w14:textFill>
              </w:rPr>
            </w:pPr>
          </w:p>
        </w:tc>
        <w:tc>
          <w:tcPr>
            <w:tcW w:w="1132" w:type="dxa"/>
            <w:vAlign w:val="center"/>
          </w:tcPr>
          <w:p w14:paraId="064B8593">
            <w:pPr>
              <w:pStyle w:val="70"/>
              <w:rPr>
                <w:color w:val="000000" w:themeColor="text1"/>
                <w14:textFill>
                  <w14:solidFill>
                    <w14:schemeClr w14:val="tx1"/>
                  </w14:solidFill>
                </w14:textFill>
              </w:rPr>
            </w:pPr>
          </w:p>
        </w:tc>
        <w:tc>
          <w:tcPr>
            <w:tcW w:w="1321" w:type="dxa"/>
            <w:vAlign w:val="center"/>
          </w:tcPr>
          <w:p w14:paraId="08B60566">
            <w:pPr>
              <w:pStyle w:val="70"/>
              <w:rPr>
                <w:color w:val="000000" w:themeColor="text1"/>
                <w14:textFill>
                  <w14:solidFill>
                    <w14:schemeClr w14:val="tx1"/>
                  </w14:solidFill>
                </w14:textFill>
              </w:rPr>
            </w:pPr>
          </w:p>
        </w:tc>
        <w:tc>
          <w:tcPr>
            <w:tcW w:w="942" w:type="dxa"/>
            <w:vAlign w:val="center"/>
          </w:tcPr>
          <w:p w14:paraId="59517F23">
            <w:pPr>
              <w:pStyle w:val="70"/>
              <w:rPr>
                <w:color w:val="000000" w:themeColor="text1"/>
                <w14:textFill>
                  <w14:solidFill>
                    <w14:schemeClr w14:val="tx1"/>
                  </w14:solidFill>
                </w14:textFill>
              </w:rPr>
            </w:pPr>
            <w:r>
              <w:rPr>
                <w:color w:val="000000" w:themeColor="text1"/>
                <w14:textFill>
                  <w14:solidFill>
                    <w14:schemeClr w14:val="tx1"/>
                  </w14:solidFill>
                </w14:textFill>
              </w:rPr>
              <w:t>1200</w:t>
            </w:r>
          </w:p>
        </w:tc>
        <w:tc>
          <w:tcPr>
            <w:tcW w:w="1108" w:type="dxa"/>
            <w:vAlign w:val="center"/>
          </w:tcPr>
          <w:p w14:paraId="519AC378">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041659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605D0C48">
            <w:pPr>
              <w:pStyle w:val="70"/>
              <w:rPr>
                <w:color w:val="000000" w:themeColor="text1"/>
                <w14:textFill>
                  <w14:solidFill>
                    <w14:schemeClr w14:val="tx1"/>
                  </w14:solidFill>
                </w14:textFill>
              </w:rPr>
            </w:pPr>
            <w:r>
              <w:rPr>
                <w:color w:val="000000" w:themeColor="text1"/>
                <w14:textFill>
                  <w14:solidFill>
                    <w14:schemeClr w14:val="tx1"/>
                  </w14:solidFill>
                </w14:textFill>
              </w:rPr>
              <w:t>间/对-二甲苯（mg/kg）</w:t>
            </w:r>
          </w:p>
        </w:tc>
        <w:tc>
          <w:tcPr>
            <w:tcW w:w="1415" w:type="dxa"/>
            <w:vAlign w:val="center"/>
          </w:tcPr>
          <w:p w14:paraId="68ED11EA">
            <w:pPr>
              <w:pStyle w:val="70"/>
              <w:rPr>
                <w:color w:val="000000" w:themeColor="text1"/>
                <w14:textFill>
                  <w14:solidFill>
                    <w14:schemeClr w14:val="tx1"/>
                  </w14:solidFill>
                </w14:textFill>
              </w:rPr>
            </w:pPr>
          </w:p>
        </w:tc>
        <w:tc>
          <w:tcPr>
            <w:tcW w:w="1132" w:type="dxa"/>
            <w:vAlign w:val="center"/>
          </w:tcPr>
          <w:p w14:paraId="2A4C8078">
            <w:pPr>
              <w:pStyle w:val="70"/>
              <w:rPr>
                <w:color w:val="000000" w:themeColor="text1"/>
                <w14:textFill>
                  <w14:solidFill>
                    <w14:schemeClr w14:val="tx1"/>
                  </w14:solidFill>
                </w14:textFill>
              </w:rPr>
            </w:pPr>
          </w:p>
        </w:tc>
        <w:tc>
          <w:tcPr>
            <w:tcW w:w="1321" w:type="dxa"/>
            <w:vAlign w:val="center"/>
          </w:tcPr>
          <w:p w14:paraId="31198651">
            <w:pPr>
              <w:pStyle w:val="70"/>
              <w:rPr>
                <w:color w:val="000000" w:themeColor="text1"/>
                <w14:textFill>
                  <w14:solidFill>
                    <w14:schemeClr w14:val="tx1"/>
                  </w14:solidFill>
                </w14:textFill>
              </w:rPr>
            </w:pPr>
          </w:p>
        </w:tc>
        <w:tc>
          <w:tcPr>
            <w:tcW w:w="942" w:type="dxa"/>
            <w:vAlign w:val="center"/>
          </w:tcPr>
          <w:p w14:paraId="62BD0653">
            <w:pPr>
              <w:pStyle w:val="70"/>
              <w:rPr>
                <w:color w:val="000000" w:themeColor="text1"/>
                <w14:textFill>
                  <w14:solidFill>
                    <w14:schemeClr w14:val="tx1"/>
                  </w14:solidFill>
                </w14:textFill>
              </w:rPr>
            </w:pPr>
            <w:r>
              <w:rPr>
                <w:color w:val="000000" w:themeColor="text1"/>
                <w14:textFill>
                  <w14:solidFill>
                    <w14:schemeClr w14:val="tx1"/>
                  </w14:solidFill>
                </w14:textFill>
              </w:rPr>
              <w:t>570</w:t>
            </w:r>
          </w:p>
        </w:tc>
        <w:tc>
          <w:tcPr>
            <w:tcW w:w="1108" w:type="dxa"/>
            <w:vAlign w:val="center"/>
          </w:tcPr>
          <w:p w14:paraId="419B8275">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7CD0DE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5C1C9366">
            <w:pPr>
              <w:pStyle w:val="70"/>
              <w:rPr>
                <w:color w:val="000000" w:themeColor="text1"/>
                <w14:textFill>
                  <w14:solidFill>
                    <w14:schemeClr w14:val="tx1"/>
                  </w14:solidFill>
                </w14:textFill>
              </w:rPr>
            </w:pPr>
            <w:r>
              <w:rPr>
                <w:color w:val="000000" w:themeColor="text1"/>
                <w14:textFill>
                  <w14:solidFill>
                    <w14:schemeClr w14:val="tx1"/>
                  </w14:solidFill>
                </w14:textFill>
              </w:rPr>
              <w:t>邻-二甲苯（mg /kg）</w:t>
            </w:r>
          </w:p>
        </w:tc>
        <w:tc>
          <w:tcPr>
            <w:tcW w:w="1415" w:type="dxa"/>
            <w:vAlign w:val="center"/>
          </w:tcPr>
          <w:p w14:paraId="1D258A77">
            <w:pPr>
              <w:pStyle w:val="70"/>
              <w:rPr>
                <w:color w:val="000000" w:themeColor="text1"/>
                <w14:textFill>
                  <w14:solidFill>
                    <w14:schemeClr w14:val="tx1"/>
                  </w14:solidFill>
                </w14:textFill>
              </w:rPr>
            </w:pPr>
          </w:p>
        </w:tc>
        <w:tc>
          <w:tcPr>
            <w:tcW w:w="1132" w:type="dxa"/>
            <w:vAlign w:val="center"/>
          </w:tcPr>
          <w:p w14:paraId="62724C2B">
            <w:pPr>
              <w:pStyle w:val="70"/>
              <w:rPr>
                <w:color w:val="000000" w:themeColor="text1"/>
                <w14:textFill>
                  <w14:solidFill>
                    <w14:schemeClr w14:val="tx1"/>
                  </w14:solidFill>
                </w14:textFill>
              </w:rPr>
            </w:pPr>
          </w:p>
        </w:tc>
        <w:tc>
          <w:tcPr>
            <w:tcW w:w="1321" w:type="dxa"/>
            <w:vAlign w:val="center"/>
          </w:tcPr>
          <w:p w14:paraId="16639C3C">
            <w:pPr>
              <w:pStyle w:val="70"/>
              <w:rPr>
                <w:color w:val="000000" w:themeColor="text1"/>
                <w14:textFill>
                  <w14:solidFill>
                    <w14:schemeClr w14:val="tx1"/>
                  </w14:solidFill>
                </w14:textFill>
              </w:rPr>
            </w:pPr>
          </w:p>
        </w:tc>
        <w:tc>
          <w:tcPr>
            <w:tcW w:w="942" w:type="dxa"/>
            <w:vAlign w:val="center"/>
          </w:tcPr>
          <w:p w14:paraId="614AD288">
            <w:pPr>
              <w:pStyle w:val="70"/>
              <w:rPr>
                <w:color w:val="000000" w:themeColor="text1"/>
                <w14:textFill>
                  <w14:solidFill>
                    <w14:schemeClr w14:val="tx1"/>
                  </w14:solidFill>
                </w14:textFill>
              </w:rPr>
            </w:pPr>
            <w:r>
              <w:rPr>
                <w:color w:val="000000" w:themeColor="text1"/>
                <w14:textFill>
                  <w14:solidFill>
                    <w14:schemeClr w14:val="tx1"/>
                  </w14:solidFill>
                </w14:textFill>
              </w:rPr>
              <w:t>640</w:t>
            </w:r>
          </w:p>
        </w:tc>
        <w:tc>
          <w:tcPr>
            <w:tcW w:w="1108" w:type="dxa"/>
            <w:vAlign w:val="center"/>
          </w:tcPr>
          <w:p w14:paraId="1FFC01CF">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246A35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54053872">
            <w:pPr>
              <w:pStyle w:val="70"/>
              <w:rPr>
                <w:color w:val="000000" w:themeColor="text1"/>
                <w14:textFill>
                  <w14:solidFill>
                    <w14:schemeClr w14:val="tx1"/>
                  </w14:solidFill>
                </w14:textFill>
              </w:rPr>
            </w:pPr>
            <w:r>
              <w:rPr>
                <w:color w:val="000000" w:themeColor="text1"/>
                <w14:textFill>
                  <w14:solidFill>
                    <w14:schemeClr w14:val="tx1"/>
                  </w14:solidFill>
                </w14:textFill>
              </w:rPr>
              <w:t>苯并[a]芘</w:t>
            </w:r>
            <w:r>
              <w:rPr>
                <w:color w:val="000000" w:themeColor="text1"/>
                <w:kern w:val="0"/>
                <w14:textFill>
                  <w14:solidFill>
                    <w14:schemeClr w14:val="tx1"/>
                  </w14:solidFill>
                </w14:textFill>
              </w:rPr>
              <w:t>（mg/kg）</w:t>
            </w:r>
          </w:p>
        </w:tc>
        <w:tc>
          <w:tcPr>
            <w:tcW w:w="1415" w:type="dxa"/>
            <w:vAlign w:val="center"/>
          </w:tcPr>
          <w:p w14:paraId="171370C1">
            <w:pPr>
              <w:pStyle w:val="70"/>
              <w:rPr>
                <w:color w:val="000000" w:themeColor="text1"/>
                <w14:textFill>
                  <w14:solidFill>
                    <w14:schemeClr w14:val="tx1"/>
                  </w14:solidFill>
                </w14:textFill>
              </w:rPr>
            </w:pPr>
          </w:p>
        </w:tc>
        <w:tc>
          <w:tcPr>
            <w:tcW w:w="1132" w:type="dxa"/>
            <w:vAlign w:val="center"/>
          </w:tcPr>
          <w:p w14:paraId="09DE4336">
            <w:pPr>
              <w:pStyle w:val="70"/>
              <w:rPr>
                <w:color w:val="000000" w:themeColor="text1"/>
                <w14:textFill>
                  <w14:solidFill>
                    <w14:schemeClr w14:val="tx1"/>
                  </w14:solidFill>
                </w14:textFill>
              </w:rPr>
            </w:pPr>
          </w:p>
        </w:tc>
        <w:tc>
          <w:tcPr>
            <w:tcW w:w="1321" w:type="dxa"/>
            <w:vAlign w:val="center"/>
          </w:tcPr>
          <w:p w14:paraId="60575914">
            <w:pPr>
              <w:pStyle w:val="70"/>
              <w:rPr>
                <w:color w:val="000000" w:themeColor="text1"/>
                <w14:textFill>
                  <w14:solidFill>
                    <w14:schemeClr w14:val="tx1"/>
                  </w14:solidFill>
                </w14:textFill>
              </w:rPr>
            </w:pPr>
          </w:p>
        </w:tc>
        <w:tc>
          <w:tcPr>
            <w:tcW w:w="942" w:type="dxa"/>
            <w:vAlign w:val="center"/>
          </w:tcPr>
          <w:p w14:paraId="0160A701">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108" w:type="dxa"/>
            <w:vAlign w:val="center"/>
          </w:tcPr>
          <w:p w14:paraId="518B2CD3">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35F58E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0C4E7F6A">
            <w:pPr>
              <w:pStyle w:val="70"/>
              <w:rPr>
                <w:color w:val="000000" w:themeColor="text1"/>
                <w14:textFill>
                  <w14:solidFill>
                    <w14:schemeClr w14:val="tx1"/>
                  </w14:solidFill>
                </w14:textFill>
              </w:rPr>
            </w:pPr>
            <w:r>
              <w:rPr>
                <w:color w:val="000000" w:themeColor="text1"/>
                <w14:textFill>
                  <w14:solidFill>
                    <w14:schemeClr w14:val="tx1"/>
                  </w14:solidFill>
                </w14:textFill>
              </w:rPr>
              <w:t>苯并[a]蒽</w:t>
            </w:r>
            <w:r>
              <w:rPr>
                <w:color w:val="000000" w:themeColor="text1"/>
                <w:kern w:val="0"/>
                <w14:textFill>
                  <w14:solidFill>
                    <w14:schemeClr w14:val="tx1"/>
                  </w14:solidFill>
                </w14:textFill>
              </w:rPr>
              <w:t>（mg/kg）</w:t>
            </w:r>
          </w:p>
        </w:tc>
        <w:tc>
          <w:tcPr>
            <w:tcW w:w="1415" w:type="dxa"/>
            <w:vAlign w:val="center"/>
          </w:tcPr>
          <w:p w14:paraId="55102D99">
            <w:pPr>
              <w:pStyle w:val="70"/>
              <w:rPr>
                <w:color w:val="000000" w:themeColor="text1"/>
                <w14:textFill>
                  <w14:solidFill>
                    <w14:schemeClr w14:val="tx1"/>
                  </w14:solidFill>
                </w14:textFill>
              </w:rPr>
            </w:pPr>
          </w:p>
        </w:tc>
        <w:tc>
          <w:tcPr>
            <w:tcW w:w="1132" w:type="dxa"/>
            <w:vAlign w:val="center"/>
          </w:tcPr>
          <w:p w14:paraId="04650695">
            <w:pPr>
              <w:pStyle w:val="70"/>
              <w:rPr>
                <w:color w:val="000000" w:themeColor="text1"/>
                <w14:textFill>
                  <w14:solidFill>
                    <w14:schemeClr w14:val="tx1"/>
                  </w14:solidFill>
                </w14:textFill>
              </w:rPr>
            </w:pPr>
          </w:p>
        </w:tc>
        <w:tc>
          <w:tcPr>
            <w:tcW w:w="1321" w:type="dxa"/>
            <w:vAlign w:val="center"/>
          </w:tcPr>
          <w:p w14:paraId="4FEEA346">
            <w:pPr>
              <w:pStyle w:val="70"/>
              <w:rPr>
                <w:color w:val="000000" w:themeColor="text1"/>
                <w14:textFill>
                  <w14:solidFill>
                    <w14:schemeClr w14:val="tx1"/>
                  </w14:solidFill>
                </w14:textFill>
              </w:rPr>
            </w:pPr>
          </w:p>
        </w:tc>
        <w:tc>
          <w:tcPr>
            <w:tcW w:w="942" w:type="dxa"/>
            <w:vAlign w:val="center"/>
          </w:tcPr>
          <w:p w14:paraId="29988055">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108" w:type="dxa"/>
            <w:vAlign w:val="center"/>
          </w:tcPr>
          <w:p w14:paraId="27A78FEA">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60E4E0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2D81192F">
            <w:pPr>
              <w:pStyle w:val="70"/>
              <w:rPr>
                <w:color w:val="000000" w:themeColor="text1"/>
                <w14:textFill>
                  <w14:solidFill>
                    <w14:schemeClr w14:val="tx1"/>
                  </w14:solidFill>
                </w14:textFill>
              </w:rPr>
            </w:pPr>
            <w:r>
              <w:rPr>
                <w:color w:val="000000" w:themeColor="text1"/>
                <w14:textFill>
                  <w14:solidFill>
                    <w14:schemeClr w14:val="tx1"/>
                  </w14:solidFill>
                </w14:textFill>
              </w:rPr>
              <w:t>苯并[b]荧蒽</w:t>
            </w:r>
            <w:r>
              <w:rPr>
                <w:color w:val="000000" w:themeColor="text1"/>
                <w:kern w:val="0"/>
                <w14:textFill>
                  <w14:solidFill>
                    <w14:schemeClr w14:val="tx1"/>
                  </w14:solidFill>
                </w14:textFill>
              </w:rPr>
              <w:t>（mg/kg）</w:t>
            </w:r>
          </w:p>
        </w:tc>
        <w:tc>
          <w:tcPr>
            <w:tcW w:w="1415" w:type="dxa"/>
            <w:vAlign w:val="center"/>
          </w:tcPr>
          <w:p w14:paraId="1BE75158">
            <w:pPr>
              <w:pStyle w:val="70"/>
              <w:rPr>
                <w:color w:val="000000" w:themeColor="text1"/>
                <w14:textFill>
                  <w14:solidFill>
                    <w14:schemeClr w14:val="tx1"/>
                  </w14:solidFill>
                </w14:textFill>
              </w:rPr>
            </w:pPr>
          </w:p>
        </w:tc>
        <w:tc>
          <w:tcPr>
            <w:tcW w:w="1132" w:type="dxa"/>
            <w:vAlign w:val="center"/>
          </w:tcPr>
          <w:p w14:paraId="26CB8574">
            <w:pPr>
              <w:pStyle w:val="70"/>
              <w:rPr>
                <w:color w:val="000000" w:themeColor="text1"/>
                <w14:textFill>
                  <w14:solidFill>
                    <w14:schemeClr w14:val="tx1"/>
                  </w14:solidFill>
                </w14:textFill>
              </w:rPr>
            </w:pPr>
          </w:p>
        </w:tc>
        <w:tc>
          <w:tcPr>
            <w:tcW w:w="1321" w:type="dxa"/>
            <w:vAlign w:val="center"/>
          </w:tcPr>
          <w:p w14:paraId="295E0002">
            <w:pPr>
              <w:pStyle w:val="70"/>
              <w:rPr>
                <w:color w:val="000000" w:themeColor="text1"/>
                <w14:textFill>
                  <w14:solidFill>
                    <w14:schemeClr w14:val="tx1"/>
                  </w14:solidFill>
                </w14:textFill>
              </w:rPr>
            </w:pPr>
          </w:p>
        </w:tc>
        <w:tc>
          <w:tcPr>
            <w:tcW w:w="942" w:type="dxa"/>
            <w:vAlign w:val="center"/>
          </w:tcPr>
          <w:p w14:paraId="47E87B54">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108" w:type="dxa"/>
            <w:vAlign w:val="center"/>
          </w:tcPr>
          <w:p w14:paraId="78AB62F3">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751574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42B662C3">
            <w:pPr>
              <w:pStyle w:val="70"/>
              <w:rPr>
                <w:color w:val="000000" w:themeColor="text1"/>
                <w14:textFill>
                  <w14:solidFill>
                    <w14:schemeClr w14:val="tx1"/>
                  </w14:solidFill>
                </w14:textFill>
              </w:rPr>
            </w:pPr>
            <w:r>
              <w:rPr>
                <w:color w:val="000000" w:themeColor="text1"/>
                <w14:textFill>
                  <w14:solidFill>
                    <w14:schemeClr w14:val="tx1"/>
                  </w14:solidFill>
                </w14:textFill>
              </w:rPr>
              <w:t>苯并[k]荧蒽</w:t>
            </w:r>
            <w:r>
              <w:rPr>
                <w:color w:val="000000" w:themeColor="text1"/>
                <w:kern w:val="0"/>
                <w14:textFill>
                  <w14:solidFill>
                    <w14:schemeClr w14:val="tx1"/>
                  </w14:solidFill>
                </w14:textFill>
              </w:rPr>
              <w:t>（mg/kg）</w:t>
            </w:r>
          </w:p>
        </w:tc>
        <w:tc>
          <w:tcPr>
            <w:tcW w:w="1415" w:type="dxa"/>
            <w:vAlign w:val="center"/>
          </w:tcPr>
          <w:p w14:paraId="207713B6">
            <w:pPr>
              <w:pStyle w:val="70"/>
              <w:rPr>
                <w:color w:val="000000" w:themeColor="text1"/>
                <w14:textFill>
                  <w14:solidFill>
                    <w14:schemeClr w14:val="tx1"/>
                  </w14:solidFill>
                </w14:textFill>
              </w:rPr>
            </w:pPr>
          </w:p>
        </w:tc>
        <w:tc>
          <w:tcPr>
            <w:tcW w:w="1132" w:type="dxa"/>
            <w:vAlign w:val="center"/>
          </w:tcPr>
          <w:p w14:paraId="6286A682">
            <w:pPr>
              <w:pStyle w:val="70"/>
              <w:rPr>
                <w:color w:val="000000" w:themeColor="text1"/>
                <w14:textFill>
                  <w14:solidFill>
                    <w14:schemeClr w14:val="tx1"/>
                  </w14:solidFill>
                </w14:textFill>
              </w:rPr>
            </w:pPr>
          </w:p>
        </w:tc>
        <w:tc>
          <w:tcPr>
            <w:tcW w:w="1321" w:type="dxa"/>
            <w:vAlign w:val="center"/>
          </w:tcPr>
          <w:p w14:paraId="56D6615C">
            <w:pPr>
              <w:pStyle w:val="70"/>
              <w:rPr>
                <w:color w:val="000000" w:themeColor="text1"/>
                <w14:textFill>
                  <w14:solidFill>
                    <w14:schemeClr w14:val="tx1"/>
                  </w14:solidFill>
                </w14:textFill>
              </w:rPr>
            </w:pPr>
          </w:p>
        </w:tc>
        <w:tc>
          <w:tcPr>
            <w:tcW w:w="942" w:type="dxa"/>
            <w:vAlign w:val="center"/>
          </w:tcPr>
          <w:p w14:paraId="4F89D120">
            <w:pPr>
              <w:pStyle w:val="70"/>
              <w:rPr>
                <w:color w:val="000000" w:themeColor="text1"/>
                <w14:textFill>
                  <w14:solidFill>
                    <w14:schemeClr w14:val="tx1"/>
                  </w14:solidFill>
                </w14:textFill>
              </w:rPr>
            </w:pPr>
            <w:r>
              <w:rPr>
                <w:color w:val="000000" w:themeColor="text1"/>
                <w14:textFill>
                  <w14:solidFill>
                    <w14:schemeClr w14:val="tx1"/>
                  </w14:solidFill>
                </w14:textFill>
              </w:rPr>
              <w:t>151</w:t>
            </w:r>
          </w:p>
        </w:tc>
        <w:tc>
          <w:tcPr>
            <w:tcW w:w="1108" w:type="dxa"/>
            <w:vAlign w:val="center"/>
          </w:tcPr>
          <w:p w14:paraId="19E22B92">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05894C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66D38DD6">
            <w:pPr>
              <w:pStyle w:val="70"/>
              <w:rPr>
                <w:color w:val="000000" w:themeColor="text1"/>
                <w14:textFill>
                  <w14:solidFill>
                    <w14:schemeClr w14:val="tx1"/>
                  </w14:solidFill>
                </w14:textFill>
              </w:rPr>
            </w:pPr>
            <w:r>
              <w:rPr>
                <w:color w:val="000000" w:themeColor="text1"/>
                <w14:textFill>
                  <w14:solidFill>
                    <w14:schemeClr w14:val="tx1"/>
                  </w14:solidFill>
                </w14:textFill>
              </w:rPr>
              <w:t>䓛</w:t>
            </w:r>
            <w:r>
              <w:rPr>
                <w:color w:val="000000" w:themeColor="text1"/>
                <w:kern w:val="0"/>
                <w14:textFill>
                  <w14:solidFill>
                    <w14:schemeClr w14:val="tx1"/>
                  </w14:solidFill>
                </w14:textFill>
              </w:rPr>
              <w:t>（mg/kg）</w:t>
            </w:r>
          </w:p>
        </w:tc>
        <w:tc>
          <w:tcPr>
            <w:tcW w:w="1415" w:type="dxa"/>
            <w:vAlign w:val="center"/>
          </w:tcPr>
          <w:p w14:paraId="1C6ADDEF">
            <w:pPr>
              <w:pStyle w:val="70"/>
              <w:rPr>
                <w:color w:val="000000" w:themeColor="text1"/>
                <w14:textFill>
                  <w14:solidFill>
                    <w14:schemeClr w14:val="tx1"/>
                  </w14:solidFill>
                </w14:textFill>
              </w:rPr>
            </w:pPr>
          </w:p>
        </w:tc>
        <w:tc>
          <w:tcPr>
            <w:tcW w:w="1132" w:type="dxa"/>
            <w:vAlign w:val="center"/>
          </w:tcPr>
          <w:p w14:paraId="1C5357C6">
            <w:pPr>
              <w:pStyle w:val="70"/>
              <w:rPr>
                <w:color w:val="000000" w:themeColor="text1"/>
                <w14:textFill>
                  <w14:solidFill>
                    <w14:schemeClr w14:val="tx1"/>
                  </w14:solidFill>
                </w14:textFill>
              </w:rPr>
            </w:pPr>
          </w:p>
        </w:tc>
        <w:tc>
          <w:tcPr>
            <w:tcW w:w="1321" w:type="dxa"/>
            <w:vAlign w:val="center"/>
          </w:tcPr>
          <w:p w14:paraId="69066BF0">
            <w:pPr>
              <w:pStyle w:val="70"/>
              <w:rPr>
                <w:color w:val="000000" w:themeColor="text1"/>
                <w14:textFill>
                  <w14:solidFill>
                    <w14:schemeClr w14:val="tx1"/>
                  </w14:solidFill>
                </w14:textFill>
              </w:rPr>
            </w:pPr>
          </w:p>
        </w:tc>
        <w:tc>
          <w:tcPr>
            <w:tcW w:w="942" w:type="dxa"/>
            <w:vAlign w:val="center"/>
          </w:tcPr>
          <w:p w14:paraId="0A1EDE93">
            <w:pPr>
              <w:pStyle w:val="70"/>
              <w:rPr>
                <w:color w:val="000000" w:themeColor="text1"/>
                <w14:textFill>
                  <w14:solidFill>
                    <w14:schemeClr w14:val="tx1"/>
                  </w14:solidFill>
                </w14:textFill>
              </w:rPr>
            </w:pPr>
            <w:r>
              <w:rPr>
                <w:color w:val="000000" w:themeColor="text1"/>
                <w14:textFill>
                  <w14:solidFill>
                    <w14:schemeClr w14:val="tx1"/>
                  </w14:solidFill>
                </w14:textFill>
              </w:rPr>
              <w:t>1293</w:t>
            </w:r>
          </w:p>
        </w:tc>
        <w:tc>
          <w:tcPr>
            <w:tcW w:w="1108" w:type="dxa"/>
            <w:vAlign w:val="center"/>
          </w:tcPr>
          <w:p w14:paraId="146DF617">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0A4BFC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4C905B31">
            <w:pPr>
              <w:pStyle w:val="70"/>
              <w:rPr>
                <w:color w:val="000000" w:themeColor="text1"/>
                <w14:textFill>
                  <w14:solidFill>
                    <w14:schemeClr w14:val="tx1"/>
                  </w14:solidFill>
                </w14:textFill>
              </w:rPr>
            </w:pPr>
            <w:r>
              <w:rPr>
                <w:color w:val="000000" w:themeColor="text1"/>
                <w14:textFill>
                  <w14:solidFill>
                    <w14:schemeClr w14:val="tx1"/>
                  </w14:solidFill>
                </w14:textFill>
              </w:rPr>
              <w:t>二苯并[a, h]蒽</w:t>
            </w:r>
            <w:r>
              <w:rPr>
                <w:color w:val="000000" w:themeColor="text1"/>
                <w:kern w:val="0"/>
                <w14:textFill>
                  <w14:solidFill>
                    <w14:schemeClr w14:val="tx1"/>
                  </w14:solidFill>
                </w14:textFill>
              </w:rPr>
              <w:t>（mg/kg）</w:t>
            </w:r>
          </w:p>
        </w:tc>
        <w:tc>
          <w:tcPr>
            <w:tcW w:w="1415" w:type="dxa"/>
            <w:vAlign w:val="center"/>
          </w:tcPr>
          <w:p w14:paraId="52AAC53B">
            <w:pPr>
              <w:pStyle w:val="70"/>
              <w:rPr>
                <w:color w:val="000000" w:themeColor="text1"/>
                <w14:textFill>
                  <w14:solidFill>
                    <w14:schemeClr w14:val="tx1"/>
                  </w14:solidFill>
                </w14:textFill>
              </w:rPr>
            </w:pPr>
          </w:p>
        </w:tc>
        <w:tc>
          <w:tcPr>
            <w:tcW w:w="1132" w:type="dxa"/>
            <w:vAlign w:val="center"/>
          </w:tcPr>
          <w:p w14:paraId="4C2C598E">
            <w:pPr>
              <w:pStyle w:val="70"/>
              <w:rPr>
                <w:color w:val="000000" w:themeColor="text1"/>
                <w14:textFill>
                  <w14:solidFill>
                    <w14:schemeClr w14:val="tx1"/>
                  </w14:solidFill>
                </w14:textFill>
              </w:rPr>
            </w:pPr>
          </w:p>
        </w:tc>
        <w:tc>
          <w:tcPr>
            <w:tcW w:w="1321" w:type="dxa"/>
            <w:vAlign w:val="center"/>
          </w:tcPr>
          <w:p w14:paraId="2BF4A75C">
            <w:pPr>
              <w:pStyle w:val="70"/>
              <w:rPr>
                <w:color w:val="000000" w:themeColor="text1"/>
                <w14:textFill>
                  <w14:solidFill>
                    <w14:schemeClr w14:val="tx1"/>
                  </w14:solidFill>
                </w14:textFill>
              </w:rPr>
            </w:pPr>
          </w:p>
        </w:tc>
        <w:tc>
          <w:tcPr>
            <w:tcW w:w="942" w:type="dxa"/>
            <w:vAlign w:val="center"/>
          </w:tcPr>
          <w:p w14:paraId="7C0F1588">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108" w:type="dxa"/>
            <w:vAlign w:val="center"/>
          </w:tcPr>
          <w:p w14:paraId="099AA78C">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29EC38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66E4D7A6">
            <w:pPr>
              <w:pStyle w:val="70"/>
              <w:rPr>
                <w:color w:val="000000" w:themeColor="text1"/>
                <w14:textFill>
                  <w14:solidFill>
                    <w14:schemeClr w14:val="tx1"/>
                  </w14:solidFill>
                </w14:textFill>
              </w:rPr>
            </w:pPr>
            <w:r>
              <w:rPr>
                <w:color w:val="000000" w:themeColor="text1"/>
                <w14:textFill>
                  <w14:solidFill>
                    <w14:schemeClr w14:val="tx1"/>
                  </w14:solidFill>
                </w14:textFill>
              </w:rPr>
              <w:t>茚并[1,2,3-cd]芘</w:t>
            </w:r>
            <w:r>
              <w:rPr>
                <w:color w:val="000000" w:themeColor="text1"/>
                <w:kern w:val="0"/>
                <w14:textFill>
                  <w14:solidFill>
                    <w14:schemeClr w14:val="tx1"/>
                  </w14:solidFill>
                </w14:textFill>
              </w:rPr>
              <w:t>（mg/kg）</w:t>
            </w:r>
          </w:p>
        </w:tc>
        <w:tc>
          <w:tcPr>
            <w:tcW w:w="1415" w:type="dxa"/>
            <w:vAlign w:val="center"/>
          </w:tcPr>
          <w:p w14:paraId="28EFA5AE">
            <w:pPr>
              <w:pStyle w:val="70"/>
              <w:rPr>
                <w:color w:val="000000" w:themeColor="text1"/>
                <w14:textFill>
                  <w14:solidFill>
                    <w14:schemeClr w14:val="tx1"/>
                  </w14:solidFill>
                </w14:textFill>
              </w:rPr>
            </w:pPr>
          </w:p>
        </w:tc>
        <w:tc>
          <w:tcPr>
            <w:tcW w:w="1132" w:type="dxa"/>
            <w:vAlign w:val="center"/>
          </w:tcPr>
          <w:p w14:paraId="68615E5F">
            <w:pPr>
              <w:pStyle w:val="70"/>
              <w:rPr>
                <w:color w:val="000000" w:themeColor="text1"/>
                <w14:textFill>
                  <w14:solidFill>
                    <w14:schemeClr w14:val="tx1"/>
                  </w14:solidFill>
                </w14:textFill>
              </w:rPr>
            </w:pPr>
          </w:p>
        </w:tc>
        <w:tc>
          <w:tcPr>
            <w:tcW w:w="1321" w:type="dxa"/>
            <w:vAlign w:val="center"/>
          </w:tcPr>
          <w:p w14:paraId="125C1D7B">
            <w:pPr>
              <w:pStyle w:val="70"/>
              <w:rPr>
                <w:color w:val="000000" w:themeColor="text1"/>
                <w14:textFill>
                  <w14:solidFill>
                    <w14:schemeClr w14:val="tx1"/>
                  </w14:solidFill>
                </w14:textFill>
              </w:rPr>
            </w:pPr>
          </w:p>
        </w:tc>
        <w:tc>
          <w:tcPr>
            <w:tcW w:w="942" w:type="dxa"/>
            <w:vAlign w:val="center"/>
          </w:tcPr>
          <w:p w14:paraId="15229202">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108" w:type="dxa"/>
            <w:vAlign w:val="center"/>
          </w:tcPr>
          <w:p w14:paraId="4E160B94">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0AFB84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6805DD9C">
            <w:pPr>
              <w:pStyle w:val="70"/>
              <w:rPr>
                <w:color w:val="000000" w:themeColor="text1"/>
                <w14:textFill>
                  <w14:solidFill>
                    <w14:schemeClr w14:val="tx1"/>
                  </w14:solidFill>
                </w14:textFill>
              </w:rPr>
            </w:pPr>
            <w:r>
              <w:rPr>
                <w:color w:val="000000" w:themeColor="text1"/>
                <w14:textFill>
                  <w14:solidFill>
                    <w14:schemeClr w14:val="tx1"/>
                  </w14:solidFill>
                </w14:textFill>
              </w:rPr>
              <w:t>萘</w:t>
            </w:r>
            <w:r>
              <w:rPr>
                <w:color w:val="000000" w:themeColor="text1"/>
                <w:kern w:val="0"/>
                <w14:textFill>
                  <w14:solidFill>
                    <w14:schemeClr w14:val="tx1"/>
                  </w14:solidFill>
                </w14:textFill>
              </w:rPr>
              <w:t>（mg/kg）</w:t>
            </w:r>
          </w:p>
        </w:tc>
        <w:tc>
          <w:tcPr>
            <w:tcW w:w="1415" w:type="dxa"/>
            <w:vAlign w:val="center"/>
          </w:tcPr>
          <w:p w14:paraId="352AE57D">
            <w:pPr>
              <w:pStyle w:val="70"/>
              <w:rPr>
                <w:color w:val="000000" w:themeColor="text1"/>
                <w14:textFill>
                  <w14:solidFill>
                    <w14:schemeClr w14:val="tx1"/>
                  </w14:solidFill>
                </w14:textFill>
              </w:rPr>
            </w:pPr>
          </w:p>
        </w:tc>
        <w:tc>
          <w:tcPr>
            <w:tcW w:w="1132" w:type="dxa"/>
            <w:vAlign w:val="center"/>
          </w:tcPr>
          <w:p w14:paraId="51963C00">
            <w:pPr>
              <w:pStyle w:val="70"/>
              <w:rPr>
                <w:color w:val="000000" w:themeColor="text1"/>
                <w14:textFill>
                  <w14:solidFill>
                    <w14:schemeClr w14:val="tx1"/>
                  </w14:solidFill>
                </w14:textFill>
              </w:rPr>
            </w:pPr>
          </w:p>
        </w:tc>
        <w:tc>
          <w:tcPr>
            <w:tcW w:w="1321" w:type="dxa"/>
            <w:vAlign w:val="center"/>
          </w:tcPr>
          <w:p w14:paraId="7CE538B3">
            <w:pPr>
              <w:pStyle w:val="70"/>
              <w:rPr>
                <w:color w:val="000000" w:themeColor="text1"/>
                <w14:textFill>
                  <w14:solidFill>
                    <w14:schemeClr w14:val="tx1"/>
                  </w14:solidFill>
                </w14:textFill>
              </w:rPr>
            </w:pPr>
          </w:p>
        </w:tc>
        <w:tc>
          <w:tcPr>
            <w:tcW w:w="942" w:type="dxa"/>
            <w:vAlign w:val="center"/>
          </w:tcPr>
          <w:p w14:paraId="0510E8F9">
            <w:pPr>
              <w:pStyle w:val="70"/>
              <w:rPr>
                <w:color w:val="000000" w:themeColor="text1"/>
                <w14:textFill>
                  <w14:solidFill>
                    <w14:schemeClr w14:val="tx1"/>
                  </w14:solidFill>
                </w14:textFill>
              </w:rPr>
            </w:pPr>
            <w:r>
              <w:rPr>
                <w:color w:val="000000" w:themeColor="text1"/>
                <w14:textFill>
                  <w14:solidFill>
                    <w14:schemeClr w14:val="tx1"/>
                  </w14:solidFill>
                </w14:textFill>
              </w:rPr>
              <w:t>70</w:t>
            </w:r>
          </w:p>
        </w:tc>
        <w:tc>
          <w:tcPr>
            <w:tcW w:w="1108" w:type="dxa"/>
            <w:vAlign w:val="center"/>
          </w:tcPr>
          <w:p w14:paraId="12D48162">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653E38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269B76A4">
            <w:pPr>
              <w:pStyle w:val="70"/>
              <w:rPr>
                <w:color w:val="000000" w:themeColor="text1"/>
                <w14:textFill>
                  <w14:solidFill>
                    <w14:schemeClr w14:val="tx1"/>
                  </w14:solidFill>
                </w14:textFill>
              </w:rPr>
            </w:pPr>
            <w:r>
              <w:rPr>
                <w:color w:val="000000" w:themeColor="text1"/>
                <w14:textFill>
                  <w14:solidFill>
                    <w14:schemeClr w14:val="tx1"/>
                  </w14:solidFill>
                </w14:textFill>
              </w:rPr>
              <w:t>苯胺</w:t>
            </w:r>
            <w:r>
              <w:rPr>
                <w:color w:val="000000" w:themeColor="text1"/>
                <w:kern w:val="0"/>
                <w14:textFill>
                  <w14:solidFill>
                    <w14:schemeClr w14:val="tx1"/>
                  </w14:solidFill>
                </w14:textFill>
              </w:rPr>
              <w:t>（mg/kg）</w:t>
            </w:r>
          </w:p>
        </w:tc>
        <w:tc>
          <w:tcPr>
            <w:tcW w:w="1415" w:type="dxa"/>
            <w:vAlign w:val="center"/>
          </w:tcPr>
          <w:p w14:paraId="497658AC">
            <w:pPr>
              <w:pStyle w:val="70"/>
              <w:rPr>
                <w:color w:val="000000" w:themeColor="text1"/>
                <w14:textFill>
                  <w14:solidFill>
                    <w14:schemeClr w14:val="tx1"/>
                  </w14:solidFill>
                </w14:textFill>
              </w:rPr>
            </w:pPr>
          </w:p>
        </w:tc>
        <w:tc>
          <w:tcPr>
            <w:tcW w:w="1132" w:type="dxa"/>
            <w:vAlign w:val="center"/>
          </w:tcPr>
          <w:p w14:paraId="3D874A11">
            <w:pPr>
              <w:pStyle w:val="70"/>
              <w:rPr>
                <w:color w:val="000000" w:themeColor="text1"/>
                <w14:textFill>
                  <w14:solidFill>
                    <w14:schemeClr w14:val="tx1"/>
                  </w14:solidFill>
                </w14:textFill>
              </w:rPr>
            </w:pPr>
          </w:p>
        </w:tc>
        <w:tc>
          <w:tcPr>
            <w:tcW w:w="1321" w:type="dxa"/>
            <w:vAlign w:val="center"/>
          </w:tcPr>
          <w:p w14:paraId="65ED9790">
            <w:pPr>
              <w:pStyle w:val="70"/>
              <w:rPr>
                <w:color w:val="000000" w:themeColor="text1"/>
                <w14:textFill>
                  <w14:solidFill>
                    <w14:schemeClr w14:val="tx1"/>
                  </w14:solidFill>
                </w14:textFill>
              </w:rPr>
            </w:pPr>
          </w:p>
        </w:tc>
        <w:tc>
          <w:tcPr>
            <w:tcW w:w="942" w:type="dxa"/>
            <w:vAlign w:val="center"/>
          </w:tcPr>
          <w:p w14:paraId="4B890EC5">
            <w:pPr>
              <w:pStyle w:val="70"/>
              <w:rPr>
                <w:color w:val="000000" w:themeColor="text1"/>
                <w14:textFill>
                  <w14:solidFill>
                    <w14:schemeClr w14:val="tx1"/>
                  </w14:solidFill>
                </w14:textFill>
              </w:rPr>
            </w:pPr>
            <w:r>
              <w:rPr>
                <w:color w:val="000000" w:themeColor="text1"/>
                <w14:textFill>
                  <w14:solidFill>
                    <w14:schemeClr w14:val="tx1"/>
                  </w14:solidFill>
                </w14:textFill>
              </w:rPr>
              <w:t>260</w:t>
            </w:r>
          </w:p>
        </w:tc>
        <w:tc>
          <w:tcPr>
            <w:tcW w:w="1108" w:type="dxa"/>
            <w:vAlign w:val="center"/>
          </w:tcPr>
          <w:p w14:paraId="4430D4DE">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07B855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5D41D35A">
            <w:pPr>
              <w:pStyle w:val="70"/>
              <w:rPr>
                <w:color w:val="000000" w:themeColor="text1"/>
                <w14:textFill>
                  <w14:solidFill>
                    <w14:schemeClr w14:val="tx1"/>
                  </w14:solidFill>
                </w14:textFill>
              </w:rPr>
            </w:pPr>
            <w:r>
              <w:rPr>
                <w:color w:val="000000" w:themeColor="text1"/>
                <w14:textFill>
                  <w14:solidFill>
                    <w14:schemeClr w14:val="tx1"/>
                  </w14:solidFill>
                </w14:textFill>
              </w:rPr>
              <w:t>硝基苯</w:t>
            </w:r>
            <w:r>
              <w:rPr>
                <w:color w:val="000000" w:themeColor="text1"/>
                <w:kern w:val="0"/>
                <w14:textFill>
                  <w14:solidFill>
                    <w14:schemeClr w14:val="tx1"/>
                  </w14:solidFill>
                </w14:textFill>
              </w:rPr>
              <w:t>（mg/kg）</w:t>
            </w:r>
          </w:p>
        </w:tc>
        <w:tc>
          <w:tcPr>
            <w:tcW w:w="1415" w:type="dxa"/>
            <w:vAlign w:val="center"/>
          </w:tcPr>
          <w:p w14:paraId="1B91BC75">
            <w:pPr>
              <w:pStyle w:val="70"/>
              <w:rPr>
                <w:color w:val="000000" w:themeColor="text1"/>
                <w14:textFill>
                  <w14:solidFill>
                    <w14:schemeClr w14:val="tx1"/>
                  </w14:solidFill>
                </w14:textFill>
              </w:rPr>
            </w:pPr>
          </w:p>
        </w:tc>
        <w:tc>
          <w:tcPr>
            <w:tcW w:w="1132" w:type="dxa"/>
            <w:vAlign w:val="center"/>
          </w:tcPr>
          <w:p w14:paraId="79B1B1F8">
            <w:pPr>
              <w:pStyle w:val="70"/>
              <w:rPr>
                <w:color w:val="000000" w:themeColor="text1"/>
                <w14:textFill>
                  <w14:solidFill>
                    <w14:schemeClr w14:val="tx1"/>
                  </w14:solidFill>
                </w14:textFill>
              </w:rPr>
            </w:pPr>
          </w:p>
        </w:tc>
        <w:tc>
          <w:tcPr>
            <w:tcW w:w="1321" w:type="dxa"/>
            <w:vAlign w:val="center"/>
          </w:tcPr>
          <w:p w14:paraId="441BE54B">
            <w:pPr>
              <w:pStyle w:val="70"/>
              <w:rPr>
                <w:color w:val="000000" w:themeColor="text1"/>
                <w14:textFill>
                  <w14:solidFill>
                    <w14:schemeClr w14:val="tx1"/>
                  </w14:solidFill>
                </w14:textFill>
              </w:rPr>
            </w:pPr>
          </w:p>
        </w:tc>
        <w:tc>
          <w:tcPr>
            <w:tcW w:w="942" w:type="dxa"/>
            <w:vAlign w:val="center"/>
          </w:tcPr>
          <w:p w14:paraId="13437CAD">
            <w:pPr>
              <w:pStyle w:val="70"/>
              <w:rPr>
                <w:color w:val="000000" w:themeColor="text1"/>
                <w14:textFill>
                  <w14:solidFill>
                    <w14:schemeClr w14:val="tx1"/>
                  </w14:solidFill>
                </w14:textFill>
              </w:rPr>
            </w:pPr>
            <w:r>
              <w:rPr>
                <w:color w:val="000000" w:themeColor="text1"/>
                <w14:textFill>
                  <w14:solidFill>
                    <w14:schemeClr w14:val="tx1"/>
                  </w14:solidFill>
                </w14:textFill>
              </w:rPr>
              <w:t>76</w:t>
            </w:r>
          </w:p>
        </w:tc>
        <w:tc>
          <w:tcPr>
            <w:tcW w:w="1108" w:type="dxa"/>
            <w:vAlign w:val="center"/>
          </w:tcPr>
          <w:p w14:paraId="27E04E16">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131826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50CAE681">
            <w:pPr>
              <w:pStyle w:val="70"/>
              <w:rPr>
                <w:color w:val="000000" w:themeColor="text1"/>
                <w14:textFill>
                  <w14:solidFill>
                    <w14:schemeClr w14:val="tx1"/>
                  </w14:solidFill>
                </w14:textFill>
              </w:rPr>
            </w:pPr>
            <w:r>
              <w:rPr>
                <w:color w:val="000000" w:themeColor="text1"/>
                <w14:textFill>
                  <w14:solidFill>
                    <w14:schemeClr w14:val="tx1"/>
                  </w14:solidFill>
                </w14:textFill>
              </w:rPr>
              <w:t>多氯联苯总量（μg/kg）</w:t>
            </w:r>
          </w:p>
        </w:tc>
        <w:tc>
          <w:tcPr>
            <w:tcW w:w="1415" w:type="dxa"/>
            <w:vAlign w:val="center"/>
          </w:tcPr>
          <w:p w14:paraId="773C7D3D">
            <w:pPr>
              <w:pStyle w:val="70"/>
              <w:rPr>
                <w:color w:val="000000" w:themeColor="text1"/>
                <w14:textFill>
                  <w14:solidFill>
                    <w14:schemeClr w14:val="tx1"/>
                  </w14:solidFill>
                </w14:textFill>
              </w:rPr>
            </w:pPr>
          </w:p>
        </w:tc>
        <w:tc>
          <w:tcPr>
            <w:tcW w:w="1132" w:type="dxa"/>
            <w:vAlign w:val="center"/>
          </w:tcPr>
          <w:p w14:paraId="4055F4E3">
            <w:pPr>
              <w:pStyle w:val="70"/>
              <w:rPr>
                <w:color w:val="000000" w:themeColor="text1"/>
                <w14:textFill>
                  <w14:solidFill>
                    <w14:schemeClr w14:val="tx1"/>
                  </w14:solidFill>
                </w14:textFill>
              </w:rPr>
            </w:pPr>
          </w:p>
        </w:tc>
        <w:tc>
          <w:tcPr>
            <w:tcW w:w="1321" w:type="dxa"/>
            <w:vAlign w:val="center"/>
          </w:tcPr>
          <w:p w14:paraId="5408F15E">
            <w:pPr>
              <w:pStyle w:val="70"/>
              <w:rPr>
                <w:color w:val="000000" w:themeColor="text1"/>
                <w14:textFill>
                  <w14:solidFill>
                    <w14:schemeClr w14:val="tx1"/>
                  </w14:solidFill>
                </w14:textFill>
              </w:rPr>
            </w:pPr>
          </w:p>
        </w:tc>
        <w:tc>
          <w:tcPr>
            <w:tcW w:w="942" w:type="dxa"/>
            <w:vAlign w:val="center"/>
          </w:tcPr>
          <w:p w14:paraId="60101873">
            <w:pPr>
              <w:pStyle w:val="70"/>
              <w:rPr>
                <w:color w:val="000000" w:themeColor="text1"/>
                <w14:textFill>
                  <w14:solidFill>
                    <w14:schemeClr w14:val="tx1"/>
                  </w14:solidFill>
                </w14:textFill>
              </w:rPr>
            </w:pPr>
            <w:r>
              <w:rPr>
                <w:color w:val="000000" w:themeColor="text1"/>
                <w14:textFill>
                  <w14:solidFill>
                    <w14:schemeClr w14:val="tx1"/>
                  </w14:solidFill>
                </w14:textFill>
              </w:rPr>
              <w:t>0.38</w:t>
            </w:r>
          </w:p>
        </w:tc>
        <w:tc>
          <w:tcPr>
            <w:tcW w:w="1108" w:type="dxa"/>
            <w:vAlign w:val="center"/>
          </w:tcPr>
          <w:p w14:paraId="0254477B">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1D60D8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1606BAFA">
            <w:pPr>
              <w:pStyle w:val="70"/>
              <w:rPr>
                <w:color w:val="000000" w:themeColor="text1"/>
                <w14:textFill>
                  <w14:solidFill>
                    <w14:schemeClr w14:val="tx1"/>
                  </w14:solidFill>
                </w14:textFill>
              </w:rPr>
            </w:pPr>
            <w:r>
              <w:rPr>
                <w:color w:val="000000" w:themeColor="text1"/>
                <w14:textFill>
                  <w14:solidFill>
                    <w14:schemeClr w14:val="tx1"/>
                  </w14:solidFill>
                </w14:textFill>
              </w:rPr>
              <w:t>氯甲烷（μg/kg）</w:t>
            </w:r>
          </w:p>
        </w:tc>
        <w:tc>
          <w:tcPr>
            <w:tcW w:w="1415" w:type="dxa"/>
            <w:vAlign w:val="center"/>
          </w:tcPr>
          <w:p w14:paraId="3735A2D0">
            <w:pPr>
              <w:pStyle w:val="70"/>
              <w:rPr>
                <w:color w:val="000000" w:themeColor="text1"/>
                <w14:textFill>
                  <w14:solidFill>
                    <w14:schemeClr w14:val="tx1"/>
                  </w14:solidFill>
                </w14:textFill>
              </w:rPr>
            </w:pPr>
          </w:p>
        </w:tc>
        <w:tc>
          <w:tcPr>
            <w:tcW w:w="1132" w:type="dxa"/>
            <w:vAlign w:val="center"/>
          </w:tcPr>
          <w:p w14:paraId="7CD288A7">
            <w:pPr>
              <w:pStyle w:val="70"/>
              <w:rPr>
                <w:color w:val="000000" w:themeColor="text1"/>
                <w14:textFill>
                  <w14:solidFill>
                    <w14:schemeClr w14:val="tx1"/>
                  </w14:solidFill>
                </w14:textFill>
              </w:rPr>
            </w:pPr>
          </w:p>
        </w:tc>
        <w:tc>
          <w:tcPr>
            <w:tcW w:w="1321" w:type="dxa"/>
            <w:vAlign w:val="center"/>
          </w:tcPr>
          <w:p w14:paraId="769BAF69">
            <w:pPr>
              <w:pStyle w:val="70"/>
              <w:rPr>
                <w:color w:val="000000" w:themeColor="text1"/>
                <w14:textFill>
                  <w14:solidFill>
                    <w14:schemeClr w14:val="tx1"/>
                  </w14:solidFill>
                </w14:textFill>
              </w:rPr>
            </w:pPr>
          </w:p>
        </w:tc>
        <w:tc>
          <w:tcPr>
            <w:tcW w:w="942" w:type="dxa"/>
            <w:vAlign w:val="center"/>
          </w:tcPr>
          <w:p w14:paraId="44FF1D6A">
            <w:pPr>
              <w:pStyle w:val="70"/>
              <w:rPr>
                <w:color w:val="000000" w:themeColor="text1"/>
                <w14:textFill>
                  <w14:solidFill>
                    <w14:schemeClr w14:val="tx1"/>
                  </w14:solidFill>
                </w14:textFill>
              </w:rPr>
            </w:pPr>
            <w:r>
              <w:rPr>
                <w:color w:val="000000" w:themeColor="text1"/>
                <w14:textFill>
                  <w14:solidFill>
                    <w14:schemeClr w14:val="tx1"/>
                  </w14:solidFill>
                </w14:textFill>
              </w:rPr>
              <w:t>37</w:t>
            </w:r>
          </w:p>
        </w:tc>
        <w:tc>
          <w:tcPr>
            <w:tcW w:w="1108" w:type="dxa"/>
            <w:vAlign w:val="center"/>
          </w:tcPr>
          <w:p w14:paraId="5C740E6D">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3475AB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5D128E41">
            <w:pPr>
              <w:pStyle w:val="70"/>
              <w:rPr>
                <w:color w:val="000000" w:themeColor="text1"/>
                <w14:textFill>
                  <w14:solidFill>
                    <w14:schemeClr w14:val="tx1"/>
                  </w14:solidFill>
                </w14:textFill>
              </w:rPr>
            </w:pPr>
            <w:r>
              <w:rPr>
                <w:color w:val="000000" w:themeColor="text1"/>
                <w14:textFill>
                  <w14:solidFill>
                    <w14:schemeClr w14:val="tx1"/>
                  </w14:solidFill>
                </w14:textFill>
              </w:rPr>
              <w:t>四氯化碳（μg/kg）</w:t>
            </w:r>
          </w:p>
        </w:tc>
        <w:tc>
          <w:tcPr>
            <w:tcW w:w="1415" w:type="dxa"/>
            <w:vAlign w:val="center"/>
          </w:tcPr>
          <w:p w14:paraId="65872975">
            <w:pPr>
              <w:pStyle w:val="70"/>
              <w:rPr>
                <w:color w:val="000000" w:themeColor="text1"/>
                <w14:textFill>
                  <w14:solidFill>
                    <w14:schemeClr w14:val="tx1"/>
                  </w14:solidFill>
                </w14:textFill>
              </w:rPr>
            </w:pPr>
          </w:p>
        </w:tc>
        <w:tc>
          <w:tcPr>
            <w:tcW w:w="1132" w:type="dxa"/>
            <w:vAlign w:val="center"/>
          </w:tcPr>
          <w:p w14:paraId="7563ADC9">
            <w:pPr>
              <w:pStyle w:val="70"/>
              <w:rPr>
                <w:color w:val="000000" w:themeColor="text1"/>
                <w14:textFill>
                  <w14:solidFill>
                    <w14:schemeClr w14:val="tx1"/>
                  </w14:solidFill>
                </w14:textFill>
              </w:rPr>
            </w:pPr>
          </w:p>
        </w:tc>
        <w:tc>
          <w:tcPr>
            <w:tcW w:w="1321" w:type="dxa"/>
            <w:vAlign w:val="center"/>
          </w:tcPr>
          <w:p w14:paraId="12C60E72">
            <w:pPr>
              <w:pStyle w:val="70"/>
              <w:rPr>
                <w:color w:val="000000" w:themeColor="text1"/>
                <w14:textFill>
                  <w14:solidFill>
                    <w14:schemeClr w14:val="tx1"/>
                  </w14:solidFill>
                </w14:textFill>
              </w:rPr>
            </w:pPr>
          </w:p>
        </w:tc>
        <w:tc>
          <w:tcPr>
            <w:tcW w:w="942" w:type="dxa"/>
            <w:vAlign w:val="center"/>
          </w:tcPr>
          <w:p w14:paraId="7C2C50EE">
            <w:pPr>
              <w:pStyle w:val="70"/>
              <w:rPr>
                <w:color w:val="000000" w:themeColor="text1"/>
                <w14:textFill>
                  <w14:solidFill>
                    <w14:schemeClr w14:val="tx1"/>
                  </w14:solidFill>
                </w14:textFill>
              </w:rPr>
            </w:pPr>
            <w:r>
              <w:rPr>
                <w:color w:val="000000" w:themeColor="text1"/>
                <w14:textFill>
                  <w14:solidFill>
                    <w14:schemeClr w14:val="tx1"/>
                  </w14:solidFill>
                </w14:textFill>
              </w:rPr>
              <w:t>2.8</w:t>
            </w:r>
          </w:p>
        </w:tc>
        <w:tc>
          <w:tcPr>
            <w:tcW w:w="1108" w:type="dxa"/>
            <w:vAlign w:val="center"/>
          </w:tcPr>
          <w:p w14:paraId="3B484EC9">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2DDD5B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2DCB08A7">
            <w:pPr>
              <w:pStyle w:val="70"/>
              <w:rPr>
                <w:color w:val="000000" w:themeColor="text1"/>
                <w14:textFill>
                  <w14:solidFill>
                    <w14:schemeClr w14:val="tx1"/>
                  </w14:solidFill>
                </w14:textFill>
              </w:rPr>
            </w:pPr>
            <w:r>
              <w:rPr>
                <w:color w:val="000000" w:themeColor="text1"/>
                <w14:textFill>
                  <w14:solidFill>
                    <w14:schemeClr w14:val="tx1"/>
                  </w14:solidFill>
                </w14:textFill>
              </w:rPr>
              <w:t>氯仿（μg/kg）</w:t>
            </w:r>
          </w:p>
        </w:tc>
        <w:tc>
          <w:tcPr>
            <w:tcW w:w="1415" w:type="dxa"/>
            <w:vAlign w:val="center"/>
          </w:tcPr>
          <w:p w14:paraId="787F4677">
            <w:pPr>
              <w:pStyle w:val="70"/>
              <w:rPr>
                <w:color w:val="000000" w:themeColor="text1"/>
                <w14:textFill>
                  <w14:solidFill>
                    <w14:schemeClr w14:val="tx1"/>
                  </w14:solidFill>
                </w14:textFill>
              </w:rPr>
            </w:pPr>
          </w:p>
        </w:tc>
        <w:tc>
          <w:tcPr>
            <w:tcW w:w="1132" w:type="dxa"/>
            <w:vAlign w:val="center"/>
          </w:tcPr>
          <w:p w14:paraId="20D2909E">
            <w:pPr>
              <w:pStyle w:val="70"/>
              <w:rPr>
                <w:color w:val="000000" w:themeColor="text1"/>
                <w14:textFill>
                  <w14:solidFill>
                    <w14:schemeClr w14:val="tx1"/>
                  </w14:solidFill>
                </w14:textFill>
              </w:rPr>
            </w:pPr>
          </w:p>
        </w:tc>
        <w:tc>
          <w:tcPr>
            <w:tcW w:w="1321" w:type="dxa"/>
            <w:vAlign w:val="center"/>
          </w:tcPr>
          <w:p w14:paraId="7F05AC25">
            <w:pPr>
              <w:pStyle w:val="70"/>
              <w:rPr>
                <w:color w:val="000000" w:themeColor="text1"/>
                <w14:textFill>
                  <w14:solidFill>
                    <w14:schemeClr w14:val="tx1"/>
                  </w14:solidFill>
                </w14:textFill>
              </w:rPr>
            </w:pPr>
          </w:p>
        </w:tc>
        <w:tc>
          <w:tcPr>
            <w:tcW w:w="942" w:type="dxa"/>
            <w:vAlign w:val="center"/>
          </w:tcPr>
          <w:p w14:paraId="5AE34C87">
            <w:pPr>
              <w:pStyle w:val="70"/>
              <w:rPr>
                <w:color w:val="000000" w:themeColor="text1"/>
                <w14:textFill>
                  <w14:solidFill>
                    <w14:schemeClr w14:val="tx1"/>
                  </w14:solidFill>
                </w14:textFill>
              </w:rPr>
            </w:pPr>
            <w:r>
              <w:rPr>
                <w:color w:val="000000" w:themeColor="text1"/>
                <w14:textFill>
                  <w14:solidFill>
                    <w14:schemeClr w14:val="tx1"/>
                  </w14:solidFill>
                </w14:textFill>
              </w:rPr>
              <w:t>0.9</w:t>
            </w:r>
          </w:p>
        </w:tc>
        <w:tc>
          <w:tcPr>
            <w:tcW w:w="1108" w:type="dxa"/>
            <w:vAlign w:val="center"/>
          </w:tcPr>
          <w:p w14:paraId="1CF24400">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28F3E8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649D67FE">
            <w:pPr>
              <w:pStyle w:val="70"/>
              <w:rPr>
                <w:color w:val="000000" w:themeColor="text1"/>
                <w14:textFill>
                  <w14:solidFill>
                    <w14:schemeClr w14:val="tx1"/>
                  </w14:solidFill>
                </w14:textFill>
              </w:rPr>
            </w:pPr>
            <w:r>
              <w:rPr>
                <w:color w:val="000000" w:themeColor="text1"/>
                <w14:textFill>
                  <w14:solidFill>
                    <w14:schemeClr w14:val="tx1"/>
                  </w14:solidFill>
                </w14:textFill>
              </w:rPr>
              <w:t>1,1-二氯乙烷（μg/kg）</w:t>
            </w:r>
          </w:p>
        </w:tc>
        <w:tc>
          <w:tcPr>
            <w:tcW w:w="1415" w:type="dxa"/>
            <w:vAlign w:val="center"/>
          </w:tcPr>
          <w:p w14:paraId="289400DE">
            <w:pPr>
              <w:pStyle w:val="70"/>
              <w:rPr>
                <w:color w:val="000000" w:themeColor="text1"/>
                <w14:textFill>
                  <w14:solidFill>
                    <w14:schemeClr w14:val="tx1"/>
                  </w14:solidFill>
                </w14:textFill>
              </w:rPr>
            </w:pPr>
          </w:p>
        </w:tc>
        <w:tc>
          <w:tcPr>
            <w:tcW w:w="1132" w:type="dxa"/>
            <w:vAlign w:val="center"/>
          </w:tcPr>
          <w:p w14:paraId="5D472451">
            <w:pPr>
              <w:pStyle w:val="70"/>
              <w:rPr>
                <w:color w:val="000000" w:themeColor="text1"/>
                <w14:textFill>
                  <w14:solidFill>
                    <w14:schemeClr w14:val="tx1"/>
                  </w14:solidFill>
                </w14:textFill>
              </w:rPr>
            </w:pPr>
          </w:p>
        </w:tc>
        <w:tc>
          <w:tcPr>
            <w:tcW w:w="1321" w:type="dxa"/>
            <w:vAlign w:val="center"/>
          </w:tcPr>
          <w:p w14:paraId="79B44965">
            <w:pPr>
              <w:pStyle w:val="70"/>
              <w:rPr>
                <w:color w:val="000000" w:themeColor="text1"/>
                <w14:textFill>
                  <w14:solidFill>
                    <w14:schemeClr w14:val="tx1"/>
                  </w14:solidFill>
                </w14:textFill>
              </w:rPr>
            </w:pPr>
          </w:p>
        </w:tc>
        <w:tc>
          <w:tcPr>
            <w:tcW w:w="942" w:type="dxa"/>
            <w:vAlign w:val="center"/>
          </w:tcPr>
          <w:p w14:paraId="6CF054A4">
            <w:pPr>
              <w:pStyle w:val="70"/>
              <w:rPr>
                <w:color w:val="000000" w:themeColor="text1"/>
                <w14:textFill>
                  <w14:solidFill>
                    <w14:schemeClr w14:val="tx1"/>
                  </w14:solidFill>
                </w14:textFill>
              </w:rPr>
            </w:pPr>
            <w:r>
              <w:rPr>
                <w:color w:val="000000" w:themeColor="text1"/>
                <w14:textFill>
                  <w14:solidFill>
                    <w14:schemeClr w14:val="tx1"/>
                  </w14:solidFill>
                </w14:textFill>
              </w:rPr>
              <w:t>9</w:t>
            </w:r>
          </w:p>
        </w:tc>
        <w:tc>
          <w:tcPr>
            <w:tcW w:w="1108" w:type="dxa"/>
            <w:vAlign w:val="center"/>
          </w:tcPr>
          <w:p w14:paraId="772DFEF6">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25BC34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5FC1F41D">
            <w:pPr>
              <w:pStyle w:val="70"/>
              <w:rPr>
                <w:color w:val="000000" w:themeColor="text1"/>
                <w14:textFill>
                  <w14:solidFill>
                    <w14:schemeClr w14:val="tx1"/>
                  </w14:solidFill>
                </w14:textFill>
              </w:rPr>
            </w:pPr>
            <w:r>
              <w:rPr>
                <w:color w:val="000000" w:themeColor="text1"/>
                <w14:textFill>
                  <w14:solidFill>
                    <w14:schemeClr w14:val="tx1"/>
                  </w14:solidFill>
                </w14:textFill>
              </w:rPr>
              <w:t>1,2-二氯乙烷（μg/kg）</w:t>
            </w:r>
          </w:p>
        </w:tc>
        <w:tc>
          <w:tcPr>
            <w:tcW w:w="1415" w:type="dxa"/>
            <w:vAlign w:val="center"/>
          </w:tcPr>
          <w:p w14:paraId="029F683E">
            <w:pPr>
              <w:pStyle w:val="70"/>
              <w:rPr>
                <w:color w:val="000000" w:themeColor="text1"/>
                <w14:textFill>
                  <w14:solidFill>
                    <w14:schemeClr w14:val="tx1"/>
                  </w14:solidFill>
                </w14:textFill>
              </w:rPr>
            </w:pPr>
          </w:p>
        </w:tc>
        <w:tc>
          <w:tcPr>
            <w:tcW w:w="1132" w:type="dxa"/>
            <w:vAlign w:val="center"/>
          </w:tcPr>
          <w:p w14:paraId="2A14A168">
            <w:pPr>
              <w:pStyle w:val="70"/>
              <w:rPr>
                <w:color w:val="000000" w:themeColor="text1"/>
                <w14:textFill>
                  <w14:solidFill>
                    <w14:schemeClr w14:val="tx1"/>
                  </w14:solidFill>
                </w14:textFill>
              </w:rPr>
            </w:pPr>
          </w:p>
        </w:tc>
        <w:tc>
          <w:tcPr>
            <w:tcW w:w="1321" w:type="dxa"/>
            <w:vAlign w:val="center"/>
          </w:tcPr>
          <w:p w14:paraId="20A627D0">
            <w:pPr>
              <w:pStyle w:val="70"/>
              <w:rPr>
                <w:color w:val="000000" w:themeColor="text1"/>
                <w14:textFill>
                  <w14:solidFill>
                    <w14:schemeClr w14:val="tx1"/>
                  </w14:solidFill>
                </w14:textFill>
              </w:rPr>
            </w:pPr>
          </w:p>
        </w:tc>
        <w:tc>
          <w:tcPr>
            <w:tcW w:w="942" w:type="dxa"/>
            <w:vAlign w:val="center"/>
          </w:tcPr>
          <w:p w14:paraId="5C1A3C8F">
            <w:pPr>
              <w:pStyle w:val="70"/>
              <w:rPr>
                <w:color w:val="000000" w:themeColor="text1"/>
                <w14:textFill>
                  <w14:solidFill>
                    <w14:schemeClr w14:val="tx1"/>
                  </w14:solidFill>
                </w14:textFill>
              </w:rPr>
            </w:pPr>
            <w:r>
              <w:rPr>
                <w:color w:val="000000" w:themeColor="text1"/>
                <w14:textFill>
                  <w14:solidFill>
                    <w14:schemeClr w14:val="tx1"/>
                  </w14:solidFill>
                </w14:textFill>
              </w:rPr>
              <w:t>5</w:t>
            </w:r>
          </w:p>
        </w:tc>
        <w:tc>
          <w:tcPr>
            <w:tcW w:w="1108" w:type="dxa"/>
            <w:vAlign w:val="center"/>
          </w:tcPr>
          <w:p w14:paraId="52194F77">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263885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0ECA9C98">
            <w:pPr>
              <w:pStyle w:val="70"/>
              <w:rPr>
                <w:color w:val="000000" w:themeColor="text1"/>
                <w14:textFill>
                  <w14:solidFill>
                    <w14:schemeClr w14:val="tx1"/>
                  </w14:solidFill>
                </w14:textFill>
              </w:rPr>
            </w:pPr>
            <w:r>
              <w:rPr>
                <w:color w:val="000000" w:themeColor="text1"/>
                <w14:textFill>
                  <w14:solidFill>
                    <w14:schemeClr w14:val="tx1"/>
                  </w14:solidFill>
                </w14:textFill>
              </w:rPr>
              <w:t>1,1-二氯乙烯（μg/kg）</w:t>
            </w:r>
          </w:p>
        </w:tc>
        <w:tc>
          <w:tcPr>
            <w:tcW w:w="1415" w:type="dxa"/>
            <w:vAlign w:val="center"/>
          </w:tcPr>
          <w:p w14:paraId="64AABDC2">
            <w:pPr>
              <w:pStyle w:val="70"/>
              <w:rPr>
                <w:color w:val="000000" w:themeColor="text1"/>
                <w14:textFill>
                  <w14:solidFill>
                    <w14:schemeClr w14:val="tx1"/>
                  </w14:solidFill>
                </w14:textFill>
              </w:rPr>
            </w:pPr>
          </w:p>
        </w:tc>
        <w:tc>
          <w:tcPr>
            <w:tcW w:w="1132" w:type="dxa"/>
            <w:vAlign w:val="center"/>
          </w:tcPr>
          <w:p w14:paraId="6E3035F0">
            <w:pPr>
              <w:pStyle w:val="70"/>
              <w:rPr>
                <w:color w:val="000000" w:themeColor="text1"/>
                <w14:textFill>
                  <w14:solidFill>
                    <w14:schemeClr w14:val="tx1"/>
                  </w14:solidFill>
                </w14:textFill>
              </w:rPr>
            </w:pPr>
          </w:p>
        </w:tc>
        <w:tc>
          <w:tcPr>
            <w:tcW w:w="1321" w:type="dxa"/>
            <w:vAlign w:val="center"/>
          </w:tcPr>
          <w:p w14:paraId="0F4C7D39">
            <w:pPr>
              <w:pStyle w:val="70"/>
              <w:rPr>
                <w:color w:val="000000" w:themeColor="text1"/>
                <w14:textFill>
                  <w14:solidFill>
                    <w14:schemeClr w14:val="tx1"/>
                  </w14:solidFill>
                </w14:textFill>
              </w:rPr>
            </w:pPr>
          </w:p>
        </w:tc>
        <w:tc>
          <w:tcPr>
            <w:tcW w:w="942" w:type="dxa"/>
            <w:vAlign w:val="center"/>
          </w:tcPr>
          <w:p w14:paraId="08BAB5B8">
            <w:pPr>
              <w:pStyle w:val="70"/>
              <w:rPr>
                <w:color w:val="000000" w:themeColor="text1"/>
                <w14:textFill>
                  <w14:solidFill>
                    <w14:schemeClr w14:val="tx1"/>
                  </w14:solidFill>
                </w14:textFill>
              </w:rPr>
            </w:pPr>
            <w:r>
              <w:rPr>
                <w:color w:val="000000" w:themeColor="text1"/>
                <w14:textFill>
                  <w14:solidFill>
                    <w14:schemeClr w14:val="tx1"/>
                  </w14:solidFill>
                </w14:textFill>
              </w:rPr>
              <w:t>66</w:t>
            </w:r>
          </w:p>
        </w:tc>
        <w:tc>
          <w:tcPr>
            <w:tcW w:w="1108" w:type="dxa"/>
            <w:vAlign w:val="center"/>
          </w:tcPr>
          <w:p w14:paraId="18F71BE3">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0194F2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45690C50">
            <w:pPr>
              <w:pStyle w:val="70"/>
              <w:rPr>
                <w:color w:val="000000" w:themeColor="text1"/>
                <w14:textFill>
                  <w14:solidFill>
                    <w14:schemeClr w14:val="tx1"/>
                  </w14:solidFill>
                </w14:textFill>
              </w:rPr>
            </w:pPr>
            <w:r>
              <w:rPr>
                <w:color w:val="000000" w:themeColor="text1"/>
                <w14:textFill>
                  <w14:solidFill>
                    <w14:schemeClr w14:val="tx1"/>
                  </w14:solidFill>
                </w14:textFill>
              </w:rPr>
              <w:t>顺-1,2-二氯乙烯（μg/kg）</w:t>
            </w:r>
          </w:p>
        </w:tc>
        <w:tc>
          <w:tcPr>
            <w:tcW w:w="1415" w:type="dxa"/>
            <w:vAlign w:val="center"/>
          </w:tcPr>
          <w:p w14:paraId="16878A92">
            <w:pPr>
              <w:pStyle w:val="70"/>
              <w:rPr>
                <w:color w:val="000000" w:themeColor="text1"/>
                <w14:textFill>
                  <w14:solidFill>
                    <w14:schemeClr w14:val="tx1"/>
                  </w14:solidFill>
                </w14:textFill>
              </w:rPr>
            </w:pPr>
          </w:p>
        </w:tc>
        <w:tc>
          <w:tcPr>
            <w:tcW w:w="1132" w:type="dxa"/>
            <w:vAlign w:val="center"/>
          </w:tcPr>
          <w:p w14:paraId="347FA40B">
            <w:pPr>
              <w:pStyle w:val="70"/>
              <w:rPr>
                <w:color w:val="000000" w:themeColor="text1"/>
                <w14:textFill>
                  <w14:solidFill>
                    <w14:schemeClr w14:val="tx1"/>
                  </w14:solidFill>
                </w14:textFill>
              </w:rPr>
            </w:pPr>
          </w:p>
        </w:tc>
        <w:tc>
          <w:tcPr>
            <w:tcW w:w="1321" w:type="dxa"/>
            <w:vAlign w:val="center"/>
          </w:tcPr>
          <w:p w14:paraId="075C1ECE">
            <w:pPr>
              <w:pStyle w:val="70"/>
              <w:rPr>
                <w:color w:val="000000" w:themeColor="text1"/>
                <w14:textFill>
                  <w14:solidFill>
                    <w14:schemeClr w14:val="tx1"/>
                  </w14:solidFill>
                </w14:textFill>
              </w:rPr>
            </w:pPr>
          </w:p>
        </w:tc>
        <w:tc>
          <w:tcPr>
            <w:tcW w:w="942" w:type="dxa"/>
            <w:vAlign w:val="center"/>
          </w:tcPr>
          <w:p w14:paraId="2AC3BAEA">
            <w:pPr>
              <w:pStyle w:val="70"/>
              <w:rPr>
                <w:color w:val="000000" w:themeColor="text1"/>
                <w14:textFill>
                  <w14:solidFill>
                    <w14:schemeClr w14:val="tx1"/>
                  </w14:solidFill>
                </w14:textFill>
              </w:rPr>
            </w:pPr>
            <w:r>
              <w:rPr>
                <w:color w:val="000000" w:themeColor="text1"/>
                <w14:textFill>
                  <w14:solidFill>
                    <w14:schemeClr w14:val="tx1"/>
                  </w14:solidFill>
                </w14:textFill>
              </w:rPr>
              <w:t>596</w:t>
            </w:r>
          </w:p>
        </w:tc>
        <w:tc>
          <w:tcPr>
            <w:tcW w:w="1108" w:type="dxa"/>
            <w:vAlign w:val="center"/>
          </w:tcPr>
          <w:p w14:paraId="37AFA423">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002B3D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64A944FC">
            <w:pPr>
              <w:pStyle w:val="70"/>
              <w:rPr>
                <w:color w:val="000000" w:themeColor="text1"/>
                <w14:textFill>
                  <w14:solidFill>
                    <w14:schemeClr w14:val="tx1"/>
                  </w14:solidFill>
                </w14:textFill>
              </w:rPr>
            </w:pPr>
            <w:r>
              <w:rPr>
                <w:color w:val="000000" w:themeColor="text1"/>
                <w14:textFill>
                  <w14:solidFill>
                    <w14:schemeClr w14:val="tx1"/>
                  </w14:solidFill>
                </w14:textFill>
              </w:rPr>
              <w:t>反-1,2-二氯乙烯（μg/kg）</w:t>
            </w:r>
          </w:p>
        </w:tc>
        <w:tc>
          <w:tcPr>
            <w:tcW w:w="1415" w:type="dxa"/>
            <w:vAlign w:val="center"/>
          </w:tcPr>
          <w:p w14:paraId="2758A61A">
            <w:pPr>
              <w:pStyle w:val="70"/>
              <w:rPr>
                <w:color w:val="000000" w:themeColor="text1"/>
                <w14:textFill>
                  <w14:solidFill>
                    <w14:schemeClr w14:val="tx1"/>
                  </w14:solidFill>
                </w14:textFill>
              </w:rPr>
            </w:pPr>
          </w:p>
        </w:tc>
        <w:tc>
          <w:tcPr>
            <w:tcW w:w="1132" w:type="dxa"/>
            <w:vAlign w:val="center"/>
          </w:tcPr>
          <w:p w14:paraId="66BD3C1B">
            <w:pPr>
              <w:pStyle w:val="70"/>
              <w:rPr>
                <w:color w:val="000000" w:themeColor="text1"/>
                <w14:textFill>
                  <w14:solidFill>
                    <w14:schemeClr w14:val="tx1"/>
                  </w14:solidFill>
                </w14:textFill>
              </w:rPr>
            </w:pPr>
          </w:p>
        </w:tc>
        <w:tc>
          <w:tcPr>
            <w:tcW w:w="1321" w:type="dxa"/>
            <w:vAlign w:val="center"/>
          </w:tcPr>
          <w:p w14:paraId="71203620">
            <w:pPr>
              <w:pStyle w:val="70"/>
              <w:rPr>
                <w:color w:val="000000" w:themeColor="text1"/>
                <w14:textFill>
                  <w14:solidFill>
                    <w14:schemeClr w14:val="tx1"/>
                  </w14:solidFill>
                </w14:textFill>
              </w:rPr>
            </w:pPr>
          </w:p>
        </w:tc>
        <w:tc>
          <w:tcPr>
            <w:tcW w:w="942" w:type="dxa"/>
            <w:vAlign w:val="center"/>
          </w:tcPr>
          <w:p w14:paraId="6510D202">
            <w:pPr>
              <w:pStyle w:val="70"/>
              <w:rPr>
                <w:color w:val="000000" w:themeColor="text1"/>
                <w14:textFill>
                  <w14:solidFill>
                    <w14:schemeClr w14:val="tx1"/>
                  </w14:solidFill>
                </w14:textFill>
              </w:rPr>
            </w:pPr>
            <w:r>
              <w:rPr>
                <w:color w:val="000000" w:themeColor="text1"/>
                <w14:textFill>
                  <w14:solidFill>
                    <w14:schemeClr w14:val="tx1"/>
                  </w14:solidFill>
                </w14:textFill>
              </w:rPr>
              <w:t>54</w:t>
            </w:r>
          </w:p>
        </w:tc>
        <w:tc>
          <w:tcPr>
            <w:tcW w:w="1108" w:type="dxa"/>
            <w:vAlign w:val="center"/>
          </w:tcPr>
          <w:p w14:paraId="5CEE65C6">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5EE8EE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6B39BAEB">
            <w:pPr>
              <w:pStyle w:val="70"/>
              <w:rPr>
                <w:color w:val="000000" w:themeColor="text1"/>
                <w14:textFill>
                  <w14:solidFill>
                    <w14:schemeClr w14:val="tx1"/>
                  </w14:solidFill>
                </w14:textFill>
              </w:rPr>
            </w:pPr>
            <w:r>
              <w:rPr>
                <w:color w:val="000000" w:themeColor="text1"/>
                <w14:textFill>
                  <w14:solidFill>
                    <w14:schemeClr w14:val="tx1"/>
                  </w14:solidFill>
                </w14:textFill>
              </w:rPr>
              <w:t>二氯甲烷（μg/kg）</w:t>
            </w:r>
          </w:p>
        </w:tc>
        <w:tc>
          <w:tcPr>
            <w:tcW w:w="1415" w:type="dxa"/>
            <w:vAlign w:val="center"/>
          </w:tcPr>
          <w:p w14:paraId="14BD8C94">
            <w:pPr>
              <w:pStyle w:val="70"/>
              <w:rPr>
                <w:color w:val="000000" w:themeColor="text1"/>
                <w14:textFill>
                  <w14:solidFill>
                    <w14:schemeClr w14:val="tx1"/>
                  </w14:solidFill>
                </w14:textFill>
              </w:rPr>
            </w:pPr>
          </w:p>
        </w:tc>
        <w:tc>
          <w:tcPr>
            <w:tcW w:w="1132" w:type="dxa"/>
            <w:vAlign w:val="center"/>
          </w:tcPr>
          <w:p w14:paraId="1B3226EC">
            <w:pPr>
              <w:pStyle w:val="70"/>
              <w:rPr>
                <w:color w:val="000000" w:themeColor="text1"/>
                <w14:textFill>
                  <w14:solidFill>
                    <w14:schemeClr w14:val="tx1"/>
                  </w14:solidFill>
                </w14:textFill>
              </w:rPr>
            </w:pPr>
          </w:p>
        </w:tc>
        <w:tc>
          <w:tcPr>
            <w:tcW w:w="1321" w:type="dxa"/>
            <w:vAlign w:val="center"/>
          </w:tcPr>
          <w:p w14:paraId="58DF1FB6">
            <w:pPr>
              <w:pStyle w:val="70"/>
              <w:rPr>
                <w:color w:val="000000" w:themeColor="text1"/>
                <w14:textFill>
                  <w14:solidFill>
                    <w14:schemeClr w14:val="tx1"/>
                  </w14:solidFill>
                </w14:textFill>
              </w:rPr>
            </w:pPr>
          </w:p>
        </w:tc>
        <w:tc>
          <w:tcPr>
            <w:tcW w:w="942" w:type="dxa"/>
            <w:vAlign w:val="center"/>
          </w:tcPr>
          <w:p w14:paraId="261DCED2">
            <w:pPr>
              <w:pStyle w:val="70"/>
              <w:rPr>
                <w:color w:val="000000" w:themeColor="text1"/>
                <w14:textFill>
                  <w14:solidFill>
                    <w14:schemeClr w14:val="tx1"/>
                  </w14:solidFill>
                </w14:textFill>
              </w:rPr>
            </w:pPr>
            <w:r>
              <w:rPr>
                <w:color w:val="000000" w:themeColor="text1"/>
                <w14:textFill>
                  <w14:solidFill>
                    <w14:schemeClr w14:val="tx1"/>
                  </w14:solidFill>
                </w14:textFill>
              </w:rPr>
              <w:t>616</w:t>
            </w:r>
          </w:p>
        </w:tc>
        <w:tc>
          <w:tcPr>
            <w:tcW w:w="1108" w:type="dxa"/>
            <w:vAlign w:val="center"/>
          </w:tcPr>
          <w:p w14:paraId="2A30CC67">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3F1B20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73D5180A">
            <w:pPr>
              <w:pStyle w:val="70"/>
              <w:rPr>
                <w:color w:val="000000" w:themeColor="text1"/>
                <w14:textFill>
                  <w14:solidFill>
                    <w14:schemeClr w14:val="tx1"/>
                  </w14:solidFill>
                </w14:textFill>
              </w:rPr>
            </w:pPr>
            <w:r>
              <w:rPr>
                <w:color w:val="000000" w:themeColor="text1"/>
                <w14:textFill>
                  <w14:solidFill>
                    <w14:schemeClr w14:val="tx1"/>
                  </w14:solidFill>
                </w14:textFill>
              </w:rPr>
              <w:t>1,2-二氯丙烷（μg/kg）</w:t>
            </w:r>
          </w:p>
        </w:tc>
        <w:tc>
          <w:tcPr>
            <w:tcW w:w="1415" w:type="dxa"/>
            <w:vAlign w:val="center"/>
          </w:tcPr>
          <w:p w14:paraId="57C55AFC">
            <w:pPr>
              <w:pStyle w:val="70"/>
              <w:rPr>
                <w:color w:val="000000" w:themeColor="text1"/>
                <w14:textFill>
                  <w14:solidFill>
                    <w14:schemeClr w14:val="tx1"/>
                  </w14:solidFill>
                </w14:textFill>
              </w:rPr>
            </w:pPr>
          </w:p>
        </w:tc>
        <w:tc>
          <w:tcPr>
            <w:tcW w:w="1132" w:type="dxa"/>
            <w:vAlign w:val="center"/>
          </w:tcPr>
          <w:p w14:paraId="1F5D21FA">
            <w:pPr>
              <w:pStyle w:val="70"/>
              <w:rPr>
                <w:color w:val="000000" w:themeColor="text1"/>
                <w14:textFill>
                  <w14:solidFill>
                    <w14:schemeClr w14:val="tx1"/>
                  </w14:solidFill>
                </w14:textFill>
              </w:rPr>
            </w:pPr>
          </w:p>
        </w:tc>
        <w:tc>
          <w:tcPr>
            <w:tcW w:w="1321" w:type="dxa"/>
            <w:vAlign w:val="center"/>
          </w:tcPr>
          <w:p w14:paraId="5410D96F">
            <w:pPr>
              <w:pStyle w:val="70"/>
              <w:rPr>
                <w:color w:val="000000" w:themeColor="text1"/>
                <w14:textFill>
                  <w14:solidFill>
                    <w14:schemeClr w14:val="tx1"/>
                  </w14:solidFill>
                </w14:textFill>
              </w:rPr>
            </w:pPr>
          </w:p>
        </w:tc>
        <w:tc>
          <w:tcPr>
            <w:tcW w:w="942" w:type="dxa"/>
            <w:vAlign w:val="center"/>
          </w:tcPr>
          <w:p w14:paraId="23517EAA">
            <w:pPr>
              <w:pStyle w:val="70"/>
              <w:rPr>
                <w:color w:val="000000" w:themeColor="text1"/>
                <w14:textFill>
                  <w14:solidFill>
                    <w14:schemeClr w14:val="tx1"/>
                  </w14:solidFill>
                </w14:textFill>
              </w:rPr>
            </w:pPr>
            <w:r>
              <w:rPr>
                <w:color w:val="000000" w:themeColor="text1"/>
                <w14:textFill>
                  <w14:solidFill>
                    <w14:schemeClr w14:val="tx1"/>
                  </w14:solidFill>
                </w14:textFill>
              </w:rPr>
              <w:t>5</w:t>
            </w:r>
          </w:p>
        </w:tc>
        <w:tc>
          <w:tcPr>
            <w:tcW w:w="1108" w:type="dxa"/>
            <w:vAlign w:val="center"/>
          </w:tcPr>
          <w:p w14:paraId="35BBB34D">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09FDB1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2F17BDF0">
            <w:pPr>
              <w:pStyle w:val="70"/>
              <w:rPr>
                <w:color w:val="000000" w:themeColor="text1"/>
                <w14:textFill>
                  <w14:solidFill>
                    <w14:schemeClr w14:val="tx1"/>
                  </w14:solidFill>
                </w14:textFill>
              </w:rPr>
            </w:pPr>
            <w:r>
              <w:rPr>
                <w:color w:val="000000" w:themeColor="text1"/>
                <w14:textFill>
                  <w14:solidFill>
                    <w14:schemeClr w14:val="tx1"/>
                  </w14:solidFill>
                </w14:textFill>
              </w:rPr>
              <w:t>1,1,1,2-四氯乙烷（μg/kg）</w:t>
            </w:r>
          </w:p>
        </w:tc>
        <w:tc>
          <w:tcPr>
            <w:tcW w:w="1415" w:type="dxa"/>
            <w:vAlign w:val="center"/>
          </w:tcPr>
          <w:p w14:paraId="3EB9C293">
            <w:pPr>
              <w:pStyle w:val="70"/>
              <w:rPr>
                <w:color w:val="000000" w:themeColor="text1"/>
                <w14:textFill>
                  <w14:solidFill>
                    <w14:schemeClr w14:val="tx1"/>
                  </w14:solidFill>
                </w14:textFill>
              </w:rPr>
            </w:pPr>
          </w:p>
        </w:tc>
        <w:tc>
          <w:tcPr>
            <w:tcW w:w="1132" w:type="dxa"/>
            <w:vAlign w:val="center"/>
          </w:tcPr>
          <w:p w14:paraId="23C930D8">
            <w:pPr>
              <w:pStyle w:val="70"/>
              <w:rPr>
                <w:color w:val="000000" w:themeColor="text1"/>
                <w14:textFill>
                  <w14:solidFill>
                    <w14:schemeClr w14:val="tx1"/>
                  </w14:solidFill>
                </w14:textFill>
              </w:rPr>
            </w:pPr>
          </w:p>
        </w:tc>
        <w:tc>
          <w:tcPr>
            <w:tcW w:w="1321" w:type="dxa"/>
            <w:vAlign w:val="center"/>
          </w:tcPr>
          <w:p w14:paraId="37ADE2E1">
            <w:pPr>
              <w:pStyle w:val="70"/>
              <w:rPr>
                <w:color w:val="000000" w:themeColor="text1"/>
                <w14:textFill>
                  <w14:solidFill>
                    <w14:schemeClr w14:val="tx1"/>
                  </w14:solidFill>
                </w14:textFill>
              </w:rPr>
            </w:pPr>
          </w:p>
        </w:tc>
        <w:tc>
          <w:tcPr>
            <w:tcW w:w="942" w:type="dxa"/>
            <w:vAlign w:val="center"/>
          </w:tcPr>
          <w:p w14:paraId="2B80B5A1">
            <w:pPr>
              <w:pStyle w:val="70"/>
              <w:rPr>
                <w:color w:val="000000" w:themeColor="text1"/>
                <w14:textFill>
                  <w14:solidFill>
                    <w14:schemeClr w14:val="tx1"/>
                  </w14:solidFill>
                </w14:textFill>
              </w:rPr>
            </w:pPr>
            <w:r>
              <w:rPr>
                <w:color w:val="000000" w:themeColor="text1"/>
                <w14:textFill>
                  <w14:solidFill>
                    <w14:schemeClr w14:val="tx1"/>
                  </w14:solidFill>
                </w14:textFill>
              </w:rPr>
              <w:t>10</w:t>
            </w:r>
          </w:p>
        </w:tc>
        <w:tc>
          <w:tcPr>
            <w:tcW w:w="1108" w:type="dxa"/>
            <w:vAlign w:val="center"/>
          </w:tcPr>
          <w:p w14:paraId="6E8A622A">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2D2866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6293318A">
            <w:pPr>
              <w:pStyle w:val="70"/>
              <w:rPr>
                <w:color w:val="000000" w:themeColor="text1"/>
                <w14:textFill>
                  <w14:solidFill>
                    <w14:schemeClr w14:val="tx1"/>
                  </w14:solidFill>
                </w14:textFill>
              </w:rPr>
            </w:pPr>
            <w:r>
              <w:rPr>
                <w:color w:val="000000" w:themeColor="text1"/>
                <w14:textFill>
                  <w14:solidFill>
                    <w14:schemeClr w14:val="tx1"/>
                  </w14:solidFill>
                </w14:textFill>
              </w:rPr>
              <w:t>1,1,2,2-四氯乙烷（μg/kg）</w:t>
            </w:r>
          </w:p>
        </w:tc>
        <w:tc>
          <w:tcPr>
            <w:tcW w:w="1415" w:type="dxa"/>
            <w:vAlign w:val="center"/>
          </w:tcPr>
          <w:p w14:paraId="0BEFEBE5">
            <w:pPr>
              <w:pStyle w:val="70"/>
              <w:rPr>
                <w:color w:val="000000" w:themeColor="text1"/>
                <w14:textFill>
                  <w14:solidFill>
                    <w14:schemeClr w14:val="tx1"/>
                  </w14:solidFill>
                </w14:textFill>
              </w:rPr>
            </w:pPr>
          </w:p>
        </w:tc>
        <w:tc>
          <w:tcPr>
            <w:tcW w:w="1132" w:type="dxa"/>
            <w:vAlign w:val="center"/>
          </w:tcPr>
          <w:p w14:paraId="07DE8BB7">
            <w:pPr>
              <w:pStyle w:val="70"/>
              <w:rPr>
                <w:color w:val="000000" w:themeColor="text1"/>
                <w14:textFill>
                  <w14:solidFill>
                    <w14:schemeClr w14:val="tx1"/>
                  </w14:solidFill>
                </w14:textFill>
              </w:rPr>
            </w:pPr>
          </w:p>
        </w:tc>
        <w:tc>
          <w:tcPr>
            <w:tcW w:w="1321" w:type="dxa"/>
            <w:vAlign w:val="center"/>
          </w:tcPr>
          <w:p w14:paraId="53630FBA">
            <w:pPr>
              <w:pStyle w:val="70"/>
              <w:rPr>
                <w:color w:val="000000" w:themeColor="text1"/>
                <w14:textFill>
                  <w14:solidFill>
                    <w14:schemeClr w14:val="tx1"/>
                  </w14:solidFill>
                </w14:textFill>
              </w:rPr>
            </w:pPr>
          </w:p>
        </w:tc>
        <w:tc>
          <w:tcPr>
            <w:tcW w:w="942" w:type="dxa"/>
            <w:vAlign w:val="center"/>
          </w:tcPr>
          <w:p w14:paraId="3DBE0B33">
            <w:pPr>
              <w:pStyle w:val="70"/>
              <w:rPr>
                <w:color w:val="000000" w:themeColor="text1"/>
                <w14:textFill>
                  <w14:solidFill>
                    <w14:schemeClr w14:val="tx1"/>
                  </w14:solidFill>
                </w14:textFill>
              </w:rPr>
            </w:pPr>
            <w:r>
              <w:rPr>
                <w:color w:val="000000" w:themeColor="text1"/>
                <w14:textFill>
                  <w14:solidFill>
                    <w14:schemeClr w14:val="tx1"/>
                  </w14:solidFill>
                </w14:textFill>
              </w:rPr>
              <w:t>6.8</w:t>
            </w:r>
          </w:p>
        </w:tc>
        <w:tc>
          <w:tcPr>
            <w:tcW w:w="1108" w:type="dxa"/>
            <w:vAlign w:val="center"/>
          </w:tcPr>
          <w:p w14:paraId="664839A6">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78EE3E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1D4D28E9">
            <w:pPr>
              <w:pStyle w:val="70"/>
              <w:rPr>
                <w:color w:val="000000" w:themeColor="text1"/>
                <w14:textFill>
                  <w14:solidFill>
                    <w14:schemeClr w14:val="tx1"/>
                  </w14:solidFill>
                </w14:textFill>
              </w:rPr>
            </w:pPr>
            <w:r>
              <w:rPr>
                <w:color w:val="000000" w:themeColor="text1"/>
                <w14:textFill>
                  <w14:solidFill>
                    <w14:schemeClr w14:val="tx1"/>
                  </w14:solidFill>
                </w14:textFill>
              </w:rPr>
              <w:t>四氯乙烯（μg/kg）</w:t>
            </w:r>
          </w:p>
        </w:tc>
        <w:tc>
          <w:tcPr>
            <w:tcW w:w="1415" w:type="dxa"/>
            <w:vAlign w:val="center"/>
          </w:tcPr>
          <w:p w14:paraId="57E0632A">
            <w:pPr>
              <w:pStyle w:val="70"/>
              <w:rPr>
                <w:color w:val="000000" w:themeColor="text1"/>
                <w14:textFill>
                  <w14:solidFill>
                    <w14:schemeClr w14:val="tx1"/>
                  </w14:solidFill>
                </w14:textFill>
              </w:rPr>
            </w:pPr>
          </w:p>
        </w:tc>
        <w:tc>
          <w:tcPr>
            <w:tcW w:w="1132" w:type="dxa"/>
            <w:vAlign w:val="center"/>
          </w:tcPr>
          <w:p w14:paraId="25A5AC37">
            <w:pPr>
              <w:pStyle w:val="70"/>
              <w:rPr>
                <w:color w:val="000000" w:themeColor="text1"/>
                <w14:textFill>
                  <w14:solidFill>
                    <w14:schemeClr w14:val="tx1"/>
                  </w14:solidFill>
                </w14:textFill>
              </w:rPr>
            </w:pPr>
          </w:p>
        </w:tc>
        <w:tc>
          <w:tcPr>
            <w:tcW w:w="1321" w:type="dxa"/>
            <w:vAlign w:val="center"/>
          </w:tcPr>
          <w:p w14:paraId="7D349E86">
            <w:pPr>
              <w:pStyle w:val="70"/>
              <w:rPr>
                <w:color w:val="000000" w:themeColor="text1"/>
                <w14:textFill>
                  <w14:solidFill>
                    <w14:schemeClr w14:val="tx1"/>
                  </w14:solidFill>
                </w14:textFill>
              </w:rPr>
            </w:pPr>
          </w:p>
        </w:tc>
        <w:tc>
          <w:tcPr>
            <w:tcW w:w="942" w:type="dxa"/>
            <w:vAlign w:val="center"/>
          </w:tcPr>
          <w:p w14:paraId="433793A9">
            <w:pPr>
              <w:pStyle w:val="70"/>
              <w:rPr>
                <w:color w:val="000000" w:themeColor="text1"/>
                <w14:textFill>
                  <w14:solidFill>
                    <w14:schemeClr w14:val="tx1"/>
                  </w14:solidFill>
                </w14:textFill>
              </w:rPr>
            </w:pPr>
            <w:r>
              <w:rPr>
                <w:color w:val="000000" w:themeColor="text1"/>
                <w14:textFill>
                  <w14:solidFill>
                    <w14:schemeClr w14:val="tx1"/>
                  </w14:solidFill>
                </w14:textFill>
              </w:rPr>
              <w:t>53</w:t>
            </w:r>
          </w:p>
        </w:tc>
        <w:tc>
          <w:tcPr>
            <w:tcW w:w="1108" w:type="dxa"/>
            <w:vAlign w:val="center"/>
          </w:tcPr>
          <w:p w14:paraId="6EC1F0BB">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4AE733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0DFFB0FD">
            <w:pPr>
              <w:pStyle w:val="70"/>
              <w:rPr>
                <w:color w:val="000000" w:themeColor="text1"/>
                <w14:textFill>
                  <w14:solidFill>
                    <w14:schemeClr w14:val="tx1"/>
                  </w14:solidFill>
                </w14:textFill>
              </w:rPr>
            </w:pPr>
            <w:r>
              <w:rPr>
                <w:color w:val="000000" w:themeColor="text1"/>
                <w14:textFill>
                  <w14:solidFill>
                    <w14:schemeClr w14:val="tx1"/>
                  </w14:solidFill>
                </w14:textFill>
              </w:rPr>
              <w:t>1,1,1-三氯乙烷（μg/kg）</w:t>
            </w:r>
          </w:p>
        </w:tc>
        <w:tc>
          <w:tcPr>
            <w:tcW w:w="1415" w:type="dxa"/>
            <w:vAlign w:val="center"/>
          </w:tcPr>
          <w:p w14:paraId="19DDA9EB">
            <w:pPr>
              <w:pStyle w:val="70"/>
              <w:rPr>
                <w:color w:val="000000" w:themeColor="text1"/>
                <w14:textFill>
                  <w14:solidFill>
                    <w14:schemeClr w14:val="tx1"/>
                  </w14:solidFill>
                </w14:textFill>
              </w:rPr>
            </w:pPr>
          </w:p>
        </w:tc>
        <w:tc>
          <w:tcPr>
            <w:tcW w:w="1132" w:type="dxa"/>
            <w:vAlign w:val="center"/>
          </w:tcPr>
          <w:p w14:paraId="3B35B4D5">
            <w:pPr>
              <w:pStyle w:val="70"/>
              <w:rPr>
                <w:color w:val="000000" w:themeColor="text1"/>
                <w14:textFill>
                  <w14:solidFill>
                    <w14:schemeClr w14:val="tx1"/>
                  </w14:solidFill>
                </w14:textFill>
              </w:rPr>
            </w:pPr>
          </w:p>
        </w:tc>
        <w:tc>
          <w:tcPr>
            <w:tcW w:w="1321" w:type="dxa"/>
            <w:vAlign w:val="center"/>
          </w:tcPr>
          <w:p w14:paraId="57969187">
            <w:pPr>
              <w:pStyle w:val="70"/>
              <w:rPr>
                <w:color w:val="000000" w:themeColor="text1"/>
                <w14:textFill>
                  <w14:solidFill>
                    <w14:schemeClr w14:val="tx1"/>
                  </w14:solidFill>
                </w14:textFill>
              </w:rPr>
            </w:pPr>
          </w:p>
        </w:tc>
        <w:tc>
          <w:tcPr>
            <w:tcW w:w="942" w:type="dxa"/>
            <w:vAlign w:val="center"/>
          </w:tcPr>
          <w:p w14:paraId="7351D930">
            <w:pPr>
              <w:pStyle w:val="70"/>
              <w:rPr>
                <w:color w:val="000000" w:themeColor="text1"/>
                <w14:textFill>
                  <w14:solidFill>
                    <w14:schemeClr w14:val="tx1"/>
                  </w14:solidFill>
                </w14:textFill>
              </w:rPr>
            </w:pPr>
            <w:r>
              <w:rPr>
                <w:color w:val="000000" w:themeColor="text1"/>
                <w14:textFill>
                  <w14:solidFill>
                    <w14:schemeClr w14:val="tx1"/>
                  </w14:solidFill>
                </w14:textFill>
              </w:rPr>
              <w:t>840</w:t>
            </w:r>
          </w:p>
        </w:tc>
        <w:tc>
          <w:tcPr>
            <w:tcW w:w="1108" w:type="dxa"/>
            <w:vAlign w:val="center"/>
          </w:tcPr>
          <w:p w14:paraId="75230C44">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1F5E06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2FD1B28C">
            <w:pPr>
              <w:pStyle w:val="70"/>
              <w:rPr>
                <w:color w:val="000000" w:themeColor="text1"/>
                <w14:textFill>
                  <w14:solidFill>
                    <w14:schemeClr w14:val="tx1"/>
                  </w14:solidFill>
                </w14:textFill>
              </w:rPr>
            </w:pPr>
            <w:r>
              <w:rPr>
                <w:color w:val="000000" w:themeColor="text1"/>
                <w14:textFill>
                  <w14:solidFill>
                    <w14:schemeClr w14:val="tx1"/>
                  </w14:solidFill>
                </w14:textFill>
              </w:rPr>
              <w:t>1,1,2-三氯乙烷（μg/kg）</w:t>
            </w:r>
          </w:p>
        </w:tc>
        <w:tc>
          <w:tcPr>
            <w:tcW w:w="1415" w:type="dxa"/>
            <w:vAlign w:val="center"/>
          </w:tcPr>
          <w:p w14:paraId="381E9F08">
            <w:pPr>
              <w:pStyle w:val="70"/>
              <w:rPr>
                <w:color w:val="000000" w:themeColor="text1"/>
                <w14:textFill>
                  <w14:solidFill>
                    <w14:schemeClr w14:val="tx1"/>
                  </w14:solidFill>
                </w14:textFill>
              </w:rPr>
            </w:pPr>
          </w:p>
        </w:tc>
        <w:tc>
          <w:tcPr>
            <w:tcW w:w="1132" w:type="dxa"/>
            <w:vAlign w:val="center"/>
          </w:tcPr>
          <w:p w14:paraId="414558AD">
            <w:pPr>
              <w:pStyle w:val="70"/>
              <w:rPr>
                <w:color w:val="000000" w:themeColor="text1"/>
                <w14:textFill>
                  <w14:solidFill>
                    <w14:schemeClr w14:val="tx1"/>
                  </w14:solidFill>
                </w14:textFill>
              </w:rPr>
            </w:pPr>
          </w:p>
        </w:tc>
        <w:tc>
          <w:tcPr>
            <w:tcW w:w="1321" w:type="dxa"/>
            <w:vAlign w:val="center"/>
          </w:tcPr>
          <w:p w14:paraId="7E8CCD1B">
            <w:pPr>
              <w:pStyle w:val="70"/>
              <w:rPr>
                <w:color w:val="000000" w:themeColor="text1"/>
                <w14:textFill>
                  <w14:solidFill>
                    <w14:schemeClr w14:val="tx1"/>
                  </w14:solidFill>
                </w14:textFill>
              </w:rPr>
            </w:pPr>
          </w:p>
        </w:tc>
        <w:tc>
          <w:tcPr>
            <w:tcW w:w="942" w:type="dxa"/>
            <w:vAlign w:val="center"/>
          </w:tcPr>
          <w:p w14:paraId="11F41B7F">
            <w:pPr>
              <w:pStyle w:val="70"/>
              <w:rPr>
                <w:color w:val="000000" w:themeColor="text1"/>
                <w14:textFill>
                  <w14:solidFill>
                    <w14:schemeClr w14:val="tx1"/>
                  </w14:solidFill>
                </w14:textFill>
              </w:rPr>
            </w:pPr>
            <w:r>
              <w:rPr>
                <w:color w:val="000000" w:themeColor="text1"/>
                <w14:textFill>
                  <w14:solidFill>
                    <w14:schemeClr w14:val="tx1"/>
                  </w14:solidFill>
                </w14:textFill>
              </w:rPr>
              <w:t>2.8</w:t>
            </w:r>
          </w:p>
        </w:tc>
        <w:tc>
          <w:tcPr>
            <w:tcW w:w="1108" w:type="dxa"/>
            <w:vAlign w:val="center"/>
          </w:tcPr>
          <w:p w14:paraId="1486C5AE">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7353E1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5EF46DA3">
            <w:pPr>
              <w:pStyle w:val="70"/>
              <w:rPr>
                <w:color w:val="000000" w:themeColor="text1"/>
                <w14:textFill>
                  <w14:solidFill>
                    <w14:schemeClr w14:val="tx1"/>
                  </w14:solidFill>
                </w14:textFill>
              </w:rPr>
            </w:pPr>
            <w:r>
              <w:rPr>
                <w:color w:val="000000" w:themeColor="text1"/>
                <w14:textFill>
                  <w14:solidFill>
                    <w14:schemeClr w14:val="tx1"/>
                  </w14:solidFill>
                </w14:textFill>
              </w:rPr>
              <w:t>三氯乙烯（μg/kg）</w:t>
            </w:r>
          </w:p>
        </w:tc>
        <w:tc>
          <w:tcPr>
            <w:tcW w:w="1415" w:type="dxa"/>
            <w:vAlign w:val="center"/>
          </w:tcPr>
          <w:p w14:paraId="6FE1609A">
            <w:pPr>
              <w:pStyle w:val="70"/>
              <w:rPr>
                <w:color w:val="000000" w:themeColor="text1"/>
                <w14:textFill>
                  <w14:solidFill>
                    <w14:schemeClr w14:val="tx1"/>
                  </w14:solidFill>
                </w14:textFill>
              </w:rPr>
            </w:pPr>
          </w:p>
        </w:tc>
        <w:tc>
          <w:tcPr>
            <w:tcW w:w="1132" w:type="dxa"/>
            <w:vAlign w:val="center"/>
          </w:tcPr>
          <w:p w14:paraId="396F686E">
            <w:pPr>
              <w:pStyle w:val="70"/>
              <w:rPr>
                <w:color w:val="000000" w:themeColor="text1"/>
                <w14:textFill>
                  <w14:solidFill>
                    <w14:schemeClr w14:val="tx1"/>
                  </w14:solidFill>
                </w14:textFill>
              </w:rPr>
            </w:pPr>
          </w:p>
        </w:tc>
        <w:tc>
          <w:tcPr>
            <w:tcW w:w="1321" w:type="dxa"/>
            <w:vAlign w:val="center"/>
          </w:tcPr>
          <w:p w14:paraId="191A924B">
            <w:pPr>
              <w:pStyle w:val="70"/>
              <w:rPr>
                <w:color w:val="000000" w:themeColor="text1"/>
                <w14:textFill>
                  <w14:solidFill>
                    <w14:schemeClr w14:val="tx1"/>
                  </w14:solidFill>
                </w14:textFill>
              </w:rPr>
            </w:pPr>
          </w:p>
        </w:tc>
        <w:tc>
          <w:tcPr>
            <w:tcW w:w="942" w:type="dxa"/>
            <w:vAlign w:val="center"/>
          </w:tcPr>
          <w:p w14:paraId="102E4F23">
            <w:pPr>
              <w:pStyle w:val="70"/>
              <w:rPr>
                <w:color w:val="000000" w:themeColor="text1"/>
                <w14:textFill>
                  <w14:solidFill>
                    <w14:schemeClr w14:val="tx1"/>
                  </w14:solidFill>
                </w14:textFill>
              </w:rPr>
            </w:pPr>
            <w:r>
              <w:rPr>
                <w:color w:val="000000" w:themeColor="text1"/>
                <w14:textFill>
                  <w14:solidFill>
                    <w14:schemeClr w14:val="tx1"/>
                  </w14:solidFill>
                </w14:textFill>
              </w:rPr>
              <w:t>2.8</w:t>
            </w:r>
          </w:p>
        </w:tc>
        <w:tc>
          <w:tcPr>
            <w:tcW w:w="1108" w:type="dxa"/>
            <w:vAlign w:val="center"/>
          </w:tcPr>
          <w:p w14:paraId="22F1098B">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605021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15442A53">
            <w:pPr>
              <w:pStyle w:val="70"/>
              <w:rPr>
                <w:color w:val="000000" w:themeColor="text1"/>
                <w14:textFill>
                  <w14:solidFill>
                    <w14:schemeClr w14:val="tx1"/>
                  </w14:solidFill>
                </w14:textFill>
              </w:rPr>
            </w:pPr>
            <w:r>
              <w:rPr>
                <w:color w:val="000000" w:themeColor="text1"/>
                <w14:textFill>
                  <w14:solidFill>
                    <w14:schemeClr w14:val="tx1"/>
                  </w14:solidFill>
                </w14:textFill>
              </w:rPr>
              <w:t>1,2,3-三氯丙烷（μg/kg）</w:t>
            </w:r>
          </w:p>
        </w:tc>
        <w:tc>
          <w:tcPr>
            <w:tcW w:w="1415" w:type="dxa"/>
            <w:vAlign w:val="center"/>
          </w:tcPr>
          <w:p w14:paraId="30086951">
            <w:pPr>
              <w:pStyle w:val="70"/>
              <w:rPr>
                <w:color w:val="000000" w:themeColor="text1"/>
                <w14:textFill>
                  <w14:solidFill>
                    <w14:schemeClr w14:val="tx1"/>
                  </w14:solidFill>
                </w14:textFill>
              </w:rPr>
            </w:pPr>
          </w:p>
        </w:tc>
        <w:tc>
          <w:tcPr>
            <w:tcW w:w="1132" w:type="dxa"/>
            <w:vAlign w:val="center"/>
          </w:tcPr>
          <w:p w14:paraId="66D836D3">
            <w:pPr>
              <w:pStyle w:val="70"/>
              <w:rPr>
                <w:color w:val="000000" w:themeColor="text1"/>
                <w14:textFill>
                  <w14:solidFill>
                    <w14:schemeClr w14:val="tx1"/>
                  </w14:solidFill>
                </w14:textFill>
              </w:rPr>
            </w:pPr>
          </w:p>
        </w:tc>
        <w:tc>
          <w:tcPr>
            <w:tcW w:w="1321" w:type="dxa"/>
            <w:vAlign w:val="center"/>
          </w:tcPr>
          <w:p w14:paraId="31C9714A">
            <w:pPr>
              <w:pStyle w:val="70"/>
              <w:rPr>
                <w:color w:val="000000" w:themeColor="text1"/>
                <w14:textFill>
                  <w14:solidFill>
                    <w14:schemeClr w14:val="tx1"/>
                  </w14:solidFill>
                </w14:textFill>
              </w:rPr>
            </w:pPr>
          </w:p>
        </w:tc>
        <w:tc>
          <w:tcPr>
            <w:tcW w:w="942" w:type="dxa"/>
            <w:vAlign w:val="center"/>
          </w:tcPr>
          <w:p w14:paraId="4E5434AE">
            <w:pPr>
              <w:pStyle w:val="70"/>
              <w:rPr>
                <w:color w:val="000000" w:themeColor="text1"/>
                <w14:textFill>
                  <w14:solidFill>
                    <w14:schemeClr w14:val="tx1"/>
                  </w14:solidFill>
                </w14:textFill>
              </w:rPr>
            </w:pPr>
            <w:r>
              <w:rPr>
                <w:color w:val="000000" w:themeColor="text1"/>
                <w14:textFill>
                  <w14:solidFill>
                    <w14:schemeClr w14:val="tx1"/>
                  </w14:solidFill>
                </w14:textFill>
              </w:rPr>
              <w:t>0.5</w:t>
            </w:r>
          </w:p>
        </w:tc>
        <w:tc>
          <w:tcPr>
            <w:tcW w:w="1108" w:type="dxa"/>
            <w:vAlign w:val="center"/>
          </w:tcPr>
          <w:p w14:paraId="504C1F21">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435764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497EDC69">
            <w:pPr>
              <w:pStyle w:val="70"/>
              <w:rPr>
                <w:color w:val="000000" w:themeColor="text1"/>
                <w14:textFill>
                  <w14:solidFill>
                    <w14:schemeClr w14:val="tx1"/>
                  </w14:solidFill>
                </w14:textFill>
              </w:rPr>
            </w:pPr>
            <w:r>
              <w:rPr>
                <w:color w:val="000000" w:themeColor="text1"/>
                <w14:textFill>
                  <w14:solidFill>
                    <w14:schemeClr w14:val="tx1"/>
                  </w14:solidFill>
                </w14:textFill>
              </w:rPr>
              <w:t>氯乙烯（μg/kg）</w:t>
            </w:r>
          </w:p>
        </w:tc>
        <w:tc>
          <w:tcPr>
            <w:tcW w:w="1415" w:type="dxa"/>
            <w:vAlign w:val="center"/>
          </w:tcPr>
          <w:p w14:paraId="2AF62298">
            <w:pPr>
              <w:pStyle w:val="70"/>
              <w:rPr>
                <w:color w:val="000000" w:themeColor="text1"/>
                <w14:textFill>
                  <w14:solidFill>
                    <w14:schemeClr w14:val="tx1"/>
                  </w14:solidFill>
                </w14:textFill>
              </w:rPr>
            </w:pPr>
          </w:p>
        </w:tc>
        <w:tc>
          <w:tcPr>
            <w:tcW w:w="1132" w:type="dxa"/>
            <w:vAlign w:val="center"/>
          </w:tcPr>
          <w:p w14:paraId="7A132829">
            <w:pPr>
              <w:pStyle w:val="70"/>
              <w:rPr>
                <w:color w:val="000000" w:themeColor="text1"/>
                <w14:textFill>
                  <w14:solidFill>
                    <w14:schemeClr w14:val="tx1"/>
                  </w14:solidFill>
                </w14:textFill>
              </w:rPr>
            </w:pPr>
          </w:p>
        </w:tc>
        <w:tc>
          <w:tcPr>
            <w:tcW w:w="1321" w:type="dxa"/>
            <w:vAlign w:val="center"/>
          </w:tcPr>
          <w:p w14:paraId="079FB8EC">
            <w:pPr>
              <w:pStyle w:val="70"/>
              <w:rPr>
                <w:color w:val="000000" w:themeColor="text1"/>
                <w14:textFill>
                  <w14:solidFill>
                    <w14:schemeClr w14:val="tx1"/>
                  </w14:solidFill>
                </w14:textFill>
              </w:rPr>
            </w:pPr>
          </w:p>
        </w:tc>
        <w:tc>
          <w:tcPr>
            <w:tcW w:w="942" w:type="dxa"/>
            <w:vAlign w:val="center"/>
          </w:tcPr>
          <w:p w14:paraId="141D9654">
            <w:pPr>
              <w:pStyle w:val="70"/>
              <w:rPr>
                <w:color w:val="000000" w:themeColor="text1"/>
                <w14:textFill>
                  <w14:solidFill>
                    <w14:schemeClr w14:val="tx1"/>
                  </w14:solidFill>
                </w14:textFill>
              </w:rPr>
            </w:pPr>
            <w:r>
              <w:rPr>
                <w:color w:val="000000" w:themeColor="text1"/>
                <w14:textFill>
                  <w14:solidFill>
                    <w14:schemeClr w14:val="tx1"/>
                  </w14:solidFill>
                </w14:textFill>
              </w:rPr>
              <w:t>0.43</w:t>
            </w:r>
          </w:p>
        </w:tc>
        <w:tc>
          <w:tcPr>
            <w:tcW w:w="1108" w:type="dxa"/>
            <w:vAlign w:val="center"/>
          </w:tcPr>
          <w:p w14:paraId="4351A6AB">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12B31E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2F506484">
            <w:pPr>
              <w:pStyle w:val="70"/>
              <w:rPr>
                <w:color w:val="000000" w:themeColor="text1"/>
                <w14:textFill>
                  <w14:solidFill>
                    <w14:schemeClr w14:val="tx1"/>
                  </w14:solidFill>
                </w14:textFill>
              </w:rPr>
            </w:pPr>
            <w:r>
              <w:rPr>
                <w:color w:val="000000" w:themeColor="text1"/>
                <w14:textFill>
                  <w14:solidFill>
                    <w14:schemeClr w14:val="tx1"/>
                  </w14:solidFill>
                </w14:textFill>
              </w:rPr>
              <w:t>氯苯（μg/kg）</w:t>
            </w:r>
          </w:p>
        </w:tc>
        <w:tc>
          <w:tcPr>
            <w:tcW w:w="1415" w:type="dxa"/>
            <w:vAlign w:val="center"/>
          </w:tcPr>
          <w:p w14:paraId="01B5B400">
            <w:pPr>
              <w:pStyle w:val="70"/>
              <w:rPr>
                <w:color w:val="000000" w:themeColor="text1"/>
                <w14:textFill>
                  <w14:solidFill>
                    <w14:schemeClr w14:val="tx1"/>
                  </w14:solidFill>
                </w14:textFill>
              </w:rPr>
            </w:pPr>
          </w:p>
        </w:tc>
        <w:tc>
          <w:tcPr>
            <w:tcW w:w="1132" w:type="dxa"/>
            <w:vAlign w:val="center"/>
          </w:tcPr>
          <w:p w14:paraId="32A7D94A">
            <w:pPr>
              <w:pStyle w:val="70"/>
              <w:rPr>
                <w:color w:val="000000" w:themeColor="text1"/>
                <w14:textFill>
                  <w14:solidFill>
                    <w14:schemeClr w14:val="tx1"/>
                  </w14:solidFill>
                </w14:textFill>
              </w:rPr>
            </w:pPr>
          </w:p>
        </w:tc>
        <w:tc>
          <w:tcPr>
            <w:tcW w:w="1321" w:type="dxa"/>
            <w:vAlign w:val="center"/>
          </w:tcPr>
          <w:p w14:paraId="7ACAEB05">
            <w:pPr>
              <w:pStyle w:val="70"/>
              <w:rPr>
                <w:color w:val="000000" w:themeColor="text1"/>
                <w14:textFill>
                  <w14:solidFill>
                    <w14:schemeClr w14:val="tx1"/>
                  </w14:solidFill>
                </w14:textFill>
              </w:rPr>
            </w:pPr>
          </w:p>
        </w:tc>
        <w:tc>
          <w:tcPr>
            <w:tcW w:w="942" w:type="dxa"/>
            <w:vAlign w:val="center"/>
          </w:tcPr>
          <w:p w14:paraId="7ECEDA78">
            <w:pPr>
              <w:pStyle w:val="70"/>
              <w:rPr>
                <w:color w:val="000000" w:themeColor="text1"/>
                <w14:textFill>
                  <w14:solidFill>
                    <w14:schemeClr w14:val="tx1"/>
                  </w14:solidFill>
                </w14:textFill>
              </w:rPr>
            </w:pPr>
            <w:r>
              <w:rPr>
                <w:color w:val="000000" w:themeColor="text1"/>
                <w14:textFill>
                  <w14:solidFill>
                    <w14:schemeClr w14:val="tx1"/>
                  </w14:solidFill>
                </w14:textFill>
              </w:rPr>
              <w:t>270</w:t>
            </w:r>
          </w:p>
        </w:tc>
        <w:tc>
          <w:tcPr>
            <w:tcW w:w="1108" w:type="dxa"/>
            <w:vAlign w:val="center"/>
          </w:tcPr>
          <w:p w14:paraId="23777C97">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39F404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183E141B">
            <w:pPr>
              <w:pStyle w:val="70"/>
              <w:rPr>
                <w:color w:val="000000" w:themeColor="text1"/>
                <w14:textFill>
                  <w14:solidFill>
                    <w14:schemeClr w14:val="tx1"/>
                  </w14:solidFill>
                </w14:textFill>
              </w:rPr>
            </w:pPr>
            <w:r>
              <w:rPr>
                <w:color w:val="000000" w:themeColor="text1"/>
                <w14:textFill>
                  <w14:solidFill>
                    <w14:schemeClr w14:val="tx1"/>
                  </w14:solidFill>
                </w14:textFill>
              </w:rPr>
              <w:t>1,2-二氯苯（μg/kg）</w:t>
            </w:r>
          </w:p>
        </w:tc>
        <w:tc>
          <w:tcPr>
            <w:tcW w:w="1415" w:type="dxa"/>
            <w:vAlign w:val="center"/>
          </w:tcPr>
          <w:p w14:paraId="3DBB557A">
            <w:pPr>
              <w:pStyle w:val="70"/>
              <w:rPr>
                <w:color w:val="000000" w:themeColor="text1"/>
                <w14:textFill>
                  <w14:solidFill>
                    <w14:schemeClr w14:val="tx1"/>
                  </w14:solidFill>
                </w14:textFill>
              </w:rPr>
            </w:pPr>
          </w:p>
        </w:tc>
        <w:tc>
          <w:tcPr>
            <w:tcW w:w="1132" w:type="dxa"/>
            <w:vAlign w:val="center"/>
          </w:tcPr>
          <w:p w14:paraId="618C7AC3">
            <w:pPr>
              <w:pStyle w:val="70"/>
              <w:rPr>
                <w:color w:val="000000" w:themeColor="text1"/>
                <w14:textFill>
                  <w14:solidFill>
                    <w14:schemeClr w14:val="tx1"/>
                  </w14:solidFill>
                </w14:textFill>
              </w:rPr>
            </w:pPr>
          </w:p>
        </w:tc>
        <w:tc>
          <w:tcPr>
            <w:tcW w:w="1321" w:type="dxa"/>
            <w:vAlign w:val="center"/>
          </w:tcPr>
          <w:p w14:paraId="050CDE75">
            <w:pPr>
              <w:pStyle w:val="70"/>
              <w:rPr>
                <w:color w:val="000000" w:themeColor="text1"/>
                <w14:textFill>
                  <w14:solidFill>
                    <w14:schemeClr w14:val="tx1"/>
                  </w14:solidFill>
                </w14:textFill>
              </w:rPr>
            </w:pPr>
          </w:p>
        </w:tc>
        <w:tc>
          <w:tcPr>
            <w:tcW w:w="942" w:type="dxa"/>
            <w:vAlign w:val="center"/>
          </w:tcPr>
          <w:p w14:paraId="1A2E9949">
            <w:pPr>
              <w:pStyle w:val="70"/>
              <w:rPr>
                <w:color w:val="000000" w:themeColor="text1"/>
                <w14:textFill>
                  <w14:solidFill>
                    <w14:schemeClr w14:val="tx1"/>
                  </w14:solidFill>
                </w14:textFill>
              </w:rPr>
            </w:pPr>
            <w:r>
              <w:rPr>
                <w:color w:val="000000" w:themeColor="text1"/>
                <w14:textFill>
                  <w14:solidFill>
                    <w14:schemeClr w14:val="tx1"/>
                  </w14:solidFill>
                </w14:textFill>
              </w:rPr>
              <w:t>560</w:t>
            </w:r>
          </w:p>
        </w:tc>
        <w:tc>
          <w:tcPr>
            <w:tcW w:w="1108" w:type="dxa"/>
            <w:vAlign w:val="center"/>
          </w:tcPr>
          <w:p w14:paraId="16256814">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3D67AF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43DCEA48">
            <w:pPr>
              <w:pStyle w:val="70"/>
              <w:rPr>
                <w:color w:val="000000" w:themeColor="text1"/>
                <w14:textFill>
                  <w14:solidFill>
                    <w14:schemeClr w14:val="tx1"/>
                  </w14:solidFill>
                </w14:textFill>
              </w:rPr>
            </w:pPr>
            <w:r>
              <w:rPr>
                <w:color w:val="000000" w:themeColor="text1"/>
                <w14:textFill>
                  <w14:solidFill>
                    <w14:schemeClr w14:val="tx1"/>
                  </w14:solidFill>
                </w14:textFill>
              </w:rPr>
              <w:t>1,4-二氯苯（μg/kg）</w:t>
            </w:r>
          </w:p>
        </w:tc>
        <w:tc>
          <w:tcPr>
            <w:tcW w:w="1415" w:type="dxa"/>
            <w:vAlign w:val="center"/>
          </w:tcPr>
          <w:p w14:paraId="6AEBB53D">
            <w:pPr>
              <w:pStyle w:val="70"/>
              <w:rPr>
                <w:color w:val="000000" w:themeColor="text1"/>
                <w14:textFill>
                  <w14:solidFill>
                    <w14:schemeClr w14:val="tx1"/>
                  </w14:solidFill>
                </w14:textFill>
              </w:rPr>
            </w:pPr>
          </w:p>
        </w:tc>
        <w:tc>
          <w:tcPr>
            <w:tcW w:w="1132" w:type="dxa"/>
            <w:vAlign w:val="center"/>
          </w:tcPr>
          <w:p w14:paraId="38F7402B">
            <w:pPr>
              <w:pStyle w:val="70"/>
              <w:rPr>
                <w:color w:val="000000" w:themeColor="text1"/>
                <w14:textFill>
                  <w14:solidFill>
                    <w14:schemeClr w14:val="tx1"/>
                  </w14:solidFill>
                </w14:textFill>
              </w:rPr>
            </w:pPr>
          </w:p>
        </w:tc>
        <w:tc>
          <w:tcPr>
            <w:tcW w:w="1321" w:type="dxa"/>
            <w:vAlign w:val="center"/>
          </w:tcPr>
          <w:p w14:paraId="49CE776A">
            <w:pPr>
              <w:pStyle w:val="70"/>
              <w:rPr>
                <w:color w:val="000000" w:themeColor="text1"/>
                <w14:textFill>
                  <w14:solidFill>
                    <w14:schemeClr w14:val="tx1"/>
                  </w14:solidFill>
                </w14:textFill>
              </w:rPr>
            </w:pPr>
          </w:p>
        </w:tc>
        <w:tc>
          <w:tcPr>
            <w:tcW w:w="942" w:type="dxa"/>
            <w:vAlign w:val="center"/>
          </w:tcPr>
          <w:p w14:paraId="7307A0E7">
            <w:pPr>
              <w:pStyle w:val="70"/>
              <w:rPr>
                <w:color w:val="000000" w:themeColor="text1"/>
                <w14:textFill>
                  <w14:solidFill>
                    <w14:schemeClr w14:val="tx1"/>
                  </w14:solidFill>
                </w14:textFill>
              </w:rPr>
            </w:pPr>
            <w:r>
              <w:rPr>
                <w:color w:val="000000" w:themeColor="text1"/>
                <w14:textFill>
                  <w14:solidFill>
                    <w14:schemeClr w14:val="tx1"/>
                  </w14:solidFill>
                </w14:textFill>
              </w:rPr>
              <w:t>20</w:t>
            </w:r>
          </w:p>
        </w:tc>
        <w:tc>
          <w:tcPr>
            <w:tcW w:w="1108" w:type="dxa"/>
            <w:vAlign w:val="center"/>
          </w:tcPr>
          <w:p w14:paraId="4F304C09">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15E052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6D92C7AF">
            <w:pPr>
              <w:pStyle w:val="70"/>
              <w:rPr>
                <w:color w:val="000000" w:themeColor="text1"/>
                <w14:textFill>
                  <w14:solidFill>
                    <w14:schemeClr w14:val="tx1"/>
                  </w14:solidFill>
                </w14:textFill>
              </w:rPr>
            </w:pPr>
            <w:r>
              <w:rPr>
                <w:color w:val="000000" w:themeColor="text1"/>
                <w14:textFill>
                  <w14:solidFill>
                    <w14:schemeClr w14:val="tx1"/>
                  </w14:solidFill>
                </w14:textFill>
              </w:rPr>
              <w:t>乙苯（μg/kg）</w:t>
            </w:r>
          </w:p>
        </w:tc>
        <w:tc>
          <w:tcPr>
            <w:tcW w:w="1415" w:type="dxa"/>
            <w:vAlign w:val="center"/>
          </w:tcPr>
          <w:p w14:paraId="5D828C69">
            <w:pPr>
              <w:pStyle w:val="70"/>
              <w:rPr>
                <w:color w:val="000000" w:themeColor="text1"/>
                <w14:textFill>
                  <w14:solidFill>
                    <w14:schemeClr w14:val="tx1"/>
                  </w14:solidFill>
                </w14:textFill>
              </w:rPr>
            </w:pPr>
          </w:p>
        </w:tc>
        <w:tc>
          <w:tcPr>
            <w:tcW w:w="1132" w:type="dxa"/>
            <w:vAlign w:val="center"/>
          </w:tcPr>
          <w:p w14:paraId="6D8C32B4">
            <w:pPr>
              <w:pStyle w:val="70"/>
              <w:rPr>
                <w:color w:val="000000" w:themeColor="text1"/>
                <w14:textFill>
                  <w14:solidFill>
                    <w14:schemeClr w14:val="tx1"/>
                  </w14:solidFill>
                </w14:textFill>
              </w:rPr>
            </w:pPr>
          </w:p>
        </w:tc>
        <w:tc>
          <w:tcPr>
            <w:tcW w:w="1321" w:type="dxa"/>
            <w:vAlign w:val="center"/>
          </w:tcPr>
          <w:p w14:paraId="57A52FED">
            <w:pPr>
              <w:pStyle w:val="70"/>
              <w:rPr>
                <w:color w:val="000000" w:themeColor="text1"/>
                <w14:textFill>
                  <w14:solidFill>
                    <w14:schemeClr w14:val="tx1"/>
                  </w14:solidFill>
                </w14:textFill>
              </w:rPr>
            </w:pPr>
          </w:p>
        </w:tc>
        <w:tc>
          <w:tcPr>
            <w:tcW w:w="942" w:type="dxa"/>
            <w:vAlign w:val="center"/>
          </w:tcPr>
          <w:p w14:paraId="61EDF4BD">
            <w:pPr>
              <w:pStyle w:val="70"/>
              <w:rPr>
                <w:color w:val="000000" w:themeColor="text1"/>
                <w14:textFill>
                  <w14:solidFill>
                    <w14:schemeClr w14:val="tx1"/>
                  </w14:solidFill>
                </w14:textFill>
              </w:rPr>
            </w:pPr>
            <w:r>
              <w:rPr>
                <w:color w:val="000000" w:themeColor="text1"/>
                <w14:textFill>
                  <w14:solidFill>
                    <w14:schemeClr w14:val="tx1"/>
                  </w14:solidFill>
                </w14:textFill>
              </w:rPr>
              <w:t>28</w:t>
            </w:r>
          </w:p>
        </w:tc>
        <w:tc>
          <w:tcPr>
            <w:tcW w:w="1108" w:type="dxa"/>
            <w:vAlign w:val="center"/>
          </w:tcPr>
          <w:p w14:paraId="7E995B0B">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bl>
    <w:p w14:paraId="2506CA6D">
      <w:pPr>
        <w:pStyle w:val="5"/>
        <w:rPr>
          <w:color w:val="000000" w:themeColor="text1"/>
          <w14:textFill>
            <w14:solidFill>
              <w14:schemeClr w14:val="tx1"/>
            </w14:solidFill>
          </w14:textFill>
        </w:rPr>
      </w:pPr>
      <w:bookmarkStart w:id="622" w:name="_Toc216620559"/>
      <w:bookmarkStart w:id="623" w:name="_Toc136878495"/>
      <w:bookmarkStart w:id="624" w:name="_Toc135090233"/>
      <w:r>
        <w:rPr>
          <w:color w:val="000000" w:themeColor="text1"/>
          <w14:textFill>
            <w14:solidFill>
              <w14:schemeClr w14:val="tx1"/>
            </w14:solidFill>
          </w14:textFill>
        </w:rPr>
        <w:t>海洋环境质量现状调查与评价</w:t>
      </w:r>
      <w:bookmarkEnd w:id="612"/>
      <w:bookmarkEnd w:id="613"/>
      <w:bookmarkEnd w:id="614"/>
      <w:bookmarkEnd w:id="622"/>
      <w:bookmarkEnd w:id="623"/>
      <w:bookmarkEnd w:id="624"/>
    </w:p>
    <w:p w14:paraId="11CAE17F">
      <w:pPr>
        <w:pStyle w:val="4"/>
        <w:rPr>
          <w:color w:val="000000" w:themeColor="text1"/>
          <w14:textFill>
            <w14:solidFill>
              <w14:schemeClr w14:val="tx1"/>
            </w14:solidFill>
          </w14:textFill>
        </w:rPr>
      </w:pPr>
      <w:bookmarkStart w:id="625" w:name="_Toc136878496"/>
      <w:bookmarkStart w:id="626" w:name="_Toc216620560"/>
      <w:r>
        <w:rPr>
          <w:color w:val="000000" w:themeColor="text1"/>
          <w14:textFill>
            <w14:solidFill>
              <w14:schemeClr w14:val="tx1"/>
            </w14:solidFill>
          </w14:textFill>
        </w:rPr>
        <w:t>调查时间及调查站位</w:t>
      </w:r>
      <w:bookmarkEnd w:id="625"/>
      <w:bookmarkEnd w:id="626"/>
    </w:p>
    <w:p w14:paraId="5B5F43DF">
      <w:pPr>
        <w:ind w:firstLine="480"/>
        <w:rPr>
          <w:color w:val="000000" w:themeColor="text1"/>
          <w14:textFill>
            <w14:solidFill>
              <w14:schemeClr w14:val="tx1"/>
            </w14:solidFill>
          </w14:textFill>
        </w:rPr>
      </w:pPr>
      <w:r>
        <w:rPr>
          <w:color w:val="000000" w:themeColor="text1"/>
          <w14:textFill>
            <w14:solidFill>
              <w14:schemeClr w14:val="tx1"/>
            </w14:solidFill>
          </w14:textFill>
        </w:rPr>
        <w:t>本次评价海洋环境调查资料引用《</w:t>
      </w:r>
      <w:r>
        <w:rPr>
          <w:rFonts w:hint="eastAsia"/>
          <w:color w:val="000000" w:themeColor="text1"/>
          <w14:textFill>
            <w14:solidFill>
              <w14:schemeClr w14:val="tx1"/>
            </w14:solidFill>
          </w14:textFill>
        </w:rPr>
        <w:t>广西自贸区逸海港务有限责任公司2025年环境委托监测项目监测报告》（2025年11月19日 ）</w:t>
      </w:r>
      <w:r>
        <w:rPr>
          <w:color w:val="000000" w:themeColor="text1"/>
          <w14:textFill>
            <w14:solidFill>
              <w14:schemeClr w14:val="tx1"/>
            </w14:solidFill>
          </w14:textFill>
        </w:rPr>
        <w:t>的调查监测结果，调查站位</w:t>
      </w:r>
      <w:r>
        <w:rPr>
          <w:rFonts w:hint="eastAsia"/>
          <w:color w:val="000000" w:themeColor="text1"/>
          <w14:textFill>
            <w14:solidFill>
              <w14:schemeClr w14:val="tx1"/>
            </w14:solidFill>
          </w14:textFill>
        </w:rPr>
        <w:t>图见附图5，监测报告见附件6</w:t>
      </w:r>
      <w:r>
        <w:rPr>
          <w:color w:val="000000" w:themeColor="text1"/>
          <w14:textFill>
            <w14:solidFill>
              <w14:schemeClr w14:val="tx1"/>
            </w14:solidFill>
          </w14:textFill>
        </w:rPr>
        <w:t>：</w:t>
      </w:r>
    </w:p>
    <w:p w14:paraId="55BAFFB2">
      <w:pPr>
        <w:pStyle w:val="7"/>
        <w:rPr>
          <w:color w:val="000000" w:themeColor="text1"/>
          <w14:textFill>
            <w14:solidFill>
              <w14:schemeClr w14:val="tx1"/>
            </w14:solidFill>
          </w14:textFill>
        </w:rPr>
      </w:pPr>
      <w:r>
        <w:rPr>
          <w:color w:val="000000" w:themeColor="text1"/>
          <w14:textFill>
            <w14:solidFill>
              <w14:schemeClr w14:val="tx1"/>
            </w14:solidFill>
          </w14:textFill>
        </w:rPr>
        <w:t>202</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11</w:t>
      </w:r>
      <w:r>
        <w:rPr>
          <w:color w:val="000000" w:themeColor="text1"/>
          <w14:textFill>
            <w14:solidFill>
              <w14:schemeClr w14:val="tx1"/>
            </w14:solidFill>
          </w14:textFill>
        </w:rPr>
        <w:t>月海洋生态环境调查站位坐标及监测项目</w:t>
      </w:r>
    </w:p>
    <w:tbl>
      <w:tblPr>
        <w:tblStyle w:val="44"/>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254"/>
        <w:gridCol w:w="4268"/>
      </w:tblGrid>
      <w:tr w14:paraId="6B3393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3" w:hRule="atLeast"/>
        </w:trPr>
        <w:tc>
          <w:tcPr>
            <w:tcW w:w="4493" w:type="dxa"/>
          </w:tcPr>
          <w:p w14:paraId="33D70AA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监测点位</w:t>
            </w:r>
          </w:p>
        </w:tc>
        <w:tc>
          <w:tcPr>
            <w:tcW w:w="4493" w:type="dxa"/>
          </w:tcPr>
          <w:p w14:paraId="5BBD70A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监测项目</w:t>
            </w:r>
          </w:p>
        </w:tc>
      </w:tr>
      <w:tr w14:paraId="2F671B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493" w:type="dxa"/>
          </w:tcPr>
          <w:p w14:paraId="49261FAD">
            <w:pPr>
              <w:pStyle w:val="70"/>
              <w:rPr>
                <w:color w:val="000000" w:themeColor="text1"/>
                <w14:textFill>
                  <w14:solidFill>
                    <w14:schemeClr w14:val="tx1"/>
                  </w14:solidFill>
                </w14:textFill>
              </w:rPr>
            </w:pPr>
          </w:p>
          <w:p w14:paraId="5D4B268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S1、S2、S3、S4、S5</w:t>
            </w:r>
          </w:p>
        </w:tc>
        <w:tc>
          <w:tcPr>
            <w:tcW w:w="4493" w:type="dxa"/>
          </w:tcPr>
          <w:p w14:paraId="75D6CBE5">
            <w:pPr>
              <w:pStyle w:val="70"/>
              <w:rPr>
                <w:color w:val="000000" w:themeColor="text1"/>
                <w14:textFill>
                  <w14:solidFill>
                    <w14:schemeClr w14:val="tx1"/>
                  </w14:solidFill>
                </w14:textFill>
              </w:rPr>
            </w:pPr>
            <w:r>
              <w:rPr>
                <w:color w:val="000000" w:themeColor="text1"/>
                <w14:textFill>
                  <w14:solidFill>
                    <w14:schemeClr w14:val="tx1"/>
                  </w14:solidFill>
                </w14:textFill>
              </w:rPr>
              <w:t>水温、盐度、pH、悬浮物、COD、溶解氧、BOD、活性磷酸盐、油类、</w:t>
            </w:r>
            <w:r>
              <w:rPr>
                <w:color w:val="000000" w:themeColor="text1"/>
                <w:lang w:val="zh-CN"/>
                <w14:textFill>
                  <w14:solidFill>
                    <w14:schemeClr w14:val="tx1"/>
                  </w14:solidFill>
                </w14:textFill>
              </w:rPr>
              <w:t>硫化物、</w:t>
            </w:r>
            <w:r>
              <w:rPr>
                <w:rFonts w:hint="eastAsia"/>
                <w:color w:val="000000" w:themeColor="text1"/>
                <w14:textFill>
                  <w14:solidFill>
                    <w14:schemeClr w14:val="tx1"/>
                  </w14:solidFill>
                </w14:textFill>
              </w:rPr>
              <w:t>无机氮、</w:t>
            </w:r>
            <w:r>
              <w:rPr>
                <w:color w:val="000000" w:themeColor="text1"/>
                <w:lang w:val="zh-CN"/>
                <w14:textFill>
                  <w14:solidFill>
                    <w14:schemeClr w14:val="tx1"/>
                  </w14:solidFill>
                </w14:textFill>
              </w:rPr>
              <w:t>铜</w:t>
            </w:r>
            <w:r>
              <w:rPr>
                <w:color w:val="000000" w:themeColor="text1"/>
                <w14:textFill>
                  <w14:solidFill>
                    <w14:schemeClr w14:val="tx1"/>
                  </w14:solidFill>
                </w14:textFill>
              </w:rPr>
              <w:t>、铅、锌、镉</w:t>
            </w:r>
            <w:r>
              <w:rPr>
                <w:color w:val="000000" w:themeColor="text1"/>
                <w:lang w:val="zh-CN"/>
                <w14:textFill>
                  <w14:solidFill>
                    <w14:schemeClr w14:val="tx1"/>
                  </w14:solidFill>
                </w14:textFill>
              </w:rPr>
              <w:t>、总铬、汞、砷</w:t>
            </w:r>
          </w:p>
        </w:tc>
      </w:tr>
    </w:tbl>
    <w:p w14:paraId="5BE59DC5">
      <w:pPr>
        <w:pStyle w:val="4"/>
        <w:rPr>
          <w:color w:val="000000" w:themeColor="text1"/>
          <w:lang w:val="zh-CN"/>
          <w14:textFill>
            <w14:solidFill>
              <w14:schemeClr w14:val="tx1"/>
            </w14:solidFill>
          </w14:textFill>
        </w:rPr>
      </w:pPr>
      <w:bookmarkStart w:id="627" w:name="8.3.1水质环境质量状况"/>
      <w:bookmarkEnd w:id="627"/>
      <w:bookmarkStart w:id="628" w:name="_Toc136878497"/>
      <w:bookmarkStart w:id="629" w:name="_Toc216620561"/>
      <w:r>
        <w:rPr>
          <w:color w:val="000000" w:themeColor="text1"/>
          <w:lang w:val="zh-CN"/>
          <w14:textFill>
            <w14:solidFill>
              <w14:schemeClr w14:val="tx1"/>
            </w14:solidFill>
          </w14:textFill>
        </w:rPr>
        <w:t>水质环境质量调查</w:t>
      </w:r>
      <w:bookmarkEnd w:id="628"/>
      <w:bookmarkEnd w:id="629"/>
    </w:p>
    <w:p w14:paraId="6B43C7F9">
      <w:pPr>
        <w:ind w:firstLine="480"/>
        <w:rPr>
          <w:color w:val="000000" w:themeColor="text1"/>
          <w:lang w:val="zh-CN" w:bidi="zh-CN"/>
          <w14:textFill>
            <w14:solidFill>
              <w14:schemeClr w14:val="tx1"/>
            </w14:solidFill>
          </w14:textFill>
        </w:rPr>
      </w:pPr>
      <w:r>
        <w:rPr>
          <w:color w:val="000000" w:themeColor="text1"/>
          <w:lang w:val="zh-CN" w:bidi="zh-CN"/>
          <w14:textFill>
            <w14:solidFill>
              <w14:schemeClr w14:val="tx1"/>
            </w14:solidFill>
          </w14:textFill>
        </w:rPr>
        <w:t>1、监测项目和调查分析方法</w:t>
      </w:r>
    </w:p>
    <w:p w14:paraId="532656FC">
      <w:pPr>
        <w:ind w:firstLine="480"/>
        <w:rPr>
          <w:color w:val="000000" w:themeColor="text1"/>
          <w14:textFill>
            <w14:solidFill>
              <w14:schemeClr w14:val="tx1"/>
            </w14:solidFill>
          </w14:textFill>
        </w:rPr>
      </w:pPr>
      <w:r>
        <w:rPr>
          <w:color w:val="000000" w:themeColor="text1"/>
          <w14:textFill>
            <w14:solidFill>
              <w14:schemeClr w14:val="tx1"/>
            </w14:solidFill>
          </w14:textFill>
        </w:rPr>
        <w:t>监测项目主要有水温、盐度、pH、悬浮物、COD、溶解氧、BOD、活性磷酸盐、油类、</w:t>
      </w:r>
      <w:r>
        <w:rPr>
          <w:color w:val="000000" w:themeColor="text1"/>
          <w:spacing w:val="-17"/>
          <w:lang w:val="zh-CN" w:bidi="zh-CN"/>
          <w14:textFill>
            <w14:solidFill>
              <w14:schemeClr w14:val="tx1"/>
            </w14:solidFill>
          </w14:textFill>
        </w:rPr>
        <w:t>硫化物、</w:t>
      </w:r>
      <w:r>
        <w:rPr>
          <w:rFonts w:hint="eastAsia"/>
          <w:color w:val="000000" w:themeColor="text1"/>
          <w:spacing w:val="-17"/>
          <w:lang w:bidi="zh-CN"/>
          <w14:textFill>
            <w14:solidFill>
              <w14:schemeClr w14:val="tx1"/>
            </w14:solidFill>
          </w14:textFill>
        </w:rPr>
        <w:t>无机氮、</w:t>
      </w:r>
      <w:r>
        <w:rPr>
          <w:color w:val="000000" w:themeColor="text1"/>
          <w:spacing w:val="-17"/>
          <w:lang w:val="zh-CN" w:bidi="zh-CN"/>
          <w14:textFill>
            <w14:solidFill>
              <w14:schemeClr w14:val="tx1"/>
            </w14:solidFill>
          </w14:textFill>
        </w:rPr>
        <w:t>铜</w:t>
      </w:r>
      <w:r>
        <w:rPr>
          <w:color w:val="000000" w:themeColor="text1"/>
          <w14:textFill>
            <w14:solidFill>
              <w14:schemeClr w14:val="tx1"/>
            </w14:solidFill>
          </w14:textFill>
        </w:rPr>
        <w:t>、铅、锌、镉</w:t>
      </w:r>
      <w:r>
        <w:rPr>
          <w:color w:val="000000" w:themeColor="text1"/>
          <w:spacing w:val="-1"/>
          <w:lang w:val="zh-CN" w:bidi="zh-CN"/>
          <w14:textFill>
            <w14:solidFill>
              <w14:schemeClr w14:val="tx1"/>
            </w14:solidFill>
          </w14:textFill>
        </w:rPr>
        <w:t>、总铬、汞、砷</w:t>
      </w:r>
      <w:r>
        <w:rPr>
          <w:color w:val="000000" w:themeColor="text1"/>
          <w:spacing w:val="-17"/>
          <w:lang w:val="zh-CN" w:bidi="zh-CN"/>
          <w14:textFill>
            <w14:solidFill>
              <w14:schemeClr w14:val="tx1"/>
            </w14:solidFill>
          </w14:textFill>
        </w:rPr>
        <w:t>共</w:t>
      </w:r>
      <w:r>
        <w:rPr>
          <w:rFonts w:hint="eastAsia" w:eastAsiaTheme="minorEastAsia"/>
          <w:color w:val="000000" w:themeColor="text1"/>
          <w:spacing w:val="-3"/>
          <w:lang w:bidi="zh-CN"/>
          <w14:textFill>
            <w14:solidFill>
              <w14:schemeClr w14:val="tx1"/>
            </w14:solidFill>
          </w14:textFill>
        </w:rPr>
        <w:t>18</w:t>
      </w:r>
      <w:r>
        <w:rPr>
          <w:color w:val="000000" w:themeColor="text1"/>
          <w:spacing w:val="-20"/>
          <w:lang w:val="zh-CN" w:bidi="zh-CN"/>
          <w14:textFill>
            <w14:solidFill>
              <w14:schemeClr w14:val="tx1"/>
            </w14:solidFill>
          </w14:textFill>
        </w:rPr>
        <w:t>项。</w:t>
      </w:r>
    </w:p>
    <w:p w14:paraId="256B49B6">
      <w:pPr>
        <w:ind w:firstLine="480"/>
        <w:rPr>
          <w:color w:val="000000" w:themeColor="text1"/>
          <w14:textFill>
            <w14:solidFill>
              <w14:schemeClr w14:val="tx1"/>
            </w14:solidFill>
          </w14:textFill>
        </w:rPr>
      </w:pPr>
      <w:r>
        <w:rPr>
          <w:color w:val="000000" w:themeColor="text1"/>
          <w14:textFill>
            <w14:solidFill>
              <w14:schemeClr w14:val="tx1"/>
            </w14:solidFill>
          </w14:textFill>
        </w:rPr>
        <w:t>水质调查和分析方法按《海洋监测规范》（GB17378-2007）进行。</w:t>
      </w:r>
    </w:p>
    <w:p w14:paraId="5BD29429">
      <w:pPr>
        <w:ind w:firstLine="480"/>
        <w:rPr>
          <w:color w:val="000000" w:themeColor="text1"/>
          <w:lang w:val="zh-CN" w:bidi="zh-CN"/>
          <w14:textFill>
            <w14:solidFill>
              <w14:schemeClr w14:val="tx1"/>
            </w14:solidFill>
          </w14:textFill>
        </w:rPr>
      </w:pPr>
      <w:bookmarkStart w:id="630" w:name="8.3.1.2水质现状调查结果"/>
      <w:bookmarkEnd w:id="630"/>
      <w:r>
        <w:rPr>
          <w:color w:val="000000" w:themeColor="text1"/>
          <w:lang w:val="zh-CN" w:bidi="zh-CN"/>
          <w14:textFill>
            <w14:solidFill>
              <w14:schemeClr w14:val="tx1"/>
            </w14:solidFill>
          </w14:textFill>
        </w:rPr>
        <w:t>2、评价方法和标准</w:t>
      </w:r>
    </w:p>
    <w:p w14:paraId="076089D2">
      <w:pPr>
        <w:ind w:firstLine="480"/>
        <w:rPr>
          <w:color w:val="000000" w:themeColor="text1"/>
          <w:lang w:val="zh-CN" w:bidi="zh-CN"/>
          <w14:textFill>
            <w14:solidFill>
              <w14:schemeClr w14:val="tx1"/>
            </w14:solidFill>
          </w14:textFill>
        </w:rPr>
      </w:pPr>
      <w:r>
        <w:rPr>
          <w:color w:val="000000" w:themeColor="text1"/>
          <w:lang w:val="zh-CN" w:bidi="zh-CN"/>
          <w14:textFill>
            <w14:solidFill>
              <w14:schemeClr w14:val="tx1"/>
            </w14:solidFill>
          </w14:textFill>
        </w:rPr>
        <w:t>水质评价方法为单项指数超标分类法。</w:t>
      </w:r>
    </w:p>
    <w:p w14:paraId="6D63343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海水水质：根据《广西壮族自治区近岸海域环境功能区划调整方案》（桂环发〔2023〕9号），S1、S2、S4点位执行海水水质执行《海水水质标准》（GB3097-1997）第二类标准；S3点位执行海水水质执行《海水水质标准》（GB3097-1997）第四类标准；S5点位位于茅尾海红树林自然保护区（七十二泾片区），执行海水水质执行《海水水质标准》（GB3097-1997）第一类标准。</w:t>
      </w:r>
    </w:p>
    <w:p w14:paraId="191C1EFF">
      <w:pPr>
        <w:ind w:firstLine="480"/>
        <w:rPr>
          <w:color w:val="000000" w:themeColor="text1"/>
          <w:lang w:val="zh-CN" w:bidi="zh-CN"/>
          <w14:textFill>
            <w14:solidFill>
              <w14:schemeClr w14:val="tx1"/>
            </w14:solidFill>
          </w14:textFill>
        </w:rPr>
      </w:pPr>
      <w:r>
        <w:rPr>
          <w:color w:val="000000" w:themeColor="text1"/>
          <w:lang w:val="zh-CN" w:bidi="zh-CN"/>
          <w14:textFill>
            <w14:solidFill>
              <w14:schemeClr w14:val="tx1"/>
            </w14:solidFill>
          </w14:textFill>
        </w:rPr>
        <w:t>3、水质现状调查结果</w:t>
      </w:r>
    </w:p>
    <w:p w14:paraId="6CCD3423">
      <w:pPr>
        <w:ind w:firstLine="480"/>
        <w:rPr>
          <w:color w:val="000000" w:themeColor="text1"/>
          <w:lang w:val="zh-CN" w:bidi="zh-CN"/>
          <w14:textFill>
            <w14:solidFill>
              <w14:schemeClr w14:val="tx1"/>
            </w14:solidFill>
          </w14:textFill>
        </w:rPr>
      </w:pPr>
      <w:r>
        <w:rPr>
          <w:color w:val="000000" w:themeColor="text1"/>
          <w:lang w:val="zh-CN" w:bidi="zh-CN"/>
          <w14:textFill>
            <w14:solidFill>
              <w14:schemeClr w14:val="tx1"/>
            </w14:solidFill>
          </w14:textFill>
        </w:rPr>
        <w:t>海水水质调查结果见如下表</w:t>
      </w:r>
      <w:r>
        <w:rPr>
          <w:rFonts w:hint="eastAsia"/>
          <w:color w:val="000000" w:themeColor="text1"/>
          <w:lang w:val="zh-CN" w:bidi="zh-CN"/>
          <w14:textFill>
            <w14:solidFill>
              <w14:schemeClr w14:val="tx1"/>
            </w14:solidFill>
          </w14:textFill>
        </w:rPr>
        <w:t>3.7-2</w:t>
      </w:r>
      <w:r>
        <w:rPr>
          <w:color w:val="000000" w:themeColor="text1"/>
          <w:lang w:val="zh-CN" w:bidi="zh-CN"/>
          <w14:textFill>
            <w14:solidFill>
              <w14:schemeClr w14:val="tx1"/>
            </w14:solidFill>
          </w14:textFill>
        </w:rPr>
        <w:t>。</w:t>
      </w:r>
    </w:p>
    <w:p w14:paraId="4D6455D7">
      <w:pPr>
        <w:pStyle w:val="177"/>
        <w:ind w:firstLine="480"/>
        <w:rPr>
          <w:rFonts w:hint="default" w:ascii="Times New Roman" w:hAnsi="Times New Roman" w:eastAsia="宋体"/>
          <w:color w:val="000000" w:themeColor="text1"/>
          <w:position w:val="0"/>
          <w:highlight w:val="none"/>
          <w:u w:val="none" w:color="auto"/>
          <w:lang w:val="en-US" w:eastAsia="zh-CN"/>
          <w14:textFill>
            <w14:solidFill>
              <w14:schemeClr w14:val="tx1"/>
            </w14:solidFill>
          </w14:textFill>
        </w:rPr>
      </w:pPr>
      <w:r>
        <w:rPr>
          <w:rFonts w:hint="eastAsia"/>
          <w:color w:val="000000" w:themeColor="text1"/>
          <w:u w:val="single"/>
          <w14:textFill>
            <w14:solidFill>
              <w14:schemeClr w14:val="tx1"/>
            </w14:solidFill>
          </w14:textFill>
        </w:rPr>
        <w:t>根据海水水质监测结果，区域海水水质除S1、S2、S5点位的活性磷酸盐，S5点位的无机氮指标超标外，其余指标均能满足《海水水质标准》（GB3097-1997）相应标准限值。区域海洋环境中的无机氮、活性磷酸盐指标本底值已存在不同程度的超标情况，主要由于内陆河流带入污染物及沿海排污口排污导致。</w:t>
      </w:r>
    </w:p>
    <w:p w14:paraId="3DAA46B1">
      <w:pPr>
        <w:ind w:firstLine="480"/>
        <w:rPr>
          <w:color w:val="000000" w:themeColor="text1"/>
          <w:u w:val="single"/>
          <w14:textFill>
            <w14:solidFill>
              <w14:schemeClr w14:val="tx1"/>
            </w14:solidFill>
          </w14:textFill>
        </w:rPr>
        <w:sectPr>
          <w:headerReference r:id="rId26" w:type="first"/>
          <w:footerReference r:id="rId28" w:type="first"/>
          <w:headerReference r:id="rId24" w:type="default"/>
          <w:headerReference r:id="rId25" w:type="even"/>
          <w:footerReference r:id="rId27" w:type="even"/>
          <w:pgSz w:w="11906" w:h="16838"/>
          <w:pgMar w:top="1440" w:right="1800" w:bottom="1440" w:left="1800" w:header="851" w:footer="680" w:gutter="0"/>
          <w:pgBorders>
            <w:top w:val="none" w:sz="0" w:space="0"/>
            <w:left w:val="none" w:sz="0" w:space="0"/>
            <w:bottom w:val="none" w:sz="0" w:space="0"/>
            <w:right w:val="none" w:sz="0" w:space="0"/>
          </w:pgBorders>
          <w:pgNumType w:fmt="numberInDash"/>
          <w:cols w:space="720" w:num="1"/>
          <w:docGrid w:type="lines" w:linePitch="312" w:charSpace="0"/>
        </w:sectPr>
      </w:pPr>
    </w:p>
    <w:p w14:paraId="7D636EFB">
      <w:pPr>
        <w:pStyle w:val="7"/>
        <w:rPr>
          <w:color w:val="000000" w:themeColor="text1"/>
          <w14:textFill>
            <w14:solidFill>
              <w14:schemeClr w14:val="tx1"/>
            </w14:solidFill>
          </w14:textFill>
        </w:rPr>
      </w:pPr>
      <w:bookmarkStart w:id="631" w:name="8.3.1.3水质现状评价"/>
      <w:bookmarkEnd w:id="631"/>
      <w:r>
        <w:rPr>
          <w:rFonts w:hint="eastAsia"/>
          <w:color w:val="000000" w:themeColor="text1"/>
          <w14:textFill>
            <w14:solidFill>
              <w14:schemeClr w14:val="tx1"/>
            </w14:solidFill>
          </w14:textFill>
        </w:rPr>
        <w:t>海水水质检测结果一览表</w:t>
      </w:r>
    </w:p>
    <w:tbl>
      <w:tblPr>
        <w:tblStyle w:val="72"/>
        <w:tblW w:w="5006"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1010"/>
        <w:gridCol w:w="721"/>
        <w:gridCol w:w="721"/>
        <w:gridCol w:w="721"/>
        <w:gridCol w:w="721"/>
        <w:gridCol w:w="721"/>
        <w:gridCol w:w="721"/>
        <w:gridCol w:w="722"/>
        <w:gridCol w:w="722"/>
        <w:gridCol w:w="722"/>
        <w:gridCol w:w="722"/>
        <w:gridCol w:w="722"/>
        <w:gridCol w:w="722"/>
        <w:gridCol w:w="722"/>
        <w:gridCol w:w="722"/>
        <w:gridCol w:w="722"/>
        <w:gridCol w:w="722"/>
        <w:gridCol w:w="722"/>
        <w:gridCol w:w="727"/>
      </w:tblGrid>
      <w:tr w14:paraId="5EDE9FC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Merge w:val="restart"/>
            <w:vAlign w:val="center"/>
          </w:tcPr>
          <w:p w14:paraId="17159B5E">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pacing w:val="7"/>
                <w:sz w:val="21"/>
                <w:lang w:eastAsia="en-US"/>
                <w14:textFill>
                  <w14:solidFill>
                    <w14:schemeClr w14:val="tx1"/>
                  </w14:solidFill>
                </w14:textFill>
              </w:rPr>
              <w:t>监测站位</w:t>
            </w:r>
          </w:p>
        </w:tc>
        <w:tc>
          <w:tcPr>
            <w:tcW w:w="429" w:type="dxa"/>
            <w:vAlign w:val="center"/>
          </w:tcPr>
          <w:p w14:paraId="5DAED6F0">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水温</w:t>
            </w:r>
          </w:p>
        </w:tc>
        <w:tc>
          <w:tcPr>
            <w:tcW w:w="429" w:type="dxa"/>
            <w:vAlign w:val="center"/>
          </w:tcPr>
          <w:p w14:paraId="613ADF9B">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盐度</w:t>
            </w:r>
          </w:p>
        </w:tc>
        <w:tc>
          <w:tcPr>
            <w:tcW w:w="429" w:type="dxa"/>
            <w:vAlign w:val="center"/>
          </w:tcPr>
          <w:p w14:paraId="6EC87CDF">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PH值</w:t>
            </w:r>
          </w:p>
        </w:tc>
        <w:tc>
          <w:tcPr>
            <w:tcW w:w="429" w:type="dxa"/>
            <w:vAlign w:val="center"/>
          </w:tcPr>
          <w:p w14:paraId="356E51F2">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悬浮物</w:t>
            </w:r>
          </w:p>
        </w:tc>
        <w:tc>
          <w:tcPr>
            <w:tcW w:w="429" w:type="dxa"/>
            <w:vAlign w:val="center"/>
          </w:tcPr>
          <w:p w14:paraId="1043D8B3">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溶解氧</w:t>
            </w:r>
          </w:p>
        </w:tc>
        <w:tc>
          <w:tcPr>
            <w:tcW w:w="429" w:type="dxa"/>
            <w:vAlign w:val="center"/>
          </w:tcPr>
          <w:p w14:paraId="0CC874D0">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化学需氧量</w:t>
            </w:r>
          </w:p>
        </w:tc>
        <w:tc>
          <w:tcPr>
            <w:tcW w:w="429" w:type="dxa"/>
            <w:vAlign w:val="center"/>
          </w:tcPr>
          <w:p w14:paraId="30412FDC">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生化需氧量</w:t>
            </w:r>
          </w:p>
        </w:tc>
        <w:tc>
          <w:tcPr>
            <w:tcW w:w="429" w:type="dxa"/>
            <w:vAlign w:val="center"/>
          </w:tcPr>
          <w:p w14:paraId="3FFC95B5">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活性磷酸盐</w:t>
            </w:r>
          </w:p>
        </w:tc>
        <w:tc>
          <w:tcPr>
            <w:tcW w:w="429" w:type="dxa"/>
            <w:vAlign w:val="center"/>
          </w:tcPr>
          <w:p w14:paraId="33607B99">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无机氮</w:t>
            </w:r>
          </w:p>
        </w:tc>
        <w:tc>
          <w:tcPr>
            <w:tcW w:w="429" w:type="dxa"/>
            <w:vAlign w:val="center"/>
          </w:tcPr>
          <w:p w14:paraId="5E429F66">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
                <w:sz w:val="21"/>
                <w:lang w:eastAsia="en-US"/>
                <w14:textFill>
                  <w14:solidFill>
                    <w14:schemeClr w14:val="tx1"/>
                  </w14:solidFill>
                </w14:textFill>
              </w:rPr>
            </w:pPr>
            <w:r>
              <w:rPr>
                <w:rFonts w:asciiTheme="minorHAnsi" w:hAnsiTheme="minorHAnsi" w:eastAsiaTheme="minorEastAsia" w:cstheme="minorBidi"/>
                <w:b/>
                <w:bCs/>
                <w:color w:val="000000" w:themeColor="text1"/>
                <w:spacing w:val="1"/>
                <w:sz w:val="21"/>
                <w:lang w:eastAsia="en-US"/>
                <w14:textFill>
                  <w14:solidFill>
                    <w14:schemeClr w14:val="tx1"/>
                  </w14:solidFill>
                </w14:textFill>
              </w:rPr>
              <w:t>油类</w:t>
            </w:r>
          </w:p>
        </w:tc>
        <w:tc>
          <w:tcPr>
            <w:tcW w:w="429" w:type="dxa"/>
            <w:vAlign w:val="center"/>
          </w:tcPr>
          <w:p w14:paraId="38AF48C7">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
                <w:sz w:val="21"/>
                <w:lang w:eastAsia="en-US"/>
                <w14:textFill>
                  <w14:solidFill>
                    <w14:schemeClr w14:val="tx1"/>
                  </w14:solidFill>
                </w14:textFill>
              </w:rPr>
            </w:pPr>
            <w:r>
              <w:rPr>
                <w:rFonts w:asciiTheme="minorHAnsi" w:hAnsiTheme="minorHAnsi" w:eastAsiaTheme="minorEastAsia" w:cstheme="minorBidi"/>
                <w:b/>
                <w:bCs/>
                <w:color w:val="000000" w:themeColor="text1"/>
                <w:spacing w:val="1"/>
                <w:sz w:val="21"/>
                <w:lang w:eastAsia="en-US"/>
                <w14:textFill>
                  <w14:solidFill>
                    <w14:schemeClr w14:val="tx1"/>
                  </w14:solidFill>
                </w14:textFill>
              </w:rPr>
              <w:t>硫化物</w:t>
            </w:r>
          </w:p>
        </w:tc>
        <w:tc>
          <w:tcPr>
            <w:tcW w:w="429" w:type="dxa"/>
            <w:vAlign w:val="center"/>
          </w:tcPr>
          <w:p w14:paraId="1965931D">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铜</w:t>
            </w:r>
          </w:p>
        </w:tc>
        <w:tc>
          <w:tcPr>
            <w:tcW w:w="429" w:type="dxa"/>
            <w:vAlign w:val="center"/>
          </w:tcPr>
          <w:p w14:paraId="4E2CA4EE">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铅</w:t>
            </w:r>
          </w:p>
        </w:tc>
        <w:tc>
          <w:tcPr>
            <w:tcW w:w="429" w:type="dxa"/>
            <w:vAlign w:val="center"/>
          </w:tcPr>
          <w:p w14:paraId="086C31FB">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锌</w:t>
            </w:r>
          </w:p>
        </w:tc>
        <w:tc>
          <w:tcPr>
            <w:tcW w:w="429" w:type="dxa"/>
            <w:vAlign w:val="center"/>
          </w:tcPr>
          <w:p w14:paraId="14F44F46">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镉</w:t>
            </w:r>
          </w:p>
        </w:tc>
        <w:tc>
          <w:tcPr>
            <w:tcW w:w="429" w:type="dxa"/>
            <w:vAlign w:val="center"/>
          </w:tcPr>
          <w:p w14:paraId="0ACAE1F8">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总铬</w:t>
            </w:r>
          </w:p>
        </w:tc>
        <w:tc>
          <w:tcPr>
            <w:tcW w:w="429" w:type="dxa"/>
            <w:vAlign w:val="center"/>
          </w:tcPr>
          <w:p w14:paraId="49315393">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汞</w:t>
            </w:r>
          </w:p>
        </w:tc>
        <w:tc>
          <w:tcPr>
            <w:tcW w:w="432" w:type="dxa"/>
            <w:vAlign w:val="center"/>
          </w:tcPr>
          <w:p w14:paraId="6499928A">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砷</w:t>
            </w:r>
          </w:p>
        </w:tc>
      </w:tr>
      <w:tr w14:paraId="6EDC03C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Merge w:val="continue"/>
            <w:vAlign w:val="center"/>
          </w:tcPr>
          <w:p w14:paraId="0549A3A5">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p>
        </w:tc>
        <w:tc>
          <w:tcPr>
            <w:tcW w:w="429" w:type="dxa"/>
            <w:vAlign w:val="center"/>
          </w:tcPr>
          <w:p w14:paraId="43AC30AC">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w:t>
            </w:r>
          </w:p>
        </w:tc>
        <w:tc>
          <w:tcPr>
            <w:tcW w:w="429" w:type="dxa"/>
            <w:vAlign w:val="center"/>
          </w:tcPr>
          <w:p w14:paraId="13544784">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w:t>
            </w:r>
          </w:p>
        </w:tc>
        <w:tc>
          <w:tcPr>
            <w:tcW w:w="429" w:type="dxa"/>
            <w:vAlign w:val="center"/>
          </w:tcPr>
          <w:p w14:paraId="6ACBD376">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无量纲</w:t>
            </w:r>
          </w:p>
        </w:tc>
        <w:tc>
          <w:tcPr>
            <w:tcW w:w="429" w:type="dxa"/>
            <w:vAlign w:val="center"/>
          </w:tcPr>
          <w:p w14:paraId="361CE651">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mg/L</w:t>
            </w:r>
          </w:p>
        </w:tc>
        <w:tc>
          <w:tcPr>
            <w:tcW w:w="429" w:type="dxa"/>
            <w:vAlign w:val="center"/>
          </w:tcPr>
          <w:p w14:paraId="5A434F94">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mg/L</w:t>
            </w:r>
          </w:p>
        </w:tc>
        <w:tc>
          <w:tcPr>
            <w:tcW w:w="429" w:type="dxa"/>
            <w:vAlign w:val="center"/>
          </w:tcPr>
          <w:p w14:paraId="74F20BFB">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mg/L</w:t>
            </w:r>
          </w:p>
        </w:tc>
        <w:tc>
          <w:tcPr>
            <w:tcW w:w="429" w:type="dxa"/>
            <w:vAlign w:val="center"/>
          </w:tcPr>
          <w:p w14:paraId="568061DD">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mg</w:t>
            </w:r>
            <w:r>
              <w:rPr>
                <w:rFonts w:asciiTheme="minorHAnsi" w:hAnsiTheme="minorHAnsi" w:eastAsiaTheme="minorEastAsia" w:cstheme="minorBidi"/>
                <w:b/>
                <w:bCs/>
                <w:color w:val="000000" w:themeColor="text1"/>
                <w:spacing w:val="8"/>
                <w:sz w:val="21"/>
                <w:lang w:eastAsia="en-US"/>
                <w14:textFill>
                  <w14:solidFill>
                    <w14:schemeClr w14:val="tx1"/>
                  </w14:solidFill>
                </w14:textFill>
              </w:rPr>
              <w:t>/L</w:t>
            </w:r>
          </w:p>
        </w:tc>
        <w:tc>
          <w:tcPr>
            <w:tcW w:w="429" w:type="dxa"/>
            <w:vAlign w:val="center"/>
          </w:tcPr>
          <w:p w14:paraId="4251FE13">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mg/L</w:t>
            </w:r>
          </w:p>
        </w:tc>
        <w:tc>
          <w:tcPr>
            <w:tcW w:w="429" w:type="dxa"/>
            <w:vAlign w:val="center"/>
          </w:tcPr>
          <w:p w14:paraId="4602494B">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mg</w:t>
            </w:r>
            <w:r>
              <w:rPr>
                <w:rFonts w:asciiTheme="minorHAnsi" w:hAnsiTheme="minorHAnsi" w:eastAsiaTheme="minorEastAsia" w:cstheme="minorBidi"/>
                <w:b/>
                <w:bCs/>
                <w:color w:val="000000" w:themeColor="text1"/>
                <w:spacing w:val="8"/>
                <w:sz w:val="21"/>
                <w:lang w:eastAsia="en-US"/>
                <w14:textFill>
                  <w14:solidFill>
                    <w14:schemeClr w14:val="tx1"/>
                  </w14:solidFill>
                </w14:textFill>
              </w:rPr>
              <w:t>/L</w:t>
            </w:r>
          </w:p>
        </w:tc>
        <w:tc>
          <w:tcPr>
            <w:tcW w:w="429" w:type="dxa"/>
            <w:vAlign w:val="center"/>
          </w:tcPr>
          <w:p w14:paraId="1C9FDCE1">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mg</w:t>
            </w:r>
            <w:r>
              <w:rPr>
                <w:rFonts w:asciiTheme="minorHAnsi" w:hAnsiTheme="minorHAnsi" w:eastAsiaTheme="minorEastAsia" w:cstheme="minorBidi"/>
                <w:b/>
                <w:bCs/>
                <w:color w:val="000000" w:themeColor="text1"/>
                <w:spacing w:val="8"/>
                <w:sz w:val="21"/>
                <w:lang w:eastAsia="en-US"/>
                <w14:textFill>
                  <w14:solidFill>
                    <w14:schemeClr w14:val="tx1"/>
                  </w14:solidFill>
                </w14:textFill>
              </w:rPr>
              <w:t>/L</w:t>
            </w:r>
          </w:p>
        </w:tc>
        <w:tc>
          <w:tcPr>
            <w:tcW w:w="429" w:type="dxa"/>
            <w:vAlign w:val="center"/>
          </w:tcPr>
          <w:p w14:paraId="76EE17E8">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mg</w:t>
            </w:r>
            <w:r>
              <w:rPr>
                <w:rFonts w:asciiTheme="minorHAnsi" w:hAnsiTheme="minorHAnsi" w:eastAsiaTheme="minorEastAsia" w:cstheme="minorBidi"/>
                <w:b/>
                <w:bCs/>
                <w:color w:val="000000" w:themeColor="text1"/>
                <w:spacing w:val="8"/>
                <w:sz w:val="21"/>
                <w:lang w:eastAsia="en-US"/>
                <w14:textFill>
                  <w14:solidFill>
                    <w14:schemeClr w14:val="tx1"/>
                  </w14:solidFill>
                </w14:textFill>
              </w:rPr>
              <w:t>/L</w:t>
            </w:r>
          </w:p>
        </w:tc>
        <w:tc>
          <w:tcPr>
            <w:tcW w:w="429" w:type="dxa"/>
            <w:vAlign w:val="center"/>
          </w:tcPr>
          <w:p w14:paraId="0382B414">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μg</w:t>
            </w:r>
            <w:r>
              <w:rPr>
                <w:rFonts w:asciiTheme="minorHAnsi" w:hAnsiTheme="minorHAnsi" w:eastAsiaTheme="minorEastAsia" w:cstheme="minorBidi"/>
                <w:b/>
                <w:bCs/>
                <w:color w:val="000000" w:themeColor="text1"/>
                <w:spacing w:val="9"/>
                <w:sz w:val="21"/>
                <w:lang w:eastAsia="en-US"/>
                <w14:textFill>
                  <w14:solidFill>
                    <w14:schemeClr w14:val="tx1"/>
                  </w14:solidFill>
                </w14:textFill>
              </w:rPr>
              <w:t>/L</w:t>
            </w:r>
          </w:p>
        </w:tc>
        <w:tc>
          <w:tcPr>
            <w:tcW w:w="429" w:type="dxa"/>
            <w:vAlign w:val="center"/>
          </w:tcPr>
          <w:p w14:paraId="25E2D597">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μg</w:t>
            </w:r>
            <w:r>
              <w:rPr>
                <w:rFonts w:asciiTheme="minorHAnsi" w:hAnsiTheme="minorHAnsi" w:eastAsiaTheme="minorEastAsia" w:cstheme="minorBidi"/>
                <w:b/>
                <w:bCs/>
                <w:color w:val="000000" w:themeColor="text1"/>
                <w:spacing w:val="9"/>
                <w:sz w:val="21"/>
                <w:lang w:eastAsia="en-US"/>
                <w14:textFill>
                  <w14:solidFill>
                    <w14:schemeClr w14:val="tx1"/>
                  </w14:solidFill>
                </w14:textFill>
              </w:rPr>
              <w:t>/L</w:t>
            </w:r>
          </w:p>
        </w:tc>
        <w:tc>
          <w:tcPr>
            <w:tcW w:w="429" w:type="dxa"/>
            <w:vAlign w:val="center"/>
          </w:tcPr>
          <w:p w14:paraId="1D1ACFAF">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μg</w:t>
            </w:r>
            <w:r>
              <w:rPr>
                <w:rFonts w:asciiTheme="minorHAnsi" w:hAnsiTheme="minorHAnsi" w:eastAsiaTheme="minorEastAsia" w:cstheme="minorBidi"/>
                <w:b/>
                <w:bCs/>
                <w:color w:val="000000" w:themeColor="text1"/>
                <w:spacing w:val="9"/>
                <w:sz w:val="21"/>
                <w:lang w:eastAsia="en-US"/>
                <w14:textFill>
                  <w14:solidFill>
                    <w14:schemeClr w14:val="tx1"/>
                  </w14:solidFill>
                </w14:textFill>
              </w:rPr>
              <w:t>/L</w:t>
            </w:r>
          </w:p>
        </w:tc>
        <w:tc>
          <w:tcPr>
            <w:tcW w:w="429" w:type="dxa"/>
            <w:vAlign w:val="center"/>
          </w:tcPr>
          <w:p w14:paraId="1428D8AF">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μg</w:t>
            </w:r>
            <w:r>
              <w:rPr>
                <w:rFonts w:asciiTheme="minorHAnsi" w:hAnsiTheme="minorHAnsi" w:eastAsiaTheme="minorEastAsia" w:cstheme="minorBidi"/>
                <w:b/>
                <w:bCs/>
                <w:color w:val="000000" w:themeColor="text1"/>
                <w:spacing w:val="9"/>
                <w:sz w:val="21"/>
                <w:lang w:eastAsia="en-US"/>
                <w14:textFill>
                  <w14:solidFill>
                    <w14:schemeClr w14:val="tx1"/>
                  </w14:solidFill>
                </w14:textFill>
              </w:rPr>
              <w:t>/L</w:t>
            </w:r>
          </w:p>
        </w:tc>
        <w:tc>
          <w:tcPr>
            <w:tcW w:w="429" w:type="dxa"/>
            <w:vAlign w:val="center"/>
          </w:tcPr>
          <w:p w14:paraId="0F297717">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μg</w:t>
            </w:r>
            <w:r>
              <w:rPr>
                <w:rFonts w:asciiTheme="minorHAnsi" w:hAnsiTheme="minorHAnsi" w:eastAsiaTheme="minorEastAsia" w:cstheme="minorBidi"/>
                <w:b/>
                <w:bCs/>
                <w:color w:val="000000" w:themeColor="text1"/>
                <w:spacing w:val="9"/>
                <w:sz w:val="21"/>
                <w:lang w:eastAsia="en-US"/>
                <w14:textFill>
                  <w14:solidFill>
                    <w14:schemeClr w14:val="tx1"/>
                  </w14:solidFill>
                </w14:textFill>
              </w:rPr>
              <w:t>/L</w:t>
            </w:r>
          </w:p>
        </w:tc>
        <w:tc>
          <w:tcPr>
            <w:tcW w:w="429" w:type="dxa"/>
            <w:vAlign w:val="center"/>
          </w:tcPr>
          <w:p w14:paraId="32C21BCE">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μg</w:t>
            </w:r>
            <w:r>
              <w:rPr>
                <w:rFonts w:asciiTheme="minorHAnsi" w:hAnsiTheme="minorHAnsi" w:eastAsiaTheme="minorEastAsia" w:cstheme="minorBidi"/>
                <w:b/>
                <w:bCs/>
                <w:color w:val="000000" w:themeColor="text1"/>
                <w:spacing w:val="9"/>
                <w:sz w:val="21"/>
                <w:lang w:eastAsia="en-US"/>
                <w14:textFill>
                  <w14:solidFill>
                    <w14:schemeClr w14:val="tx1"/>
                  </w14:solidFill>
                </w14:textFill>
              </w:rPr>
              <w:t>/L</w:t>
            </w:r>
          </w:p>
        </w:tc>
        <w:tc>
          <w:tcPr>
            <w:tcW w:w="432" w:type="dxa"/>
            <w:vAlign w:val="center"/>
          </w:tcPr>
          <w:p w14:paraId="75FA191E">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μg</w:t>
            </w:r>
            <w:r>
              <w:rPr>
                <w:rFonts w:asciiTheme="minorHAnsi" w:hAnsiTheme="minorHAnsi" w:eastAsiaTheme="minorEastAsia" w:cstheme="minorBidi"/>
                <w:b/>
                <w:bCs/>
                <w:color w:val="000000" w:themeColor="text1"/>
                <w:spacing w:val="9"/>
                <w:sz w:val="21"/>
                <w:lang w:eastAsia="en-US"/>
                <w14:textFill>
                  <w14:solidFill>
                    <w14:schemeClr w14:val="tx1"/>
                  </w14:solidFill>
                </w14:textFill>
              </w:rPr>
              <w:t>/L</w:t>
            </w:r>
          </w:p>
        </w:tc>
      </w:tr>
      <w:tr w14:paraId="1D6FF06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5D73184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z w:val="21"/>
                <w:lang w:eastAsia="en-US"/>
                <w14:textFill>
                  <w14:solidFill>
                    <w14:schemeClr w14:val="tx1"/>
                  </w14:solidFill>
                </w14:textFill>
              </w:rPr>
              <w:t>S1</w:t>
            </w:r>
          </w:p>
        </w:tc>
        <w:tc>
          <w:tcPr>
            <w:tcW w:w="429" w:type="dxa"/>
            <w:vAlign w:val="center"/>
          </w:tcPr>
          <w:p w14:paraId="662444E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7DA1A2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3F22E7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B1AF07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F1069B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55881B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C58E96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B41D4A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1B7CD0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553168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709831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6D7FD9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C0F169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2913A3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530163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68CBD3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C76152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704A3D2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4C6D699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67F981C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7"/>
                <w:sz w:val="21"/>
                <w:lang w:eastAsia="en-US"/>
                <w14:textFill>
                  <w14:solidFill>
                    <w14:schemeClr w14:val="tx1"/>
                  </w14:solidFill>
                </w14:textFill>
              </w:rPr>
              <w:t>评价标准（二类）</w:t>
            </w:r>
          </w:p>
        </w:tc>
        <w:tc>
          <w:tcPr>
            <w:tcW w:w="429" w:type="dxa"/>
            <w:vAlign w:val="center"/>
          </w:tcPr>
          <w:p w14:paraId="050B214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D86E83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B89A75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8C4C34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E9B378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480EB5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FB78D7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22718D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EE6352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7ACED5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85B453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C2AE45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6F3A43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AAC7C8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4C5A1B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1DF093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9E0B52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1A3D820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77BBB26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03FF69A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6"/>
                <w:sz w:val="21"/>
                <w:lang w:eastAsia="en-US"/>
                <w14:textFill>
                  <w14:solidFill>
                    <w14:schemeClr w14:val="tx1"/>
                  </w14:solidFill>
                </w14:textFill>
              </w:rPr>
              <w:t>标准</w:t>
            </w:r>
            <w:r>
              <w:rPr>
                <w:rFonts w:asciiTheme="minorHAnsi" w:hAnsiTheme="minorHAnsi" w:eastAsiaTheme="minorEastAsia" w:cstheme="minorBidi"/>
                <w:color w:val="000000" w:themeColor="text1"/>
                <w:spacing w:val="3"/>
                <w:sz w:val="21"/>
                <w:lang w:eastAsia="en-US"/>
                <w14:textFill>
                  <w14:solidFill>
                    <w14:schemeClr w14:val="tx1"/>
                  </w14:solidFill>
                </w14:textFill>
              </w:rPr>
              <w:t>指数</w:t>
            </w:r>
          </w:p>
        </w:tc>
        <w:tc>
          <w:tcPr>
            <w:tcW w:w="429" w:type="dxa"/>
            <w:vAlign w:val="center"/>
          </w:tcPr>
          <w:p w14:paraId="08B328A5">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F950655">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3058C51">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6563307">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B391F31">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7D56450">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B0A4658">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648F3F8">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1FB4B81">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8E3C133">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CC59BA8">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5F3DE3A">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B183431">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07911A9">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ED18FA5">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2ED3861">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B040D87">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2BCE711E">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30F500C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52174D3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2"/>
                <w:sz w:val="21"/>
                <w:lang w:eastAsia="en-US"/>
                <w14:textFill>
                  <w14:solidFill>
                    <w14:schemeClr w14:val="tx1"/>
                  </w14:solidFill>
                </w14:textFill>
              </w:rPr>
              <w:t>S2</w:t>
            </w:r>
          </w:p>
        </w:tc>
        <w:tc>
          <w:tcPr>
            <w:tcW w:w="429" w:type="dxa"/>
            <w:vAlign w:val="center"/>
          </w:tcPr>
          <w:p w14:paraId="385D495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B8905B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BBD1E8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CD76F9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105894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8FFFA7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DC7E21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FEFAF0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D02559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384D64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2855A9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53B95E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6F2E6F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364184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5DC914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78A85B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BF82A5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2AE34E7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6B25452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29E3D95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7"/>
                <w:sz w:val="21"/>
                <w:lang w:eastAsia="en-US"/>
                <w14:textFill>
                  <w14:solidFill>
                    <w14:schemeClr w14:val="tx1"/>
                  </w14:solidFill>
                </w14:textFill>
              </w:rPr>
              <w:t>评价标准（二类）</w:t>
            </w:r>
          </w:p>
        </w:tc>
        <w:tc>
          <w:tcPr>
            <w:tcW w:w="429" w:type="dxa"/>
            <w:vAlign w:val="center"/>
          </w:tcPr>
          <w:p w14:paraId="75D6792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06DD4D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AB6475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6E9473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02F88B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823F2A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DD46ED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BFC666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69F628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F735F2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97E185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7A3E64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C57C95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D3E124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C786D3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508287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5D7342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40B3E05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7B0EC86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35F36F2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6"/>
                <w:sz w:val="21"/>
                <w:lang w:eastAsia="en-US"/>
                <w14:textFill>
                  <w14:solidFill>
                    <w14:schemeClr w14:val="tx1"/>
                  </w14:solidFill>
                </w14:textFill>
              </w:rPr>
              <w:t>标准</w:t>
            </w:r>
            <w:r>
              <w:rPr>
                <w:rFonts w:asciiTheme="minorHAnsi" w:hAnsiTheme="minorHAnsi" w:eastAsiaTheme="minorEastAsia" w:cstheme="minorBidi"/>
                <w:color w:val="000000" w:themeColor="text1"/>
                <w:spacing w:val="3"/>
                <w:sz w:val="21"/>
                <w:lang w:eastAsia="en-US"/>
                <w14:textFill>
                  <w14:solidFill>
                    <w14:schemeClr w14:val="tx1"/>
                  </w14:solidFill>
                </w14:textFill>
              </w:rPr>
              <w:t>指数</w:t>
            </w:r>
          </w:p>
        </w:tc>
        <w:tc>
          <w:tcPr>
            <w:tcW w:w="429" w:type="dxa"/>
            <w:vAlign w:val="center"/>
          </w:tcPr>
          <w:p w14:paraId="78307493">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6D2701D">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362FD08">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1B3087F">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1C7FE45">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6BDEA26">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72F922B">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BE94B1B">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91F0DBC">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42A8E09">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F236036">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A0DDA32">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3707D7D">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99C8135">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2DFC32A">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4B581F0">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4333FDB">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17F52C50">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1349AF6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3DA1E4D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z w:val="21"/>
                <w:lang w:eastAsia="en-US"/>
                <w14:textFill>
                  <w14:solidFill>
                    <w14:schemeClr w14:val="tx1"/>
                  </w14:solidFill>
                </w14:textFill>
              </w:rPr>
              <w:t>S3</w:t>
            </w:r>
          </w:p>
        </w:tc>
        <w:tc>
          <w:tcPr>
            <w:tcW w:w="429" w:type="dxa"/>
            <w:vAlign w:val="center"/>
          </w:tcPr>
          <w:p w14:paraId="5D5E6D2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5D1EC1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1F69D6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A9ADF8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D0E6CF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0F82E3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168A8C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45C643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E605AD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68895A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2F63F6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ABCC77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94B96F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9FF1D2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69AB1A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DA2C9C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045F31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4CB93AA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4CC2B22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1D55C18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7"/>
                <w:sz w:val="21"/>
                <w:lang w:eastAsia="en-US"/>
                <w14:textFill>
                  <w14:solidFill>
                    <w14:schemeClr w14:val="tx1"/>
                  </w14:solidFill>
                </w14:textFill>
              </w:rPr>
              <w:t>评价标准（四类）</w:t>
            </w:r>
          </w:p>
        </w:tc>
        <w:tc>
          <w:tcPr>
            <w:tcW w:w="429" w:type="dxa"/>
            <w:vAlign w:val="center"/>
          </w:tcPr>
          <w:p w14:paraId="542A63C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51B63C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444063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130F27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653403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F4F34F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0C41E0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40B43A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9BFA46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72BC6E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22A2C5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4CE760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83691D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6C9D23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0F4FBB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6CB308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3D0906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6BBFADE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219C670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6BD8F1D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6"/>
                <w:sz w:val="21"/>
                <w:lang w:eastAsia="en-US"/>
                <w14:textFill>
                  <w14:solidFill>
                    <w14:schemeClr w14:val="tx1"/>
                  </w14:solidFill>
                </w14:textFill>
              </w:rPr>
              <w:t>标准</w:t>
            </w:r>
            <w:r>
              <w:rPr>
                <w:rFonts w:asciiTheme="minorHAnsi" w:hAnsiTheme="minorHAnsi" w:eastAsiaTheme="minorEastAsia" w:cstheme="minorBidi"/>
                <w:color w:val="000000" w:themeColor="text1"/>
                <w:spacing w:val="3"/>
                <w:sz w:val="21"/>
                <w:lang w:eastAsia="en-US"/>
                <w14:textFill>
                  <w14:solidFill>
                    <w14:schemeClr w14:val="tx1"/>
                  </w14:solidFill>
                </w14:textFill>
              </w:rPr>
              <w:t>指数</w:t>
            </w:r>
          </w:p>
        </w:tc>
        <w:tc>
          <w:tcPr>
            <w:tcW w:w="429" w:type="dxa"/>
            <w:vAlign w:val="center"/>
          </w:tcPr>
          <w:p w14:paraId="4DB06023">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DBB7D80">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8515188">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91D3678">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B2C6901">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5D049A5">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B8C3AD1">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77E8719">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3B228C6">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1B6531D">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22F1E0E">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1158CD7">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FBB3C6A">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1DC7509">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103596A">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97E4DC9">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47E2498">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1F39ACCE">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6028AF2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605F964A">
            <w:pPr>
              <w:autoSpaceDE w:val="0"/>
              <w:autoSpaceDN w:val="0"/>
              <w:spacing w:line="240" w:lineRule="auto"/>
              <w:ind w:firstLine="0" w:firstLineChars="0"/>
              <w:jc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r>
              <w:rPr>
                <w:rFonts w:asciiTheme="minorHAnsi" w:hAnsiTheme="minorHAnsi" w:eastAsiaTheme="minorEastAsia" w:cstheme="minorBidi"/>
                <w:color w:val="000000" w:themeColor="text1"/>
                <w:spacing w:val="2"/>
                <w:sz w:val="21"/>
                <w:lang w:eastAsia="en-US"/>
                <w14:textFill>
                  <w14:solidFill>
                    <w14:schemeClr w14:val="tx1"/>
                  </w14:solidFill>
                </w14:textFill>
              </w:rPr>
              <w:t>S4</w:t>
            </w:r>
          </w:p>
        </w:tc>
        <w:tc>
          <w:tcPr>
            <w:tcW w:w="429" w:type="dxa"/>
            <w:vAlign w:val="center"/>
          </w:tcPr>
          <w:p w14:paraId="6209682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5C7000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430CA8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0063F6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9BBEF7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3155F9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73E8F1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E18AD7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E5EFD9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DBCA88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B62A4A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03CEB1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111FEC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32E9C1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FED67B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ED8F7C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43AA41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0E09913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05255CB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72677C2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7"/>
                <w:sz w:val="21"/>
                <w:lang w:eastAsia="en-US"/>
                <w14:textFill>
                  <w14:solidFill>
                    <w14:schemeClr w14:val="tx1"/>
                  </w14:solidFill>
                </w14:textFill>
              </w:rPr>
              <w:t>评价标准（二类）</w:t>
            </w:r>
          </w:p>
        </w:tc>
        <w:tc>
          <w:tcPr>
            <w:tcW w:w="429" w:type="dxa"/>
            <w:vAlign w:val="center"/>
          </w:tcPr>
          <w:p w14:paraId="1BDC85E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94AB07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BF7379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CB67EC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B1FB3F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102A97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2AE118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7B4D6F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4126ED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5456AC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81DCC3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48B048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7C81EE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485022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CA342D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00FB0A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B1EB54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1EAFAE0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250271D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00BD218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6"/>
                <w:sz w:val="21"/>
                <w:lang w:eastAsia="en-US"/>
                <w14:textFill>
                  <w14:solidFill>
                    <w14:schemeClr w14:val="tx1"/>
                  </w14:solidFill>
                </w14:textFill>
              </w:rPr>
              <w:t>标准</w:t>
            </w:r>
            <w:r>
              <w:rPr>
                <w:rFonts w:asciiTheme="minorHAnsi" w:hAnsiTheme="minorHAnsi" w:eastAsiaTheme="minorEastAsia" w:cstheme="minorBidi"/>
                <w:color w:val="000000" w:themeColor="text1"/>
                <w:spacing w:val="3"/>
                <w:sz w:val="21"/>
                <w:lang w:eastAsia="en-US"/>
                <w14:textFill>
                  <w14:solidFill>
                    <w14:schemeClr w14:val="tx1"/>
                  </w14:solidFill>
                </w14:textFill>
              </w:rPr>
              <w:t>指数</w:t>
            </w:r>
          </w:p>
        </w:tc>
        <w:tc>
          <w:tcPr>
            <w:tcW w:w="429" w:type="dxa"/>
            <w:vAlign w:val="center"/>
          </w:tcPr>
          <w:p w14:paraId="2DEAA803">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305116C">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A060E38">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DBC21CF">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08AFE4F">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86D85A8">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6AF6780">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4938102">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CBBEEBE">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40EC535">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06758BF">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630A41E">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B163B9C">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05DD948">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5634B55">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556EB62">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BA3FEBE">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5B07263A">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72DE853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0E2A58D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z w:val="21"/>
                <w:lang w:eastAsia="en-US"/>
                <w14:textFill>
                  <w14:solidFill>
                    <w14:schemeClr w14:val="tx1"/>
                  </w14:solidFill>
                </w14:textFill>
              </w:rPr>
              <w:t>S5</w:t>
            </w:r>
          </w:p>
        </w:tc>
        <w:tc>
          <w:tcPr>
            <w:tcW w:w="429" w:type="dxa"/>
            <w:vAlign w:val="center"/>
          </w:tcPr>
          <w:p w14:paraId="692A732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A1571F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F66217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7BD304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A17C43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8AB4ED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0A5628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FCD20A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6F2262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1B123E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7CE4B5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D52838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C2D3F6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571797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62FF19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B6A737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D34E5F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71988EF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3EA8B03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24598FC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7"/>
                <w:sz w:val="21"/>
                <w:lang w:eastAsia="en-US"/>
                <w14:textFill>
                  <w14:solidFill>
                    <w14:schemeClr w14:val="tx1"/>
                  </w14:solidFill>
                </w14:textFill>
              </w:rPr>
              <w:t>评价标准（一类）</w:t>
            </w:r>
          </w:p>
        </w:tc>
        <w:tc>
          <w:tcPr>
            <w:tcW w:w="429" w:type="dxa"/>
            <w:vAlign w:val="center"/>
          </w:tcPr>
          <w:p w14:paraId="78E613C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C3D8DB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17E06C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040E95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B85F85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F6B74E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67C905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2C8C82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9190D4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F42B56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1CE9C8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5046CD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BBBB08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A50B4E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3F6BD9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FE0B65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BFEF86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78500C7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7DD588C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62CBFAE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6"/>
                <w:sz w:val="21"/>
                <w:lang w:eastAsia="en-US"/>
                <w14:textFill>
                  <w14:solidFill>
                    <w14:schemeClr w14:val="tx1"/>
                  </w14:solidFill>
                </w14:textFill>
              </w:rPr>
              <w:t>标准</w:t>
            </w:r>
            <w:r>
              <w:rPr>
                <w:rFonts w:asciiTheme="minorHAnsi" w:hAnsiTheme="minorHAnsi" w:eastAsiaTheme="minorEastAsia" w:cstheme="minorBidi"/>
                <w:color w:val="000000" w:themeColor="text1"/>
                <w:spacing w:val="3"/>
                <w:sz w:val="21"/>
                <w:lang w:eastAsia="en-US"/>
                <w14:textFill>
                  <w14:solidFill>
                    <w14:schemeClr w14:val="tx1"/>
                  </w14:solidFill>
                </w14:textFill>
              </w:rPr>
              <w:t>指数</w:t>
            </w:r>
          </w:p>
        </w:tc>
        <w:tc>
          <w:tcPr>
            <w:tcW w:w="429" w:type="dxa"/>
            <w:vAlign w:val="center"/>
          </w:tcPr>
          <w:p w14:paraId="569166CD">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A717099">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AD8D5DA">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B8E14A3">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A371716">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E927A92">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42EF9ED">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11F36A3">
            <w:pPr>
              <w:widowControl/>
              <w:autoSpaceDE w:val="0"/>
              <w:autoSpaceDN w:val="0"/>
              <w:spacing w:line="240" w:lineRule="auto"/>
              <w:ind w:firstLine="0" w:firstLineChars="0"/>
              <w:jc w:val="center"/>
              <w:textAlignment w:val="center"/>
              <w:rPr>
                <w:rFonts w:asciiTheme="minorHAnsi" w:hAnsiTheme="minorHAnsi" w:eastAsiaTheme="minorEastAsia" w:cstheme="minorBidi"/>
                <w:b/>
                <w:bCs/>
                <w:color w:val="000000" w:themeColor="text1"/>
                <w:sz w:val="21"/>
                <w:lang w:eastAsia="en-US"/>
                <w14:textFill>
                  <w14:solidFill>
                    <w14:schemeClr w14:val="tx1"/>
                  </w14:solidFill>
                </w14:textFill>
              </w:rPr>
            </w:pPr>
          </w:p>
        </w:tc>
        <w:tc>
          <w:tcPr>
            <w:tcW w:w="429" w:type="dxa"/>
            <w:vAlign w:val="center"/>
          </w:tcPr>
          <w:p w14:paraId="4D9F4E98">
            <w:pPr>
              <w:widowControl/>
              <w:autoSpaceDE w:val="0"/>
              <w:autoSpaceDN w:val="0"/>
              <w:spacing w:line="240" w:lineRule="auto"/>
              <w:ind w:firstLine="0" w:firstLineChars="0"/>
              <w:jc w:val="center"/>
              <w:textAlignment w:val="center"/>
              <w:rPr>
                <w:rFonts w:asciiTheme="minorHAnsi" w:hAnsiTheme="minorHAnsi" w:eastAsiaTheme="minorEastAsia" w:cstheme="minorBidi"/>
                <w:b/>
                <w:bCs/>
                <w:color w:val="000000" w:themeColor="text1"/>
                <w:sz w:val="21"/>
                <w:lang w:eastAsia="en-US"/>
                <w14:textFill>
                  <w14:solidFill>
                    <w14:schemeClr w14:val="tx1"/>
                  </w14:solidFill>
                </w14:textFill>
              </w:rPr>
            </w:pPr>
          </w:p>
        </w:tc>
        <w:tc>
          <w:tcPr>
            <w:tcW w:w="429" w:type="dxa"/>
            <w:vAlign w:val="center"/>
          </w:tcPr>
          <w:p w14:paraId="0A43CC20">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06D70D5">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C4F04B9">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49974F6">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64AC5C5">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BECC1F1">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3AF48A3">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45B2226">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40FEE00E">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r>
    </w:tbl>
    <w:p w14:paraId="515EDCE7">
      <w:pPr>
        <w:pStyle w:val="42"/>
        <w:ind w:left="480" w:firstLine="480"/>
        <w:rPr>
          <w:color w:val="000000" w:themeColor="text1"/>
          <w:lang w:val="zh-CN" w:bidi="zh-CN"/>
          <w14:textFill>
            <w14:solidFill>
              <w14:schemeClr w14:val="tx1"/>
            </w14:solidFill>
          </w14:textFill>
        </w:rPr>
        <w:sectPr>
          <w:pgSz w:w="16838" w:h="11906" w:orient="landscape"/>
          <w:pgMar w:top="1797" w:right="1440" w:bottom="1797" w:left="1440" w:header="851" w:footer="680" w:gutter="0"/>
          <w:pgBorders>
            <w:top w:val="none" w:sz="0" w:space="0"/>
            <w:left w:val="none" w:sz="0" w:space="0"/>
            <w:bottom w:val="none" w:sz="0" w:space="0"/>
            <w:right w:val="none" w:sz="0" w:space="0"/>
          </w:pgBorders>
          <w:pgNumType w:fmt="numberInDash"/>
          <w:cols w:space="720" w:num="1"/>
          <w:docGrid w:type="lines" w:linePitch="312" w:charSpace="0"/>
        </w:sectPr>
      </w:pPr>
    </w:p>
    <w:p w14:paraId="1B27CEC2">
      <w:pPr>
        <w:pStyle w:val="4"/>
        <w:rPr>
          <w:color w:val="000000" w:themeColor="text1"/>
          <w:lang w:val="zh-CN"/>
          <w14:textFill>
            <w14:solidFill>
              <w14:schemeClr w14:val="tx1"/>
            </w14:solidFill>
          </w14:textFill>
        </w:rPr>
      </w:pPr>
      <w:bookmarkStart w:id="632" w:name="_Toc136878498"/>
      <w:bookmarkStart w:id="633" w:name="_Toc216620562"/>
      <w:r>
        <w:rPr>
          <w:color w:val="000000" w:themeColor="text1"/>
          <w:lang w:val="zh-CN"/>
          <w14:textFill>
            <w14:solidFill>
              <w14:schemeClr w14:val="tx1"/>
            </w14:solidFill>
          </w14:textFill>
        </w:rPr>
        <w:t>海洋沉积物质量状况</w:t>
      </w:r>
      <w:bookmarkEnd w:id="632"/>
      <w:bookmarkEnd w:id="633"/>
    </w:p>
    <w:p w14:paraId="762BA5FA">
      <w:pPr>
        <w:ind w:firstLine="480"/>
        <w:rPr>
          <w:color w:val="000000" w:themeColor="text1"/>
          <w:lang w:val="zh-CN" w:bidi="zh-CN"/>
          <w14:textFill>
            <w14:solidFill>
              <w14:schemeClr w14:val="tx1"/>
            </w14:solidFill>
          </w14:textFill>
        </w:rPr>
      </w:pPr>
      <w:bookmarkStart w:id="634" w:name="8.3.2.1沉积物环境质量现状调查与结果"/>
      <w:bookmarkEnd w:id="634"/>
      <w:r>
        <w:rPr>
          <w:color w:val="000000" w:themeColor="text1"/>
          <w:lang w:val="zh-CN" w:bidi="zh-CN"/>
          <w14:textFill>
            <w14:solidFill>
              <w14:schemeClr w14:val="tx1"/>
            </w14:solidFill>
          </w14:textFill>
        </w:rPr>
        <w:t>1、监测项目和调查分析方法</w:t>
      </w:r>
    </w:p>
    <w:p w14:paraId="7A6DF71D">
      <w:pPr>
        <w:adjustRightInd w:val="0"/>
        <w:snapToGrid w:val="0"/>
        <w:ind w:firstLine="480"/>
        <w:rPr>
          <w:color w:val="000000" w:themeColor="text1"/>
          <w:lang w:val="zh-CN" w:bidi="zh-CN"/>
          <w14:textFill>
            <w14:solidFill>
              <w14:schemeClr w14:val="tx1"/>
            </w14:solidFill>
          </w14:textFill>
        </w:rPr>
      </w:pPr>
      <w:r>
        <w:rPr>
          <w:color w:val="000000" w:themeColor="text1"/>
          <w:szCs w:val="22"/>
          <w14:textFill>
            <w14:solidFill>
              <w14:schemeClr w14:val="tx1"/>
            </w14:solidFill>
          </w14:textFill>
        </w:rPr>
        <w:t>沉积物调查项目包括铜、铅、锌、镉、铬、汞、砷、石油类、硫化物以及有机碳共 10项。样品的采集、贮存、运输及分析均按《海洋监测规范》（GB17378－2007）和《海洋调查规范》（GB12763-2007）执行。沉积物调查项目及测定方法、检出限见下表。监测报告见附件</w:t>
      </w:r>
      <w:r>
        <w:rPr>
          <w:rFonts w:hint="eastAsia"/>
          <w:color w:val="000000" w:themeColor="text1"/>
          <w:szCs w:val="22"/>
          <w14:textFill>
            <w14:solidFill>
              <w14:schemeClr w14:val="tx1"/>
            </w14:solidFill>
          </w14:textFill>
        </w:rPr>
        <w:t>6。</w:t>
      </w:r>
    </w:p>
    <w:p w14:paraId="58828E05">
      <w:pPr>
        <w:pStyle w:val="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沉积物调查项目及分析方法、检出限</w:t>
      </w:r>
    </w:p>
    <w:tbl>
      <w:tblPr>
        <w:tblStyle w:val="43"/>
        <w:tblW w:w="8779" w:type="dxa"/>
        <w:tblInd w:w="-5"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212"/>
        <w:gridCol w:w="1499"/>
        <w:gridCol w:w="4360"/>
        <w:gridCol w:w="1708"/>
      </w:tblGrid>
      <w:tr w14:paraId="1379334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5" w:hRule="atLeast"/>
        </w:trPr>
        <w:tc>
          <w:tcPr>
            <w:tcW w:w="1212" w:type="dxa"/>
            <w:vAlign w:val="center"/>
          </w:tcPr>
          <w:p w14:paraId="55AF086B">
            <w:pPr>
              <w:widowControl/>
              <w:adjustRightInd w:val="0"/>
              <w:snapToGrid w:val="0"/>
              <w:spacing w:line="0" w:lineRule="atLeast"/>
              <w:ind w:firstLine="0" w:firstLineChars="0"/>
              <w:jc w:val="center"/>
              <w:rPr>
                <w:rFonts w:eastAsiaTheme="minorEastAsia"/>
                <w:b/>
                <w:color w:val="000000" w:themeColor="text1"/>
                <w:sz w:val="21"/>
                <w:szCs w:val="21"/>
                <w:lang w:val="zh-CN" w:eastAsia="en-US" w:bidi="zh-CN"/>
                <w14:textFill>
                  <w14:solidFill>
                    <w14:schemeClr w14:val="tx1"/>
                  </w14:solidFill>
                </w14:textFill>
              </w:rPr>
            </w:pPr>
            <w:r>
              <w:rPr>
                <w:rFonts w:eastAsiaTheme="minorEastAsia"/>
                <w:b/>
                <w:color w:val="000000" w:themeColor="text1"/>
                <w:sz w:val="21"/>
                <w:szCs w:val="21"/>
                <w:lang w:val="zh-CN" w:eastAsia="en-US" w:bidi="zh-CN"/>
                <w14:textFill>
                  <w14:solidFill>
                    <w14:schemeClr w14:val="tx1"/>
                  </w14:solidFill>
                </w14:textFill>
              </w:rPr>
              <w:t>序号</w:t>
            </w:r>
          </w:p>
        </w:tc>
        <w:tc>
          <w:tcPr>
            <w:tcW w:w="1499" w:type="dxa"/>
            <w:vAlign w:val="center"/>
          </w:tcPr>
          <w:p w14:paraId="7ED6544F">
            <w:pPr>
              <w:widowControl/>
              <w:adjustRightInd w:val="0"/>
              <w:snapToGrid w:val="0"/>
              <w:spacing w:line="0" w:lineRule="atLeast"/>
              <w:ind w:firstLine="0" w:firstLineChars="0"/>
              <w:jc w:val="center"/>
              <w:rPr>
                <w:rFonts w:eastAsia="Times New Roman"/>
                <w:b/>
                <w:color w:val="000000" w:themeColor="text1"/>
                <w:sz w:val="21"/>
                <w:szCs w:val="21"/>
                <w:lang w:val="zh-CN" w:eastAsia="en-US" w:bidi="zh-CN"/>
                <w14:textFill>
                  <w14:solidFill>
                    <w14:schemeClr w14:val="tx1"/>
                  </w14:solidFill>
                </w14:textFill>
              </w:rPr>
            </w:pPr>
            <w:r>
              <w:rPr>
                <w:b/>
                <w:color w:val="000000" w:themeColor="text1"/>
                <w:sz w:val="21"/>
                <w:szCs w:val="21"/>
                <w:lang w:val="zh-CN" w:eastAsia="en-US" w:bidi="zh-CN"/>
                <w14:textFill>
                  <w14:solidFill>
                    <w14:schemeClr w14:val="tx1"/>
                  </w14:solidFill>
                </w14:textFill>
              </w:rPr>
              <w:t>项目</w:t>
            </w:r>
          </w:p>
        </w:tc>
        <w:tc>
          <w:tcPr>
            <w:tcW w:w="4360" w:type="dxa"/>
            <w:vAlign w:val="center"/>
          </w:tcPr>
          <w:p w14:paraId="37E0DE24">
            <w:pPr>
              <w:widowControl/>
              <w:adjustRightInd w:val="0"/>
              <w:snapToGrid w:val="0"/>
              <w:spacing w:line="0" w:lineRule="atLeast"/>
              <w:ind w:firstLine="0" w:firstLineChars="0"/>
              <w:jc w:val="center"/>
              <w:rPr>
                <w:rFonts w:eastAsia="Times New Roman"/>
                <w:b/>
                <w:color w:val="000000" w:themeColor="text1"/>
                <w:sz w:val="21"/>
                <w:szCs w:val="21"/>
                <w:lang w:val="zh-CN" w:eastAsia="en-US" w:bidi="zh-CN"/>
                <w14:textFill>
                  <w14:solidFill>
                    <w14:schemeClr w14:val="tx1"/>
                  </w14:solidFill>
                </w14:textFill>
              </w:rPr>
            </w:pPr>
            <w:r>
              <w:rPr>
                <w:b/>
                <w:color w:val="000000" w:themeColor="text1"/>
                <w:sz w:val="21"/>
                <w:szCs w:val="21"/>
                <w:lang w:val="zh-CN" w:eastAsia="en-US" w:bidi="zh-CN"/>
                <w14:textFill>
                  <w14:solidFill>
                    <w14:schemeClr w14:val="tx1"/>
                  </w14:solidFill>
                </w14:textFill>
              </w:rPr>
              <w:t>分析方法</w:t>
            </w:r>
          </w:p>
        </w:tc>
        <w:tc>
          <w:tcPr>
            <w:tcW w:w="1708" w:type="dxa"/>
            <w:vAlign w:val="center"/>
          </w:tcPr>
          <w:p w14:paraId="6A20F4C3">
            <w:pPr>
              <w:widowControl/>
              <w:adjustRightInd w:val="0"/>
              <w:snapToGrid w:val="0"/>
              <w:spacing w:line="0" w:lineRule="atLeast"/>
              <w:ind w:firstLine="0" w:firstLineChars="0"/>
              <w:jc w:val="center"/>
              <w:rPr>
                <w:rFonts w:eastAsia="Times New Roman"/>
                <w:b/>
                <w:color w:val="000000" w:themeColor="text1"/>
                <w:sz w:val="21"/>
                <w:szCs w:val="21"/>
                <w:lang w:val="zh-CN" w:eastAsia="en-US" w:bidi="zh-CN"/>
                <w14:textFill>
                  <w14:solidFill>
                    <w14:schemeClr w14:val="tx1"/>
                  </w14:solidFill>
                </w14:textFill>
              </w:rPr>
            </w:pPr>
            <w:r>
              <w:rPr>
                <w:b/>
                <w:color w:val="000000" w:themeColor="text1"/>
                <w:sz w:val="21"/>
                <w:szCs w:val="21"/>
                <w:lang w:val="zh-CN" w:eastAsia="en-US" w:bidi="zh-CN"/>
                <w14:textFill>
                  <w14:solidFill>
                    <w14:schemeClr w14:val="tx1"/>
                  </w14:solidFill>
                </w14:textFill>
              </w:rPr>
              <w:t>检出限</w:t>
            </w:r>
          </w:p>
        </w:tc>
      </w:tr>
      <w:tr w14:paraId="3730415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24" w:hRule="atLeast"/>
        </w:trPr>
        <w:tc>
          <w:tcPr>
            <w:tcW w:w="1212" w:type="dxa"/>
            <w:vAlign w:val="center"/>
          </w:tcPr>
          <w:p w14:paraId="32FE509B">
            <w:pPr>
              <w:widowControl/>
              <w:adjustRightInd w:val="0"/>
              <w:snapToGrid w:val="0"/>
              <w:spacing w:line="0" w:lineRule="atLeast"/>
              <w:ind w:firstLine="0" w:firstLineChars="0"/>
              <w:jc w:val="center"/>
              <w:rPr>
                <w:rFonts w:eastAsiaTheme="minorEastAsia"/>
                <w:color w:val="000000" w:themeColor="text1"/>
                <w:sz w:val="21"/>
                <w:szCs w:val="21"/>
                <w:lang w:val="zh-CN" w:eastAsia="en-US" w:bidi="zh-CN"/>
                <w14:textFill>
                  <w14:solidFill>
                    <w14:schemeClr w14:val="tx1"/>
                  </w14:solidFill>
                </w14:textFill>
              </w:rPr>
            </w:pPr>
            <w:r>
              <w:rPr>
                <w:rFonts w:eastAsiaTheme="minorEastAsia"/>
                <w:color w:val="000000" w:themeColor="text1"/>
                <w:sz w:val="21"/>
                <w:szCs w:val="21"/>
                <w:lang w:val="zh-CN" w:eastAsia="en-US" w:bidi="zh-CN"/>
                <w14:textFill>
                  <w14:solidFill>
                    <w14:schemeClr w14:val="tx1"/>
                  </w14:solidFill>
                </w14:textFill>
              </w:rPr>
              <w:t>1</w:t>
            </w:r>
          </w:p>
        </w:tc>
        <w:tc>
          <w:tcPr>
            <w:tcW w:w="1499" w:type="dxa"/>
            <w:vAlign w:val="center"/>
          </w:tcPr>
          <w:p w14:paraId="6483098A">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铜</w:t>
            </w:r>
          </w:p>
        </w:tc>
        <w:tc>
          <w:tcPr>
            <w:tcW w:w="4360" w:type="dxa"/>
            <w:vAlign w:val="center"/>
          </w:tcPr>
          <w:p w14:paraId="7333845B">
            <w:pPr>
              <w:widowControl/>
              <w:adjustRightInd w:val="0"/>
              <w:snapToGrid w:val="0"/>
              <w:spacing w:line="0" w:lineRule="atLeast"/>
              <w:ind w:firstLine="0" w:firstLineChars="0"/>
              <w:jc w:val="center"/>
              <w:rPr>
                <w:rFonts w:eastAsia="Times New Roman"/>
                <w:color w:val="000000" w:themeColor="text1"/>
                <w:sz w:val="21"/>
                <w:szCs w:val="21"/>
                <w:lang w:val="zh-CN" w:bidi="zh-CN"/>
                <w14:textFill>
                  <w14:solidFill>
                    <w14:schemeClr w14:val="tx1"/>
                  </w14:solidFill>
                </w14:textFill>
              </w:rPr>
            </w:pPr>
            <w:r>
              <w:rPr>
                <w:color w:val="000000" w:themeColor="text1"/>
                <w:sz w:val="21"/>
                <w:szCs w:val="21"/>
                <w:lang w:val="zh-CN" w:bidi="zh-CN"/>
                <w14:textFill>
                  <w14:solidFill>
                    <w14:schemeClr w14:val="tx1"/>
                  </w14:solidFill>
                </w14:textFill>
              </w:rPr>
              <w:t>火焰原子吸收分光光度法</w:t>
            </w:r>
          </w:p>
        </w:tc>
        <w:tc>
          <w:tcPr>
            <w:tcW w:w="1708" w:type="dxa"/>
            <w:vAlign w:val="center"/>
          </w:tcPr>
          <w:p w14:paraId="50185266">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rFonts w:eastAsia="Times New Roman"/>
                <w:color w:val="000000" w:themeColor="text1"/>
                <w:sz w:val="21"/>
                <w:szCs w:val="21"/>
                <w:lang w:val="zh-CN" w:eastAsia="en-US" w:bidi="zh-CN"/>
                <w14:textFill>
                  <w14:solidFill>
                    <w14:schemeClr w14:val="tx1"/>
                  </w14:solidFill>
                </w14:textFill>
              </w:rPr>
              <w:t>0.5×10</w:t>
            </w:r>
            <w:r>
              <w:rPr>
                <w:rFonts w:eastAsia="Times New Roman"/>
                <w:color w:val="000000" w:themeColor="text1"/>
                <w:sz w:val="21"/>
                <w:szCs w:val="21"/>
                <w:vertAlign w:val="superscript"/>
                <w:lang w:val="zh-CN" w:eastAsia="en-US" w:bidi="zh-CN"/>
                <w14:textFill>
                  <w14:solidFill>
                    <w14:schemeClr w14:val="tx1"/>
                  </w14:solidFill>
                </w14:textFill>
              </w:rPr>
              <w:t>-6</w:t>
            </w:r>
          </w:p>
        </w:tc>
      </w:tr>
      <w:tr w14:paraId="5E29A13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1" w:hRule="atLeast"/>
        </w:trPr>
        <w:tc>
          <w:tcPr>
            <w:tcW w:w="1212" w:type="dxa"/>
            <w:vAlign w:val="center"/>
          </w:tcPr>
          <w:p w14:paraId="1F48DED0">
            <w:pPr>
              <w:widowControl/>
              <w:adjustRightInd w:val="0"/>
              <w:snapToGrid w:val="0"/>
              <w:spacing w:line="0" w:lineRule="atLeast"/>
              <w:ind w:firstLine="0" w:firstLineChars="0"/>
              <w:jc w:val="center"/>
              <w:rPr>
                <w:rFonts w:eastAsiaTheme="minorEastAsia"/>
                <w:color w:val="000000" w:themeColor="text1"/>
                <w:sz w:val="21"/>
                <w:szCs w:val="21"/>
                <w:lang w:val="zh-CN" w:eastAsia="en-US" w:bidi="zh-CN"/>
                <w14:textFill>
                  <w14:solidFill>
                    <w14:schemeClr w14:val="tx1"/>
                  </w14:solidFill>
                </w14:textFill>
              </w:rPr>
            </w:pPr>
            <w:r>
              <w:rPr>
                <w:rFonts w:eastAsiaTheme="minorEastAsia"/>
                <w:color w:val="000000" w:themeColor="text1"/>
                <w:sz w:val="21"/>
                <w:szCs w:val="21"/>
                <w:lang w:val="zh-CN" w:eastAsia="en-US" w:bidi="zh-CN"/>
                <w14:textFill>
                  <w14:solidFill>
                    <w14:schemeClr w14:val="tx1"/>
                  </w14:solidFill>
                </w14:textFill>
              </w:rPr>
              <w:t>2</w:t>
            </w:r>
          </w:p>
        </w:tc>
        <w:tc>
          <w:tcPr>
            <w:tcW w:w="1499" w:type="dxa"/>
            <w:vAlign w:val="center"/>
          </w:tcPr>
          <w:p w14:paraId="0FE0E483">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铅</w:t>
            </w:r>
          </w:p>
        </w:tc>
        <w:tc>
          <w:tcPr>
            <w:tcW w:w="4360" w:type="dxa"/>
            <w:vAlign w:val="center"/>
          </w:tcPr>
          <w:p w14:paraId="570F1E0E">
            <w:pPr>
              <w:widowControl/>
              <w:adjustRightInd w:val="0"/>
              <w:snapToGrid w:val="0"/>
              <w:spacing w:line="0" w:lineRule="atLeast"/>
              <w:ind w:firstLine="0" w:firstLineChars="0"/>
              <w:jc w:val="center"/>
              <w:rPr>
                <w:rFonts w:eastAsia="Times New Roman"/>
                <w:color w:val="000000" w:themeColor="text1"/>
                <w:sz w:val="21"/>
                <w:szCs w:val="21"/>
                <w:lang w:val="zh-CN" w:bidi="zh-CN"/>
                <w14:textFill>
                  <w14:solidFill>
                    <w14:schemeClr w14:val="tx1"/>
                  </w14:solidFill>
                </w14:textFill>
              </w:rPr>
            </w:pPr>
            <w:r>
              <w:rPr>
                <w:color w:val="000000" w:themeColor="text1"/>
                <w:sz w:val="21"/>
                <w:szCs w:val="21"/>
                <w:lang w:val="zh-CN" w:bidi="zh-CN"/>
                <w14:textFill>
                  <w14:solidFill>
                    <w14:schemeClr w14:val="tx1"/>
                  </w14:solidFill>
                </w14:textFill>
              </w:rPr>
              <w:t>火焰原子吸收分光光度法</w:t>
            </w:r>
          </w:p>
        </w:tc>
        <w:tc>
          <w:tcPr>
            <w:tcW w:w="1708" w:type="dxa"/>
            <w:vAlign w:val="center"/>
          </w:tcPr>
          <w:p w14:paraId="5EB3AB97">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rFonts w:eastAsia="Times New Roman"/>
                <w:color w:val="000000" w:themeColor="text1"/>
                <w:sz w:val="21"/>
                <w:szCs w:val="21"/>
                <w:lang w:val="zh-CN" w:eastAsia="en-US" w:bidi="zh-CN"/>
                <w14:textFill>
                  <w14:solidFill>
                    <w14:schemeClr w14:val="tx1"/>
                  </w14:solidFill>
                </w14:textFill>
              </w:rPr>
              <w:t>1×10</w:t>
            </w:r>
            <w:r>
              <w:rPr>
                <w:rFonts w:eastAsia="Times New Roman"/>
                <w:color w:val="000000" w:themeColor="text1"/>
                <w:sz w:val="21"/>
                <w:szCs w:val="21"/>
                <w:vertAlign w:val="superscript"/>
                <w:lang w:val="zh-CN" w:eastAsia="en-US" w:bidi="zh-CN"/>
                <w14:textFill>
                  <w14:solidFill>
                    <w14:schemeClr w14:val="tx1"/>
                  </w14:solidFill>
                </w14:textFill>
              </w:rPr>
              <w:t>-6</w:t>
            </w:r>
          </w:p>
        </w:tc>
      </w:tr>
      <w:tr w14:paraId="4FF3A9F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6" w:hRule="atLeast"/>
        </w:trPr>
        <w:tc>
          <w:tcPr>
            <w:tcW w:w="1212" w:type="dxa"/>
            <w:vAlign w:val="center"/>
          </w:tcPr>
          <w:p w14:paraId="619C0E5E">
            <w:pPr>
              <w:widowControl/>
              <w:adjustRightInd w:val="0"/>
              <w:snapToGrid w:val="0"/>
              <w:spacing w:line="0" w:lineRule="atLeast"/>
              <w:ind w:firstLine="0" w:firstLineChars="0"/>
              <w:jc w:val="center"/>
              <w:rPr>
                <w:rFonts w:eastAsiaTheme="minorEastAsia"/>
                <w:color w:val="000000" w:themeColor="text1"/>
                <w:sz w:val="21"/>
                <w:szCs w:val="21"/>
                <w:lang w:val="zh-CN" w:eastAsia="en-US" w:bidi="zh-CN"/>
                <w14:textFill>
                  <w14:solidFill>
                    <w14:schemeClr w14:val="tx1"/>
                  </w14:solidFill>
                </w14:textFill>
              </w:rPr>
            </w:pPr>
            <w:r>
              <w:rPr>
                <w:rFonts w:eastAsiaTheme="minorEastAsia"/>
                <w:color w:val="000000" w:themeColor="text1"/>
                <w:sz w:val="21"/>
                <w:szCs w:val="21"/>
                <w:lang w:val="zh-CN" w:eastAsia="en-US" w:bidi="zh-CN"/>
                <w14:textFill>
                  <w14:solidFill>
                    <w14:schemeClr w14:val="tx1"/>
                  </w14:solidFill>
                </w14:textFill>
              </w:rPr>
              <w:t>3</w:t>
            </w:r>
          </w:p>
        </w:tc>
        <w:tc>
          <w:tcPr>
            <w:tcW w:w="1499" w:type="dxa"/>
            <w:vAlign w:val="center"/>
          </w:tcPr>
          <w:p w14:paraId="119CEED3">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锌</w:t>
            </w:r>
          </w:p>
        </w:tc>
        <w:tc>
          <w:tcPr>
            <w:tcW w:w="4360" w:type="dxa"/>
            <w:vAlign w:val="center"/>
          </w:tcPr>
          <w:p w14:paraId="6816451E">
            <w:pPr>
              <w:widowControl/>
              <w:adjustRightInd w:val="0"/>
              <w:snapToGrid w:val="0"/>
              <w:spacing w:line="0" w:lineRule="atLeast"/>
              <w:ind w:firstLine="0" w:firstLineChars="0"/>
              <w:jc w:val="center"/>
              <w:rPr>
                <w:rFonts w:eastAsia="Times New Roman"/>
                <w:color w:val="000000" w:themeColor="text1"/>
                <w:sz w:val="21"/>
                <w:szCs w:val="21"/>
                <w:lang w:val="zh-CN" w:bidi="zh-CN"/>
                <w14:textFill>
                  <w14:solidFill>
                    <w14:schemeClr w14:val="tx1"/>
                  </w14:solidFill>
                </w14:textFill>
              </w:rPr>
            </w:pPr>
            <w:r>
              <w:rPr>
                <w:color w:val="000000" w:themeColor="text1"/>
                <w:sz w:val="21"/>
                <w:szCs w:val="21"/>
                <w:lang w:val="zh-CN" w:bidi="zh-CN"/>
                <w14:textFill>
                  <w14:solidFill>
                    <w14:schemeClr w14:val="tx1"/>
                  </w14:solidFill>
                </w14:textFill>
              </w:rPr>
              <w:t>火焰原子吸收分光光度法</w:t>
            </w:r>
          </w:p>
        </w:tc>
        <w:tc>
          <w:tcPr>
            <w:tcW w:w="1708" w:type="dxa"/>
            <w:vAlign w:val="center"/>
          </w:tcPr>
          <w:p w14:paraId="38A99485">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rFonts w:eastAsia="Times New Roman"/>
                <w:color w:val="000000" w:themeColor="text1"/>
                <w:sz w:val="21"/>
                <w:szCs w:val="21"/>
                <w:lang w:val="zh-CN" w:eastAsia="en-US" w:bidi="zh-CN"/>
                <w14:textFill>
                  <w14:solidFill>
                    <w14:schemeClr w14:val="tx1"/>
                  </w14:solidFill>
                </w14:textFill>
              </w:rPr>
              <w:t>6×10</w:t>
            </w:r>
            <w:r>
              <w:rPr>
                <w:rFonts w:eastAsia="Times New Roman"/>
                <w:color w:val="000000" w:themeColor="text1"/>
                <w:sz w:val="21"/>
                <w:szCs w:val="21"/>
                <w:vertAlign w:val="superscript"/>
                <w:lang w:val="zh-CN" w:eastAsia="en-US" w:bidi="zh-CN"/>
                <w14:textFill>
                  <w14:solidFill>
                    <w14:schemeClr w14:val="tx1"/>
                  </w14:solidFill>
                </w14:textFill>
              </w:rPr>
              <w:t>-6</w:t>
            </w:r>
          </w:p>
        </w:tc>
      </w:tr>
      <w:tr w14:paraId="7ACDA30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7" w:hRule="atLeast"/>
        </w:trPr>
        <w:tc>
          <w:tcPr>
            <w:tcW w:w="1212" w:type="dxa"/>
            <w:vAlign w:val="center"/>
          </w:tcPr>
          <w:p w14:paraId="5E7B1AA8">
            <w:pPr>
              <w:widowControl/>
              <w:adjustRightInd w:val="0"/>
              <w:snapToGrid w:val="0"/>
              <w:spacing w:line="0" w:lineRule="atLeast"/>
              <w:ind w:firstLine="0" w:firstLineChars="0"/>
              <w:jc w:val="center"/>
              <w:rPr>
                <w:rFonts w:eastAsiaTheme="minorEastAsia"/>
                <w:color w:val="000000" w:themeColor="text1"/>
                <w:sz w:val="21"/>
                <w:szCs w:val="21"/>
                <w:lang w:val="zh-CN" w:eastAsia="en-US" w:bidi="zh-CN"/>
                <w14:textFill>
                  <w14:solidFill>
                    <w14:schemeClr w14:val="tx1"/>
                  </w14:solidFill>
                </w14:textFill>
              </w:rPr>
            </w:pPr>
            <w:r>
              <w:rPr>
                <w:rFonts w:eastAsiaTheme="minorEastAsia"/>
                <w:color w:val="000000" w:themeColor="text1"/>
                <w:sz w:val="21"/>
                <w:szCs w:val="21"/>
                <w:lang w:val="zh-CN" w:eastAsia="en-US" w:bidi="zh-CN"/>
                <w14:textFill>
                  <w14:solidFill>
                    <w14:schemeClr w14:val="tx1"/>
                  </w14:solidFill>
                </w14:textFill>
              </w:rPr>
              <w:t>4</w:t>
            </w:r>
          </w:p>
        </w:tc>
        <w:tc>
          <w:tcPr>
            <w:tcW w:w="1499" w:type="dxa"/>
            <w:vAlign w:val="center"/>
          </w:tcPr>
          <w:p w14:paraId="244D783F">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镉</w:t>
            </w:r>
          </w:p>
        </w:tc>
        <w:tc>
          <w:tcPr>
            <w:tcW w:w="4360" w:type="dxa"/>
            <w:vAlign w:val="center"/>
          </w:tcPr>
          <w:p w14:paraId="0E530EC5">
            <w:pPr>
              <w:widowControl/>
              <w:adjustRightInd w:val="0"/>
              <w:snapToGrid w:val="0"/>
              <w:spacing w:line="0" w:lineRule="atLeast"/>
              <w:ind w:firstLine="0" w:firstLineChars="0"/>
              <w:jc w:val="center"/>
              <w:rPr>
                <w:rFonts w:eastAsia="Times New Roman"/>
                <w:color w:val="000000" w:themeColor="text1"/>
                <w:sz w:val="21"/>
                <w:szCs w:val="21"/>
                <w:lang w:val="zh-CN" w:bidi="zh-CN"/>
                <w14:textFill>
                  <w14:solidFill>
                    <w14:schemeClr w14:val="tx1"/>
                  </w14:solidFill>
                </w14:textFill>
              </w:rPr>
            </w:pPr>
            <w:r>
              <w:rPr>
                <w:color w:val="000000" w:themeColor="text1"/>
                <w:sz w:val="21"/>
                <w:szCs w:val="21"/>
                <w:lang w:val="zh-CN" w:bidi="zh-CN"/>
                <w14:textFill>
                  <w14:solidFill>
                    <w14:schemeClr w14:val="tx1"/>
                  </w14:solidFill>
                </w14:textFill>
              </w:rPr>
              <w:t>火焰原子吸收分光光度法</w:t>
            </w:r>
          </w:p>
        </w:tc>
        <w:tc>
          <w:tcPr>
            <w:tcW w:w="1708" w:type="dxa"/>
            <w:vAlign w:val="center"/>
          </w:tcPr>
          <w:p w14:paraId="2B28DFA1">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rFonts w:eastAsia="Times New Roman"/>
                <w:color w:val="000000" w:themeColor="text1"/>
                <w:sz w:val="21"/>
                <w:szCs w:val="21"/>
                <w:lang w:val="zh-CN" w:eastAsia="en-US" w:bidi="zh-CN"/>
                <w14:textFill>
                  <w14:solidFill>
                    <w14:schemeClr w14:val="tx1"/>
                  </w14:solidFill>
                </w14:textFill>
              </w:rPr>
              <w:t>0.04×10</w:t>
            </w:r>
            <w:r>
              <w:rPr>
                <w:rFonts w:eastAsia="Times New Roman"/>
                <w:color w:val="000000" w:themeColor="text1"/>
                <w:sz w:val="21"/>
                <w:szCs w:val="21"/>
                <w:vertAlign w:val="superscript"/>
                <w:lang w:val="zh-CN" w:eastAsia="en-US" w:bidi="zh-CN"/>
                <w14:textFill>
                  <w14:solidFill>
                    <w14:schemeClr w14:val="tx1"/>
                  </w14:solidFill>
                </w14:textFill>
              </w:rPr>
              <w:t>-6</w:t>
            </w:r>
          </w:p>
        </w:tc>
      </w:tr>
      <w:tr w14:paraId="43C5527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0" w:hRule="atLeast"/>
        </w:trPr>
        <w:tc>
          <w:tcPr>
            <w:tcW w:w="1212" w:type="dxa"/>
            <w:vAlign w:val="center"/>
          </w:tcPr>
          <w:p w14:paraId="680C6874">
            <w:pPr>
              <w:widowControl/>
              <w:adjustRightInd w:val="0"/>
              <w:snapToGrid w:val="0"/>
              <w:spacing w:line="0" w:lineRule="atLeast"/>
              <w:ind w:firstLine="0" w:firstLineChars="0"/>
              <w:jc w:val="center"/>
              <w:rPr>
                <w:rFonts w:eastAsiaTheme="minorEastAsia"/>
                <w:color w:val="000000" w:themeColor="text1"/>
                <w:sz w:val="21"/>
                <w:szCs w:val="21"/>
                <w:lang w:val="zh-CN" w:eastAsia="en-US" w:bidi="zh-CN"/>
                <w14:textFill>
                  <w14:solidFill>
                    <w14:schemeClr w14:val="tx1"/>
                  </w14:solidFill>
                </w14:textFill>
              </w:rPr>
            </w:pPr>
            <w:r>
              <w:rPr>
                <w:rFonts w:eastAsiaTheme="minorEastAsia"/>
                <w:color w:val="000000" w:themeColor="text1"/>
                <w:sz w:val="21"/>
                <w:szCs w:val="21"/>
                <w:lang w:val="zh-CN" w:eastAsia="en-US" w:bidi="zh-CN"/>
                <w14:textFill>
                  <w14:solidFill>
                    <w14:schemeClr w14:val="tx1"/>
                  </w14:solidFill>
                </w14:textFill>
              </w:rPr>
              <w:t>5</w:t>
            </w:r>
          </w:p>
        </w:tc>
        <w:tc>
          <w:tcPr>
            <w:tcW w:w="1499" w:type="dxa"/>
            <w:vAlign w:val="center"/>
          </w:tcPr>
          <w:p w14:paraId="327912B9">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铬</w:t>
            </w:r>
          </w:p>
        </w:tc>
        <w:tc>
          <w:tcPr>
            <w:tcW w:w="4360" w:type="dxa"/>
            <w:vAlign w:val="center"/>
          </w:tcPr>
          <w:p w14:paraId="600160DA">
            <w:pPr>
              <w:widowControl/>
              <w:adjustRightInd w:val="0"/>
              <w:snapToGrid w:val="0"/>
              <w:spacing w:line="0" w:lineRule="atLeast"/>
              <w:ind w:firstLine="0" w:firstLineChars="0"/>
              <w:jc w:val="center"/>
              <w:rPr>
                <w:rFonts w:eastAsia="Times New Roman"/>
                <w:color w:val="000000" w:themeColor="text1"/>
                <w:sz w:val="21"/>
                <w:szCs w:val="21"/>
                <w:lang w:val="zh-CN" w:bidi="zh-CN"/>
                <w14:textFill>
                  <w14:solidFill>
                    <w14:schemeClr w14:val="tx1"/>
                  </w14:solidFill>
                </w14:textFill>
              </w:rPr>
            </w:pPr>
            <w:r>
              <w:rPr>
                <w:color w:val="000000" w:themeColor="text1"/>
                <w:sz w:val="21"/>
                <w:szCs w:val="21"/>
                <w14:textFill>
                  <w14:solidFill>
                    <w14:schemeClr w14:val="tx1"/>
                  </w14:solidFill>
                </w14:textFill>
              </w:rPr>
              <w:t>二苯碳酰二肼分光光度法</w:t>
            </w:r>
          </w:p>
        </w:tc>
        <w:tc>
          <w:tcPr>
            <w:tcW w:w="1708" w:type="dxa"/>
            <w:vAlign w:val="center"/>
          </w:tcPr>
          <w:p w14:paraId="464C23F7">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rFonts w:eastAsia="Times New Roman"/>
                <w:color w:val="000000" w:themeColor="text1"/>
                <w:sz w:val="21"/>
                <w:szCs w:val="21"/>
                <w:lang w:val="zh-CN" w:eastAsia="en-US" w:bidi="zh-CN"/>
                <w14:textFill>
                  <w14:solidFill>
                    <w14:schemeClr w14:val="tx1"/>
                  </w14:solidFill>
                </w14:textFill>
              </w:rPr>
              <w:t>2×10</w:t>
            </w:r>
            <w:r>
              <w:rPr>
                <w:rFonts w:eastAsia="Times New Roman"/>
                <w:color w:val="000000" w:themeColor="text1"/>
                <w:sz w:val="21"/>
                <w:szCs w:val="21"/>
                <w:vertAlign w:val="superscript"/>
                <w:lang w:val="zh-CN" w:eastAsia="en-US" w:bidi="zh-CN"/>
                <w14:textFill>
                  <w14:solidFill>
                    <w14:schemeClr w14:val="tx1"/>
                  </w14:solidFill>
                </w14:textFill>
              </w:rPr>
              <w:t>-6</w:t>
            </w:r>
          </w:p>
        </w:tc>
      </w:tr>
      <w:tr w14:paraId="731DE44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5" w:hRule="atLeast"/>
        </w:trPr>
        <w:tc>
          <w:tcPr>
            <w:tcW w:w="1212" w:type="dxa"/>
            <w:vAlign w:val="center"/>
          </w:tcPr>
          <w:p w14:paraId="6D2A21EE">
            <w:pPr>
              <w:widowControl/>
              <w:adjustRightInd w:val="0"/>
              <w:snapToGrid w:val="0"/>
              <w:spacing w:line="0" w:lineRule="atLeast"/>
              <w:ind w:firstLine="0" w:firstLineChars="0"/>
              <w:jc w:val="center"/>
              <w:rPr>
                <w:rFonts w:eastAsiaTheme="minorEastAsia"/>
                <w:color w:val="000000" w:themeColor="text1"/>
                <w:sz w:val="21"/>
                <w:szCs w:val="21"/>
                <w:lang w:val="zh-CN" w:eastAsia="en-US" w:bidi="zh-CN"/>
                <w14:textFill>
                  <w14:solidFill>
                    <w14:schemeClr w14:val="tx1"/>
                  </w14:solidFill>
                </w14:textFill>
              </w:rPr>
            </w:pPr>
            <w:r>
              <w:rPr>
                <w:rFonts w:eastAsiaTheme="minorEastAsia"/>
                <w:color w:val="000000" w:themeColor="text1"/>
                <w:sz w:val="21"/>
                <w:szCs w:val="21"/>
                <w:lang w:val="zh-CN" w:eastAsia="en-US" w:bidi="zh-CN"/>
                <w14:textFill>
                  <w14:solidFill>
                    <w14:schemeClr w14:val="tx1"/>
                  </w14:solidFill>
                </w14:textFill>
              </w:rPr>
              <w:t>6</w:t>
            </w:r>
          </w:p>
        </w:tc>
        <w:tc>
          <w:tcPr>
            <w:tcW w:w="1499" w:type="dxa"/>
            <w:vAlign w:val="center"/>
          </w:tcPr>
          <w:p w14:paraId="71EA496C">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汞</w:t>
            </w:r>
          </w:p>
        </w:tc>
        <w:tc>
          <w:tcPr>
            <w:tcW w:w="4360" w:type="dxa"/>
            <w:vAlign w:val="center"/>
          </w:tcPr>
          <w:p w14:paraId="16E0B3BA">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原子荧光法</w:t>
            </w:r>
          </w:p>
        </w:tc>
        <w:tc>
          <w:tcPr>
            <w:tcW w:w="1708" w:type="dxa"/>
            <w:vAlign w:val="center"/>
          </w:tcPr>
          <w:p w14:paraId="4319ABAC">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rFonts w:eastAsia="Times New Roman"/>
                <w:color w:val="000000" w:themeColor="text1"/>
                <w:sz w:val="21"/>
                <w:szCs w:val="21"/>
                <w:lang w:val="zh-CN" w:eastAsia="en-US" w:bidi="zh-CN"/>
                <w14:textFill>
                  <w14:solidFill>
                    <w14:schemeClr w14:val="tx1"/>
                  </w14:solidFill>
                </w14:textFill>
              </w:rPr>
              <w:t>0.002×10</w:t>
            </w:r>
            <w:r>
              <w:rPr>
                <w:rFonts w:eastAsia="Times New Roman"/>
                <w:color w:val="000000" w:themeColor="text1"/>
                <w:sz w:val="21"/>
                <w:szCs w:val="21"/>
                <w:vertAlign w:val="superscript"/>
                <w:lang w:val="zh-CN" w:eastAsia="en-US" w:bidi="zh-CN"/>
                <w14:textFill>
                  <w14:solidFill>
                    <w14:schemeClr w14:val="tx1"/>
                  </w14:solidFill>
                </w14:textFill>
              </w:rPr>
              <w:t>-6</w:t>
            </w:r>
          </w:p>
        </w:tc>
      </w:tr>
      <w:tr w14:paraId="33C61A8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5" w:hRule="atLeast"/>
        </w:trPr>
        <w:tc>
          <w:tcPr>
            <w:tcW w:w="1212" w:type="dxa"/>
            <w:vAlign w:val="center"/>
          </w:tcPr>
          <w:p w14:paraId="5E7A4D34">
            <w:pPr>
              <w:widowControl/>
              <w:adjustRightInd w:val="0"/>
              <w:snapToGrid w:val="0"/>
              <w:spacing w:line="0" w:lineRule="atLeast"/>
              <w:ind w:firstLine="0" w:firstLineChars="0"/>
              <w:jc w:val="center"/>
              <w:rPr>
                <w:rFonts w:eastAsiaTheme="minorEastAsia"/>
                <w:color w:val="000000" w:themeColor="text1"/>
                <w:sz w:val="21"/>
                <w:szCs w:val="21"/>
                <w:lang w:val="zh-CN" w:eastAsia="en-US" w:bidi="zh-CN"/>
                <w14:textFill>
                  <w14:solidFill>
                    <w14:schemeClr w14:val="tx1"/>
                  </w14:solidFill>
                </w14:textFill>
              </w:rPr>
            </w:pPr>
            <w:r>
              <w:rPr>
                <w:rFonts w:eastAsiaTheme="minorEastAsia"/>
                <w:color w:val="000000" w:themeColor="text1"/>
                <w:sz w:val="21"/>
                <w:szCs w:val="21"/>
                <w:lang w:val="zh-CN" w:eastAsia="en-US" w:bidi="zh-CN"/>
                <w14:textFill>
                  <w14:solidFill>
                    <w14:schemeClr w14:val="tx1"/>
                  </w14:solidFill>
                </w14:textFill>
              </w:rPr>
              <w:t>7</w:t>
            </w:r>
          </w:p>
        </w:tc>
        <w:tc>
          <w:tcPr>
            <w:tcW w:w="1499" w:type="dxa"/>
            <w:vAlign w:val="center"/>
          </w:tcPr>
          <w:p w14:paraId="22FAF8BC">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砷</w:t>
            </w:r>
          </w:p>
        </w:tc>
        <w:tc>
          <w:tcPr>
            <w:tcW w:w="4360" w:type="dxa"/>
            <w:vAlign w:val="center"/>
          </w:tcPr>
          <w:p w14:paraId="13FCE385">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原子荧光法</w:t>
            </w:r>
          </w:p>
        </w:tc>
        <w:tc>
          <w:tcPr>
            <w:tcW w:w="1708" w:type="dxa"/>
            <w:vAlign w:val="center"/>
          </w:tcPr>
          <w:p w14:paraId="1A511947">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rFonts w:eastAsia="Times New Roman"/>
                <w:color w:val="000000" w:themeColor="text1"/>
                <w:sz w:val="21"/>
                <w:szCs w:val="21"/>
                <w:lang w:val="zh-CN" w:eastAsia="en-US" w:bidi="zh-CN"/>
                <w14:textFill>
                  <w14:solidFill>
                    <w14:schemeClr w14:val="tx1"/>
                  </w14:solidFill>
                </w14:textFill>
              </w:rPr>
              <w:t>0.06×10</w:t>
            </w:r>
            <w:r>
              <w:rPr>
                <w:rFonts w:eastAsia="Times New Roman"/>
                <w:color w:val="000000" w:themeColor="text1"/>
                <w:sz w:val="21"/>
                <w:szCs w:val="21"/>
                <w:vertAlign w:val="superscript"/>
                <w:lang w:val="zh-CN" w:eastAsia="en-US" w:bidi="zh-CN"/>
                <w14:textFill>
                  <w14:solidFill>
                    <w14:schemeClr w14:val="tx1"/>
                  </w14:solidFill>
                </w14:textFill>
              </w:rPr>
              <w:t>-6</w:t>
            </w:r>
          </w:p>
        </w:tc>
      </w:tr>
      <w:tr w14:paraId="57E51CA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9" w:hRule="atLeast"/>
        </w:trPr>
        <w:tc>
          <w:tcPr>
            <w:tcW w:w="1212" w:type="dxa"/>
            <w:vAlign w:val="center"/>
          </w:tcPr>
          <w:p w14:paraId="7FD2750F">
            <w:pPr>
              <w:widowControl/>
              <w:adjustRightInd w:val="0"/>
              <w:snapToGrid w:val="0"/>
              <w:spacing w:line="0" w:lineRule="atLeast"/>
              <w:ind w:firstLine="0" w:firstLineChars="0"/>
              <w:jc w:val="center"/>
              <w:rPr>
                <w:rFonts w:eastAsiaTheme="minorEastAsia"/>
                <w:color w:val="000000" w:themeColor="text1"/>
                <w:sz w:val="21"/>
                <w:szCs w:val="21"/>
                <w:lang w:val="zh-CN" w:eastAsia="en-US" w:bidi="zh-CN"/>
                <w14:textFill>
                  <w14:solidFill>
                    <w14:schemeClr w14:val="tx1"/>
                  </w14:solidFill>
                </w14:textFill>
              </w:rPr>
            </w:pPr>
            <w:r>
              <w:rPr>
                <w:rFonts w:eastAsiaTheme="minorEastAsia"/>
                <w:color w:val="000000" w:themeColor="text1"/>
                <w:sz w:val="21"/>
                <w:szCs w:val="21"/>
                <w:lang w:val="zh-CN" w:eastAsia="en-US" w:bidi="zh-CN"/>
                <w14:textFill>
                  <w14:solidFill>
                    <w14:schemeClr w14:val="tx1"/>
                  </w14:solidFill>
                </w14:textFill>
              </w:rPr>
              <w:t>8</w:t>
            </w:r>
          </w:p>
        </w:tc>
        <w:tc>
          <w:tcPr>
            <w:tcW w:w="1499" w:type="dxa"/>
            <w:vAlign w:val="center"/>
          </w:tcPr>
          <w:p w14:paraId="386E9A08">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石油类</w:t>
            </w:r>
          </w:p>
        </w:tc>
        <w:tc>
          <w:tcPr>
            <w:tcW w:w="4360" w:type="dxa"/>
            <w:vAlign w:val="center"/>
          </w:tcPr>
          <w:p w14:paraId="500E7EAB">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紫外分光光度法</w:t>
            </w:r>
          </w:p>
        </w:tc>
        <w:tc>
          <w:tcPr>
            <w:tcW w:w="1708" w:type="dxa"/>
            <w:vAlign w:val="center"/>
          </w:tcPr>
          <w:p w14:paraId="6FDCADDC">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rFonts w:eastAsia="Times New Roman"/>
                <w:color w:val="000000" w:themeColor="text1"/>
                <w:sz w:val="21"/>
                <w:szCs w:val="21"/>
                <w:lang w:val="zh-CN" w:eastAsia="en-US" w:bidi="zh-CN"/>
                <w14:textFill>
                  <w14:solidFill>
                    <w14:schemeClr w14:val="tx1"/>
                  </w14:solidFill>
                </w14:textFill>
              </w:rPr>
              <w:t>3×10</w:t>
            </w:r>
            <w:r>
              <w:rPr>
                <w:rFonts w:eastAsia="Times New Roman"/>
                <w:color w:val="000000" w:themeColor="text1"/>
                <w:sz w:val="21"/>
                <w:szCs w:val="21"/>
                <w:vertAlign w:val="superscript"/>
                <w:lang w:val="zh-CN" w:eastAsia="en-US" w:bidi="zh-CN"/>
                <w14:textFill>
                  <w14:solidFill>
                    <w14:schemeClr w14:val="tx1"/>
                  </w14:solidFill>
                </w14:textFill>
              </w:rPr>
              <w:t>-6</w:t>
            </w:r>
          </w:p>
        </w:tc>
      </w:tr>
      <w:tr w14:paraId="1FFBF4C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7" w:hRule="atLeast"/>
        </w:trPr>
        <w:tc>
          <w:tcPr>
            <w:tcW w:w="1212" w:type="dxa"/>
            <w:vAlign w:val="center"/>
          </w:tcPr>
          <w:p w14:paraId="40920372">
            <w:pPr>
              <w:widowControl/>
              <w:adjustRightInd w:val="0"/>
              <w:snapToGrid w:val="0"/>
              <w:spacing w:line="0" w:lineRule="atLeast"/>
              <w:ind w:firstLine="0" w:firstLineChars="0"/>
              <w:jc w:val="center"/>
              <w:rPr>
                <w:rFonts w:eastAsiaTheme="minorEastAsia"/>
                <w:color w:val="000000" w:themeColor="text1"/>
                <w:sz w:val="21"/>
                <w:szCs w:val="21"/>
                <w:lang w:val="zh-CN" w:eastAsia="en-US" w:bidi="zh-CN"/>
                <w14:textFill>
                  <w14:solidFill>
                    <w14:schemeClr w14:val="tx1"/>
                  </w14:solidFill>
                </w14:textFill>
              </w:rPr>
            </w:pPr>
            <w:r>
              <w:rPr>
                <w:rFonts w:eastAsiaTheme="minorEastAsia"/>
                <w:color w:val="000000" w:themeColor="text1"/>
                <w:sz w:val="21"/>
                <w:szCs w:val="21"/>
                <w:lang w:val="zh-CN" w:eastAsia="en-US" w:bidi="zh-CN"/>
                <w14:textFill>
                  <w14:solidFill>
                    <w14:schemeClr w14:val="tx1"/>
                  </w14:solidFill>
                </w14:textFill>
              </w:rPr>
              <w:t>9</w:t>
            </w:r>
          </w:p>
        </w:tc>
        <w:tc>
          <w:tcPr>
            <w:tcW w:w="1499" w:type="dxa"/>
            <w:vAlign w:val="center"/>
          </w:tcPr>
          <w:p w14:paraId="6D24F099">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有机碳</w:t>
            </w:r>
          </w:p>
        </w:tc>
        <w:tc>
          <w:tcPr>
            <w:tcW w:w="4360" w:type="dxa"/>
            <w:vAlign w:val="center"/>
          </w:tcPr>
          <w:p w14:paraId="25425093">
            <w:pPr>
              <w:widowControl/>
              <w:adjustRightInd w:val="0"/>
              <w:snapToGrid w:val="0"/>
              <w:spacing w:line="0" w:lineRule="atLeast"/>
              <w:ind w:firstLine="0" w:firstLineChars="0"/>
              <w:jc w:val="center"/>
              <w:rPr>
                <w:rFonts w:eastAsia="Times New Roman"/>
                <w:color w:val="000000" w:themeColor="text1"/>
                <w:sz w:val="21"/>
                <w:szCs w:val="21"/>
                <w:lang w:val="zh-CN" w:bidi="zh-CN"/>
                <w14:textFill>
                  <w14:solidFill>
                    <w14:schemeClr w14:val="tx1"/>
                  </w14:solidFill>
                </w14:textFill>
              </w:rPr>
            </w:pPr>
            <w:r>
              <w:rPr>
                <w:color w:val="000000" w:themeColor="text1"/>
                <w:sz w:val="21"/>
                <w:szCs w:val="21"/>
                <w:lang w:val="zh-CN" w:bidi="zh-CN"/>
                <w14:textFill>
                  <w14:solidFill>
                    <w14:schemeClr w14:val="tx1"/>
                  </w14:solidFill>
                </w14:textFill>
              </w:rPr>
              <w:t>重铬酸钾氧化－还原容量法</w:t>
            </w:r>
          </w:p>
        </w:tc>
        <w:tc>
          <w:tcPr>
            <w:tcW w:w="1708" w:type="dxa"/>
            <w:vAlign w:val="center"/>
          </w:tcPr>
          <w:p w14:paraId="265E6812">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rFonts w:eastAsia="Times New Roman"/>
                <w:color w:val="000000" w:themeColor="text1"/>
                <w:sz w:val="21"/>
                <w:szCs w:val="21"/>
                <w:lang w:val="zh-CN" w:eastAsia="en-US" w:bidi="zh-CN"/>
                <w14:textFill>
                  <w14:solidFill>
                    <w14:schemeClr w14:val="tx1"/>
                  </w14:solidFill>
                </w14:textFill>
              </w:rPr>
              <w:t>0.03×10</w:t>
            </w:r>
            <w:r>
              <w:rPr>
                <w:rFonts w:eastAsia="Times New Roman"/>
                <w:color w:val="000000" w:themeColor="text1"/>
                <w:sz w:val="21"/>
                <w:szCs w:val="21"/>
                <w:vertAlign w:val="superscript"/>
                <w:lang w:val="zh-CN" w:eastAsia="en-US" w:bidi="zh-CN"/>
                <w14:textFill>
                  <w14:solidFill>
                    <w14:schemeClr w14:val="tx1"/>
                  </w14:solidFill>
                </w14:textFill>
              </w:rPr>
              <w:t>-2</w:t>
            </w:r>
          </w:p>
        </w:tc>
      </w:tr>
      <w:tr w14:paraId="69EE9BB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7" w:hRule="atLeast"/>
        </w:trPr>
        <w:tc>
          <w:tcPr>
            <w:tcW w:w="1212" w:type="dxa"/>
            <w:vAlign w:val="center"/>
          </w:tcPr>
          <w:p w14:paraId="2200A106">
            <w:pPr>
              <w:widowControl/>
              <w:adjustRightInd w:val="0"/>
              <w:snapToGrid w:val="0"/>
              <w:spacing w:line="0" w:lineRule="atLeast"/>
              <w:ind w:firstLine="0" w:firstLineChars="0"/>
              <w:jc w:val="center"/>
              <w:rPr>
                <w:rFonts w:eastAsiaTheme="minorEastAsia"/>
                <w:color w:val="000000" w:themeColor="text1"/>
                <w:sz w:val="21"/>
                <w:szCs w:val="21"/>
                <w:lang w:val="zh-CN" w:eastAsia="en-US" w:bidi="zh-CN"/>
                <w14:textFill>
                  <w14:solidFill>
                    <w14:schemeClr w14:val="tx1"/>
                  </w14:solidFill>
                </w14:textFill>
              </w:rPr>
            </w:pPr>
            <w:r>
              <w:rPr>
                <w:rFonts w:eastAsiaTheme="minorEastAsia"/>
                <w:color w:val="000000" w:themeColor="text1"/>
                <w:sz w:val="21"/>
                <w:szCs w:val="21"/>
                <w:lang w:val="zh-CN" w:eastAsia="en-US" w:bidi="zh-CN"/>
                <w14:textFill>
                  <w14:solidFill>
                    <w14:schemeClr w14:val="tx1"/>
                  </w14:solidFill>
                </w14:textFill>
              </w:rPr>
              <w:t>10</w:t>
            </w:r>
          </w:p>
        </w:tc>
        <w:tc>
          <w:tcPr>
            <w:tcW w:w="1499" w:type="dxa"/>
            <w:vAlign w:val="center"/>
          </w:tcPr>
          <w:p w14:paraId="3C4540FE">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硫化物</w:t>
            </w:r>
          </w:p>
        </w:tc>
        <w:tc>
          <w:tcPr>
            <w:tcW w:w="4360" w:type="dxa"/>
            <w:vAlign w:val="center"/>
          </w:tcPr>
          <w:p w14:paraId="3BB514B0">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亚甲基蓝分光光度法</w:t>
            </w:r>
          </w:p>
        </w:tc>
        <w:tc>
          <w:tcPr>
            <w:tcW w:w="1708" w:type="dxa"/>
            <w:vAlign w:val="center"/>
          </w:tcPr>
          <w:p w14:paraId="0F5AC92E">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rFonts w:eastAsia="Times New Roman"/>
                <w:color w:val="000000" w:themeColor="text1"/>
                <w:sz w:val="21"/>
                <w:szCs w:val="21"/>
                <w:lang w:val="zh-CN" w:eastAsia="en-US" w:bidi="zh-CN"/>
                <w14:textFill>
                  <w14:solidFill>
                    <w14:schemeClr w14:val="tx1"/>
                  </w14:solidFill>
                </w14:textFill>
              </w:rPr>
              <w:t>0.3×10</w:t>
            </w:r>
            <w:r>
              <w:rPr>
                <w:rFonts w:eastAsia="Times New Roman"/>
                <w:color w:val="000000" w:themeColor="text1"/>
                <w:sz w:val="21"/>
                <w:szCs w:val="21"/>
                <w:vertAlign w:val="superscript"/>
                <w:lang w:val="zh-CN" w:eastAsia="en-US" w:bidi="zh-CN"/>
                <w14:textFill>
                  <w14:solidFill>
                    <w14:schemeClr w14:val="tx1"/>
                  </w14:solidFill>
                </w14:textFill>
              </w:rPr>
              <w:t>-6</w:t>
            </w:r>
          </w:p>
        </w:tc>
      </w:tr>
    </w:tbl>
    <w:p w14:paraId="530A0864">
      <w:pPr>
        <w:ind w:firstLine="480"/>
        <w:rPr>
          <w:color w:val="000000" w:themeColor="text1"/>
          <w:lang w:val="zh-CN" w:bidi="zh-CN"/>
          <w14:textFill>
            <w14:solidFill>
              <w14:schemeClr w14:val="tx1"/>
            </w14:solidFill>
          </w14:textFill>
        </w:rPr>
      </w:pPr>
      <w:bookmarkStart w:id="635" w:name="8.3.2.2沉积物质量现状调查结果"/>
      <w:bookmarkEnd w:id="635"/>
      <w:r>
        <w:rPr>
          <w:color w:val="000000" w:themeColor="text1"/>
          <w:lang w:val="zh-CN" w:bidi="zh-CN"/>
          <w14:textFill>
            <w14:solidFill>
              <w14:schemeClr w14:val="tx1"/>
            </w14:solidFill>
          </w14:textFill>
        </w:rPr>
        <w:t>2、评价方法和标准</w:t>
      </w:r>
    </w:p>
    <w:p w14:paraId="679097A4">
      <w:pPr>
        <w:pStyle w:val="74"/>
        <w:rPr>
          <w:color w:val="000000" w:themeColor="text1"/>
          <w14:textFill>
            <w14:solidFill>
              <w14:schemeClr w14:val="tx1"/>
            </w14:solidFill>
          </w14:textFill>
        </w:rPr>
      </w:pPr>
      <w:r>
        <w:rPr>
          <w:color w:val="000000" w:themeColor="text1"/>
          <w:szCs w:val="22"/>
          <w:lang w:val="zh-CN" w:bidi="zh-CN"/>
          <w14:textFill>
            <w14:solidFill>
              <w14:schemeClr w14:val="tx1"/>
            </w14:solidFill>
          </w14:textFill>
        </w:rPr>
        <w:t>评价方法为单项指数超标分类法。</w:t>
      </w:r>
      <w:r>
        <w:rPr>
          <w:rFonts w:hint="eastAsia"/>
          <w:color w:val="000000" w:themeColor="text1"/>
          <w14:textFill>
            <w14:solidFill>
              <w14:schemeClr w14:val="tx1"/>
            </w14:solidFill>
          </w14:textFill>
        </w:rPr>
        <w:t>根据《广西壮族自治区海洋功能区划》（2011-2020），S1、S2、S3点位位于港口航运区，执行《海洋沉积物质量》（GB18668-2002）第三类标准；S4点位位于农渔业区，S5点位位于茅尾海红树林自然保护区（七十二泾片区），执行《海洋沉积物质量》（GB18668-2002）第一类标准。</w:t>
      </w:r>
      <w:r>
        <w:rPr>
          <w:color w:val="000000" w:themeColor="text1"/>
          <w14:textFill>
            <w14:solidFill>
              <w14:schemeClr w14:val="tx1"/>
            </w14:solidFill>
          </w14:textFill>
        </w:rPr>
        <w:t>详见表3.7-</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w:t>
      </w:r>
    </w:p>
    <w:p w14:paraId="525073E7">
      <w:pPr>
        <w:pStyle w:val="74"/>
        <w:rPr>
          <w:color w:val="000000" w:themeColor="text1"/>
          <w:lang w:val="zh-CN" w:bidi="zh-CN"/>
          <w14:textFill>
            <w14:solidFill>
              <w14:schemeClr w14:val="tx1"/>
            </w14:solidFill>
          </w14:textFill>
        </w:rPr>
      </w:pPr>
      <w:r>
        <w:rPr>
          <w:color w:val="000000" w:themeColor="text1"/>
          <w:lang w:val="zh-CN" w:bidi="zh-CN"/>
          <w14:textFill>
            <w14:solidFill>
              <w14:schemeClr w14:val="tx1"/>
            </w14:solidFill>
          </w14:textFill>
        </w:rPr>
        <w:t>3、沉积物质量现状调查结果</w:t>
      </w:r>
    </w:p>
    <w:p w14:paraId="66BE2C46">
      <w:pPr>
        <w:pStyle w:val="74"/>
        <w:rPr>
          <w:color w:val="000000" w:themeColor="text1"/>
          <w:szCs w:val="22"/>
          <w:lang w:val="zh-CN" w:bidi="zh-CN"/>
          <w14:textFill>
            <w14:solidFill>
              <w14:schemeClr w14:val="tx1"/>
            </w14:solidFill>
          </w14:textFill>
        </w:rPr>
      </w:pPr>
      <w:r>
        <w:rPr>
          <w:color w:val="000000" w:themeColor="text1"/>
          <w:szCs w:val="22"/>
          <w:lang w:val="zh-CN" w:bidi="zh-CN"/>
          <w14:textFill>
            <w14:solidFill>
              <w14:schemeClr w14:val="tx1"/>
            </w14:solidFill>
          </w14:textFill>
        </w:rPr>
        <w:t>沉积物质量现状调查结果见如下表：</w:t>
      </w:r>
    </w:p>
    <w:p w14:paraId="2BD6B9B7">
      <w:pPr>
        <w:pStyle w:val="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沉积物质量现状调查结果表</w:t>
      </w:r>
    </w:p>
    <w:tbl>
      <w:tblPr>
        <w:tblStyle w:val="72"/>
        <w:tblW w:w="5092"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1040"/>
        <w:gridCol w:w="689"/>
        <w:gridCol w:w="750"/>
        <w:gridCol w:w="751"/>
        <w:gridCol w:w="751"/>
        <w:gridCol w:w="751"/>
        <w:gridCol w:w="751"/>
        <w:gridCol w:w="751"/>
        <w:gridCol w:w="751"/>
        <w:gridCol w:w="751"/>
        <w:gridCol w:w="753"/>
      </w:tblGrid>
      <w:tr w14:paraId="7E89C28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blHeader/>
          <w:jc w:val="center"/>
        </w:trPr>
        <w:tc>
          <w:tcPr>
            <w:tcW w:w="1037" w:type="dxa"/>
            <w:vAlign w:val="center"/>
          </w:tcPr>
          <w:p w14:paraId="01303728">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bookmarkStart w:id="636" w:name="8.3.2.3沉积物质量现状评价"/>
            <w:bookmarkEnd w:id="636"/>
            <w:r>
              <w:rPr>
                <w:rFonts w:asciiTheme="minorHAnsi" w:hAnsiTheme="minorHAnsi" w:eastAsiaTheme="minorEastAsia" w:cstheme="minorBidi"/>
                <w:b/>
                <w:bCs/>
                <w:color w:val="000000" w:themeColor="text1"/>
                <w:spacing w:val="7"/>
                <w:sz w:val="21"/>
                <w:lang w:eastAsia="en-US"/>
                <w14:textFill>
                  <w14:solidFill>
                    <w14:schemeClr w14:val="tx1"/>
                  </w14:solidFill>
                </w14:textFill>
              </w:rPr>
              <w:t>监测站位</w:t>
            </w:r>
          </w:p>
        </w:tc>
        <w:tc>
          <w:tcPr>
            <w:tcW w:w="688" w:type="dxa"/>
            <w:vAlign w:val="center"/>
          </w:tcPr>
          <w:p w14:paraId="0C0DD477">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8"/>
                <w:sz w:val="21"/>
                <w:lang w:eastAsia="en-US"/>
                <w14:textFill>
                  <w14:solidFill>
                    <w14:schemeClr w14:val="tx1"/>
                  </w14:solidFill>
                </w14:textFill>
              </w:rPr>
            </w:pPr>
            <w:r>
              <w:rPr>
                <w:rFonts w:asciiTheme="minorHAnsi" w:hAnsiTheme="minorHAnsi" w:eastAsiaTheme="minorEastAsia" w:cstheme="minorBidi"/>
                <w:b/>
                <w:bCs/>
                <w:color w:val="000000" w:themeColor="text1"/>
                <w:spacing w:val="-8"/>
                <w:sz w:val="21"/>
                <w:lang w:eastAsia="en-US"/>
                <w14:textFill>
                  <w14:solidFill>
                    <w14:schemeClr w14:val="tx1"/>
                  </w14:solidFill>
                </w14:textFill>
              </w:rPr>
              <w:t>有机碳</w:t>
            </w:r>
          </w:p>
          <w:p w14:paraId="16C90767">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pacing w:val="-8"/>
                <w:sz w:val="21"/>
                <w:lang w:eastAsia="en-US"/>
                <w14:textFill>
                  <w14:solidFill>
                    <w14:schemeClr w14:val="tx1"/>
                  </w14:solidFill>
                </w14:textFill>
              </w:rPr>
              <w:t>（%）</w:t>
            </w:r>
          </w:p>
        </w:tc>
        <w:tc>
          <w:tcPr>
            <w:tcW w:w="748" w:type="dxa"/>
            <w:vAlign w:val="center"/>
          </w:tcPr>
          <w:p w14:paraId="33DDD596">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硫化物</w:t>
            </w:r>
          </w:p>
          <w:p w14:paraId="523BC443">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（×10</w:t>
            </w:r>
            <w:r>
              <w:rPr>
                <w:rFonts w:asciiTheme="minorHAnsi" w:hAnsiTheme="minorHAnsi" w:eastAsiaTheme="minorEastAsia" w:cstheme="minorBidi"/>
                <w:b/>
                <w:bCs/>
                <w:color w:val="000000" w:themeColor="text1"/>
                <w:spacing w:val="-10"/>
                <w:sz w:val="21"/>
                <w:vertAlign w:val="superscript"/>
                <w:lang w:eastAsia="en-US"/>
                <w14:textFill>
                  <w14:solidFill>
                    <w14:schemeClr w14:val="tx1"/>
                  </w14:solidFill>
                </w14:textFill>
              </w:rPr>
              <w:t>-6</w:t>
            </w:r>
            <w:r>
              <w:rPr>
                <w:rFonts w:asciiTheme="minorHAnsi" w:hAnsiTheme="minorHAnsi" w:eastAsiaTheme="minorEastAsia" w:cstheme="minorBidi"/>
                <w:b/>
                <w:bCs/>
                <w:color w:val="000000" w:themeColor="text1"/>
                <w:spacing w:val="-10"/>
                <w:sz w:val="21"/>
                <w:lang w:eastAsia="en-US"/>
                <w14:textFill>
                  <w14:solidFill>
                    <w14:schemeClr w14:val="tx1"/>
                  </w14:solidFill>
                </w14:textFill>
              </w:rPr>
              <w:t>）</w:t>
            </w:r>
          </w:p>
        </w:tc>
        <w:tc>
          <w:tcPr>
            <w:tcW w:w="748" w:type="dxa"/>
            <w:vAlign w:val="center"/>
          </w:tcPr>
          <w:p w14:paraId="4538E81E">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油类</w:t>
            </w:r>
          </w:p>
          <w:p w14:paraId="616DAC51">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（×10</w:t>
            </w:r>
            <w:r>
              <w:rPr>
                <w:rFonts w:asciiTheme="minorHAnsi" w:hAnsiTheme="minorHAnsi" w:eastAsiaTheme="minorEastAsia" w:cstheme="minorBidi"/>
                <w:b/>
                <w:bCs/>
                <w:color w:val="000000" w:themeColor="text1"/>
                <w:spacing w:val="-10"/>
                <w:sz w:val="21"/>
                <w:vertAlign w:val="superscript"/>
                <w:lang w:eastAsia="en-US"/>
                <w14:textFill>
                  <w14:solidFill>
                    <w14:schemeClr w14:val="tx1"/>
                  </w14:solidFill>
                </w14:textFill>
              </w:rPr>
              <w:t>-6</w:t>
            </w:r>
            <w:r>
              <w:rPr>
                <w:rFonts w:asciiTheme="minorHAnsi" w:hAnsiTheme="minorHAnsi" w:eastAsiaTheme="minorEastAsia" w:cstheme="minorBidi"/>
                <w:b/>
                <w:bCs/>
                <w:color w:val="000000" w:themeColor="text1"/>
                <w:spacing w:val="-10"/>
                <w:sz w:val="21"/>
                <w:lang w:eastAsia="en-US"/>
                <w14:textFill>
                  <w14:solidFill>
                    <w14:schemeClr w14:val="tx1"/>
                  </w14:solidFill>
                </w14:textFill>
              </w:rPr>
              <w:t>）</w:t>
            </w:r>
          </w:p>
        </w:tc>
        <w:tc>
          <w:tcPr>
            <w:tcW w:w="748" w:type="dxa"/>
            <w:vAlign w:val="center"/>
          </w:tcPr>
          <w:p w14:paraId="253CA3F8">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汞</w:t>
            </w:r>
          </w:p>
          <w:p w14:paraId="2663D689">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（×10</w:t>
            </w:r>
            <w:r>
              <w:rPr>
                <w:rFonts w:asciiTheme="minorHAnsi" w:hAnsiTheme="minorHAnsi" w:eastAsiaTheme="minorEastAsia" w:cstheme="minorBidi"/>
                <w:b/>
                <w:bCs/>
                <w:color w:val="000000" w:themeColor="text1"/>
                <w:spacing w:val="-10"/>
                <w:sz w:val="21"/>
                <w:vertAlign w:val="superscript"/>
                <w:lang w:eastAsia="en-US"/>
                <w14:textFill>
                  <w14:solidFill>
                    <w14:schemeClr w14:val="tx1"/>
                  </w14:solidFill>
                </w14:textFill>
              </w:rPr>
              <w:t>-6</w:t>
            </w:r>
            <w:r>
              <w:rPr>
                <w:rFonts w:asciiTheme="minorHAnsi" w:hAnsiTheme="minorHAnsi" w:eastAsiaTheme="minorEastAsia" w:cstheme="minorBidi"/>
                <w:b/>
                <w:bCs/>
                <w:color w:val="000000" w:themeColor="text1"/>
                <w:spacing w:val="-10"/>
                <w:sz w:val="21"/>
                <w:lang w:eastAsia="en-US"/>
                <w14:textFill>
                  <w14:solidFill>
                    <w14:schemeClr w14:val="tx1"/>
                  </w14:solidFill>
                </w14:textFill>
              </w:rPr>
              <w:t>）</w:t>
            </w:r>
          </w:p>
        </w:tc>
        <w:tc>
          <w:tcPr>
            <w:tcW w:w="748" w:type="dxa"/>
            <w:vAlign w:val="center"/>
          </w:tcPr>
          <w:p w14:paraId="657584B1">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砷</w:t>
            </w:r>
          </w:p>
          <w:p w14:paraId="01DEA44C">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（×10</w:t>
            </w:r>
            <w:r>
              <w:rPr>
                <w:rFonts w:asciiTheme="minorHAnsi" w:hAnsiTheme="minorHAnsi" w:eastAsiaTheme="minorEastAsia" w:cstheme="minorBidi"/>
                <w:b/>
                <w:bCs/>
                <w:color w:val="000000" w:themeColor="text1"/>
                <w:spacing w:val="-10"/>
                <w:sz w:val="21"/>
                <w:vertAlign w:val="superscript"/>
                <w:lang w:eastAsia="en-US"/>
                <w14:textFill>
                  <w14:solidFill>
                    <w14:schemeClr w14:val="tx1"/>
                  </w14:solidFill>
                </w14:textFill>
              </w:rPr>
              <w:t>-6</w:t>
            </w:r>
            <w:r>
              <w:rPr>
                <w:rFonts w:asciiTheme="minorHAnsi" w:hAnsiTheme="minorHAnsi" w:eastAsiaTheme="minorEastAsia" w:cstheme="minorBidi"/>
                <w:b/>
                <w:bCs/>
                <w:color w:val="000000" w:themeColor="text1"/>
                <w:spacing w:val="-10"/>
                <w:sz w:val="21"/>
                <w:lang w:eastAsia="en-US"/>
                <w14:textFill>
                  <w14:solidFill>
                    <w14:schemeClr w14:val="tx1"/>
                  </w14:solidFill>
                </w14:textFill>
              </w:rPr>
              <w:t>）</w:t>
            </w:r>
          </w:p>
        </w:tc>
        <w:tc>
          <w:tcPr>
            <w:tcW w:w="748" w:type="dxa"/>
            <w:vAlign w:val="center"/>
          </w:tcPr>
          <w:p w14:paraId="5354F6E7">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铜</w:t>
            </w:r>
          </w:p>
          <w:p w14:paraId="266355FA">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（×10</w:t>
            </w:r>
            <w:r>
              <w:rPr>
                <w:rFonts w:asciiTheme="minorHAnsi" w:hAnsiTheme="minorHAnsi" w:eastAsiaTheme="minorEastAsia" w:cstheme="minorBidi"/>
                <w:b/>
                <w:bCs/>
                <w:color w:val="000000" w:themeColor="text1"/>
                <w:spacing w:val="-10"/>
                <w:sz w:val="21"/>
                <w:vertAlign w:val="superscript"/>
                <w:lang w:eastAsia="en-US"/>
                <w14:textFill>
                  <w14:solidFill>
                    <w14:schemeClr w14:val="tx1"/>
                  </w14:solidFill>
                </w14:textFill>
              </w:rPr>
              <w:t>-6</w:t>
            </w:r>
            <w:r>
              <w:rPr>
                <w:rFonts w:asciiTheme="minorHAnsi" w:hAnsiTheme="minorHAnsi" w:eastAsiaTheme="minorEastAsia" w:cstheme="minorBidi"/>
                <w:b/>
                <w:bCs/>
                <w:color w:val="000000" w:themeColor="text1"/>
                <w:spacing w:val="-10"/>
                <w:sz w:val="21"/>
                <w:lang w:eastAsia="en-US"/>
                <w14:textFill>
                  <w14:solidFill>
                    <w14:schemeClr w14:val="tx1"/>
                  </w14:solidFill>
                </w14:textFill>
              </w:rPr>
              <w:t>）</w:t>
            </w:r>
          </w:p>
        </w:tc>
        <w:tc>
          <w:tcPr>
            <w:tcW w:w="748" w:type="dxa"/>
            <w:vAlign w:val="center"/>
          </w:tcPr>
          <w:p w14:paraId="19D2B044">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铅</w:t>
            </w:r>
          </w:p>
          <w:p w14:paraId="0E2B970B">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（×10</w:t>
            </w:r>
            <w:r>
              <w:rPr>
                <w:rFonts w:asciiTheme="minorHAnsi" w:hAnsiTheme="minorHAnsi" w:eastAsiaTheme="minorEastAsia" w:cstheme="minorBidi"/>
                <w:b/>
                <w:bCs/>
                <w:color w:val="000000" w:themeColor="text1"/>
                <w:spacing w:val="-10"/>
                <w:sz w:val="21"/>
                <w:vertAlign w:val="superscript"/>
                <w:lang w:eastAsia="en-US"/>
                <w14:textFill>
                  <w14:solidFill>
                    <w14:schemeClr w14:val="tx1"/>
                  </w14:solidFill>
                </w14:textFill>
              </w:rPr>
              <w:t>-6</w:t>
            </w:r>
            <w:r>
              <w:rPr>
                <w:rFonts w:asciiTheme="minorHAnsi" w:hAnsiTheme="minorHAnsi" w:eastAsiaTheme="minorEastAsia" w:cstheme="minorBidi"/>
                <w:b/>
                <w:bCs/>
                <w:color w:val="000000" w:themeColor="text1"/>
                <w:spacing w:val="-10"/>
                <w:sz w:val="21"/>
                <w:lang w:eastAsia="en-US"/>
                <w14:textFill>
                  <w14:solidFill>
                    <w14:schemeClr w14:val="tx1"/>
                  </w14:solidFill>
                </w14:textFill>
              </w:rPr>
              <w:t>）</w:t>
            </w:r>
          </w:p>
        </w:tc>
        <w:tc>
          <w:tcPr>
            <w:tcW w:w="748" w:type="dxa"/>
            <w:vAlign w:val="center"/>
          </w:tcPr>
          <w:p w14:paraId="49043919">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锌</w:t>
            </w:r>
          </w:p>
          <w:p w14:paraId="5A448012">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（×10</w:t>
            </w:r>
            <w:r>
              <w:rPr>
                <w:rFonts w:asciiTheme="minorHAnsi" w:hAnsiTheme="minorHAnsi" w:eastAsiaTheme="minorEastAsia" w:cstheme="minorBidi"/>
                <w:b/>
                <w:bCs/>
                <w:color w:val="000000" w:themeColor="text1"/>
                <w:spacing w:val="-10"/>
                <w:sz w:val="21"/>
                <w:vertAlign w:val="superscript"/>
                <w:lang w:eastAsia="en-US"/>
                <w14:textFill>
                  <w14:solidFill>
                    <w14:schemeClr w14:val="tx1"/>
                  </w14:solidFill>
                </w14:textFill>
              </w:rPr>
              <w:t>-6</w:t>
            </w:r>
            <w:r>
              <w:rPr>
                <w:rFonts w:asciiTheme="minorHAnsi" w:hAnsiTheme="minorHAnsi" w:eastAsiaTheme="minorEastAsia" w:cstheme="minorBidi"/>
                <w:b/>
                <w:bCs/>
                <w:color w:val="000000" w:themeColor="text1"/>
                <w:spacing w:val="-10"/>
                <w:sz w:val="21"/>
                <w:lang w:eastAsia="en-US"/>
                <w14:textFill>
                  <w14:solidFill>
                    <w14:schemeClr w14:val="tx1"/>
                  </w14:solidFill>
                </w14:textFill>
              </w:rPr>
              <w:t>）</w:t>
            </w:r>
          </w:p>
        </w:tc>
        <w:tc>
          <w:tcPr>
            <w:tcW w:w="748" w:type="dxa"/>
            <w:vAlign w:val="center"/>
          </w:tcPr>
          <w:p w14:paraId="02891672">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镉</w:t>
            </w:r>
          </w:p>
          <w:p w14:paraId="4D3ADB14">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（×10</w:t>
            </w:r>
            <w:r>
              <w:rPr>
                <w:rFonts w:asciiTheme="minorHAnsi" w:hAnsiTheme="minorHAnsi" w:eastAsiaTheme="minorEastAsia" w:cstheme="minorBidi"/>
                <w:b/>
                <w:bCs/>
                <w:color w:val="000000" w:themeColor="text1"/>
                <w:spacing w:val="-10"/>
                <w:sz w:val="21"/>
                <w:vertAlign w:val="superscript"/>
                <w:lang w:eastAsia="en-US"/>
                <w14:textFill>
                  <w14:solidFill>
                    <w14:schemeClr w14:val="tx1"/>
                  </w14:solidFill>
                </w14:textFill>
              </w:rPr>
              <w:t>-6</w:t>
            </w:r>
            <w:r>
              <w:rPr>
                <w:rFonts w:asciiTheme="minorHAnsi" w:hAnsiTheme="minorHAnsi" w:eastAsiaTheme="minorEastAsia" w:cstheme="minorBidi"/>
                <w:b/>
                <w:bCs/>
                <w:color w:val="000000" w:themeColor="text1"/>
                <w:spacing w:val="-10"/>
                <w:sz w:val="21"/>
                <w:lang w:eastAsia="en-US"/>
                <w14:textFill>
                  <w14:solidFill>
                    <w14:schemeClr w14:val="tx1"/>
                  </w14:solidFill>
                </w14:textFill>
              </w:rPr>
              <w:t>）</w:t>
            </w:r>
          </w:p>
        </w:tc>
        <w:tc>
          <w:tcPr>
            <w:tcW w:w="750" w:type="dxa"/>
            <w:vAlign w:val="center"/>
          </w:tcPr>
          <w:p w14:paraId="711B224C">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铬</w:t>
            </w:r>
          </w:p>
          <w:p w14:paraId="1BD79F97">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（×10</w:t>
            </w:r>
            <w:r>
              <w:rPr>
                <w:rFonts w:asciiTheme="minorHAnsi" w:hAnsiTheme="minorHAnsi" w:eastAsiaTheme="minorEastAsia" w:cstheme="minorBidi"/>
                <w:b/>
                <w:bCs/>
                <w:color w:val="000000" w:themeColor="text1"/>
                <w:spacing w:val="-10"/>
                <w:sz w:val="21"/>
                <w:vertAlign w:val="superscript"/>
                <w:lang w:eastAsia="en-US"/>
                <w14:textFill>
                  <w14:solidFill>
                    <w14:schemeClr w14:val="tx1"/>
                  </w14:solidFill>
                </w14:textFill>
              </w:rPr>
              <w:t>-6</w:t>
            </w:r>
            <w:r>
              <w:rPr>
                <w:rFonts w:asciiTheme="minorHAnsi" w:hAnsiTheme="minorHAnsi" w:eastAsiaTheme="minorEastAsia" w:cstheme="minorBidi"/>
                <w:b/>
                <w:bCs/>
                <w:color w:val="000000" w:themeColor="text1"/>
                <w:spacing w:val="-10"/>
                <w:sz w:val="21"/>
                <w:lang w:eastAsia="en-US"/>
                <w14:textFill>
                  <w14:solidFill>
                    <w14:schemeClr w14:val="tx1"/>
                  </w14:solidFill>
                </w14:textFill>
              </w:rPr>
              <w:t>）</w:t>
            </w:r>
          </w:p>
        </w:tc>
      </w:tr>
      <w:tr w14:paraId="1B843C9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38937FE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z w:val="21"/>
                <w:lang w:eastAsia="en-US"/>
                <w14:textFill>
                  <w14:solidFill>
                    <w14:schemeClr w14:val="tx1"/>
                  </w14:solidFill>
                </w14:textFill>
              </w:rPr>
              <w:t>S1</w:t>
            </w:r>
          </w:p>
        </w:tc>
        <w:tc>
          <w:tcPr>
            <w:tcW w:w="688" w:type="dxa"/>
            <w:vAlign w:val="center"/>
          </w:tcPr>
          <w:p w14:paraId="44A2240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6C1A0CB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A7A268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2BC904D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5A690D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D7C02D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C6F920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D64C5C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AD048F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65C52F73">
            <w:pPr>
              <w:autoSpaceDE w:val="0"/>
              <w:autoSpaceDN w:val="0"/>
              <w:spacing w:line="240" w:lineRule="auto"/>
              <w:ind w:firstLine="0" w:firstLineChars="0"/>
              <w:jc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p>
        </w:tc>
      </w:tr>
      <w:tr w14:paraId="620F225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7470CD9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6"/>
                <w:sz w:val="21"/>
                <w:lang w:eastAsia="en-US"/>
                <w14:textFill>
                  <w14:solidFill>
                    <w14:schemeClr w14:val="tx1"/>
                  </w14:solidFill>
                </w14:textFill>
              </w:rPr>
              <w:t>标准值（第三类）</w:t>
            </w:r>
          </w:p>
        </w:tc>
        <w:tc>
          <w:tcPr>
            <w:tcW w:w="688" w:type="dxa"/>
            <w:vAlign w:val="center"/>
          </w:tcPr>
          <w:p w14:paraId="30D864A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2F4AA78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77AB2E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1BB49E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A16C97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E4BE46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255AF7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673FF3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965EDD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6588CE86">
            <w:pPr>
              <w:autoSpaceDE w:val="0"/>
              <w:autoSpaceDN w:val="0"/>
              <w:spacing w:line="240" w:lineRule="auto"/>
              <w:ind w:firstLine="0" w:firstLineChars="0"/>
              <w:jc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p>
        </w:tc>
      </w:tr>
      <w:tr w14:paraId="781CC31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5B62DBC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7"/>
                <w:sz w:val="21"/>
                <w:lang w:eastAsia="en-US"/>
                <w14:textFill>
                  <w14:solidFill>
                    <w14:schemeClr w14:val="tx1"/>
                  </w14:solidFill>
                </w14:textFill>
              </w:rPr>
              <w:t>标准指数</w:t>
            </w:r>
          </w:p>
        </w:tc>
        <w:tc>
          <w:tcPr>
            <w:tcW w:w="688" w:type="dxa"/>
            <w:vAlign w:val="center"/>
          </w:tcPr>
          <w:p w14:paraId="7451FBAF">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82F4007">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2FE9D518">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A63D49A">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86FDD42">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F0AAE6F">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42024AC">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24E07BAF">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F7983B6">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7A39D478">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p>
        </w:tc>
      </w:tr>
      <w:tr w14:paraId="32CFF5B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697401B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z w:val="21"/>
                <w:lang w:eastAsia="en-US"/>
                <w14:textFill>
                  <w14:solidFill>
                    <w14:schemeClr w14:val="tx1"/>
                  </w14:solidFill>
                </w14:textFill>
              </w:rPr>
              <w:t>S2</w:t>
            </w:r>
          </w:p>
        </w:tc>
        <w:tc>
          <w:tcPr>
            <w:tcW w:w="688" w:type="dxa"/>
            <w:vAlign w:val="center"/>
          </w:tcPr>
          <w:p w14:paraId="00EDECD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5B1C35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795852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6F292AC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094B79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F21EC1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6539679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699DED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1596AB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7BA23F81">
            <w:pPr>
              <w:autoSpaceDE w:val="0"/>
              <w:autoSpaceDN w:val="0"/>
              <w:spacing w:line="240" w:lineRule="auto"/>
              <w:ind w:firstLine="0" w:firstLineChars="0"/>
              <w:jc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p>
        </w:tc>
      </w:tr>
      <w:tr w14:paraId="6B26196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1C84ACC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6"/>
                <w:sz w:val="21"/>
                <w:lang w:eastAsia="en-US"/>
                <w14:textFill>
                  <w14:solidFill>
                    <w14:schemeClr w14:val="tx1"/>
                  </w14:solidFill>
                </w14:textFill>
              </w:rPr>
              <w:t>标准值（第三类）</w:t>
            </w:r>
          </w:p>
        </w:tc>
        <w:tc>
          <w:tcPr>
            <w:tcW w:w="688" w:type="dxa"/>
            <w:vAlign w:val="center"/>
          </w:tcPr>
          <w:p w14:paraId="29D96BA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FD25F9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19E9C9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2C97502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BF0D7C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3BC529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3570C8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8008CF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DA4A8D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75E6E9A9">
            <w:pPr>
              <w:autoSpaceDE w:val="0"/>
              <w:autoSpaceDN w:val="0"/>
              <w:spacing w:line="240" w:lineRule="auto"/>
              <w:ind w:firstLine="0" w:firstLineChars="0"/>
              <w:jc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p>
        </w:tc>
      </w:tr>
      <w:tr w14:paraId="5AD9986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4CCC134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7"/>
                <w:sz w:val="21"/>
                <w:lang w:eastAsia="en-US"/>
                <w14:textFill>
                  <w14:solidFill>
                    <w14:schemeClr w14:val="tx1"/>
                  </w14:solidFill>
                </w14:textFill>
              </w:rPr>
              <w:t>标准指数</w:t>
            </w:r>
          </w:p>
        </w:tc>
        <w:tc>
          <w:tcPr>
            <w:tcW w:w="688" w:type="dxa"/>
            <w:vAlign w:val="center"/>
          </w:tcPr>
          <w:p w14:paraId="32FF1B86">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3E8C2FC">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EEEA70F">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017A027">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1AF1ADB">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2AEA55D">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2DBA67A">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B872E81">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6D3685E5">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5BDE5B30">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p>
        </w:tc>
      </w:tr>
      <w:tr w14:paraId="6B81337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2E7F165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z w:val="21"/>
                <w:lang w:eastAsia="en-US"/>
                <w14:textFill>
                  <w14:solidFill>
                    <w14:schemeClr w14:val="tx1"/>
                  </w14:solidFill>
                </w14:textFill>
              </w:rPr>
              <w:t>S3</w:t>
            </w:r>
          </w:p>
        </w:tc>
        <w:tc>
          <w:tcPr>
            <w:tcW w:w="688" w:type="dxa"/>
            <w:vAlign w:val="center"/>
          </w:tcPr>
          <w:p w14:paraId="7820D1B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F88370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2DDD420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09458C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6FB270F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FD399B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4BB43A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2C58798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2B4E16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01D8CF31">
            <w:pPr>
              <w:autoSpaceDE w:val="0"/>
              <w:autoSpaceDN w:val="0"/>
              <w:spacing w:line="240" w:lineRule="auto"/>
              <w:ind w:firstLine="0" w:firstLineChars="0"/>
              <w:jc w:val="center"/>
              <w:rPr>
                <w:rFonts w:asciiTheme="minorHAnsi" w:hAnsiTheme="minorHAnsi" w:eastAsiaTheme="minorEastAsia" w:cstheme="minorBidi"/>
                <w:color w:val="000000" w:themeColor="text1"/>
                <w:spacing w:val="-4"/>
                <w:sz w:val="21"/>
                <w:lang w:eastAsia="en-US"/>
                <w14:textFill>
                  <w14:solidFill>
                    <w14:schemeClr w14:val="tx1"/>
                  </w14:solidFill>
                </w14:textFill>
              </w:rPr>
            </w:pPr>
          </w:p>
        </w:tc>
      </w:tr>
      <w:tr w14:paraId="08AFD08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5C9E46B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6"/>
                <w:sz w:val="21"/>
                <w:lang w:eastAsia="en-US"/>
                <w14:textFill>
                  <w14:solidFill>
                    <w14:schemeClr w14:val="tx1"/>
                  </w14:solidFill>
                </w14:textFill>
              </w:rPr>
              <w:t>标准值（第三类）</w:t>
            </w:r>
          </w:p>
        </w:tc>
        <w:tc>
          <w:tcPr>
            <w:tcW w:w="688" w:type="dxa"/>
            <w:vAlign w:val="center"/>
          </w:tcPr>
          <w:p w14:paraId="5ACA8F3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275DBD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4FB97D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CFDEA1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C9FC60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AA7A43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577205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84ABE4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23489BC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7AEFBBD5">
            <w:pPr>
              <w:autoSpaceDE w:val="0"/>
              <w:autoSpaceDN w:val="0"/>
              <w:spacing w:line="240" w:lineRule="auto"/>
              <w:ind w:firstLine="0" w:firstLineChars="0"/>
              <w:jc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p>
        </w:tc>
      </w:tr>
      <w:tr w14:paraId="1B07B8D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1A6CA31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7"/>
                <w:sz w:val="21"/>
                <w:lang w:eastAsia="en-US"/>
                <w14:textFill>
                  <w14:solidFill>
                    <w14:schemeClr w14:val="tx1"/>
                  </w14:solidFill>
                </w14:textFill>
              </w:rPr>
              <w:t>标准指数</w:t>
            </w:r>
          </w:p>
        </w:tc>
        <w:tc>
          <w:tcPr>
            <w:tcW w:w="688" w:type="dxa"/>
            <w:vAlign w:val="center"/>
          </w:tcPr>
          <w:p w14:paraId="6B26FDB1">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9924B19">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2B70A1B">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E5BD9D2">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6B50DA5">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E3825CF">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6124688">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69D4779D">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36739D8">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2AF92738">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pacing w:val="-4"/>
                <w:sz w:val="21"/>
                <w:lang w:eastAsia="en-US"/>
                <w14:textFill>
                  <w14:solidFill>
                    <w14:schemeClr w14:val="tx1"/>
                  </w14:solidFill>
                </w14:textFill>
              </w:rPr>
            </w:pPr>
          </w:p>
        </w:tc>
      </w:tr>
      <w:tr w14:paraId="0907A65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4D71B74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z w:val="21"/>
                <w:lang w:eastAsia="en-US"/>
                <w14:textFill>
                  <w14:solidFill>
                    <w14:schemeClr w14:val="tx1"/>
                  </w14:solidFill>
                </w14:textFill>
              </w:rPr>
              <w:t>S4</w:t>
            </w:r>
          </w:p>
        </w:tc>
        <w:tc>
          <w:tcPr>
            <w:tcW w:w="688" w:type="dxa"/>
            <w:vAlign w:val="center"/>
          </w:tcPr>
          <w:p w14:paraId="2B61566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7909F9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44F231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399261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DB0FAE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6A1521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BE4A15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433998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24CC37E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1EF63D93">
            <w:pPr>
              <w:autoSpaceDE w:val="0"/>
              <w:autoSpaceDN w:val="0"/>
              <w:spacing w:line="240" w:lineRule="auto"/>
              <w:ind w:firstLine="0" w:firstLineChars="0"/>
              <w:jc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p>
        </w:tc>
      </w:tr>
      <w:tr w14:paraId="74078BE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442D11B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6"/>
                <w:sz w:val="21"/>
                <w:lang w:eastAsia="en-US"/>
                <w14:textFill>
                  <w14:solidFill>
                    <w14:schemeClr w14:val="tx1"/>
                  </w14:solidFill>
                </w14:textFill>
              </w:rPr>
              <w:t>标准值（第一类）</w:t>
            </w:r>
          </w:p>
        </w:tc>
        <w:tc>
          <w:tcPr>
            <w:tcW w:w="688" w:type="dxa"/>
            <w:vAlign w:val="center"/>
          </w:tcPr>
          <w:p w14:paraId="1EEAC19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31B20F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E10822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68A9D48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4120C1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1E5A4A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707B03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2C7A4E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B73B98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1A8B02CB">
            <w:pPr>
              <w:autoSpaceDE w:val="0"/>
              <w:autoSpaceDN w:val="0"/>
              <w:spacing w:line="240" w:lineRule="auto"/>
              <w:ind w:firstLine="0" w:firstLineChars="0"/>
              <w:jc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p>
        </w:tc>
      </w:tr>
      <w:tr w14:paraId="2B3B7C2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1124E40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7"/>
                <w:sz w:val="21"/>
                <w:lang w:eastAsia="en-US"/>
                <w14:textFill>
                  <w14:solidFill>
                    <w14:schemeClr w14:val="tx1"/>
                  </w14:solidFill>
                </w14:textFill>
              </w:rPr>
              <w:t>标准指数</w:t>
            </w:r>
          </w:p>
        </w:tc>
        <w:tc>
          <w:tcPr>
            <w:tcW w:w="688" w:type="dxa"/>
            <w:vAlign w:val="center"/>
          </w:tcPr>
          <w:p w14:paraId="5125FB0C">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3BCD69A">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0B88AAA">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1362837">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4C249CC">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AA19F01">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043C1A4">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81FDEB0">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C239F7E">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525C4836">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p>
        </w:tc>
      </w:tr>
      <w:tr w14:paraId="757243A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2DC8710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z w:val="21"/>
                <w:lang w:eastAsia="en-US"/>
                <w14:textFill>
                  <w14:solidFill>
                    <w14:schemeClr w14:val="tx1"/>
                  </w14:solidFill>
                </w14:textFill>
              </w:rPr>
              <w:t>S5</w:t>
            </w:r>
          </w:p>
        </w:tc>
        <w:tc>
          <w:tcPr>
            <w:tcW w:w="688" w:type="dxa"/>
            <w:vAlign w:val="center"/>
          </w:tcPr>
          <w:p w14:paraId="00197F7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6D70CF9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B38A3A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268734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9E915B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3BA595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FFA207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C53C48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2382299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1B7C1515">
            <w:pPr>
              <w:autoSpaceDE w:val="0"/>
              <w:autoSpaceDN w:val="0"/>
              <w:spacing w:line="240" w:lineRule="auto"/>
              <w:ind w:firstLine="0" w:firstLineChars="0"/>
              <w:jc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p>
        </w:tc>
      </w:tr>
      <w:tr w14:paraId="7837D03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18E90B3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6"/>
                <w:sz w:val="21"/>
                <w:lang w:eastAsia="en-US"/>
                <w14:textFill>
                  <w14:solidFill>
                    <w14:schemeClr w14:val="tx1"/>
                  </w14:solidFill>
                </w14:textFill>
              </w:rPr>
              <w:t>标准值（第一类）</w:t>
            </w:r>
          </w:p>
        </w:tc>
        <w:tc>
          <w:tcPr>
            <w:tcW w:w="688" w:type="dxa"/>
            <w:vAlign w:val="center"/>
          </w:tcPr>
          <w:p w14:paraId="77267F2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2C7AC5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1231F9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D281BD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E0BC07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E5BDBA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059BA2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00C811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5EF1CD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1F890309">
            <w:pPr>
              <w:autoSpaceDE w:val="0"/>
              <w:autoSpaceDN w:val="0"/>
              <w:spacing w:line="240" w:lineRule="auto"/>
              <w:ind w:firstLine="0" w:firstLineChars="0"/>
              <w:jc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p>
        </w:tc>
      </w:tr>
      <w:tr w14:paraId="3D22BF7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662078D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7"/>
                <w:sz w:val="21"/>
                <w:lang w:eastAsia="en-US"/>
                <w14:textFill>
                  <w14:solidFill>
                    <w14:schemeClr w14:val="tx1"/>
                  </w14:solidFill>
                </w14:textFill>
              </w:rPr>
              <w:t>标准指数</w:t>
            </w:r>
          </w:p>
        </w:tc>
        <w:tc>
          <w:tcPr>
            <w:tcW w:w="688" w:type="dxa"/>
            <w:vAlign w:val="center"/>
          </w:tcPr>
          <w:p w14:paraId="05501FF0">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6E5880DB">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1297005">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BE89733">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903796A">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0064B62">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0ADD533">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EC59266">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F94176C">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6F68661C">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r>
    </w:tbl>
    <w:p w14:paraId="2B232B6A">
      <w:pPr>
        <w:ind w:firstLine="480"/>
        <w:rPr>
          <w:color w:val="000000" w:themeColor="text1"/>
          <w:lang w:val="zh-CN" w:bidi="zh-CN"/>
          <w14:textFill>
            <w14:solidFill>
              <w14:schemeClr w14:val="tx1"/>
            </w14:solidFill>
          </w14:textFill>
        </w:rPr>
      </w:pPr>
      <w:r>
        <w:rPr>
          <w:color w:val="000000" w:themeColor="text1"/>
          <w:lang w:val="zh-CN" w:bidi="zh-CN"/>
          <w14:textFill>
            <w14:solidFill>
              <w14:schemeClr w14:val="tx1"/>
            </w14:solidFill>
          </w14:textFill>
        </w:rPr>
        <w:t>4、沉积物质量现状评价</w:t>
      </w:r>
    </w:p>
    <w:p w14:paraId="173572FE">
      <w:pPr>
        <w:ind w:firstLine="480"/>
        <w:rPr>
          <w:rFonts w:hint="eastAsia" w:eastAsia="宋体"/>
          <w:color w:val="000000" w:themeColor="text1"/>
          <w:u w:val="single"/>
          <w:lang w:eastAsia="zh-CN"/>
          <w14:textFill>
            <w14:solidFill>
              <w14:schemeClr w14:val="tx1"/>
            </w14:solidFill>
          </w14:textFill>
        </w:rPr>
      </w:pPr>
      <w:bookmarkStart w:id="637" w:name="_Toc136878499"/>
      <w:r>
        <w:rPr>
          <w:rFonts w:hint="eastAsia"/>
          <w:color w:val="000000" w:themeColor="text1"/>
          <w:u w:val="single"/>
          <w14:textFill>
            <w14:solidFill>
              <w14:schemeClr w14:val="tx1"/>
            </w14:solidFill>
          </w14:textFill>
        </w:rPr>
        <w:t>区域海洋沉积物质量处S4、S5点位的汞指标超标外，其余指标均能满足《海洋沉积物质量标准》（GB18668-2002）中相应标准限值。汞超标站位</w:t>
      </w:r>
      <w:r>
        <w:rPr>
          <w:rFonts w:hint="eastAsia"/>
          <w:color w:val="000000" w:themeColor="text1"/>
          <w:u w:val="single"/>
          <w:lang w:val="en-US" w:eastAsia="zh-CN"/>
          <w14:textFill>
            <w14:solidFill>
              <w14:schemeClr w14:val="tx1"/>
            </w14:solidFill>
          </w14:textFill>
        </w:rPr>
        <w:t>均</w:t>
      </w:r>
      <w:r>
        <w:rPr>
          <w:rFonts w:hint="eastAsia"/>
          <w:color w:val="000000" w:themeColor="text1"/>
          <w:u w:val="single"/>
          <w14:textFill>
            <w14:solidFill>
              <w14:schemeClr w14:val="tx1"/>
            </w14:solidFill>
          </w14:textFill>
        </w:rPr>
        <w:t>为一类海域，其水质要求较高，受内陆河流带入污染物后容易出现超标现象。同时根据本次海洋沉积物监测数据对比，S1~S5汞指标监测值范围为0.302~0.472，总体波动不大</w:t>
      </w:r>
      <w:r>
        <w:rPr>
          <w:rFonts w:hint="eastAsia"/>
          <w:color w:val="000000" w:themeColor="text1"/>
          <w:u w:val="single"/>
          <w:lang w:eastAsia="zh-CN"/>
          <w14:textFill>
            <w14:solidFill>
              <w14:schemeClr w14:val="tx1"/>
            </w14:solidFill>
          </w14:textFill>
        </w:rPr>
        <w:t>。</w:t>
      </w:r>
    </w:p>
    <w:p w14:paraId="18917DD2">
      <w:pPr>
        <w:pStyle w:val="4"/>
        <w:rPr>
          <w:color w:val="000000" w:themeColor="text1"/>
          <w:lang w:val="zh-CN"/>
          <w14:textFill>
            <w14:solidFill>
              <w14:schemeClr w14:val="tx1"/>
            </w14:solidFill>
          </w14:textFill>
        </w:rPr>
      </w:pPr>
      <w:bookmarkStart w:id="638" w:name="_Toc216620563"/>
      <w:r>
        <w:rPr>
          <w:color w:val="000000" w:themeColor="text1"/>
          <w:lang w:val="zh-CN"/>
          <w14:textFill>
            <w14:solidFill>
              <w14:schemeClr w14:val="tx1"/>
            </w14:solidFill>
          </w14:textFill>
        </w:rPr>
        <w:t>海洋生态和生物资源环境状况</w:t>
      </w:r>
      <w:bookmarkEnd w:id="637"/>
      <w:bookmarkEnd w:id="638"/>
    </w:p>
    <w:p w14:paraId="5A2398C3">
      <w:pPr>
        <w:ind w:firstLine="480"/>
        <w:rPr>
          <w:color w:val="000000" w:themeColor="text1"/>
          <w14:textFill>
            <w14:solidFill>
              <w14:schemeClr w14:val="tx1"/>
            </w14:solidFill>
          </w14:textFill>
        </w:rPr>
      </w:pPr>
      <w:bookmarkStart w:id="639" w:name="_Hlk122343852"/>
      <w:r>
        <w:rPr>
          <w:color w:val="000000" w:themeColor="text1"/>
          <w14:textFill>
            <w14:solidFill>
              <w14:schemeClr w14:val="tx1"/>
            </w14:solidFill>
          </w14:textFill>
        </w:rPr>
        <w:t>本次评价海洋环境调查资料引用《</w:t>
      </w:r>
      <w:r>
        <w:rPr>
          <w:rFonts w:hint="eastAsia"/>
          <w:color w:val="000000" w:themeColor="text1"/>
          <w14:textFill>
            <w14:solidFill>
              <w14:schemeClr w14:val="tx1"/>
            </w14:solidFill>
          </w14:textFill>
        </w:rPr>
        <w:t>广西自贸区逸海港务有限责任公司2025年环境委托监测项目监测报告》（2025年11月19日 ）</w:t>
      </w:r>
      <w:r>
        <w:rPr>
          <w:color w:val="000000" w:themeColor="text1"/>
          <w14:textFill>
            <w14:solidFill>
              <w14:schemeClr w14:val="tx1"/>
            </w14:solidFill>
          </w14:textFill>
        </w:rPr>
        <w:t>的调查监测结果，调查站位</w:t>
      </w:r>
      <w:r>
        <w:rPr>
          <w:rFonts w:hint="eastAsia"/>
          <w:color w:val="000000" w:themeColor="text1"/>
          <w14:textFill>
            <w14:solidFill>
              <w14:schemeClr w14:val="tx1"/>
            </w14:solidFill>
          </w14:textFill>
        </w:rPr>
        <w:t>图见附图5，监测报告见附件6</w:t>
      </w:r>
      <w:r>
        <w:rPr>
          <w:color w:val="000000" w:themeColor="text1"/>
          <w14:textFill>
            <w14:solidFill>
              <w14:schemeClr w14:val="tx1"/>
            </w14:solidFill>
          </w14:textFill>
        </w:rPr>
        <w:t>：</w:t>
      </w:r>
    </w:p>
    <w:p w14:paraId="1A454651">
      <w:pPr>
        <w:pStyle w:val="6"/>
        <w:rPr>
          <w:color w:val="000000" w:themeColor="text1"/>
          <w:lang w:val="zh-CN" w:bidi="zh-CN"/>
          <w14:textFill>
            <w14:solidFill>
              <w14:schemeClr w14:val="tx1"/>
            </w14:solidFill>
          </w14:textFill>
        </w:rPr>
      </w:pPr>
      <w:r>
        <w:rPr>
          <w:color w:val="000000" w:themeColor="text1"/>
          <w:lang w:val="zh-CN" w:bidi="zh-CN"/>
          <w14:textFill>
            <w14:solidFill>
              <w14:schemeClr w14:val="tx1"/>
            </w14:solidFill>
          </w14:textFill>
        </w:rPr>
        <w:t>海洋生态调查结果</w:t>
      </w:r>
    </w:p>
    <w:p w14:paraId="49937439">
      <w:pPr>
        <w:ind w:firstLine="482"/>
        <w:rPr>
          <w:b/>
          <w:color w:val="000000" w:themeColor="text1"/>
          <w:lang w:bidi="zh-CN"/>
          <w14:textFill>
            <w14:solidFill>
              <w14:schemeClr w14:val="tx1"/>
            </w14:solidFill>
          </w14:textFill>
        </w:rPr>
      </w:pPr>
      <w:r>
        <w:rPr>
          <w:b/>
          <w:color w:val="000000" w:themeColor="text1"/>
          <w:lang w:bidi="zh-CN"/>
          <w14:textFill>
            <w14:solidFill>
              <w14:schemeClr w14:val="tx1"/>
            </w14:solidFill>
          </w14:textFill>
        </w:rPr>
        <w:t>1、调查结果</w:t>
      </w:r>
      <w:bookmarkEnd w:id="639"/>
      <w:r>
        <w:rPr>
          <w:b/>
          <w:color w:val="000000" w:themeColor="text1"/>
          <w:lang w:bidi="zh-CN"/>
          <w14:textFill>
            <w14:solidFill>
              <w14:schemeClr w14:val="tx1"/>
            </w14:solidFill>
          </w14:textFill>
        </w:rPr>
        <w:t xml:space="preserve"> </w:t>
      </w:r>
    </w:p>
    <w:p w14:paraId="0378C743">
      <w:pPr>
        <w:ind w:firstLine="480"/>
        <w:rPr>
          <w:bCs/>
          <w:color w:val="000000" w:themeColor="text1"/>
          <w:lang w:bidi="zh-CN"/>
          <w14:textFill>
            <w14:solidFill>
              <w14:schemeClr w14:val="tx1"/>
            </w14:solidFill>
          </w14:textFill>
        </w:rPr>
      </w:pPr>
      <w:r>
        <w:rPr>
          <w:bCs/>
          <w:color w:val="000000" w:themeColor="text1"/>
          <w:lang w:bidi="zh-CN"/>
          <w14:textFill>
            <w14:solidFill>
              <w14:schemeClr w14:val="tx1"/>
            </w14:solidFill>
          </w14:textFill>
        </w:rPr>
        <w:t xml:space="preserve">1）叶绿素 a </w:t>
      </w:r>
    </w:p>
    <w:p w14:paraId="7907CA62">
      <w:pPr>
        <w:ind w:firstLine="480"/>
        <w:rPr>
          <w:bCs/>
          <w:color w:val="000000" w:themeColor="text1"/>
          <w:lang w:bidi="zh-CN"/>
          <w14:textFill>
            <w14:solidFill>
              <w14:schemeClr w14:val="tx1"/>
            </w14:solidFill>
          </w14:textFill>
        </w:rPr>
      </w:pPr>
      <w:r>
        <w:rPr>
          <w:bCs/>
          <w:color w:val="000000" w:themeColor="text1"/>
          <w:lang w:bidi="zh-CN"/>
          <w14:textFill>
            <w14:solidFill>
              <w14:schemeClr w14:val="tx1"/>
            </w14:solidFill>
          </w14:textFill>
        </w:rPr>
        <w:t>叶绿素a调查结果见表3.7-</w:t>
      </w:r>
      <w:r>
        <w:rPr>
          <w:rFonts w:hint="eastAsia"/>
          <w:bCs/>
          <w:color w:val="000000" w:themeColor="text1"/>
          <w:lang w:bidi="zh-CN"/>
          <w14:textFill>
            <w14:solidFill>
              <w14:schemeClr w14:val="tx1"/>
            </w14:solidFill>
          </w14:textFill>
        </w:rPr>
        <w:t>5，</w:t>
      </w:r>
      <w:r>
        <w:rPr>
          <w:rFonts w:hint="eastAsia"/>
          <w:color w:val="000000" w:themeColor="text1"/>
          <w14:textFill>
            <w14:solidFill>
              <w14:schemeClr w14:val="tx1"/>
            </w14:solidFill>
          </w14:textFill>
        </w:rPr>
        <w:t>叶绿素a含量范围为2</w:t>
      </w:r>
      <w:r>
        <w:rPr>
          <w:color w:val="000000" w:themeColor="text1"/>
          <w14:textFill>
            <w14:solidFill>
              <w14:schemeClr w14:val="tx1"/>
            </w14:solidFill>
          </w14:textFill>
        </w:rPr>
        <w:t>~4μg/L，平均值为2.8μg/L</w:t>
      </w:r>
      <w:r>
        <w:rPr>
          <w:bCs/>
          <w:color w:val="000000" w:themeColor="text1"/>
          <w:lang w:bidi="zh-CN"/>
          <w14:textFill>
            <w14:solidFill>
              <w14:schemeClr w14:val="tx1"/>
            </w14:solidFill>
          </w14:textFill>
        </w:rPr>
        <w:t>。</w:t>
      </w:r>
    </w:p>
    <w:p w14:paraId="13426997">
      <w:pPr>
        <w:pStyle w:val="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叶绿素a调查结果汇总表</w:t>
      </w:r>
    </w:p>
    <w:tbl>
      <w:tblPr>
        <w:tblStyle w:val="72"/>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937"/>
        <w:gridCol w:w="1274"/>
        <w:gridCol w:w="1291"/>
        <w:gridCol w:w="1284"/>
        <w:gridCol w:w="1274"/>
        <w:gridCol w:w="1271"/>
      </w:tblGrid>
      <w:tr w14:paraId="732088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162" w:type="pct"/>
            <w:tcBorders>
              <w:top w:val="single" w:color="000000" w:sz="12" w:space="0"/>
              <w:left w:val="single" w:color="000000" w:sz="12" w:space="0"/>
            </w:tcBorders>
          </w:tcPr>
          <w:p w14:paraId="68378658">
            <w:pPr>
              <w:pStyle w:val="70"/>
              <w:autoSpaceDE/>
              <w:autoSpaceDN/>
              <w:spacing w:line="300" w:lineRule="exact"/>
              <w:rPr>
                <w:rFonts w:asciiTheme="minorHAnsi" w:hAnsiTheme="minorHAnsi" w:eastAsiaTheme="minorEastAsia" w:cstheme="minorBidi"/>
                <w:b/>
                <w:bCs/>
                <w:color w:val="000000" w:themeColor="text1"/>
                <w:lang w:val="zh-CN"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mc:AlternateContent>
                <mc:Choice Requires="wps">
                  <w:drawing>
                    <wp:anchor distT="0" distB="0" distL="114300" distR="114300" simplePos="0" relativeHeight="251705344" behindDoc="0" locked="0" layoutInCell="1" allowOverlap="1">
                      <wp:simplePos x="0" y="0"/>
                      <wp:positionH relativeFrom="column">
                        <wp:posOffset>1270</wp:posOffset>
                      </wp:positionH>
                      <wp:positionV relativeFrom="paragraph">
                        <wp:posOffset>-12700</wp:posOffset>
                      </wp:positionV>
                      <wp:extent cx="1228725" cy="390525"/>
                      <wp:effectExtent l="1270" t="4445" r="4445" b="16510"/>
                      <wp:wrapNone/>
                      <wp:docPr id="4" name="直接连接符 4"/>
                      <wp:cNvGraphicFramePr/>
                      <a:graphic xmlns:a="http://schemas.openxmlformats.org/drawingml/2006/main">
                        <a:graphicData uri="http://schemas.microsoft.com/office/word/2010/wordprocessingShape">
                          <wps:wsp>
                            <wps:cNvCnPr/>
                            <wps:spPr>
                              <a:xfrm>
                                <a:off x="1153795" y="5073650"/>
                                <a:ext cx="1228725" cy="390525"/>
                              </a:xfrm>
                              <a:prstGeom prst="line">
                                <a:avLst/>
                              </a:prstGeom>
                              <a:ln w="254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0.1pt;margin-top:-1pt;height:30.75pt;width:96.75pt;z-index:251705344;mso-width-relative:page;mso-height-relative:page;" filled="f" stroked="t" coordsize="21600,21600" o:gfxdata="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iiNbtNUA&#10;AAAGAQAADwAAAAAAAAABACAAAAAiAAAAZHJzL2Rvd25yZXYueG1sUEsBAhQAFAAAAAgAh07iQDbR&#10;DrPpAQAAqwMAAA4AAAAAAAAAAQAgAAAAJAEAAGRycy9lMm9Eb2MueG1sUEsFBgAAAAAGAAYAWQEA&#10;AH8FAAAAAA==&#10;">
                      <v:fill on="f" focussize="0,0"/>
                      <v:stroke weight="0.2pt" color="#000000 [3213]" joinstyle="round"/>
                      <v:imagedata o:title=""/>
                      <o:lock v:ext="edit" aspectratio="f"/>
                    </v:line>
                  </w:pict>
                </mc:Fallback>
              </mc:AlternateContent>
            </w:r>
            <w:r>
              <w:rPr>
                <w:rFonts w:asciiTheme="minorHAnsi" w:hAnsiTheme="minorHAnsi" w:eastAsiaTheme="minorEastAsia" w:cstheme="minorBidi"/>
                <w:b/>
                <w:bCs/>
                <w:color w:val="000000" w:themeColor="text1"/>
                <w:lang w:eastAsia="zh-CN"/>
                <w14:textFill>
                  <w14:solidFill>
                    <w14:schemeClr w14:val="tx1"/>
                  </w14:solidFill>
                </w14:textFill>
              </w:rPr>
              <w:t xml:space="preserve">          </w:t>
            </w:r>
            <w:r>
              <w:rPr>
                <w:rFonts w:asciiTheme="minorHAnsi" w:hAnsiTheme="minorHAnsi" w:eastAsiaTheme="minorEastAsia" w:cstheme="minorBidi"/>
                <w:b/>
                <w:bCs/>
                <w:color w:val="000000" w:themeColor="text1"/>
                <w:lang w:val="zh-CN" w:eastAsia="en-US"/>
                <w14:textFill>
                  <w14:solidFill>
                    <w14:schemeClr w14:val="tx1"/>
                  </w14:solidFill>
                </w14:textFill>
              </w:rPr>
              <w:t xml:space="preserve">监测点位 </w:t>
            </w:r>
          </w:p>
          <w:p w14:paraId="6F369856">
            <w:pPr>
              <w:pStyle w:val="70"/>
              <w:autoSpaceDE/>
              <w:autoSpaceDN/>
              <w:spacing w:line="300" w:lineRule="exact"/>
              <w:jc w:val="both"/>
              <w:rPr>
                <w:rFonts w:asciiTheme="minorHAnsi" w:hAnsiTheme="minorHAnsi" w:eastAsiaTheme="minorEastAsia" w:cstheme="minorBidi"/>
                <w:b/>
                <w:bCs/>
                <w:color w:val="000000" w:themeColor="text1"/>
                <w:lang w:val="zh-CN" w:eastAsia="en-US"/>
                <w14:textFill>
                  <w14:solidFill>
                    <w14:schemeClr w14:val="tx1"/>
                  </w14:solidFill>
                </w14:textFill>
              </w:rPr>
            </w:pPr>
            <w:r>
              <w:rPr>
                <w:rFonts w:asciiTheme="minorHAnsi" w:hAnsiTheme="minorHAnsi" w:eastAsiaTheme="minorEastAsia" w:cstheme="minorBidi"/>
                <w:b/>
                <w:bCs/>
                <w:color w:val="000000" w:themeColor="text1"/>
                <w:lang w:val="zh-CN" w:eastAsia="en-US"/>
                <w14:textFill>
                  <w14:solidFill>
                    <w14:schemeClr w14:val="tx1"/>
                  </w14:solidFill>
                </w14:textFill>
              </w:rPr>
              <w:t>监测项目</w:t>
            </w:r>
          </w:p>
        </w:tc>
        <w:tc>
          <w:tcPr>
            <w:tcW w:w="764" w:type="pct"/>
            <w:tcBorders>
              <w:top w:val="single" w:color="000000" w:sz="12" w:space="0"/>
            </w:tcBorders>
          </w:tcPr>
          <w:p w14:paraId="45F642C8">
            <w:pPr>
              <w:pStyle w:val="70"/>
              <w:autoSpaceDE/>
              <w:autoSpaceDN/>
              <w:spacing w:line="300" w:lineRule="exact"/>
              <w:rPr>
                <w:rFonts w:asciiTheme="minorHAnsi" w:hAnsiTheme="minorHAnsi" w:eastAsiaTheme="minorEastAsia" w:cstheme="minorBidi"/>
                <w:b/>
                <w:bCs/>
                <w:color w:val="000000" w:themeColor="text1"/>
                <w:lang w:val="zh-CN" w:eastAsia="en-US"/>
                <w14:textFill>
                  <w14:solidFill>
                    <w14:schemeClr w14:val="tx1"/>
                  </w14:solidFill>
                </w14:textFill>
              </w:rPr>
            </w:pPr>
            <w:r>
              <w:rPr>
                <w:rFonts w:asciiTheme="minorHAnsi" w:hAnsiTheme="minorHAnsi" w:eastAsiaTheme="minorEastAsia" w:cstheme="minorBidi"/>
                <w:b/>
                <w:bCs/>
                <w:color w:val="000000" w:themeColor="text1"/>
                <w:lang w:val="zh-CN" w:eastAsia="en-US"/>
                <w14:textFill>
                  <w14:solidFill>
                    <w14:schemeClr w14:val="tx1"/>
                  </w14:solidFill>
                </w14:textFill>
              </w:rPr>
              <w:t>S1</w:t>
            </w:r>
          </w:p>
        </w:tc>
        <w:tc>
          <w:tcPr>
            <w:tcW w:w="774" w:type="pct"/>
            <w:tcBorders>
              <w:top w:val="single" w:color="000000" w:sz="12" w:space="0"/>
            </w:tcBorders>
          </w:tcPr>
          <w:p w14:paraId="7F9D6D76">
            <w:pPr>
              <w:pStyle w:val="70"/>
              <w:autoSpaceDE/>
              <w:autoSpaceDN/>
              <w:spacing w:line="300" w:lineRule="exact"/>
              <w:rPr>
                <w:rFonts w:asciiTheme="minorHAnsi" w:hAnsiTheme="minorHAnsi" w:eastAsiaTheme="minorEastAsia" w:cstheme="minorBidi"/>
                <w:b/>
                <w:bCs/>
                <w:color w:val="000000" w:themeColor="text1"/>
                <w:lang w:val="zh-CN" w:eastAsia="en-US"/>
                <w14:textFill>
                  <w14:solidFill>
                    <w14:schemeClr w14:val="tx1"/>
                  </w14:solidFill>
                </w14:textFill>
              </w:rPr>
            </w:pPr>
            <w:r>
              <w:rPr>
                <w:rFonts w:asciiTheme="minorHAnsi" w:hAnsiTheme="minorHAnsi" w:eastAsiaTheme="minorEastAsia" w:cstheme="minorBidi"/>
                <w:b/>
                <w:bCs/>
                <w:color w:val="000000" w:themeColor="text1"/>
                <w:lang w:val="zh-CN" w:eastAsia="en-US"/>
                <w14:textFill>
                  <w14:solidFill>
                    <w14:schemeClr w14:val="tx1"/>
                  </w14:solidFill>
                </w14:textFill>
              </w:rPr>
              <w:t>S2</w:t>
            </w:r>
          </w:p>
        </w:tc>
        <w:tc>
          <w:tcPr>
            <w:tcW w:w="770" w:type="pct"/>
            <w:tcBorders>
              <w:top w:val="single" w:color="000000" w:sz="12" w:space="0"/>
            </w:tcBorders>
          </w:tcPr>
          <w:p w14:paraId="3B5F2A19">
            <w:pPr>
              <w:pStyle w:val="70"/>
              <w:autoSpaceDE/>
              <w:autoSpaceDN/>
              <w:spacing w:line="300" w:lineRule="exact"/>
              <w:rPr>
                <w:rFonts w:asciiTheme="minorHAnsi" w:hAnsiTheme="minorHAnsi" w:eastAsiaTheme="minorEastAsia" w:cstheme="minorBidi"/>
                <w:b/>
                <w:bCs/>
                <w:color w:val="000000" w:themeColor="text1"/>
                <w:lang w:val="zh-CN" w:eastAsia="en-US"/>
                <w14:textFill>
                  <w14:solidFill>
                    <w14:schemeClr w14:val="tx1"/>
                  </w14:solidFill>
                </w14:textFill>
              </w:rPr>
            </w:pPr>
            <w:r>
              <w:rPr>
                <w:rFonts w:asciiTheme="minorHAnsi" w:hAnsiTheme="minorHAnsi" w:eastAsiaTheme="minorEastAsia" w:cstheme="minorBidi"/>
                <w:b/>
                <w:bCs/>
                <w:color w:val="000000" w:themeColor="text1"/>
                <w:lang w:val="zh-CN" w:eastAsia="en-US"/>
                <w14:textFill>
                  <w14:solidFill>
                    <w14:schemeClr w14:val="tx1"/>
                  </w14:solidFill>
                </w14:textFill>
              </w:rPr>
              <w:t>S3</w:t>
            </w:r>
          </w:p>
        </w:tc>
        <w:tc>
          <w:tcPr>
            <w:tcW w:w="764" w:type="pct"/>
            <w:tcBorders>
              <w:top w:val="single" w:color="000000" w:sz="12" w:space="0"/>
            </w:tcBorders>
          </w:tcPr>
          <w:p w14:paraId="720D0669">
            <w:pPr>
              <w:pStyle w:val="70"/>
              <w:autoSpaceDE/>
              <w:autoSpaceDN/>
              <w:spacing w:line="300" w:lineRule="exact"/>
              <w:rPr>
                <w:rFonts w:asciiTheme="minorHAnsi" w:hAnsiTheme="minorHAnsi" w:eastAsiaTheme="minorEastAsia" w:cstheme="minorBidi"/>
                <w:b/>
                <w:bCs/>
                <w:color w:val="000000" w:themeColor="text1"/>
                <w:lang w:val="zh-CN" w:eastAsia="en-US"/>
                <w14:textFill>
                  <w14:solidFill>
                    <w14:schemeClr w14:val="tx1"/>
                  </w14:solidFill>
                </w14:textFill>
              </w:rPr>
            </w:pPr>
            <w:r>
              <w:rPr>
                <w:rFonts w:asciiTheme="minorHAnsi" w:hAnsiTheme="minorHAnsi" w:eastAsiaTheme="minorEastAsia" w:cstheme="minorBidi"/>
                <w:b/>
                <w:bCs/>
                <w:color w:val="000000" w:themeColor="text1"/>
                <w:lang w:val="zh-CN" w:eastAsia="en-US"/>
                <w14:textFill>
                  <w14:solidFill>
                    <w14:schemeClr w14:val="tx1"/>
                  </w14:solidFill>
                </w14:textFill>
              </w:rPr>
              <w:t>S4</w:t>
            </w:r>
          </w:p>
        </w:tc>
        <w:tc>
          <w:tcPr>
            <w:tcW w:w="762" w:type="pct"/>
            <w:tcBorders>
              <w:top w:val="single" w:color="000000" w:sz="12" w:space="0"/>
              <w:right w:val="single" w:color="000000" w:sz="12" w:space="0"/>
            </w:tcBorders>
          </w:tcPr>
          <w:p w14:paraId="699CFCD3">
            <w:pPr>
              <w:pStyle w:val="70"/>
              <w:autoSpaceDE/>
              <w:autoSpaceDN/>
              <w:spacing w:line="300" w:lineRule="exact"/>
              <w:rPr>
                <w:rFonts w:asciiTheme="minorHAnsi" w:hAnsiTheme="minorHAnsi" w:eastAsiaTheme="minorEastAsia" w:cstheme="minorBidi"/>
                <w:b/>
                <w:bCs/>
                <w:color w:val="000000" w:themeColor="text1"/>
                <w:lang w:val="zh-CN" w:eastAsia="en-US"/>
                <w14:textFill>
                  <w14:solidFill>
                    <w14:schemeClr w14:val="tx1"/>
                  </w14:solidFill>
                </w14:textFill>
              </w:rPr>
            </w:pPr>
            <w:r>
              <w:rPr>
                <w:rFonts w:asciiTheme="minorHAnsi" w:hAnsiTheme="minorHAnsi" w:eastAsiaTheme="minorEastAsia" w:cstheme="minorBidi"/>
                <w:b/>
                <w:bCs/>
                <w:color w:val="000000" w:themeColor="text1"/>
                <w:lang w:val="zh-CN" w:eastAsia="en-US"/>
                <w14:textFill>
                  <w14:solidFill>
                    <w14:schemeClr w14:val="tx1"/>
                  </w14:solidFill>
                </w14:textFill>
              </w:rPr>
              <w:t>S5</w:t>
            </w:r>
          </w:p>
        </w:tc>
      </w:tr>
      <w:tr w14:paraId="03343B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162" w:type="pct"/>
            <w:tcBorders>
              <w:left w:val="single" w:color="000000" w:sz="12" w:space="0"/>
              <w:bottom w:val="single" w:color="000000" w:sz="12" w:space="0"/>
            </w:tcBorders>
          </w:tcPr>
          <w:p w14:paraId="64F9F431">
            <w:pPr>
              <w:pStyle w:val="70"/>
              <w:autoSpaceDE/>
              <w:autoSpaceDN/>
              <w:spacing w:line="300" w:lineRule="exact"/>
              <w:rPr>
                <w:rFonts w:asciiTheme="minorHAnsi" w:hAnsiTheme="minorHAnsi" w:eastAsiaTheme="minorEastAsia" w:cstheme="minorBidi"/>
                <w:color w:val="000000" w:themeColor="text1"/>
                <w:lang w:val="zh-CN" w:eastAsia="en-US"/>
                <w14:textFill>
                  <w14:solidFill>
                    <w14:schemeClr w14:val="tx1"/>
                  </w14:solidFill>
                </w14:textFill>
              </w:rPr>
            </w:pPr>
            <w:r>
              <w:rPr>
                <w:rFonts w:asciiTheme="minorHAnsi" w:hAnsiTheme="minorHAnsi" w:eastAsiaTheme="minorEastAsia" w:cstheme="minorBidi"/>
                <w:color w:val="000000" w:themeColor="text1"/>
                <w:lang w:val="zh-CN" w:eastAsia="en-US"/>
                <w14:textFill>
                  <w14:solidFill>
                    <w14:schemeClr w14:val="tx1"/>
                  </w14:solidFill>
                </w14:textFill>
              </w:rPr>
              <w:t>叶绿素a(μg/L)</w:t>
            </w:r>
          </w:p>
        </w:tc>
        <w:tc>
          <w:tcPr>
            <w:tcW w:w="764" w:type="pct"/>
            <w:tcBorders>
              <w:bottom w:val="single" w:color="000000" w:sz="12" w:space="0"/>
            </w:tcBorders>
          </w:tcPr>
          <w:p w14:paraId="6B475EF2">
            <w:pPr>
              <w:pStyle w:val="70"/>
              <w:autoSpaceDE/>
              <w:autoSpaceDN/>
              <w:spacing w:line="300" w:lineRule="exact"/>
              <w:rPr>
                <w:rFonts w:asciiTheme="minorHAnsi" w:hAnsiTheme="minorHAnsi" w:eastAsiaTheme="minorEastAsia" w:cstheme="minorBidi"/>
                <w:color w:val="000000" w:themeColor="text1"/>
                <w:lang w:val="zh-CN" w:eastAsia="en-US"/>
                <w14:textFill>
                  <w14:solidFill>
                    <w14:schemeClr w14:val="tx1"/>
                  </w14:solidFill>
                </w14:textFill>
              </w:rPr>
            </w:pPr>
          </w:p>
        </w:tc>
        <w:tc>
          <w:tcPr>
            <w:tcW w:w="774" w:type="pct"/>
            <w:tcBorders>
              <w:bottom w:val="single" w:color="000000" w:sz="12" w:space="0"/>
            </w:tcBorders>
          </w:tcPr>
          <w:p w14:paraId="0FBCE71F">
            <w:pPr>
              <w:pStyle w:val="70"/>
              <w:autoSpaceDE/>
              <w:autoSpaceDN/>
              <w:spacing w:line="300" w:lineRule="exact"/>
              <w:rPr>
                <w:rFonts w:asciiTheme="minorHAnsi" w:hAnsiTheme="minorHAnsi" w:eastAsiaTheme="minorEastAsia" w:cstheme="minorBidi"/>
                <w:color w:val="000000" w:themeColor="text1"/>
                <w:lang w:val="zh-CN" w:eastAsia="en-US"/>
                <w14:textFill>
                  <w14:solidFill>
                    <w14:schemeClr w14:val="tx1"/>
                  </w14:solidFill>
                </w14:textFill>
              </w:rPr>
            </w:pPr>
          </w:p>
        </w:tc>
        <w:tc>
          <w:tcPr>
            <w:tcW w:w="770" w:type="pct"/>
            <w:tcBorders>
              <w:bottom w:val="single" w:color="000000" w:sz="12" w:space="0"/>
            </w:tcBorders>
          </w:tcPr>
          <w:p w14:paraId="03B268D8">
            <w:pPr>
              <w:pStyle w:val="70"/>
              <w:autoSpaceDE/>
              <w:autoSpaceDN/>
              <w:spacing w:line="300" w:lineRule="exact"/>
              <w:rPr>
                <w:rFonts w:asciiTheme="minorHAnsi" w:hAnsiTheme="minorHAnsi" w:eastAsiaTheme="minorEastAsia" w:cstheme="minorBidi"/>
                <w:color w:val="000000" w:themeColor="text1"/>
                <w:lang w:val="zh-CN" w:eastAsia="en-US"/>
                <w14:textFill>
                  <w14:solidFill>
                    <w14:schemeClr w14:val="tx1"/>
                  </w14:solidFill>
                </w14:textFill>
              </w:rPr>
            </w:pPr>
          </w:p>
        </w:tc>
        <w:tc>
          <w:tcPr>
            <w:tcW w:w="764" w:type="pct"/>
            <w:tcBorders>
              <w:bottom w:val="single" w:color="000000" w:sz="12" w:space="0"/>
            </w:tcBorders>
          </w:tcPr>
          <w:p w14:paraId="1B85B92D">
            <w:pPr>
              <w:pStyle w:val="70"/>
              <w:autoSpaceDE/>
              <w:autoSpaceDN/>
              <w:spacing w:line="300" w:lineRule="exact"/>
              <w:rPr>
                <w:rFonts w:asciiTheme="minorHAnsi" w:hAnsiTheme="minorHAnsi" w:eastAsiaTheme="minorEastAsia" w:cstheme="minorBidi"/>
                <w:color w:val="000000" w:themeColor="text1"/>
                <w:lang w:val="zh-CN" w:eastAsia="en-US"/>
                <w14:textFill>
                  <w14:solidFill>
                    <w14:schemeClr w14:val="tx1"/>
                  </w14:solidFill>
                </w14:textFill>
              </w:rPr>
            </w:pPr>
          </w:p>
        </w:tc>
        <w:tc>
          <w:tcPr>
            <w:tcW w:w="762" w:type="pct"/>
            <w:tcBorders>
              <w:bottom w:val="single" w:color="000000" w:sz="12" w:space="0"/>
              <w:right w:val="single" w:color="000000" w:sz="12" w:space="0"/>
            </w:tcBorders>
          </w:tcPr>
          <w:p w14:paraId="1C28A9CD">
            <w:pPr>
              <w:pStyle w:val="70"/>
              <w:autoSpaceDE/>
              <w:autoSpaceDN/>
              <w:spacing w:line="300" w:lineRule="exact"/>
              <w:rPr>
                <w:rFonts w:asciiTheme="minorHAnsi" w:hAnsiTheme="minorHAnsi" w:eastAsiaTheme="minorEastAsia" w:cstheme="minorBidi"/>
                <w:color w:val="000000" w:themeColor="text1"/>
                <w:lang w:val="zh-CN" w:eastAsia="en-US"/>
                <w14:textFill>
                  <w14:solidFill>
                    <w14:schemeClr w14:val="tx1"/>
                  </w14:solidFill>
                </w14:textFill>
              </w:rPr>
            </w:pPr>
          </w:p>
        </w:tc>
      </w:tr>
    </w:tbl>
    <w:p w14:paraId="5F2F17F1">
      <w:pPr>
        <w:ind w:firstLine="480"/>
        <w:rPr>
          <w:bCs/>
          <w:color w:val="000000" w:themeColor="text1"/>
          <w:lang w:bidi="zh-CN"/>
          <w14:textFill>
            <w14:solidFill>
              <w14:schemeClr w14:val="tx1"/>
            </w14:solidFill>
          </w14:textFill>
        </w:rPr>
      </w:pPr>
      <w:r>
        <w:rPr>
          <w:bCs/>
          <w:color w:val="000000" w:themeColor="text1"/>
          <w:lang w:bidi="zh-CN"/>
          <w14:textFill>
            <w14:solidFill>
              <w14:schemeClr w14:val="tx1"/>
            </w14:solidFill>
          </w14:textFill>
        </w:rPr>
        <w:t xml:space="preserve">2）浮游植物调查结果 </w:t>
      </w:r>
    </w:p>
    <w:p w14:paraId="64C5C798">
      <w:pPr>
        <w:overflowPunct w:val="0"/>
        <w:spacing w:after="160"/>
        <w:ind w:firstLine="480"/>
        <w:rPr>
          <w:color w:val="000000" w:themeColor="text1"/>
          <w:szCs w:val="22"/>
          <w:u w:val="single"/>
          <w:lang w:val="zh-CN" w:bidi="zh-CN"/>
          <w14:textFill>
            <w14:solidFill>
              <w14:schemeClr w14:val="tx1"/>
            </w14:solidFill>
          </w14:textFill>
        </w:rPr>
      </w:pPr>
      <w:r>
        <w:rPr>
          <w:rFonts w:hint="eastAsia"/>
          <w:color w:val="000000" w:themeColor="text1"/>
          <w:szCs w:val="22"/>
          <w:u w:val="single"/>
          <w:lang w:val="zh-CN" w:bidi="zh-CN"/>
          <w14:textFill>
            <w14:solidFill>
              <w14:schemeClr w14:val="tx1"/>
            </w14:solidFill>
          </w14:textFill>
        </w:rPr>
        <w:t>本次调查记录浮游植物2门（硅藻门、甲藻门），其中硅藻门占总种数绝对优势。在所有站位中，甲藻门仅出现少量，其余绝大多数为硅藻。</w:t>
      </w:r>
    </w:p>
    <w:p w14:paraId="6925C4C3">
      <w:pPr>
        <w:overflowPunct w:val="0"/>
        <w:spacing w:after="160"/>
        <w:ind w:firstLine="480"/>
        <w:rPr>
          <w:color w:val="000000" w:themeColor="text1"/>
          <w:szCs w:val="22"/>
          <w:u w:val="single"/>
          <w:lang w:val="zh-CN" w:bidi="zh-CN"/>
          <w14:textFill>
            <w14:solidFill>
              <w14:schemeClr w14:val="tx1"/>
            </w14:solidFill>
          </w14:textFill>
        </w:rPr>
      </w:pPr>
      <w:r>
        <w:rPr>
          <w:rFonts w:hint="eastAsia"/>
          <w:color w:val="000000" w:themeColor="text1"/>
          <w:szCs w:val="22"/>
          <w:u w:val="single"/>
          <w:lang w:val="zh-CN" w:bidi="zh-CN"/>
          <w14:textFill>
            <w14:solidFill>
              <w14:schemeClr w14:val="tx1"/>
            </w14:solidFill>
          </w14:textFill>
        </w:rPr>
        <w:t>调查海域的5个站位中，浮游植物的种数最多的是 S3 站，为 34 种；S1 站和 S4 站次之，均为 32 种；最少的是 S2 站和 S5 站，均为 26 种。</w:t>
      </w:r>
    </w:p>
    <w:p w14:paraId="266CD83D">
      <w:pPr>
        <w:overflowPunct w:val="0"/>
        <w:spacing w:after="160"/>
        <w:ind w:firstLine="480"/>
        <w:rPr>
          <w:color w:val="000000" w:themeColor="text1"/>
          <w:szCs w:val="22"/>
          <w:u w:val="single"/>
          <w:lang w:val="zh-CN" w:bidi="zh-CN"/>
          <w14:textFill>
            <w14:solidFill>
              <w14:schemeClr w14:val="tx1"/>
            </w14:solidFill>
          </w14:textFill>
        </w:rPr>
      </w:pPr>
      <w:r>
        <w:rPr>
          <w:rFonts w:hint="eastAsia"/>
          <w:color w:val="000000" w:themeColor="text1"/>
          <w:szCs w:val="22"/>
          <w:u w:val="single"/>
          <w:lang w:val="zh-CN" w:bidi="zh-CN"/>
          <w14:textFill>
            <w14:solidFill>
              <w14:schemeClr w14:val="tx1"/>
            </w14:solidFill>
          </w14:textFill>
        </w:rPr>
        <w:t>根据各站位物种密度累加计算，调查海域5个站位的浮游植物平均密度为 172,983.4 个/L。最高密度站位：S4 站密度最高，总密度达 705,400 个/L（主要由旋链角毛藻 和柔弱管藻</w:t>
      </w:r>
      <w:r>
        <w:rPr>
          <w:rFonts w:hint="eastAsia"/>
          <w:color w:val="000000" w:themeColor="text1"/>
          <w:szCs w:val="22"/>
          <w:u w:val="single"/>
          <w:lang w:bidi="zh-CN"/>
          <w14:textFill>
            <w14:solidFill>
              <w14:schemeClr w14:val="tx1"/>
            </w14:solidFill>
          </w14:textFill>
        </w:rPr>
        <w:t>贡</w:t>
      </w:r>
      <w:r>
        <w:rPr>
          <w:rFonts w:hint="eastAsia"/>
          <w:color w:val="000000" w:themeColor="text1"/>
          <w:szCs w:val="22"/>
          <w:u w:val="single"/>
          <w:lang w:val="zh-CN" w:bidi="zh-CN"/>
          <w14:textFill>
            <w14:solidFill>
              <w14:schemeClr w14:val="tx1"/>
            </w14:solidFill>
          </w14:textFill>
        </w:rPr>
        <w:t>献）。</w:t>
      </w:r>
    </w:p>
    <w:p w14:paraId="40B54AAF">
      <w:pPr>
        <w:overflowPunct w:val="0"/>
        <w:spacing w:after="160"/>
        <w:ind w:firstLine="480"/>
        <w:rPr>
          <w:color w:val="000000" w:themeColor="text1"/>
          <w:szCs w:val="22"/>
          <w:u w:val="single"/>
          <w:lang w:val="zh-CN" w:bidi="zh-CN"/>
          <w14:textFill>
            <w14:solidFill>
              <w14:schemeClr w14:val="tx1"/>
            </w14:solidFill>
          </w14:textFill>
        </w:rPr>
      </w:pPr>
      <w:r>
        <w:rPr>
          <w:rFonts w:hint="eastAsia"/>
          <w:color w:val="000000" w:themeColor="text1"/>
          <w:szCs w:val="22"/>
          <w:u w:val="single"/>
          <w:lang w:val="zh-CN" w:bidi="zh-CN"/>
          <w14:textFill>
            <w14:solidFill>
              <w14:schemeClr w14:val="tx1"/>
            </w14:solidFill>
          </w14:textFill>
        </w:rPr>
        <w:t>S5 站密度最低，总密度为 20,339 个/L。S1站为 57,560 个/L，S3站为 52,618 个/L，S2站为 29,000 个/L。单个物种的密度变化范围为 175 个/L（如S5站的多个物种）至 284,000 个/L（S4站的旋链角毛藻）。</w:t>
      </w:r>
    </w:p>
    <w:p w14:paraId="30C93C31">
      <w:pPr>
        <w:pStyle w:val="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浮游植物数量统计表</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12"/>
        <w:gridCol w:w="687"/>
        <w:gridCol w:w="1849"/>
        <w:gridCol w:w="1827"/>
        <w:gridCol w:w="2383"/>
        <w:gridCol w:w="1164"/>
      </w:tblGrid>
      <w:tr w14:paraId="6F116F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noWrap/>
            <w:vAlign w:val="center"/>
          </w:tcPr>
          <w:p w14:paraId="34BC4039">
            <w:pPr>
              <w:spacing w:after="160" w:line="240" w:lineRule="exact"/>
              <w:ind w:firstLine="0" w:firstLineChars="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站号</w:t>
            </w:r>
          </w:p>
        </w:tc>
        <w:tc>
          <w:tcPr>
            <w:tcW w:w="403" w:type="pct"/>
            <w:noWrap/>
            <w:vAlign w:val="center"/>
          </w:tcPr>
          <w:p w14:paraId="6FC4F740">
            <w:pPr>
              <w:spacing w:after="160" w:line="240" w:lineRule="exact"/>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序号</w:t>
            </w:r>
          </w:p>
        </w:tc>
        <w:tc>
          <w:tcPr>
            <w:tcW w:w="1085" w:type="pct"/>
            <w:vAlign w:val="center"/>
          </w:tcPr>
          <w:p w14:paraId="0B59E6A8">
            <w:pPr>
              <w:spacing w:after="160" w:line="240" w:lineRule="exact"/>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类群</w:t>
            </w:r>
          </w:p>
        </w:tc>
        <w:tc>
          <w:tcPr>
            <w:tcW w:w="1072" w:type="pct"/>
            <w:noWrap/>
            <w:vAlign w:val="center"/>
          </w:tcPr>
          <w:p w14:paraId="732B4316">
            <w:pPr>
              <w:spacing w:after="160" w:line="240" w:lineRule="exact"/>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种名</w:t>
            </w:r>
          </w:p>
        </w:tc>
        <w:tc>
          <w:tcPr>
            <w:tcW w:w="1398" w:type="pct"/>
            <w:noWrap/>
            <w:vAlign w:val="center"/>
          </w:tcPr>
          <w:p w14:paraId="1277EA35">
            <w:pPr>
              <w:spacing w:after="160" w:line="240" w:lineRule="exact"/>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拉丁文名</w:t>
            </w:r>
          </w:p>
        </w:tc>
        <w:tc>
          <w:tcPr>
            <w:tcW w:w="683" w:type="pct"/>
            <w:noWrap/>
            <w:vAlign w:val="center"/>
          </w:tcPr>
          <w:p w14:paraId="7480DC5E">
            <w:pPr>
              <w:spacing w:after="160" w:line="240" w:lineRule="exact"/>
              <w:ind w:firstLine="0" w:firstLineChars="0"/>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密度</w:t>
            </w:r>
          </w:p>
          <w:p w14:paraId="2407DDDE">
            <w:pPr>
              <w:spacing w:after="160" w:line="240" w:lineRule="exact"/>
              <w:ind w:firstLine="0" w:firstLineChars="0"/>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（个/L）</w:t>
            </w:r>
          </w:p>
        </w:tc>
      </w:tr>
      <w:tr w14:paraId="7396DA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restart"/>
            <w:noWrap/>
            <w:vAlign w:val="center"/>
          </w:tcPr>
          <w:p w14:paraId="76C18339">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S1</w:t>
            </w:r>
          </w:p>
        </w:tc>
        <w:tc>
          <w:tcPr>
            <w:tcW w:w="403" w:type="pct"/>
            <w:noWrap/>
            <w:vAlign w:val="center"/>
          </w:tcPr>
          <w:p w14:paraId="6794E45B">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085" w:type="pct"/>
            <w:vAlign w:val="center"/>
          </w:tcPr>
          <w:p w14:paraId="651A527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硅藻门星杆藻属</w:t>
            </w:r>
          </w:p>
        </w:tc>
        <w:tc>
          <w:tcPr>
            <w:tcW w:w="1072" w:type="pct"/>
            <w:noWrap/>
            <w:vAlign w:val="center"/>
          </w:tcPr>
          <w:p w14:paraId="0721E59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冰河拟星杆藻</w:t>
            </w:r>
          </w:p>
        </w:tc>
        <w:tc>
          <w:tcPr>
            <w:tcW w:w="1398" w:type="pct"/>
            <w:noWrap/>
            <w:vAlign w:val="center"/>
          </w:tcPr>
          <w:p w14:paraId="5409C022">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Amphora coffeaeformis</w:t>
            </w:r>
          </w:p>
        </w:tc>
        <w:tc>
          <w:tcPr>
            <w:tcW w:w="683" w:type="pct"/>
            <w:noWrap/>
            <w:vAlign w:val="center"/>
          </w:tcPr>
          <w:p w14:paraId="1469F651">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59D23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FBD033B">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C568FF1">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c>
          <w:tcPr>
            <w:tcW w:w="1085" w:type="pct"/>
            <w:vAlign w:val="center"/>
          </w:tcPr>
          <w:p w14:paraId="3DDE22E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硅藻门盒形藻属</w:t>
            </w:r>
          </w:p>
        </w:tc>
        <w:tc>
          <w:tcPr>
            <w:tcW w:w="1072" w:type="pct"/>
            <w:noWrap/>
            <w:vAlign w:val="center"/>
          </w:tcPr>
          <w:p w14:paraId="690C8D6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中华盒形藻</w:t>
            </w:r>
          </w:p>
        </w:tc>
        <w:tc>
          <w:tcPr>
            <w:tcW w:w="1398" w:type="pct"/>
            <w:noWrap/>
            <w:vAlign w:val="center"/>
          </w:tcPr>
          <w:p w14:paraId="45A2E814">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Biddulphia sinensis</w:t>
            </w:r>
          </w:p>
        </w:tc>
        <w:tc>
          <w:tcPr>
            <w:tcW w:w="683" w:type="pct"/>
            <w:noWrap/>
            <w:vAlign w:val="center"/>
          </w:tcPr>
          <w:p w14:paraId="0F56A71E">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79161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DED94EB">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B5A3C83">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1085" w:type="pct"/>
            <w:vAlign w:val="center"/>
          </w:tcPr>
          <w:p w14:paraId="1693E92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68B4128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范氏角毛藻</w:t>
            </w:r>
          </w:p>
        </w:tc>
        <w:tc>
          <w:tcPr>
            <w:tcW w:w="1398" w:type="pct"/>
            <w:noWrap/>
            <w:vAlign w:val="center"/>
          </w:tcPr>
          <w:p w14:paraId="7C0BD99D">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van-heurckii</w:t>
            </w:r>
          </w:p>
        </w:tc>
        <w:tc>
          <w:tcPr>
            <w:tcW w:w="683" w:type="pct"/>
            <w:noWrap/>
            <w:vAlign w:val="center"/>
          </w:tcPr>
          <w:p w14:paraId="6D4A0981">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A0305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69CB8FB">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8C9950D">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w:t>
            </w:r>
          </w:p>
        </w:tc>
        <w:tc>
          <w:tcPr>
            <w:tcW w:w="1085" w:type="pct"/>
            <w:vAlign w:val="center"/>
          </w:tcPr>
          <w:p w14:paraId="2E69A5C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3B1A0BC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旋链角毛藻</w:t>
            </w:r>
          </w:p>
        </w:tc>
        <w:tc>
          <w:tcPr>
            <w:tcW w:w="1398" w:type="pct"/>
            <w:noWrap/>
            <w:vAlign w:val="center"/>
          </w:tcPr>
          <w:p w14:paraId="0E6CEAC0">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curvisetus</w:t>
            </w:r>
          </w:p>
        </w:tc>
        <w:tc>
          <w:tcPr>
            <w:tcW w:w="683" w:type="pct"/>
            <w:noWrap/>
            <w:vAlign w:val="center"/>
          </w:tcPr>
          <w:p w14:paraId="646F6C9B">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721E1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45F1D40">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EE6E3AA">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w:t>
            </w:r>
          </w:p>
        </w:tc>
        <w:tc>
          <w:tcPr>
            <w:tcW w:w="1085" w:type="pct"/>
            <w:vAlign w:val="center"/>
          </w:tcPr>
          <w:p w14:paraId="54192F6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56C7843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柔弱角毛藻</w:t>
            </w:r>
          </w:p>
        </w:tc>
        <w:tc>
          <w:tcPr>
            <w:tcW w:w="1398" w:type="pct"/>
            <w:noWrap/>
            <w:vAlign w:val="center"/>
          </w:tcPr>
          <w:p w14:paraId="36686AE4">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debilis</w:t>
            </w:r>
          </w:p>
        </w:tc>
        <w:tc>
          <w:tcPr>
            <w:tcW w:w="683" w:type="pct"/>
            <w:noWrap/>
            <w:vAlign w:val="center"/>
          </w:tcPr>
          <w:p w14:paraId="2022D418">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6A1E4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DDA7D4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0D74860">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w:t>
            </w:r>
          </w:p>
        </w:tc>
        <w:tc>
          <w:tcPr>
            <w:tcW w:w="1085" w:type="pct"/>
            <w:vAlign w:val="center"/>
          </w:tcPr>
          <w:p w14:paraId="4C342F8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7BE5869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北方角毛藻</w:t>
            </w:r>
          </w:p>
        </w:tc>
        <w:tc>
          <w:tcPr>
            <w:tcW w:w="1398" w:type="pct"/>
            <w:noWrap/>
            <w:vAlign w:val="center"/>
          </w:tcPr>
          <w:p w14:paraId="32CFB8A0">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borealis</w:t>
            </w:r>
          </w:p>
        </w:tc>
        <w:tc>
          <w:tcPr>
            <w:tcW w:w="683" w:type="pct"/>
            <w:noWrap/>
            <w:vAlign w:val="center"/>
          </w:tcPr>
          <w:p w14:paraId="7A5D99C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96024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66A0E88">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EDDD958">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w:t>
            </w:r>
          </w:p>
        </w:tc>
        <w:tc>
          <w:tcPr>
            <w:tcW w:w="1085" w:type="pct"/>
            <w:vAlign w:val="center"/>
          </w:tcPr>
          <w:p w14:paraId="4670F7B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52548A8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暹罗角毛藻</w:t>
            </w:r>
          </w:p>
        </w:tc>
        <w:tc>
          <w:tcPr>
            <w:tcW w:w="1398" w:type="pct"/>
            <w:noWrap/>
            <w:vAlign w:val="center"/>
          </w:tcPr>
          <w:p w14:paraId="4F54A257">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siamense</w:t>
            </w:r>
          </w:p>
        </w:tc>
        <w:tc>
          <w:tcPr>
            <w:tcW w:w="683" w:type="pct"/>
            <w:noWrap/>
            <w:vAlign w:val="center"/>
          </w:tcPr>
          <w:p w14:paraId="57FF3F6A">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40B2D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5D622E4">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F5C7917">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w:t>
            </w:r>
          </w:p>
        </w:tc>
        <w:tc>
          <w:tcPr>
            <w:tcW w:w="1085" w:type="pct"/>
            <w:vAlign w:val="center"/>
          </w:tcPr>
          <w:p w14:paraId="1B989B0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硅藻门圆筛藻属</w:t>
            </w:r>
          </w:p>
        </w:tc>
        <w:tc>
          <w:tcPr>
            <w:tcW w:w="1072" w:type="pct"/>
            <w:noWrap/>
            <w:vAlign w:val="center"/>
          </w:tcPr>
          <w:p w14:paraId="60FDF48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具边线型圆筛藻</w:t>
            </w:r>
          </w:p>
        </w:tc>
        <w:tc>
          <w:tcPr>
            <w:tcW w:w="1398" w:type="pct"/>
            <w:noWrap/>
            <w:vAlign w:val="center"/>
          </w:tcPr>
          <w:p w14:paraId="5DFF8D67">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Coscinodiscus marginato-lineatus</w:t>
            </w:r>
          </w:p>
        </w:tc>
        <w:tc>
          <w:tcPr>
            <w:tcW w:w="683" w:type="pct"/>
            <w:noWrap/>
            <w:vAlign w:val="center"/>
          </w:tcPr>
          <w:p w14:paraId="61315C3F">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2375A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540A69F">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E8FE616">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w:t>
            </w:r>
          </w:p>
        </w:tc>
        <w:tc>
          <w:tcPr>
            <w:tcW w:w="1085" w:type="pct"/>
            <w:vAlign w:val="center"/>
          </w:tcPr>
          <w:p w14:paraId="1EC63D8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硅藻门圆筛藻属</w:t>
            </w:r>
          </w:p>
        </w:tc>
        <w:tc>
          <w:tcPr>
            <w:tcW w:w="1072" w:type="pct"/>
            <w:noWrap/>
            <w:vAlign w:val="center"/>
          </w:tcPr>
          <w:p w14:paraId="7E45C45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虹彩圆筛藻</w:t>
            </w:r>
          </w:p>
        </w:tc>
        <w:tc>
          <w:tcPr>
            <w:tcW w:w="1398" w:type="pct"/>
            <w:noWrap/>
            <w:vAlign w:val="center"/>
          </w:tcPr>
          <w:p w14:paraId="41CC42F2">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Coscinodiscus oculus-iridis</w:t>
            </w:r>
          </w:p>
        </w:tc>
        <w:tc>
          <w:tcPr>
            <w:tcW w:w="683" w:type="pct"/>
            <w:noWrap/>
            <w:vAlign w:val="center"/>
          </w:tcPr>
          <w:p w14:paraId="365D65E5">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64616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8E3FA96">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018523A">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1085" w:type="pct"/>
            <w:vAlign w:val="center"/>
          </w:tcPr>
          <w:p w14:paraId="6EBE05F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硅藻门小环藻属</w:t>
            </w:r>
          </w:p>
        </w:tc>
        <w:tc>
          <w:tcPr>
            <w:tcW w:w="1072" w:type="pct"/>
            <w:noWrap/>
            <w:vAlign w:val="center"/>
          </w:tcPr>
          <w:p w14:paraId="2CA3622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条纹小环藻</w:t>
            </w:r>
          </w:p>
        </w:tc>
        <w:tc>
          <w:tcPr>
            <w:tcW w:w="1398" w:type="pct"/>
            <w:noWrap/>
            <w:vAlign w:val="center"/>
          </w:tcPr>
          <w:p w14:paraId="309E7AB8">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Cyclotella striata</w:t>
            </w:r>
          </w:p>
        </w:tc>
        <w:tc>
          <w:tcPr>
            <w:tcW w:w="683" w:type="pct"/>
            <w:noWrap/>
            <w:vAlign w:val="center"/>
          </w:tcPr>
          <w:p w14:paraId="498CE2E0">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5200C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578312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EC41B1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w:t>
            </w:r>
          </w:p>
        </w:tc>
        <w:tc>
          <w:tcPr>
            <w:tcW w:w="1085" w:type="pct"/>
            <w:vAlign w:val="center"/>
          </w:tcPr>
          <w:p w14:paraId="7040FD0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硅藻门筒柱藻属</w:t>
            </w:r>
          </w:p>
        </w:tc>
        <w:tc>
          <w:tcPr>
            <w:tcW w:w="1072" w:type="pct"/>
            <w:noWrap/>
            <w:vAlign w:val="center"/>
          </w:tcPr>
          <w:p w14:paraId="009D476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新月筒柱藻</w:t>
            </w:r>
          </w:p>
        </w:tc>
        <w:tc>
          <w:tcPr>
            <w:tcW w:w="1398" w:type="pct"/>
            <w:noWrap/>
            <w:vAlign w:val="center"/>
          </w:tcPr>
          <w:p w14:paraId="1B11B802">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Cylindrotheca closterium</w:t>
            </w:r>
          </w:p>
        </w:tc>
        <w:tc>
          <w:tcPr>
            <w:tcW w:w="683" w:type="pct"/>
            <w:noWrap/>
            <w:vAlign w:val="center"/>
          </w:tcPr>
          <w:p w14:paraId="1F46078A">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48C8D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392D2C3">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7EBBB7B">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w:t>
            </w:r>
          </w:p>
        </w:tc>
        <w:tc>
          <w:tcPr>
            <w:tcW w:w="1085" w:type="pct"/>
            <w:vAlign w:val="center"/>
          </w:tcPr>
          <w:p w14:paraId="35ECF86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硅藻门弯角藻属</w:t>
            </w:r>
          </w:p>
        </w:tc>
        <w:tc>
          <w:tcPr>
            <w:tcW w:w="1072" w:type="pct"/>
            <w:noWrap/>
            <w:vAlign w:val="center"/>
          </w:tcPr>
          <w:p w14:paraId="2826553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短角弯角藻</w:t>
            </w:r>
          </w:p>
        </w:tc>
        <w:tc>
          <w:tcPr>
            <w:tcW w:w="1398" w:type="pct"/>
            <w:noWrap/>
            <w:vAlign w:val="center"/>
          </w:tcPr>
          <w:p w14:paraId="7FE8BE83">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Eucampia zodiacus</w:t>
            </w:r>
          </w:p>
        </w:tc>
        <w:tc>
          <w:tcPr>
            <w:tcW w:w="683" w:type="pct"/>
            <w:noWrap/>
            <w:vAlign w:val="center"/>
          </w:tcPr>
          <w:p w14:paraId="3CB5BB1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B1650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F85C81F">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FDBFD1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w:t>
            </w:r>
          </w:p>
        </w:tc>
        <w:tc>
          <w:tcPr>
            <w:tcW w:w="1085" w:type="pct"/>
            <w:vAlign w:val="center"/>
          </w:tcPr>
          <w:p w14:paraId="73D9E34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硅藻门几内亚藻属</w:t>
            </w:r>
          </w:p>
        </w:tc>
        <w:tc>
          <w:tcPr>
            <w:tcW w:w="1072" w:type="pct"/>
            <w:noWrap/>
            <w:vAlign w:val="center"/>
          </w:tcPr>
          <w:p w14:paraId="4014737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薄壁几内亚藻</w:t>
            </w:r>
          </w:p>
        </w:tc>
        <w:tc>
          <w:tcPr>
            <w:tcW w:w="1398" w:type="pct"/>
            <w:noWrap/>
            <w:vAlign w:val="center"/>
          </w:tcPr>
          <w:p w14:paraId="5BDD6162">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Guinardia flaccida</w:t>
            </w:r>
          </w:p>
        </w:tc>
        <w:tc>
          <w:tcPr>
            <w:tcW w:w="683" w:type="pct"/>
            <w:noWrap/>
            <w:vAlign w:val="center"/>
          </w:tcPr>
          <w:p w14:paraId="1DBA88BC">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99F22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4D79EE3">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2F72807">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w:t>
            </w:r>
          </w:p>
        </w:tc>
        <w:tc>
          <w:tcPr>
            <w:tcW w:w="1085" w:type="pct"/>
            <w:vAlign w:val="center"/>
          </w:tcPr>
          <w:p w14:paraId="5A39F80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硅藻门几内亚藻属</w:t>
            </w:r>
          </w:p>
        </w:tc>
        <w:tc>
          <w:tcPr>
            <w:tcW w:w="1072" w:type="pct"/>
            <w:noWrap/>
            <w:vAlign w:val="center"/>
          </w:tcPr>
          <w:p w14:paraId="654B0B8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条纹几内亚藻</w:t>
            </w:r>
          </w:p>
        </w:tc>
        <w:tc>
          <w:tcPr>
            <w:tcW w:w="1398" w:type="pct"/>
            <w:noWrap/>
            <w:vAlign w:val="center"/>
          </w:tcPr>
          <w:p w14:paraId="7A8EAFA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Guinardia  striata</w:t>
            </w:r>
          </w:p>
        </w:tc>
        <w:tc>
          <w:tcPr>
            <w:tcW w:w="683" w:type="pct"/>
            <w:noWrap/>
            <w:vAlign w:val="center"/>
          </w:tcPr>
          <w:p w14:paraId="566A9EB9">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D2897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C462E83">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51C583A">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w:t>
            </w:r>
          </w:p>
        </w:tc>
        <w:tc>
          <w:tcPr>
            <w:tcW w:w="1085" w:type="pct"/>
            <w:vAlign w:val="center"/>
          </w:tcPr>
          <w:p w14:paraId="6D7AF00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硅藻门半管藻属</w:t>
            </w:r>
          </w:p>
        </w:tc>
        <w:tc>
          <w:tcPr>
            <w:tcW w:w="1072" w:type="pct"/>
            <w:noWrap/>
            <w:vAlign w:val="center"/>
          </w:tcPr>
          <w:p w14:paraId="22BC697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膜质半管藻</w:t>
            </w:r>
          </w:p>
        </w:tc>
        <w:tc>
          <w:tcPr>
            <w:tcW w:w="1398" w:type="pct"/>
            <w:noWrap/>
            <w:vAlign w:val="center"/>
          </w:tcPr>
          <w:p w14:paraId="287181F5">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Hemiaulus membranacus</w:t>
            </w:r>
          </w:p>
        </w:tc>
        <w:tc>
          <w:tcPr>
            <w:tcW w:w="683" w:type="pct"/>
            <w:noWrap/>
            <w:vAlign w:val="center"/>
          </w:tcPr>
          <w:p w14:paraId="270F6C42">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74ECD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F20C6F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D63D81E">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w:t>
            </w:r>
          </w:p>
        </w:tc>
        <w:tc>
          <w:tcPr>
            <w:tcW w:w="1085" w:type="pct"/>
            <w:vAlign w:val="center"/>
          </w:tcPr>
          <w:p w14:paraId="502BC68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硅藻门娄氏藻属</w:t>
            </w:r>
          </w:p>
        </w:tc>
        <w:tc>
          <w:tcPr>
            <w:tcW w:w="1072" w:type="pct"/>
            <w:noWrap/>
            <w:vAlign w:val="center"/>
          </w:tcPr>
          <w:p w14:paraId="1F35EC6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环纹娄氏藻</w:t>
            </w:r>
          </w:p>
        </w:tc>
        <w:tc>
          <w:tcPr>
            <w:tcW w:w="1398" w:type="pct"/>
            <w:noWrap/>
            <w:vAlign w:val="center"/>
          </w:tcPr>
          <w:p w14:paraId="30AECEB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Lauderia annulata</w:t>
            </w:r>
          </w:p>
        </w:tc>
        <w:tc>
          <w:tcPr>
            <w:tcW w:w="683" w:type="pct"/>
            <w:noWrap/>
            <w:vAlign w:val="center"/>
          </w:tcPr>
          <w:p w14:paraId="2A70463C">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4D381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8DE27AF">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0867698">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w:t>
            </w:r>
          </w:p>
        </w:tc>
        <w:tc>
          <w:tcPr>
            <w:tcW w:w="1085" w:type="pct"/>
            <w:vAlign w:val="center"/>
          </w:tcPr>
          <w:p w14:paraId="5EF286E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硅藻门细柱藻属</w:t>
            </w:r>
          </w:p>
        </w:tc>
        <w:tc>
          <w:tcPr>
            <w:tcW w:w="1072" w:type="pct"/>
            <w:noWrap/>
            <w:vAlign w:val="center"/>
          </w:tcPr>
          <w:p w14:paraId="117B58E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丹麦细柱藻</w:t>
            </w:r>
          </w:p>
        </w:tc>
        <w:tc>
          <w:tcPr>
            <w:tcW w:w="1398" w:type="pct"/>
            <w:noWrap/>
            <w:vAlign w:val="center"/>
          </w:tcPr>
          <w:p w14:paraId="6396B539">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Leptocylindrus danicus</w:t>
            </w:r>
          </w:p>
        </w:tc>
        <w:tc>
          <w:tcPr>
            <w:tcW w:w="683" w:type="pct"/>
            <w:noWrap/>
            <w:vAlign w:val="center"/>
          </w:tcPr>
          <w:p w14:paraId="1DC9F511">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792BD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C54B781">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6260C11">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w:t>
            </w:r>
          </w:p>
        </w:tc>
        <w:tc>
          <w:tcPr>
            <w:tcW w:w="1085" w:type="pct"/>
            <w:vAlign w:val="center"/>
          </w:tcPr>
          <w:p w14:paraId="601733E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硅藻门直链藻属</w:t>
            </w:r>
          </w:p>
        </w:tc>
        <w:tc>
          <w:tcPr>
            <w:tcW w:w="1072" w:type="pct"/>
            <w:noWrap/>
            <w:vAlign w:val="center"/>
          </w:tcPr>
          <w:p w14:paraId="2F8F583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念珠直链藻</w:t>
            </w:r>
          </w:p>
        </w:tc>
        <w:tc>
          <w:tcPr>
            <w:tcW w:w="1398" w:type="pct"/>
            <w:noWrap/>
            <w:vAlign w:val="center"/>
          </w:tcPr>
          <w:p w14:paraId="624C2729">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Melosira moniliformis</w:t>
            </w:r>
          </w:p>
        </w:tc>
        <w:tc>
          <w:tcPr>
            <w:tcW w:w="683" w:type="pct"/>
            <w:noWrap/>
            <w:vAlign w:val="center"/>
          </w:tcPr>
          <w:p w14:paraId="2C8DEECF">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8FE9C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514F485">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46D394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w:t>
            </w:r>
          </w:p>
        </w:tc>
        <w:tc>
          <w:tcPr>
            <w:tcW w:w="1085" w:type="pct"/>
            <w:vAlign w:val="center"/>
          </w:tcPr>
          <w:p w14:paraId="4C1A7F4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硅藻门缪氏藻属</w:t>
            </w:r>
          </w:p>
        </w:tc>
        <w:tc>
          <w:tcPr>
            <w:tcW w:w="1072" w:type="pct"/>
            <w:noWrap/>
            <w:vAlign w:val="center"/>
          </w:tcPr>
          <w:p w14:paraId="3EBDB11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膜状缪氏藻</w:t>
            </w:r>
          </w:p>
        </w:tc>
        <w:tc>
          <w:tcPr>
            <w:tcW w:w="1398" w:type="pct"/>
            <w:noWrap/>
            <w:vAlign w:val="center"/>
          </w:tcPr>
          <w:p w14:paraId="0EE6E403">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Meuniera membranacea</w:t>
            </w:r>
          </w:p>
        </w:tc>
        <w:tc>
          <w:tcPr>
            <w:tcW w:w="683" w:type="pct"/>
            <w:noWrap/>
            <w:vAlign w:val="center"/>
          </w:tcPr>
          <w:p w14:paraId="37B872D8">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FE948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8A18014">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79861D3">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c>
          <w:tcPr>
            <w:tcW w:w="1085" w:type="pct"/>
            <w:vAlign w:val="center"/>
          </w:tcPr>
          <w:p w14:paraId="15FB6C6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硅藻门斜纹藻属</w:t>
            </w:r>
          </w:p>
        </w:tc>
        <w:tc>
          <w:tcPr>
            <w:tcW w:w="1072" w:type="pct"/>
            <w:noWrap/>
            <w:vAlign w:val="center"/>
          </w:tcPr>
          <w:p w14:paraId="2F884E3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艾希斜纹藻</w:t>
            </w:r>
          </w:p>
        </w:tc>
        <w:tc>
          <w:tcPr>
            <w:tcW w:w="1398" w:type="pct"/>
            <w:noWrap/>
            <w:vAlign w:val="center"/>
          </w:tcPr>
          <w:p w14:paraId="29CFA0D6">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Pieurosigma aestuarii</w:t>
            </w:r>
          </w:p>
        </w:tc>
        <w:tc>
          <w:tcPr>
            <w:tcW w:w="683" w:type="pct"/>
            <w:noWrap/>
            <w:vAlign w:val="center"/>
          </w:tcPr>
          <w:p w14:paraId="0325D7AF">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CEA3A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38DC15E">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1514ED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w:t>
            </w:r>
          </w:p>
        </w:tc>
        <w:tc>
          <w:tcPr>
            <w:tcW w:w="1085" w:type="pct"/>
            <w:vAlign w:val="center"/>
          </w:tcPr>
          <w:p w14:paraId="25A4D98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硅藻门拟菱形藻属</w:t>
            </w:r>
          </w:p>
        </w:tc>
        <w:tc>
          <w:tcPr>
            <w:tcW w:w="1072" w:type="pct"/>
            <w:noWrap/>
            <w:vAlign w:val="center"/>
          </w:tcPr>
          <w:p w14:paraId="42CC0E4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柔弱拟菱形藻</w:t>
            </w:r>
          </w:p>
        </w:tc>
        <w:tc>
          <w:tcPr>
            <w:tcW w:w="1398" w:type="pct"/>
            <w:noWrap/>
            <w:vAlign w:val="center"/>
          </w:tcPr>
          <w:p w14:paraId="6DD70882">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Pseudo-nitzschia delicatissima</w:t>
            </w:r>
          </w:p>
        </w:tc>
        <w:tc>
          <w:tcPr>
            <w:tcW w:w="683" w:type="pct"/>
            <w:noWrap/>
            <w:vAlign w:val="center"/>
          </w:tcPr>
          <w:p w14:paraId="56AF0E82">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A00FB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69D465B">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397EDC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w:t>
            </w:r>
          </w:p>
        </w:tc>
        <w:tc>
          <w:tcPr>
            <w:tcW w:w="1085" w:type="pct"/>
            <w:vAlign w:val="center"/>
          </w:tcPr>
          <w:p w14:paraId="659FC8E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硅藻门拟菱形藻属</w:t>
            </w:r>
          </w:p>
        </w:tc>
        <w:tc>
          <w:tcPr>
            <w:tcW w:w="1072" w:type="pct"/>
            <w:noWrap/>
            <w:vAlign w:val="center"/>
          </w:tcPr>
          <w:p w14:paraId="091BE5F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尖刺拟菱形藻</w:t>
            </w:r>
          </w:p>
        </w:tc>
        <w:tc>
          <w:tcPr>
            <w:tcW w:w="1398" w:type="pct"/>
            <w:noWrap/>
            <w:vAlign w:val="center"/>
          </w:tcPr>
          <w:p w14:paraId="05CEF223">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Pseudo-nitzschia pungens</w:t>
            </w:r>
          </w:p>
        </w:tc>
        <w:tc>
          <w:tcPr>
            <w:tcW w:w="683" w:type="pct"/>
            <w:noWrap/>
            <w:vAlign w:val="center"/>
          </w:tcPr>
          <w:p w14:paraId="3037152D">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C62D8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81A652C">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8BAECEE">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w:t>
            </w:r>
          </w:p>
        </w:tc>
        <w:tc>
          <w:tcPr>
            <w:tcW w:w="1085" w:type="pct"/>
            <w:vAlign w:val="center"/>
          </w:tcPr>
          <w:p w14:paraId="0EC9433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51A75D0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翼根管藻纤细变型</w:t>
            </w:r>
          </w:p>
        </w:tc>
        <w:tc>
          <w:tcPr>
            <w:tcW w:w="1398" w:type="pct"/>
            <w:noWrap/>
            <w:vAlign w:val="center"/>
          </w:tcPr>
          <w:p w14:paraId="5330156D">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alata</w:t>
            </w:r>
            <w:r>
              <w:rPr>
                <w:color w:val="000000" w:themeColor="text1"/>
                <w:kern w:val="0"/>
                <w:sz w:val="21"/>
                <w:szCs w:val="21"/>
                <w14:textFill>
                  <w14:solidFill>
                    <w14:schemeClr w14:val="tx1"/>
                  </w14:solidFill>
                </w14:textFill>
              </w:rPr>
              <w:t xml:space="preserve"> f. </w:t>
            </w:r>
            <w:r>
              <w:rPr>
                <w:i/>
                <w:iCs/>
                <w:color w:val="000000" w:themeColor="text1"/>
                <w:kern w:val="0"/>
                <w:sz w:val="21"/>
                <w:szCs w:val="21"/>
                <w14:textFill>
                  <w14:solidFill>
                    <w14:schemeClr w14:val="tx1"/>
                  </w14:solidFill>
                </w14:textFill>
              </w:rPr>
              <w:t>gracillima</w:t>
            </w:r>
          </w:p>
        </w:tc>
        <w:tc>
          <w:tcPr>
            <w:tcW w:w="683" w:type="pct"/>
            <w:noWrap/>
            <w:vAlign w:val="center"/>
          </w:tcPr>
          <w:p w14:paraId="27C484CE">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E9416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F209B6A">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5B10021">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w:t>
            </w:r>
          </w:p>
        </w:tc>
        <w:tc>
          <w:tcPr>
            <w:tcW w:w="1085" w:type="pct"/>
            <w:vAlign w:val="center"/>
          </w:tcPr>
          <w:p w14:paraId="7F83F35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1CC8AFC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柔弱根管藻</w:t>
            </w:r>
          </w:p>
        </w:tc>
        <w:tc>
          <w:tcPr>
            <w:tcW w:w="1398" w:type="pct"/>
            <w:noWrap/>
            <w:vAlign w:val="center"/>
          </w:tcPr>
          <w:p w14:paraId="53F4E005">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delicatula</w:t>
            </w:r>
          </w:p>
        </w:tc>
        <w:tc>
          <w:tcPr>
            <w:tcW w:w="683" w:type="pct"/>
            <w:noWrap/>
            <w:vAlign w:val="center"/>
          </w:tcPr>
          <w:p w14:paraId="75DB016D">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14682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221E1EC">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3198859">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w:t>
            </w:r>
          </w:p>
        </w:tc>
        <w:tc>
          <w:tcPr>
            <w:tcW w:w="1085" w:type="pct"/>
            <w:vAlign w:val="center"/>
          </w:tcPr>
          <w:p w14:paraId="05D3663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1E2D853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脆根管藻</w:t>
            </w:r>
          </w:p>
        </w:tc>
        <w:tc>
          <w:tcPr>
            <w:tcW w:w="1398" w:type="pct"/>
            <w:noWrap/>
            <w:vAlign w:val="center"/>
          </w:tcPr>
          <w:p w14:paraId="531C66C1">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fragilissima</w:t>
            </w:r>
          </w:p>
        </w:tc>
        <w:tc>
          <w:tcPr>
            <w:tcW w:w="683" w:type="pct"/>
            <w:noWrap/>
            <w:vAlign w:val="center"/>
          </w:tcPr>
          <w:p w14:paraId="3A6B0A87">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AF6EA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096EBDF">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CF36D51">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w:t>
            </w:r>
          </w:p>
        </w:tc>
        <w:tc>
          <w:tcPr>
            <w:tcW w:w="1085" w:type="pct"/>
            <w:vAlign w:val="center"/>
          </w:tcPr>
          <w:p w14:paraId="6284CE5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73254C6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中华根管藻</w:t>
            </w:r>
          </w:p>
        </w:tc>
        <w:tc>
          <w:tcPr>
            <w:tcW w:w="1398" w:type="pct"/>
            <w:noWrap/>
            <w:vAlign w:val="center"/>
          </w:tcPr>
          <w:p w14:paraId="3ABCDE53">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sinensis</w:t>
            </w:r>
          </w:p>
        </w:tc>
        <w:tc>
          <w:tcPr>
            <w:tcW w:w="683" w:type="pct"/>
            <w:noWrap/>
            <w:vAlign w:val="center"/>
          </w:tcPr>
          <w:p w14:paraId="386845EF">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09401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DA9C4D6">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38DE777">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w:t>
            </w:r>
          </w:p>
        </w:tc>
        <w:tc>
          <w:tcPr>
            <w:tcW w:w="1085" w:type="pct"/>
            <w:vAlign w:val="center"/>
          </w:tcPr>
          <w:p w14:paraId="2EE0E8C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0FD352B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刚毛根管藻</w:t>
            </w:r>
          </w:p>
        </w:tc>
        <w:tc>
          <w:tcPr>
            <w:tcW w:w="1398" w:type="pct"/>
            <w:noWrap/>
            <w:vAlign w:val="center"/>
          </w:tcPr>
          <w:p w14:paraId="570CA4B9">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setigera</w:t>
            </w:r>
          </w:p>
        </w:tc>
        <w:tc>
          <w:tcPr>
            <w:tcW w:w="683" w:type="pct"/>
            <w:noWrap/>
            <w:vAlign w:val="center"/>
          </w:tcPr>
          <w:p w14:paraId="114788EF">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28F3E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C697B1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F49E39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28</w:t>
            </w:r>
          </w:p>
        </w:tc>
        <w:tc>
          <w:tcPr>
            <w:tcW w:w="1085" w:type="pct"/>
            <w:vAlign w:val="center"/>
          </w:tcPr>
          <w:p w14:paraId="02C565C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硅藻门骨条藻属</w:t>
            </w:r>
          </w:p>
        </w:tc>
        <w:tc>
          <w:tcPr>
            <w:tcW w:w="1072" w:type="pct"/>
            <w:noWrap/>
            <w:vAlign w:val="center"/>
          </w:tcPr>
          <w:p w14:paraId="5B0F7C6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中肋骨条藻</w:t>
            </w:r>
          </w:p>
        </w:tc>
        <w:tc>
          <w:tcPr>
            <w:tcW w:w="1398" w:type="pct"/>
            <w:noWrap/>
            <w:vAlign w:val="center"/>
          </w:tcPr>
          <w:p w14:paraId="054AB325">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Skeletonema costatum</w:t>
            </w:r>
          </w:p>
        </w:tc>
        <w:tc>
          <w:tcPr>
            <w:tcW w:w="683" w:type="pct"/>
            <w:noWrap/>
            <w:vAlign w:val="center"/>
          </w:tcPr>
          <w:p w14:paraId="4DE9361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FECF1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FFA5DF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6637904">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w:t>
            </w:r>
          </w:p>
        </w:tc>
        <w:tc>
          <w:tcPr>
            <w:tcW w:w="1085" w:type="pct"/>
            <w:vAlign w:val="center"/>
          </w:tcPr>
          <w:p w14:paraId="73209C9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硅藻门海线藻属</w:t>
            </w:r>
          </w:p>
        </w:tc>
        <w:tc>
          <w:tcPr>
            <w:tcW w:w="1072" w:type="pct"/>
            <w:noWrap/>
            <w:vAlign w:val="center"/>
          </w:tcPr>
          <w:p w14:paraId="6BC61CD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菱形海线藻</w:t>
            </w:r>
          </w:p>
        </w:tc>
        <w:tc>
          <w:tcPr>
            <w:tcW w:w="1398" w:type="pct"/>
            <w:noWrap/>
            <w:vAlign w:val="center"/>
          </w:tcPr>
          <w:p w14:paraId="169EF0E2">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Thalassionema nitzschioides</w:t>
            </w:r>
          </w:p>
        </w:tc>
        <w:tc>
          <w:tcPr>
            <w:tcW w:w="683" w:type="pct"/>
            <w:noWrap/>
            <w:vAlign w:val="center"/>
          </w:tcPr>
          <w:p w14:paraId="266179C2">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71B22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C45A0AA">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CB68DD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w:t>
            </w:r>
          </w:p>
        </w:tc>
        <w:tc>
          <w:tcPr>
            <w:tcW w:w="1085" w:type="pct"/>
            <w:vAlign w:val="center"/>
          </w:tcPr>
          <w:p w14:paraId="404947C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硅藻门海毛藻属</w:t>
            </w:r>
          </w:p>
        </w:tc>
        <w:tc>
          <w:tcPr>
            <w:tcW w:w="1072" w:type="pct"/>
            <w:noWrap/>
            <w:vAlign w:val="center"/>
          </w:tcPr>
          <w:p w14:paraId="6AF6F09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佛氏海毛藻</w:t>
            </w:r>
          </w:p>
        </w:tc>
        <w:tc>
          <w:tcPr>
            <w:tcW w:w="1398" w:type="pct"/>
            <w:noWrap/>
            <w:vAlign w:val="center"/>
          </w:tcPr>
          <w:p w14:paraId="3296285C">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Thalassiothrix frauenfeldii</w:t>
            </w:r>
          </w:p>
        </w:tc>
        <w:tc>
          <w:tcPr>
            <w:tcW w:w="683" w:type="pct"/>
            <w:noWrap/>
            <w:vAlign w:val="center"/>
          </w:tcPr>
          <w:p w14:paraId="33D69D1B">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A3DFF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6A118A8">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A3DACF5">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31</w:t>
            </w:r>
          </w:p>
        </w:tc>
        <w:tc>
          <w:tcPr>
            <w:tcW w:w="1085" w:type="pct"/>
            <w:vAlign w:val="center"/>
          </w:tcPr>
          <w:p w14:paraId="3AB481F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硅藻门海链藻属</w:t>
            </w:r>
          </w:p>
        </w:tc>
        <w:tc>
          <w:tcPr>
            <w:tcW w:w="1072" w:type="pct"/>
            <w:noWrap/>
            <w:vAlign w:val="center"/>
          </w:tcPr>
          <w:p w14:paraId="675436F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圆海链藻</w:t>
            </w:r>
          </w:p>
        </w:tc>
        <w:tc>
          <w:tcPr>
            <w:tcW w:w="1398" w:type="pct"/>
            <w:noWrap/>
            <w:vAlign w:val="center"/>
          </w:tcPr>
          <w:p w14:paraId="4D3D8757">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Thalassiosira rotula</w:t>
            </w:r>
          </w:p>
        </w:tc>
        <w:tc>
          <w:tcPr>
            <w:tcW w:w="683" w:type="pct"/>
            <w:noWrap/>
            <w:vAlign w:val="center"/>
          </w:tcPr>
          <w:p w14:paraId="027FBC7A">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B7A84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BFDFDD9">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9579256">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32</w:t>
            </w:r>
          </w:p>
        </w:tc>
        <w:tc>
          <w:tcPr>
            <w:tcW w:w="1085" w:type="pct"/>
            <w:vAlign w:val="center"/>
          </w:tcPr>
          <w:p w14:paraId="67549BF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甲藻门原甲藻属</w:t>
            </w:r>
          </w:p>
        </w:tc>
        <w:tc>
          <w:tcPr>
            <w:tcW w:w="1072" w:type="pct"/>
            <w:noWrap/>
            <w:vAlign w:val="center"/>
          </w:tcPr>
          <w:p w14:paraId="78A5FE0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海洋原甲藻</w:t>
            </w:r>
          </w:p>
        </w:tc>
        <w:tc>
          <w:tcPr>
            <w:tcW w:w="1398" w:type="pct"/>
            <w:noWrap/>
            <w:vAlign w:val="center"/>
          </w:tcPr>
          <w:p w14:paraId="53436E47">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Prorocentium micans</w:t>
            </w:r>
          </w:p>
        </w:tc>
        <w:tc>
          <w:tcPr>
            <w:tcW w:w="683" w:type="pct"/>
            <w:noWrap/>
            <w:vAlign w:val="center"/>
          </w:tcPr>
          <w:p w14:paraId="6055A6E4">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83AA3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restart"/>
            <w:noWrap/>
            <w:vAlign w:val="center"/>
          </w:tcPr>
          <w:p w14:paraId="41967F5B">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S2</w:t>
            </w:r>
          </w:p>
        </w:tc>
        <w:tc>
          <w:tcPr>
            <w:tcW w:w="403" w:type="pct"/>
            <w:noWrap/>
            <w:vAlign w:val="center"/>
          </w:tcPr>
          <w:p w14:paraId="58F82F15">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085" w:type="pct"/>
            <w:vAlign w:val="center"/>
          </w:tcPr>
          <w:p w14:paraId="10FCCD0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7A237EA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旋链角毛藻</w:t>
            </w:r>
          </w:p>
        </w:tc>
        <w:tc>
          <w:tcPr>
            <w:tcW w:w="1398" w:type="pct"/>
            <w:noWrap/>
            <w:vAlign w:val="center"/>
          </w:tcPr>
          <w:p w14:paraId="30FF6AA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curvisetus</w:t>
            </w:r>
          </w:p>
        </w:tc>
        <w:tc>
          <w:tcPr>
            <w:tcW w:w="683" w:type="pct"/>
            <w:noWrap/>
            <w:vAlign w:val="center"/>
          </w:tcPr>
          <w:p w14:paraId="42BFF36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3675F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A1947E1">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9F35811">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c>
          <w:tcPr>
            <w:tcW w:w="1085" w:type="pct"/>
            <w:vAlign w:val="center"/>
          </w:tcPr>
          <w:p w14:paraId="125D0F5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0637E74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垂缘角毛藻</w:t>
            </w:r>
          </w:p>
        </w:tc>
        <w:tc>
          <w:tcPr>
            <w:tcW w:w="1398" w:type="pct"/>
            <w:noWrap/>
            <w:vAlign w:val="center"/>
          </w:tcPr>
          <w:p w14:paraId="34985C54">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laciniosus</w:t>
            </w:r>
          </w:p>
        </w:tc>
        <w:tc>
          <w:tcPr>
            <w:tcW w:w="683" w:type="pct"/>
            <w:noWrap/>
            <w:vAlign w:val="center"/>
          </w:tcPr>
          <w:p w14:paraId="221A0419">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4FC0B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F5484F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C4C7575">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1085" w:type="pct"/>
            <w:vAlign w:val="center"/>
          </w:tcPr>
          <w:p w14:paraId="05E17F9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硅藻门角管藻属</w:t>
            </w:r>
          </w:p>
        </w:tc>
        <w:tc>
          <w:tcPr>
            <w:tcW w:w="1072" w:type="pct"/>
            <w:noWrap/>
            <w:vAlign w:val="center"/>
          </w:tcPr>
          <w:p w14:paraId="656F771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大洋角管藻</w:t>
            </w:r>
          </w:p>
        </w:tc>
        <w:tc>
          <w:tcPr>
            <w:tcW w:w="1398" w:type="pct"/>
            <w:noWrap/>
            <w:vAlign w:val="center"/>
          </w:tcPr>
          <w:p w14:paraId="195C5434">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Cerataulina pelagica</w:t>
            </w:r>
          </w:p>
        </w:tc>
        <w:tc>
          <w:tcPr>
            <w:tcW w:w="683" w:type="pct"/>
            <w:noWrap/>
            <w:vAlign w:val="center"/>
          </w:tcPr>
          <w:p w14:paraId="230F3AE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B6BE1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2E67C33">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348A1F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w:t>
            </w:r>
          </w:p>
        </w:tc>
        <w:tc>
          <w:tcPr>
            <w:tcW w:w="1085" w:type="pct"/>
            <w:vAlign w:val="center"/>
          </w:tcPr>
          <w:p w14:paraId="6FF86B0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硅藻门小环藻属</w:t>
            </w:r>
          </w:p>
        </w:tc>
        <w:tc>
          <w:tcPr>
            <w:tcW w:w="1072" w:type="pct"/>
            <w:noWrap/>
            <w:vAlign w:val="center"/>
          </w:tcPr>
          <w:p w14:paraId="31D99A8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条纹小环藻</w:t>
            </w:r>
          </w:p>
        </w:tc>
        <w:tc>
          <w:tcPr>
            <w:tcW w:w="1398" w:type="pct"/>
            <w:noWrap/>
            <w:vAlign w:val="center"/>
          </w:tcPr>
          <w:p w14:paraId="24612448">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Cyclotella striata</w:t>
            </w:r>
          </w:p>
        </w:tc>
        <w:tc>
          <w:tcPr>
            <w:tcW w:w="683" w:type="pct"/>
            <w:noWrap/>
            <w:vAlign w:val="center"/>
          </w:tcPr>
          <w:p w14:paraId="01207570">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46BF3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592B88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8862140">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w:t>
            </w:r>
          </w:p>
        </w:tc>
        <w:tc>
          <w:tcPr>
            <w:tcW w:w="1085" w:type="pct"/>
            <w:vAlign w:val="center"/>
          </w:tcPr>
          <w:p w14:paraId="7BF4FFF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硅藻门筒柱藻属</w:t>
            </w:r>
          </w:p>
        </w:tc>
        <w:tc>
          <w:tcPr>
            <w:tcW w:w="1072" w:type="pct"/>
            <w:noWrap/>
            <w:vAlign w:val="center"/>
          </w:tcPr>
          <w:p w14:paraId="5B1FCCF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新月筒柱藻</w:t>
            </w:r>
          </w:p>
        </w:tc>
        <w:tc>
          <w:tcPr>
            <w:tcW w:w="1398" w:type="pct"/>
            <w:noWrap/>
            <w:vAlign w:val="center"/>
          </w:tcPr>
          <w:p w14:paraId="081BA35B">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Cylindrotheca closterium</w:t>
            </w:r>
          </w:p>
        </w:tc>
        <w:tc>
          <w:tcPr>
            <w:tcW w:w="683" w:type="pct"/>
            <w:noWrap/>
            <w:vAlign w:val="center"/>
          </w:tcPr>
          <w:p w14:paraId="19B4495D">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4AC16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A2CE13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E8D3A9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w:t>
            </w:r>
          </w:p>
        </w:tc>
        <w:tc>
          <w:tcPr>
            <w:tcW w:w="1085" w:type="pct"/>
            <w:vAlign w:val="center"/>
          </w:tcPr>
          <w:p w14:paraId="5BEFFF7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硅藻门双尾藻属</w:t>
            </w:r>
          </w:p>
        </w:tc>
        <w:tc>
          <w:tcPr>
            <w:tcW w:w="1072" w:type="pct"/>
            <w:noWrap/>
            <w:vAlign w:val="center"/>
          </w:tcPr>
          <w:p w14:paraId="02EC48F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布氏双尾藻</w:t>
            </w:r>
          </w:p>
        </w:tc>
        <w:tc>
          <w:tcPr>
            <w:tcW w:w="1398" w:type="pct"/>
            <w:noWrap/>
            <w:vAlign w:val="center"/>
          </w:tcPr>
          <w:p w14:paraId="0B7F2AD6">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Ditylum brightwellii</w:t>
            </w:r>
          </w:p>
        </w:tc>
        <w:tc>
          <w:tcPr>
            <w:tcW w:w="683" w:type="pct"/>
            <w:noWrap/>
            <w:vAlign w:val="center"/>
          </w:tcPr>
          <w:p w14:paraId="4BE3B2AD">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E8290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8FDA6D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B83A5B1">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w:t>
            </w:r>
          </w:p>
        </w:tc>
        <w:tc>
          <w:tcPr>
            <w:tcW w:w="1085" w:type="pct"/>
            <w:vAlign w:val="center"/>
          </w:tcPr>
          <w:p w14:paraId="7BC035A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硅藻门几内亚藻属</w:t>
            </w:r>
          </w:p>
        </w:tc>
        <w:tc>
          <w:tcPr>
            <w:tcW w:w="1072" w:type="pct"/>
            <w:noWrap/>
            <w:vAlign w:val="center"/>
          </w:tcPr>
          <w:p w14:paraId="008DEF7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条纹几内亚藻</w:t>
            </w:r>
          </w:p>
        </w:tc>
        <w:tc>
          <w:tcPr>
            <w:tcW w:w="1398" w:type="pct"/>
            <w:noWrap/>
            <w:vAlign w:val="center"/>
          </w:tcPr>
          <w:p w14:paraId="24D4ED6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Guinardia  striata</w:t>
            </w:r>
          </w:p>
        </w:tc>
        <w:tc>
          <w:tcPr>
            <w:tcW w:w="683" w:type="pct"/>
            <w:noWrap/>
            <w:vAlign w:val="center"/>
          </w:tcPr>
          <w:p w14:paraId="0A1CEB4F">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8963B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57D444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9261D5D">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w:t>
            </w:r>
          </w:p>
        </w:tc>
        <w:tc>
          <w:tcPr>
            <w:tcW w:w="1085" w:type="pct"/>
            <w:vAlign w:val="center"/>
          </w:tcPr>
          <w:p w14:paraId="728EB36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硅藻门半管藻属</w:t>
            </w:r>
          </w:p>
        </w:tc>
        <w:tc>
          <w:tcPr>
            <w:tcW w:w="1072" w:type="pct"/>
            <w:noWrap/>
            <w:vAlign w:val="center"/>
          </w:tcPr>
          <w:p w14:paraId="669F428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中华半管藻</w:t>
            </w:r>
          </w:p>
        </w:tc>
        <w:tc>
          <w:tcPr>
            <w:tcW w:w="1398" w:type="pct"/>
            <w:noWrap/>
            <w:vAlign w:val="center"/>
          </w:tcPr>
          <w:p w14:paraId="1740F6F3">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Hemiaulus sinensis</w:t>
            </w:r>
          </w:p>
        </w:tc>
        <w:tc>
          <w:tcPr>
            <w:tcW w:w="683" w:type="pct"/>
            <w:noWrap/>
            <w:vAlign w:val="center"/>
          </w:tcPr>
          <w:p w14:paraId="11F732A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1A0CF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D4DF386">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73E15F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w:t>
            </w:r>
          </w:p>
        </w:tc>
        <w:tc>
          <w:tcPr>
            <w:tcW w:w="1085" w:type="pct"/>
            <w:vAlign w:val="center"/>
          </w:tcPr>
          <w:p w14:paraId="6291F46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硅藻门半管藻属</w:t>
            </w:r>
          </w:p>
        </w:tc>
        <w:tc>
          <w:tcPr>
            <w:tcW w:w="1072" w:type="pct"/>
            <w:noWrap/>
            <w:vAlign w:val="center"/>
          </w:tcPr>
          <w:p w14:paraId="722765C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膜质半管藻</w:t>
            </w:r>
          </w:p>
        </w:tc>
        <w:tc>
          <w:tcPr>
            <w:tcW w:w="1398" w:type="pct"/>
            <w:noWrap/>
            <w:vAlign w:val="center"/>
          </w:tcPr>
          <w:p w14:paraId="006D2769">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Hemiaulus membranacus</w:t>
            </w:r>
          </w:p>
        </w:tc>
        <w:tc>
          <w:tcPr>
            <w:tcW w:w="683" w:type="pct"/>
            <w:noWrap/>
            <w:vAlign w:val="center"/>
          </w:tcPr>
          <w:p w14:paraId="5F40C4DD">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71D9C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0BBD6AE">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0368D9E">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1085" w:type="pct"/>
            <w:vAlign w:val="center"/>
          </w:tcPr>
          <w:p w14:paraId="3A203FC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硅藻门娄氏藻属</w:t>
            </w:r>
          </w:p>
        </w:tc>
        <w:tc>
          <w:tcPr>
            <w:tcW w:w="1072" w:type="pct"/>
            <w:noWrap/>
            <w:vAlign w:val="center"/>
          </w:tcPr>
          <w:p w14:paraId="7BB50CF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环纹娄氏藻</w:t>
            </w:r>
          </w:p>
        </w:tc>
        <w:tc>
          <w:tcPr>
            <w:tcW w:w="1398" w:type="pct"/>
            <w:noWrap/>
            <w:vAlign w:val="center"/>
          </w:tcPr>
          <w:p w14:paraId="45C7CCAD">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Lauderia annulata</w:t>
            </w:r>
          </w:p>
        </w:tc>
        <w:tc>
          <w:tcPr>
            <w:tcW w:w="683" w:type="pct"/>
            <w:noWrap/>
            <w:vAlign w:val="center"/>
          </w:tcPr>
          <w:p w14:paraId="05098459">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6ED4F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30CB2FE">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F579F99">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w:t>
            </w:r>
          </w:p>
        </w:tc>
        <w:tc>
          <w:tcPr>
            <w:tcW w:w="1085" w:type="pct"/>
            <w:vAlign w:val="center"/>
          </w:tcPr>
          <w:p w14:paraId="45A8C38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硅藻门细柱藻属</w:t>
            </w:r>
          </w:p>
        </w:tc>
        <w:tc>
          <w:tcPr>
            <w:tcW w:w="1072" w:type="pct"/>
            <w:noWrap/>
            <w:vAlign w:val="center"/>
          </w:tcPr>
          <w:p w14:paraId="39311FF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丹麦细柱藻</w:t>
            </w:r>
          </w:p>
        </w:tc>
        <w:tc>
          <w:tcPr>
            <w:tcW w:w="1398" w:type="pct"/>
            <w:noWrap/>
            <w:vAlign w:val="center"/>
          </w:tcPr>
          <w:p w14:paraId="23697EAB">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Leptocylindrus danicus</w:t>
            </w:r>
          </w:p>
        </w:tc>
        <w:tc>
          <w:tcPr>
            <w:tcW w:w="683" w:type="pct"/>
            <w:noWrap/>
            <w:vAlign w:val="center"/>
          </w:tcPr>
          <w:p w14:paraId="100FDE15">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9EB9E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D4BA25A">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DE2BC1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w:t>
            </w:r>
          </w:p>
        </w:tc>
        <w:tc>
          <w:tcPr>
            <w:tcW w:w="1085" w:type="pct"/>
            <w:vAlign w:val="center"/>
          </w:tcPr>
          <w:p w14:paraId="251D5CC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硅藻门直链藻属</w:t>
            </w:r>
          </w:p>
        </w:tc>
        <w:tc>
          <w:tcPr>
            <w:tcW w:w="1072" w:type="pct"/>
            <w:noWrap/>
            <w:vAlign w:val="center"/>
          </w:tcPr>
          <w:p w14:paraId="01500A7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念珠直链藻</w:t>
            </w:r>
          </w:p>
        </w:tc>
        <w:tc>
          <w:tcPr>
            <w:tcW w:w="1398" w:type="pct"/>
            <w:noWrap/>
            <w:vAlign w:val="center"/>
          </w:tcPr>
          <w:p w14:paraId="079920A1">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Melosira moniliformis</w:t>
            </w:r>
          </w:p>
        </w:tc>
        <w:tc>
          <w:tcPr>
            <w:tcW w:w="683" w:type="pct"/>
            <w:noWrap/>
            <w:vAlign w:val="center"/>
          </w:tcPr>
          <w:p w14:paraId="21A0CF89">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0288F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77346B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8A45D81">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w:t>
            </w:r>
          </w:p>
        </w:tc>
        <w:tc>
          <w:tcPr>
            <w:tcW w:w="1085" w:type="pct"/>
            <w:vAlign w:val="center"/>
          </w:tcPr>
          <w:p w14:paraId="01B9C1C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硅藻门菱形藻属</w:t>
            </w:r>
          </w:p>
        </w:tc>
        <w:tc>
          <w:tcPr>
            <w:tcW w:w="1072" w:type="pct"/>
            <w:noWrap/>
            <w:vAlign w:val="center"/>
          </w:tcPr>
          <w:p w14:paraId="5B0491E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菱形藻未定种</w:t>
            </w:r>
          </w:p>
        </w:tc>
        <w:tc>
          <w:tcPr>
            <w:tcW w:w="1398" w:type="pct"/>
            <w:noWrap/>
            <w:vAlign w:val="center"/>
          </w:tcPr>
          <w:p w14:paraId="693486A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 xml:space="preserve">Nitzschia </w:t>
            </w:r>
            <w:r>
              <w:rPr>
                <w:color w:val="000000" w:themeColor="text1"/>
                <w:kern w:val="0"/>
                <w:sz w:val="21"/>
                <w:szCs w:val="21"/>
                <w14:textFill>
                  <w14:solidFill>
                    <w14:schemeClr w14:val="tx1"/>
                  </w14:solidFill>
                </w14:textFill>
              </w:rPr>
              <w:t>sp.</w:t>
            </w:r>
          </w:p>
        </w:tc>
        <w:tc>
          <w:tcPr>
            <w:tcW w:w="683" w:type="pct"/>
            <w:noWrap/>
            <w:vAlign w:val="center"/>
          </w:tcPr>
          <w:p w14:paraId="00AFD23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5D165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8B047AF">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2E94950">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w:t>
            </w:r>
          </w:p>
        </w:tc>
        <w:tc>
          <w:tcPr>
            <w:tcW w:w="1085" w:type="pct"/>
            <w:vAlign w:val="center"/>
          </w:tcPr>
          <w:p w14:paraId="4199B52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硅藻门菱形藻属</w:t>
            </w:r>
          </w:p>
        </w:tc>
        <w:tc>
          <w:tcPr>
            <w:tcW w:w="1072" w:type="pct"/>
            <w:noWrap/>
            <w:vAlign w:val="center"/>
          </w:tcPr>
          <w:p w14:paraId="790C971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洛伦菱形藻</w:t>
            </w:r>
          </w:p>
        </w:tc>
        <w:tc>
          <w:tcPr>
            <w:tcW w:w="1398" w:type="pct"/>
            <w:noWrap/>
            <w:vAlign w:val="center"/>
          </w:tcPr>
          <w:p w14:paraId="4E7DF626">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Nitzschia lorenziana</w:t>
            </w:r>
          </w:p>
        </w:tc>
        <w:tc>
          <w:tcPr>
            <w:tcW w:w="683" w:type="pct"/>
            <w:noWrap/>
            <w:vAlign w:val="center"/>
          </w:tcPr>
          <w:p w14:paraId="2F28A4E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C09CC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A7232EB">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5AA255E">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w:t>
            </w:r>
          </w:p>
        </w:tc>
        <w:tc>
          <w:tcPr>
            <w:tcW w:w="1085" w:type="pct"/>
            <w:vAlign w:val="center"/>
          </w:tcPr>
          <w:p w14:paraId="446686A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硅藻门斜纹藻属</w:t>
            </w:r>
          </w:p>
        </w:tc>
        <w:tc>
          <w:tcPr>
            <w:tcW w:w="1072" w:type="pct"/>
            <w:noWrap/>
            <w:vAlign w:val="center"/>
          </w:tcPr>
          <w:p w14:paraId="73378E8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端尖斜纹藻</w:t>
            </w:r>
          </w:p>
        </w:tc>
        <w:tc>
          <w:tcPr>
            <w:tcW w:w="1398" w:type="pct"/>
            <w:noWrap/>
            <w:vAlign w:val="center"/>
          </w:tcPr>
          <w:p w14:paraId="04AEEDA4">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Pleurosigma acautum</w:t>
            </w:r>
          </w:p>
        </w:tc>
        <w:tc>
          <w:tcPr>
            <w:tcW w:w="683" w:type="pct"/>
            <w:noWrap/>
            <w:vAlign w:val="center"/>
          </w:tcPr>
          <w:p w14:paraId="762ACCF0">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23991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2F7F28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809418D">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w:t>
            </w:r>
          </w:p>
        </w:tc>
        <w:tc>
          <w:tcPr>
            <w:tcW w:w="1085" w:type="pct"/>
            <w:vAlign w:val="center"/>
          </w:tcPr>
          <w:p w14:paraId="519C620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硅藻门斜纹藻属</w:t>
            </w:r>
          </w:p>
        </w:tc>
        <w:tc>
          <w:tcPr>
            <w:tcW w:w="1072" w:type="pct"/>
            <w:noWrap/>
            <w:vAlign w:val="center"/>
          </w:tcPr>
          <w:p w14:paraId="2001442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艾希斜纹藻</w:t>
            </w:r>
          </w:p>
        </w:tc>
        <w:tc>
          <w:tcPr>
            <w:tcW w:w="1398" w:type="pct"/>
            <w:noWrap/>
            <w:vAlign w:val="center"/>
          </w:tcPr>
          <w:p w14:paraId="07F862F3">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Pieurosigma aestuarii</w:t>
            </w:r>
          </w:p>
        </w:tc>
        <w:tc>
          <w:tcPr>
            <w:tcW w:w="683" w:type="pct"/>
            <w:noWrap/>
            <w:vAlign w:val="center"/>
          </w:tcPr>
          <w:p w14:paraId="66B49CD2">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B287E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679EEF1">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E71EAF9">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w:t>
            </w:r>
          </w:p>
        </w:tc>
        <w:tc>
          <w:tcPr>
            <w:tcW w:w="1085" w:type="pct"/>
            <w:vAlign w:val="center"/>
          </w:tcPr>
          <w:p w14:paraId="39281C8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硅藻门拟菱形藻属</w:t>
            </w:r>
          </w:p>
        </w:tc>
        <w:tc>
          <w:tcPr>
            <w:tcW w:w="1072" w:type="pct"/>
            <w:noWrap/>
            <w:vAlign w:val="center"/>
          </w:tcPr>
          <w:p w14:paraId="48348B2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柔弱拟菱形藻</w:t>
            </w:r>
          </w:p>
        </w:tc>
        <w:tc>
          <w:tcPr>
            <w:tcW w:w="1398" w:type="pct"/>
            <w:noWrap/>
            <w:vAlign w:val="center"/>
          </w:tcPr>
          <w:p w14:paraId="276D28E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Pseudo-nitzschia delicatissima</w:t>
            </w:r>
          </w:p>
        </w:tc>
        <w:tc>
          <w:tcPr>
            <w:tcW w:w="683" w:type="pct"/>
            <w:noWrap/>
            <w:vAlign w:val="center"/>
          </w:tcPr>
          <w:p w14:paraId="4EFBF6A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57523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5FA9040">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A1F8E20">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w:t>
            </w:r>
          </w:p>
        </w:tc>
        <w:tc>
          <w:tcPr>
            <w:tcW w:w="1085" w:type="pct"/>
            <w:vAlign w:val="center"/>
          </w:tcPr>
          <w:p w14:paraId="00FA64A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硅藻门拟菱形藻属</w:t>
            </w:r>
          </w:p>
        </w:tc>
        <w:tc>
          <w:tcPr>
            <w:tcW w:w="1072" w:type="pct"/>
            <w:noWrap/>
            <w:vAlign w:val="center"/>
          </w:tcPr>
          <w:p w14:paraId="66F5515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尖刺拟菱形藻</w:t>
            </w:r>
          </w:p>
        </w:tc>
        <w:tc>
          <w:tcPr>
            <w:tcW w:w="1398" w:type="pct"/>
            <w:noWrap/>
            <w:vAlign w:val="center"/>
          </w:tcPr>
          <w:p w14:paraId="12AB7BE5">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Pseudo-nitzschia pungens</w:t>
            </w:r>
          </w:p>
        </w:tc>
        <w:tc>
          <w:tcPr>
            <w:tcW w:w="683" w:type="pct"/>
            <w:noWrap/>
            <w:vAlign w:val="center"/>
          </w:tcPr>
          <w:p w14:paraId="559F72B2">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41EEC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EF8282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BF65811">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w:t>
            </w:r>
          </w:p>
        </w:tc>
        <w:tc>
          <w:tcPr>
            <w:tcW w:w="1085" w:type="pct"/>
            <w:vAlign w:val="center"/>
          </w:tcPr>
          <w:p w14:paraId="0A31341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37C6AB1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翼根管藻纤细变型</w:t>
            </w:r>
          </w:p>
        </w:tc>
        <w:tc>
          <w:tcPr>
            <w:tcW w:w="1398" w:type="pct"/>
            <w:noWrap/>
            <w:vAlign w:val="center"/>
          </w:tcPr>
          <w:p w14:paraId="701D3F54">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alata</w:t>
            </w:r>
            <w:r>
              <w:rPr>
                <w:color w:val="000000" w:themeColor="text1"/>
                <w:kern w:val="0"/>
                <w:sz w:val="21"/>
                <w:szCs w:val="21"/>
                <w14:textFill>
                  <w14:solidFill>
                    <w14:schemeClr w14:val="tx1"/>
                  </w14:solidFill>
                </w14:textFill>
              </w:rPr>
              <w:t xml:space="preserve"> f. </w:t>
            </w:r>
            <w:r>
              <w:rPr>
                <w:i/>
                <w:iCs/>
                <w:color w:val="000000" w:themeColor="text1"/>
                <w:kern w:val="0"/>
                <w:sz w:val="21"/>
                <w:szCs w:val="21"/>
                <w14:textFill>
                  <w14:solidFill>
                    <w14:schemeClr w14:val="tx1"/>
                  </w14:solidFill>
                </w14:textFill>
              </w:rPr>
              <w:t>gracillima</w:t>
            </w:r>
          </w:p>
        </w:tc>
        <w:tc>
          <w:tcPr>
            <w:tcW w:w="683" w:type="pct"/>
            <w:noWrap/>
            <w:vAlign w:val="center"/>
          </w:tcPr>
          <w:p w14:paraId="06E86CED">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2FE14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3F03C0F">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0AC042B">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c>
          <w:tcPr>
            <w:tcW w:w="1085" w:type="pct"/>
            <w:vAlign w:val="center"/>
          </w:tcPr>
          <w:p w14:paraId="29D1178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0484100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柔弱根管藻</w:t>
            </w:r>
          </w:p>
        </w:tc>
        <w:tc>
          <w:tcPr>
            <w:tcW w:w="1398" w:type="pct"/>
            <w:noWrap/>
            <w:vAlign w:val="center"/>
          </w:tcPr>
          <w:p w14:paraId="7F570706">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delicatula</w:t>
            </w:r>
          </w:p>
        </w:tc>
        <w:tc>
          <w:tcPr>
            <w:tcW w:w="683" w:type="pct"/>
            <w:noWrap/>
            <w:vAlign w:val="center"/>
          </w:tcPr>
          <w:p w14:paraId="0C2F0B20">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59EAC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63B6CE1">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EE3040C">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w:t>
            </w:r>
          </w:p>
        </w:tc>
        <w:tc>
          <w:tcPr>
            <w:tcW w:w="1085" w:type="pct"/>
            <w:vAlign w:val="center"/>
          </w:tcPr>
          <w:p w14:paraId="05A4EBD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2CCE4C9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中华根管藻</w:t>
            </w:r>
          </w:p>
        </w:tc>
        <w:tc>
          <w:tcPr>
            <w:tcW w:w="1398" w:type="pct"/>
            <w:noWrap/>
            <w:vAlign w:val="center"/>
          </w:tcPr>
          <w:p w14:paraId="3E584805">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sinensis</w:t>
            </w:r>
          </w:p>
        </w:tc>
        <w:tc>
          <w:tcPr>
            <w:tcW w:w="683" w:type="pct"/>
            <w:noWrap/>
            <w:vAlign w:val="center"/>
          </w:tcPr>
          <w:p w14:paraId="7EA40CF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DA71C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634B070">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B0C63D9">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w:t>
            </w:r>
          </w:p>
        </w:tc>
        <w:tc>
          <w:tcPr>
            <w:tcW w:w="1085" w:type="pct"/>
            <w:vAlign w:val="center"/>
          </w:tcPr>
          <w:p w14:paraId="69C9BF0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4DE156E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刚毛根管藻</w:t>
            </w:r>
          </w:p>
        </w:tc>
        <w:tc>
          <w:tcPr>
            <w:tcW w:w="1398" w:type="pct"/>
            <w:noWrap/>
            <w:vAlign w:val="center"/>
          </w:tcPr>
          <w:p w14:paraId="4BC8E6C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setigera</w:t>
            </w:r>
          </w:p>
        </w:tc>
        <w:tc>
          <w:tcPr>
            <w:tcW w:w="683" w:type="pct"/>
            <w:noWrap/>
            <w:vAlign w:val="center"/>
          </w:tcPr>
          <w:p w14:paraId="750AB138">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7FE25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42B37BB">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567319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w:t>
            </w:r>
          </w:p>
        </w:tc>
        <w:tc>
          <w:tcPr>
            <w:tcW w:w="1085" w:type="pct"/>
            <w:vAlign w:val="center"/>
          </w:tcPr>
          <w:p w14:paraId="4277072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硅藻门骨条藻属</w:t>
            </w:r>
          </w:p>
        </w:tc>
        <w:tc>
          <w:tcPr>
            <w:tcW w:w="1072" w:type="pct"/>
            <w:noWrap/>
            <w:vAlign w:val="center"/>
          </w:tcPr>
          <w:p w14:paraId="70F11B8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中肋骨条藻</w:t>
            </w:r>
          </w:p>
        </w:tc>
        <w:tc>
          <w:tcPr>
            <w:tcW w:w="1398" w:type="pct"/>
            <w:noWrap/>
            <w:vAlign w:val="center"/>
          </w:tcPr>
          <w:p w14:paraId="700E8712">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Skeletonema costatum</w:t>
            </w:r>
          </w:p>
        </w:tc>
        <w:tc>
          <w:tcPr>
            <w:tcW w:w="683" w:type="pct"/>
            <w:noWrap/>
            <w:vAlign w:val="center"/>
          </w:tcPr>
          <w:p w14:paraId="74ECB35C">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49ABF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0DB6C0F">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CF4E38A">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w:t>
            </w:r>
          </w:p>
        </w:tc>
        <w:tc>
          <w:tcPr>
            <w:tcW w:w="1085" w:type="pct"/>
            <w:vAlign w:val="center"/>
          </w:tcPr>
          <w:p w14:paraId="25CA4C0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硅藻门海线藻属</w:t>
            </w:r>
          </w:p>
        </w:tc>
        <w:tc>
          <w:tcPr>
            <w:tcW w:w="1072" w:type="pct"/>
            <w:noWrap/>
            <w:vAlign w:val="center"/>
          </w:tcPr>
          <w:p w14:paraId="6002F7C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菱形海线藻</w:t>
            </w:r>
          </w:p>
        </w:tc>
        <w:tc>
          <w:tcPr>
            <w:tcW w:w="1398" w:type="pct"/>
            <w:noWrap/>
            <w:vAlign w:val="center"/>
          </w:tcPr>
          <w:p w14:paraId="4A11A1ED">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Thalassionema nitzschioides</w:t>
            </w:r>
          </w:p>
        </w:tc>
        <w:tc>
          <w:tcPr>
            <w:tcW w:w="683" w:type="pct"/>
            <w:noWrap/>
            <w:vAlign w:val="center"/>
          </w:tcPr>
          <w:p w14:paraId="3580CC74">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B8896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26EEDDE">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D513C4D">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w:t>
            </w:r>
          </w:p>
        </w:tc>
        <w:tc>
          <w:tcPr>
            <w:tcW w:w="1085" w:type="pct"/>
            <w:vAlign w:val="center"/>
          </w:tcPr>
          <w:p w14:paraId="543E851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硅藻门海毛藻属</w:t>
            </w:r>
          </w:p>
        </w:tc>
        <w:tc>
          <w:tcPr>
            <w:tcW w:w="1072" w:type="pct"/>
            <w:noWrap/>
            <w:vAlign w:val="center"/>
          </w:tcPr>
          <w:p w14:paraId="6421D11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佛氏海毛藻</w:t>
            </w:r>
          </w:p>
        </w:tc>
        <w:tc>
          <w:tcPr>
            <w:tcW w:w="1398" w:type="pct"/>
            <w:noWrap/>
            <w:vAlign w:val="center"/>
          </w:tcPr>
          <w:p w14:paraId="50EA3626">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Thalassiothrix frauenfeldii</w:t>
            </w:r>
          </w:p>
        </w:tc>
        <w:tc>
          <w:tcPr>
            <w:tcW w:w="683" w:type="pct"/>
            <w:noWrap/>
            <w:vAlign w:val="center"/>
          </w:tcPr>
          <w:p w14:paraId="2DBFF8C1">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6FEB0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CC77C6D">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A83787C">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w:t>
            </w:r>
          </w:p>
        </w:tc>
        <w:tc>
          <w:tcPr>
            <w:tcW w:w="1085" w:type="pct"/>
            <w:vAlign w:val="center"/>
          </w:tcPr>
          <w:p w14:paraId="6BAFCD3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硅藻门海链藻属</w:t>
            </w:r>
          </w:p>
        </w:tc>
        <w:tc>
          <w:tcPr>
            <w:tcW w:w="1072" w:type="pct"/>
            <w:noWrap/>
            <w:vAlign w:val="center"/>
          </w:tcPr>
          <w:p w14:paraId="1095D75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圆海链藻</w:t>
            </w:r>
          </w:p>
        </w:tc>
        <w:tc>
          <w:tcPr>
            <w:tcW w:w="1398" w:type="pct"/>
            <w:noWrap/>
            <w:vAlign w:val="center"/>
          </w:tcPr>
          <w:p w14:paraId="14501FA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Thalassiosira rotula</w:t>
            </w:r>
          </w:p>
        </w:tc>
        <w:tc>
          <w:tcPr>
            <w:tcW w:w="683" w:type="pct"/>
            <w:noWrap/>
            <w:vAlign w:val="center"/>
          </w:tcPr>
          <w:p w14:paraId="645C42B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47C89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restart"/>
            <w:noWrap/>
            <w:vAlign w:val="center"/>
          </w:tcPr>
          <w:p w14:paraId="15FC0B1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S3</w:t>
            </w:r>
          </w:p>
        </w:tc>
        <w:tc>
          <w:tcPr>
            <w:tcW w:w="403" w:type="pct"/>
            <w:noWrap/>
            <w:vAlign w:val="center"/>
          </w:tcPr>
          <w:p w14:paraId="3F6B3D6C">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085" w:type="pct"/>
            <w:vAlign w:val="center"/>
          </w:tcPr>
          <w:p w14:paraId="2CEFA8B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硅藻门星杆藻属</w:t>
            </w:r>
          </w:p>
        </w:tc>
        <w:tc>
          <w:tcPr>
            <w:tcW w:w="1072" w:type="pct"/>
            <w:noWrap/>
            <w:vAlign w:val="center"/>
          </w:tcPr>
          <w:p w14:paraId="663D6AE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冰河拟星杆藻</w:t>
            </w:r>
          </w:p>
        </w:tc>
        <w:tc>
          <w:tcPr>
            <w:tcW w:w="1398" w:type="pct"/>
            <w:noWrap/>
            <w:vAlign w:val="center"/>
          </w:tcPr>
          <w:p w14:paraId="093C7CC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Amphora coffeaeformis</w:t>
            </w:r>
          </w:p>
        </w:tc>
        <w:tc>
          <w:tcPr>
            <w:tcW w:w="683" w:type="pct"/>
            <w:noWrap/>
            <w:vAlign w:val="center"/>
          </w:tcPr>
          <w:p w14:paraId="73F721EB">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B6C65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3CBEF3B">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34B2FB9">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c>
          <w:tcPr>
            <w:tcW w:w="1085" w:type="pct"/>
            <w:vAlign w:val="center"/>
          </w:tcPr>
          <w:p w14:paraId="5EE92FC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硅藻门辐杆藻属</w:t>
            </w:r>
          </w:p>
        </w:tc>
        <w:tc>
          <w:tcPr>
            <w:tcW w:w="1072" w:type="pct"/>
            <w:noWrap/>
            <w:vAlign w:val="center"/>
          </w:tcPr>
          <w:p w14:paraId="55C0865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透明辐杆藻</w:t>
            </w:r>
          </w:p>
        </w:tc>
        <w:tc>
          <w:tcPr>
            <w:tcW w:w="1398" w:type="pct"/>
            <w:noWrap/>
            <w:vAlign w:val="center"/>
          </w:tcPr>
          <w:p w14:paraId="63FF18D9">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Bacteriastrum hyalinum</w:t>
            </w:r>
          </w:p>
        </w:tc>
        <w:tc>
          <w:tcPr>
            <w:tcW w:w="683" w:type="pct"/>
            <w:noWrap/>
            <w:vAlign w:val="center"/>
          </w:tcPr>
          <w:p w14:paraId="5DA81407">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61CAD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63BAA29">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A353018">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1085" w:type="pct"/>
            <w:vAlign w:val="center"/>
          </w:tcPr>
          <w:p w14:paraId="703A45A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硅藻门盒形藻属</w:t>
            </w:r>
          </w:p>
        </w:tc>
        <w:tc>
          <w:tcPr>
            <w:tcW w:w="1072" w:type="pct"/>
            <w:noWrap/>
            <w:vAlign w:val="center"/>
          </w:tcPr>
          <w:p w14:paraId="6D03298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中华盒形藻</w:t>
            </w:r>
          </w:p>
        </w:tc>
        <w:tc>
          <w:tcPr>
            <w:tcW w:w="1398" w:type="pct"/>
            <w:noWrap/>
            <w:vAlign w:val="center"/>
          </w:tcPr>
          <w:p w14:paraId="1BD5A5C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Biddulphia sinensis</w:t>
            </w:r>
          </w:p>
        </w:tc>
        <w:tc>
          <w:tcPr>
            <w:tcW w:w="683" w:type="pct"/>
            <w:noWrap/>
            <w:vAlign w:val="center"/>
          </w:tcPr>
          <w:p w14:paraId="6A1D07E0">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D6E0B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D490F3C">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7B466EB">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w:t>
            </w:r>
          </w:p>
        </w:tc>
        <w:tc>
          <w:tcPr>
            <w:tcW w:w="1085" w:type="pct"/>
            <w:vAlign w:val="center"/>
          </w:tcPr>
          <w:p w14:paraId="544AABC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7131612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旋链角毛藻</w:t>
            </w:r>
          </w:p>
        </w:tc>
        <w:tc>
          <w:tcPr>
            <w:tcW w:w="1398" w:type="pct"/>
            <w:noWrap/>
            <w:vAlign w:val="center"/>
          </w:tcPr>
          <w:p w14:paraId="3E363DF2">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curvisetus</w:t>
            </w:r>
          </w:p>
        </w:tc>
        <w:tc>
          <w:tcPr>
            <w:tcW w:w="683" w:type="pct"/>
            <w:noWrap/>
            <w:vAlign w:val="center"/>
          </w:tcPr>
          <w:p w14:paraId="6883304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3F367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4BEEAE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D756887">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w:t>
            </w:r>
          </w:p>
        </w:tc>
        <w:tc>
          <w:tcPr>
            <w:tcW w:w="1085" w:type="pct"/>
            <w:vAlign w:val="center"/>
          </w:tcPr>
          <w:p w14:paraId="720A6D1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5BDAA77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中肋角毛藻</w:t>
            </w:r>
          </w:p>
        </w:tc>
        <w:tc>
          <w:tcPr>
            <w:tcW w:w="1398" w:type="pct"/>
            <w:noWrap/>
            <w:vAlign w:val="center"/>
          </w:tcPr>
          <w:p w14:paraId="4BF9F40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costatus</w:t>
            </w:r>
          </w:p>
        </w:tc>
        <w:tc>
          <w:tcPr>
            <w:tcW w:w="683" w:type="pct"/>
            <w:noWrap/>
            <w:vAlign w:val="center"/>
          </w:tcPr>
          <w:p w14:paraId="1CEBBAB5">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407DF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1A334E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44ECBFE">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w:t>
            </w:r>
          </w:p>
        </w:tc>
        <w:tc>
          <w:tcPr>
            <w:tcW w:w="1085" w:type="pct"/>
            <w:vAlign w:val="center"/>
          </w:tcPr>
          <w:p w14:paraId="71B12F9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7445F4D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垂缘角毛藻</w:t>
            </w:r>
          </w:p>
        </w:tc>
        <w:tc>
          <w:tcPr>
            <w:tcW w:w="1398" w:type="pct"/>
            <w:noWrap/>
            <w:vAlign w:val="center"/>
          </w:tcPr>
          <w:p w14:paraId="654A334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laciniosus</w:t>
            </w:r>
          </w:p>
        </w:tc>
        <w:tc>
          <w:tcPr>
            <w:tcW w:w="683" w:type="pct"/>
            <w:noWrap/>
            <w:vAlign w:val="center"/>
          </w:tcPr>
          <w:p w14:paraId="033FE19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08DBD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4D55EC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D5A0EAB">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w:t>
            </w:r>
          </w:p>
        </w:tc>
        <w:tc>
          <w:tcPr>
            <w:tcW w:w="1085" w:type="pct"/>
            <w:vAlign w:val="center"/>
          </w:tcPr>
          <w:p w14:paraId="475D436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11A20F1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北方角毛藻</w:t>
            </w:r>
          </w:p>
        </w:tc>
        <w:tc>
          <w:tcPr>
            <w:tcW w:w="1398" w:type="pct"/>
            <w:noWrap/>
            <w:vAlign w:val="center"/>
          </w:tcPr>
          <w:p w14:paraId="4AD96C53">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borealis</w:t>
            </w:r>
          </w:p>
        </w:tc>
        <w:tc>
          <w:tcPr>
            <w:tcW w:w="683" w:type="pct"/>
            <w:noWrap/>
            <w:vAlign w:val="center"/>
          </w:tcPr>
          <w:p w14:paraId="6D78D55E">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78E3A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1582AD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59FA4D3">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w:t>
            </w:r>
          </w:p>
        </w:tc>
        <w:tc>
          <w:tcPr>
            <w:tcW w:w="1085" w:type="pct"/>
            <w:vAlign w:val="center"/>
          </w:tcPr>
          <w:p w14:paraId="03F2E01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6A785FC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暹罗角毛藻</w:t>
            </w:r>
          </w:p>
        </w:tc>
        <w:tc>
          <w:tcPr>
            <w:tcW w:w="1398" w:type="pct"/>
            <w:noWrap/>
            <w:vAlign w:val="center"/>
          </w:tcPr>
          <w:p w14:paraId="0B3E6494">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siamense</w:t>
            </w:r>
          </w:p>
        </w:tc>
        <w:tc>
          <w:tcPr>
            <w:tcW w:w="683" w:type="pct"/>
            <w:noWrap/>
            <w:vAlign w:val="center"/>
          </w:tcPr>
          <w:p w14:paraId="6A8C3E87">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CD56D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134C22A">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D50224B">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w:t>
            </w:r>
          </w:p>
        </w:tc>
        <w:tc>
          <w:tcPr>
            <w:tcW w:w="1085" w:type="pct"/>
            <w:vAlign w:val="center"/>
          </w:tcPr>
          <w:p w14:paraId="0B00453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硅藻门角管藻属</w:t>
            </w:r>
          </w:p>
        </w:tc>
        <w:tc>
          <w:tcPr>
            <w:tcW w:w="1072" w:type="pct"/>
            <w:noWrap/>
            <w:vAlign w:val="center"/>
          </w:tcPr>
          <w:p w14:paraId="1FF7012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大洋角管藻</w:t>
            </w:r>
          </w:p>
        </w:tc>
        <w:tc>
          <w:tcPr>
            <w:tcW w:w="1398" w:type="pct"/>
            <w:noWrap/>
            <w:vAlign w:val="center"/>
          </w:tcPr>
          <w:p w14:paraId="34118AA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Cerataulina pelagica</w:t>
            </w:r>
          </w:p>
        </w:tc>
        <w:tc>
          <w:tcPr>
            <w:tcW w:w="683" w:type="pct"/>
            <w:noWrap/>
            <w:vAlign w:val="center"/>
          </w:tcPr>
          <w:p w14:paraId="4FCDDCF4">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D1F81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7930B4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F8F0A1B">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1085" w:type="pct"/>
            <w:vAlign w:val="center"/>
          </w:tcPr>
          <w:p w14:paraId="5D67768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硅藻门圆筛藻属</w:t>
            </w:r>
          </w:p>
        </w:tc>
        <w:tc>
          <w:tcPr>
            <w:tcW w:w="1072" w:type="pct"/>
            <w:noWrap/>
            <w:vAlign w:val="center"/>
          </w:tcPr>
          <w:p w14:paraId="3FF5F52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圆筛藻</w:t>
            </w:r>
          </w:p>
        </w:tc>
        <w:tc>
          <w:tcPr>
            <w:tcW w:w="1398" w:type="pct"/>
            <w:noWrap/>
            <w:vAlign w:val="center"/>
          </w:tcPr>
          <w:p w14:paraId="4674B3DD">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 xml:space="preserve">Coscinodiscus </w:t>
            </w:r>
            <w:r>
              <w:rPr>
                <w:color w:val="000000" w:themeColor="text1"/>
                <w:kern w:val="0"/>
                <w:sz w:val="21"/>
                <w:szCs w:val="21"/>
                <w14:textFill>
                  <w14:solidFill>
                    <w14:schemeClr w14:val="tx1"/>
                  </w14:solidFill>
                </w14:textFill>
              </w:rPr>
              <w:t>sp.</w:t>
            </w:r>
          </w:p>
        </w:tc>
        <w:tc>
          <w:tcPr>
            <w:tcW w:w="683" w:type="pct"/>
            <w:noWrap/>
            <w:vAlign w:val="center"/>
          </w:tcPr>
          <w:p w14:paraId="7552E544">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2621D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B5DCADD">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AECE964">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w:t>
            </w:r>
          </w:p>
        </w:tc>
        <w:tc>
          <w:tcPr>
            <w:tcW w:w="1085" w:type="pct"/>
            <w:vAlign w:val="center"/>
          </w:tcPr>
          <w:p w14:paraId="2C1974A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硅藻门圆筛藻属</w:t>
            </w:r>
          </w:p>
        </w:tc>
        <w:tc>
          <w:tcPr>
            <w:tcW w:w="1072" w:type="pct"/>
            <w:noWrap/>
            <w:vAlign w:val="center"/>
          </w:tcPr>
          <w:p w14:paraId="0D55962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具边线型圆筛藻</w:t>
            </w:r>
          </w:p>
        </w:tc>
        <w:tc>
          <w:tcPr>
            <w:tcW w:w="1398" w:type="pct"/>
            <w:noWrap/>
            <w:vAlign w:val="center"/>
          </w:tcPr>
          <w:p w14:paraId="495E78A1">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Coscinodiscus marginato-lineatus</w:t>
            </w:r>
          </w:p>
        </w:tc>
        <w:tc>
          <w:tcPr>
            <w:tcW w:w="683" w:type="pct"/>
            <w:noWrap/>
            <w:vAlign w:val="center"/>
          </w:tcPr>
          <w:p w14:paraId="62E224B8">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03ACD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2D04F35">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127CE74">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w:t>
            </w:r>
          </w:p>
        </w:tc>
        <w:tc>
          <w:tcPr>
            <w:tcW w:w="1085" w:type="pct"/>
            <w:vAlign w:val="center"/>
          </w:tcPr>
          <w:p w14:paraId="24B39E9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硅藻门圆筛藻属</w:t>
            </w:r>
          </w:p>
        </w:tc>
        <w:tc>
          <w:tcPr>
            <w:tcW w:w="1072" w:type="pct"/>
            <w:noWrap/>
            <w:vAlign w:val="center"/>
          </w:tcPr>
          <w:p w14:paraId="38D6C1D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有翼圆筛藻</w:t>
            </w:r>
          </w:p>
        </w:tc>
        <w:tc>
          <w:tcPr>
            <w:tcW w:w="1398" w:type="pct"/>
            <w:noWrap/>
            <w:vAlign w:val="center"/>
          </w:tcPr>
          <w:p w14:paraId="6869468B">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Coscinodiscus bipartitus</w:t>
            </w:r>
          </w:p>
        </w:tc>
        <w:tc>
          <w:tcPr>
            <w:tcW w:w="683" w:type="pct"/>
            <w:noWrap/>
            <w:vAlign w:val="center"/>
          </w:tcPr>
          <w:p w14:paraId="65D68C5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C0DEA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900088D">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23B5DC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w:t>
            </w:r>
          </w:p>
        </w:tc>
        <w:tc>
          <w:tcPr>
            <w:tcW w:w="1085" w:type="pct"/>
            <w:vAlign w:val="center"/>
          </w:tcPr>
          <w:p w14:paraId="20AADB3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硅藻门小环藻属</w:t>
            </w:r>
          </w:p>
        </w:tc>
        <w:tc>
          <w:tcPr>
            <w:tcW w:w="1072" w:type="pct"/>
            <w:noWrap/>
            <w:vAlign w:val="center"/>
          </w:tcPr>
          <w:p w14:paraId="33F7910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条纹小环藻</w:t>
            </w:r>
          </w:p>
        </w:tc>
        <w:tc>
          <w:tcPr>
            <w:tcW w:w="1398" w:type="pct"/>
            <w:noWrap/>
            <w:vAlign w:val="center"/>
          </w:tcPr>
          <w:p w14:paraId="0931CA7D">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Cyclotella striata</w:t>
            </w:r>
          </w:p>
        </w:tc>
        <w:tc>
          <w:tcPr>
            <w:tcW w:w="683" w:type="pct"/>
            <w:noWrap/>
            <w:vAlign w:val="center"/>
          </w:tcPr>
          <w:p w14:paraId="1598A869">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A1FC9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3DBAF93">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76DFDE6">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w:t>
            </w:r>
          </w:p>
        </w:tc>
        <w:tc>
          <w:tcPr>
            <w:tcW w:w="1085" w:type="pct"/>
            <w:vAlign w:val="center"/>
          </w:tcPr>
          <w:p w14:paraId="090FA39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硅藻门双尾藻属</w:t>
            </w:r>
          </w:p>
        </w:tc>
        <w:tc>
          <w:tcPr>
            <w:tcW w:w="1072" w:type="pct"/>
            <w:noWrap/>
            <w:vAlign w:val="center"/>
          </w:tcPr>
          <w:p w14:paraId="772D3E4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布氏双尾藻</w:t>
            </w:r>
          </w:p>
        </w:tc>
        <w:tc>
          <w:tcPr>
            <w:tcW w:w="1398" w:type="pct"/>
            <w:noWrap/>
            <w:vAlign w:val="center"/>
          </w:tcPr>
          <w:p w14:paraId="46A00286">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Ditylum brightwellii</w:t>
            </w:r>
          </w:p>
        </w:tc>
        <w:tc>
          <w:tcPr>
            <w:tcW w:w="683" w:type="pct"/>
            <w:noWrap/>
            <w:vAlign w:val="center"/>
          </w:tcPr>
          <w:p w14:paraId="35DBBD9E">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34180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D0BD961">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74A1311">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w:t>
            </w:r>
          </w:p>
        </w:tc>
        <w:tc>
          <w:tcPr>
            <w:tcW w:w="1085" w:type="pct"/>
            <w:vAlign w:val="center"/>
          </w:tcPr>
          <w:p w14:paraId="05A301A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硅藻门几内亚藻属</w:t>
            </w:r>
          </w:p>
        </w:tc>
        <w:tc>
          <w:tcPr>
            <w:tcW w:w="1072" w:type="pct"/>
            <w:noWrap/>
            <w:vAlign w:val="center"/>
          </w:tcPr>
          <w:p w14:paraId="4FC9968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条纹几内亚藻</w:t>
            </w:r>
          </w:p>
        </w:tc>
        <w:tc>
          <w:tcPr>
            <w:tcW w:w="1398" w:type="pct"/>
            <w:noWrap/>
            <w:vAlign w:val="center"/>
          </w:tcPr>
          <w:p w14:paraId="608FA20F">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Guinardia  striata</w:t>
            </w:r>
          </w:p>
        </w:tc>
        <w:tc>
          <w:tcPr>
            <w:tcW w:w="683" w:type="pct"/>
            <w:noWrap/>
            <w:vAlign w:val="center"/>
          </w:tcPr>
          <w:p w14:paraId="5C3FA53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2E020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22519AA">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0F6AE74">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w:t>
            </w:r>
          </w:p>
        </w:tc>
        <w:tc>
          <w:tcPr>
            <w:tcW w:w="1085" w:type="pct"/>
            <w:vAlign w:val="center"/>
          </w:tcPr>
          <w:p w14:paraId="7007691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硅藻门半管藻属</w:t>
            </w:r>
          </w:p>
        </w:tc>
        <w:tc>
          <w:tcPr>
            <w:tcW w:w="1072" w:type="pct"/>
            <w:noWrap/>
            <w:vAlign w:val="center"/>
          </w:tcPr>
          <w:p w14:paraId="6E4A87B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中华半管藻</w:t>
            </w:r>
          </w:p>
        </w:tc>
        <w:tc>
          <w:tcPr>
            <w:tcW w:w="1398" w:type="pct"/>
            <w:noWrap/>
            <w:vAlign w:val="center"/>
          </w:tcPr>
          <w:p w14:paraId="50332E3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Hemiaulus sinensis</w:t>
            </w:r>
          </w:p>
        </w:tc>
        <w:tc>
          <w:tcPr>
            <w:tcW w:w="683" w:type="pct"/>
            <w:noWrap/>
            <w:vAlign w:val="center"/>
          </w:tcPr>
          <w:p w14:paraId="0C1EE1E0">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603C1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BDF77BA">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75F659D">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w:t>
            </w:r>
          </w:p>
        </w:tc>
        <w:tc>
          <w:tcPr>
            <w:tcW w:w="1085" w:type="pct"/>
            <w:vAlign w:val="center"/>
          </w:tcPr>
          <w:p w14:paraId="236175B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硅藻门半管藻属</w:t>
            </w:r>
          </w:p>
        </w:tc>
        <w:tc>
          <w:tcPr>
            <w:tcW w:w="1072" w:type="pct"/>
            <w:noWrap/>
            <w:vAlign w:val="center"/>
          </w:tcPr>
          <w:p w14:paraId="13A041D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膜质半管藻</w:t>
            </w:r>
          </w:p>
        </w:tc>
        <w:tc>
          <w:tcPr>
            <w:tcW w:w="1398" w:type="pct"/>
            <w:noWrap/>
            <w:vAlign w:val="center"/>
          </w:tcPr>
          <w:p w14:paraId="472C93A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Hemiaulus membranacus</w:t>
            </w:r>
          </w:p>
        </w:tc>
        <w:tc>
          <w:tcPr>
            <w:tcW w:w="683" w:type="pct"/>
            <w:noWrap/>
            <w:vAlign w:val="center"/>
          </w:tcPr>
          <w:p w14:paraId="4DF9BF61">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8C27F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634856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96E2685">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w:t>
            </w:r>
          </w:p>
        </w:tc>
        <w:tc>
          <w:tcPr>
            <w:tcW w:w="1085" w:type="pct"/>
            <w:vAlign w:val="center"/>
          </w:tcPr>
          <w:p w14:paraId="3C91918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硅藻门娄氏藻属</w:t>
            </w:r>
          </w:p>
        </w:tc>
        <w:tc>
          <w:tcPr>
            <w:tcW w:w="1072" w:type="pct"/>
            <w:noWrap/>
            <w:vAlign w:val="center"/>
          </w:tcPr>
          <w:p w14:paraId="06DC574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环纹娄氏藻</w:t>
            </w:r>
          </w:p>
        </w:tc>
        <w:tc>
          <w:tcPr>
            <w:tcW w:w="1398" w:type="pct"/>
            <w:noWrap/>
            <w:vAlign w:val="center"/>
          </w:tcPr>
          <w:p w14:paraId="6C11BC5D">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Lauderia annulata</w:t>
            </w:r>
          </w:p>
        </w:tc>
        <w:tc>
          <w:tcPr>
            <w:tcW w:w="683" w:type="pct"/>
            <w:noWrap/>
            <w:vAlign w:val="center"/>
          </w:tcPr>
          <w:p w14:paraId="1D02A611">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61E6E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1488E63">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DAFAC47">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w:t>
            </w:r>
          </w:p>
        </w:tc>
        <w:tc>
          <w:tcPr>
            <w:tcW w:w="1085" w:type="pct"/>
            <w:vAlign w:val="center"/>
          </w:tcPr>
          <w:p w14:paraId="05DEF27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硅藻门细柱藻属</w:t>
            </w:r>
          </w:p>
        </w:tc>
        <w:tc>
          <w:tcPr>
            <w:tcW w:w="1072" w:type="pct"/>
            <w:noWrap/>
            <w:vAlign w:val="center"/>
          </w:tcPr>
          <w:p w14:paraId="359D84B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丹麦细柱藻</w:t>
            </w:r>
          </w:p>
        </w:tc>
        <w:tc>
          <w:tcPr>
            <w:tcW w:w="1398" w:type="pct"/>
            <w:noWrap/>
            <w:vAlign w:val="center"/>
          </w:tcPr>
          <w:p w14:paraId="472A1B48">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Leptocylindrus danicus</w:t>
            </w:r>
          </w:p>
        </w:tc>
        <w:tc>
          <w:tcPr>
            <w:tcW w:w="683" w:type="pct"/>
            <w:noWrap/>
            <w:vAlign w:val="center"/>
          </w:tcPr>
          <w:p w14:paraId="67316162">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59EFD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4DA7110">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6AB501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c>
          <w:tcPr>
            <w:tcW w:w="1085" w:type="pct"/>
            <w:vAlign w:val="center"/>
          </w:tcPr>
          <w:p w14:paraId="00F5B8B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硅藻门缪氏藻属</w:t>
            </w:r>
          </w:p>
        </w:tc>
        <w:tc>
          <w:tcPr>
            <w:tcW w:w="1072" w:type="pct"/>
            <w:noWrap/>
            <w:vAlign w:val="center"/>
          </w:tcPr>
          <w:p w14:paraId="2039999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膜状缪氏藻</w:t>
            </w:r>
          </w:p>
        </w:tc>
        <w:tc>
          <w:tcPr>
            <w:tcW w:w="1398" w:type="pct"/>
            <w:noWrap/>
            <w:vAlign w:val="center"/>
          </w:tcPr>
          <w:p w14:paraId="24DABF35">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Meuniera membranacea</w:t>
            </w:r>
          </w:p>
        </w:tc>
        <w:tc>
          <w:tcPr>
            <w:tcW w:w="683" w:type="pct"/>
            <w:noWrap/>
            <w:vAlign w:val="center"/>
          </w:tcPr>
          <w:p w14:paraId="4A9A266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C4DC1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9D51BC4">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A6066C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w:t>
            </w:r>
          </w:p>
        </w:tc>
        <w:tc>
          <w:tcPr>
            <w:tcW w:w="1085" w:type="pct"/>
            <w:vAlign w:val="center"/>
          </w:tcPr>
          <w:p w14:paraId="60D238B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硅藻门斜纹藻属</w:t>
            </w:r>
          </w:p>
        </w:tc>
        <w:tc>
          <w:tcPr>
            <w:tcW w:w="1072" w:type="pct"/>
            <w:noWrap/>
            <w:vAlign w:val="center"/>
          </w:tcPr>
          <w:p w14:paraId="3CFB1E7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端尖斜纹藻</w:t>
            </w:r>
          </w:p>
        </w:tc>
        <w:tc>
          <w:tcPr>
            <w:tcW w:w="1398" w:type="pct"/>
            <w:noWrap/>
            <w:vAlign w:val="center"/>
          </w:tcPr>
          <w:p w14:paraId="57453346">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Pleurosigma acautum</w:t>
            </w:r>
          </w:p>
        </w:tc>
        <w:tc>
          <w:tcPr>
            <w:tcW w:w="683" w:type="pct"/>
            <w:noWrap/>
            <w:vAlign w:val="center"/>
          </w:tcPr>
          <w:p w14:paraId="7BAFAD99">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DF269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EBF213F">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371EC3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w:t>
            </w:r>
          </w:p>
        </w:tc>
        <w:tc>
          <w:tcPr>
            <w:tcW w:w="1085" w:type="pct"/>
            <w:vAlign w:val="center"/>
          </w:tcPr>
          <w:p w14:paraId="2FE1069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硅藻门拟菱形藻属</w:t>
            </w:r>
          </w:p>
        </w:tc>
        <w:tc>
          <w:tcPr>
            <w:tcW w:w="1072" w:type="pct"/>
            <w:noWrap/>
            <w:vAlign w:val="center"/>
          </w:tcPr>
          <w:p w14:paraId="16D5698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尖刺拟菱形藻</w:t>
            </w:r>
          </w:p>
        </w:tc>
        <w:tc>
          <w:tcPr>
            <w:tcW w:w="1398" w:type="pct"/>
            <w:noWrap/>
            <w:vAlign w:val="center"/>
          </w:tcPr>
          <w:p w14:paraId="524CE2AB">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Pseudo-nitzschia pungens</w:t>
            </w:r>
          </w:p>
        </w:tc>
        <w:tc>
          <w:tcPr>
            <w:tcW w:w="683" w:type="pct"/>
            <w:noWrap/>
            <w:vAlign w:val="center"/>
          </w:tcPr>
          <w:p w14:paraId="33A4CDF0">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8C095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F292A5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6BB9080">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w:t>
            </w:r>
          </w:p>
        </w:tc>
        <w:tc>
          <w:tcPr>
            <w:tcW w:w="1085" w:type="pct"/>
            <w:vAlign w:val="center"/>
          </w:tcPr>
          <w:p w14:paraId="479A9C2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0A349D8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翼根管藻纤细变型</w:t>
            </w:r>
          </w:p>
        </w:tc>
        <w:tc>
          <w:tcPr>
            <w:tcW w:w="1398" w:type="pct"/>
            <w:noWrap/>
            <w:vAlign w:val="center"/>
          </w:tcPr>
          <w:p w14:paraId="617DA32B">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alata</w:t>
            </w:r>
            <w:r>
              <w:rPr>
                <w:color w:val="000000" w:themeColor="text1"/>
                <w:kern w:val="0"/>
                <w:sz w:val="21"/>
                <w:szCs w:val="21"/>
                <w14:textFill>
                  <w14:solidFill>
                    <w14:schemeClr w14:val="tx1"/>
                  </w14:solidFill>
                </w14:textFill>
              </w:rPr>
              <w:t xml:space="preserve"> f. </w:t>
            </w:r>
            <w:r>
              <w:rPr>
                <w:i/>
                <w:iCs/>
                <w:color w:val="000000" w:themeColor="text1"/>
                <w:kern w:val="0"/>
                <w:sz w:val="21"/>
                <w:szCs w:val="21"/>
                <w14:textFill>
                  <w14:solidFill>
                    <w14:schemeClr w14:val="tx1"/>
                  </w14:solidFill>
                </w14:textFill>
              </w:rPr>
              <w:t>gracillima</w:t>
            </w:r>
          </w:p>
        </w:tc>
        <w:tc>
          <w:tcPr>
            <w:tcW w:w="683" w:type="pct"/>
            <w:noWrap/>
            <w:vAlign w:val="center"/>
          </w:tcPr>
          <w:p w14:paraId="1E9B68E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D11AA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FAD07D8">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4C2E0A5">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w:t>
            </w:r>
          </w:p>
        </w:tc>
        <w:tc>
          <w:tcPr>
            <w:tcW w:w="1085" w:type="pct"/>
            <w:vAlign w:val="center"/>
          </w:tcPr>
          <w:p w14:paraId="5194E8F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7296D4F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柔弱根管藻</w:t>
            </w:r>
          </w:p>
        </w:tc>
        <w:tc>
          <w:tcPr>
            <w:tcW w:w="1398" w:type="pct"/>
            <w:noWrap/>
            <w:vAlign w:val="center"/>
          </w:tcPr>
          <w:p w14:paraId="33EB52F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delicatula</w:t>
            </w:r>
          </w:p>
        </w:tc>
        <w:tc>
          <w:tcPr>
            <w:tcW w:w="683" w:type="pct"/>
            <w:noWrap/>
            <w:vAlign w:val="center"/>
          </w:tcPr>
          <w:p w14:paraId="6EAC9921">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3EDE4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64D56CA">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4EB3BDA">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w:t>
            </w:r>
          </w:p>
        </w:tc>
        <w:tc>
          <w:tcPr>
            <w:tcW w:w="1085" w:type="pct"/>
            <w:vAlign w:val="center"/>
          </w:tcPr>
          <w:p w14:paraId="4F808D3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1D49ACF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脆根管藻</w:t>
            </w:r>
          </w:p>
        </w:tc>
        <w:tc>
          <w:tcPr>
            <w:tcW w:w="1398" w:type="pct"/>
            <w:noWrap/>
            <w:vAlign w:val="center"/>
          </w:tcPr>
          <w:p w14:paraId="4F08A457">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fragilissima</w:t>
            </w:r>
          </w:p>
        </w:tc>
        <w:tc>
          <w:tcPr>
            <w:tcW w:w="683" w:type="pct"/>
            <w:noWrap/>
            <w:vAlign w:val="center"/>
          </w:tcPr>
          <w:p w14:paraId="13E1DB2F">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89563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27A9169">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7DCD010">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w:t>
            </w:r>
          </w:p>
        </w:tc>
        <w:tc>
          <w:tcPr>
            <w:tcW w:w="1085" w:type="pct"/>
            <w:vAlign w:val="center"/>
          </w:tcPr>
          <w:p w14:paraId="518924F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6CD75F8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中华根管藻</w:t>
            </w:r>
          </w:p>
        </w:tc>
        <w:tc>
          <w:tcPr>
            <w:tcW w:w="1398" w:type="pct"/>
            <w:noWrap/>
            <w:vAlign w:val="center"/>
          </w:tcPr>
          <w:p w14:paraId="5296E790">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sinensis</w:t>
            </w:r>
          </w:p>
        </w:tc>
        <w:tc>
          <w:tcPr>
            <w:tcW w:w="683" w:type="pct"/>
            <w:noWrap/>
            <w:vAlign w:val="center"/>
          </w:tcPr>
          <w:p w14:paraId="4366679F">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96711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2C660CA">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B5800CC">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w:t>
            </w:r>
          </w:p>
        </w:tc>
        <w:tc>
          <w:tcPr>
            <w:tcW w:w="1085" w:type="pct"/>
            <w:vAlign w:val="center"/>
          </w:tcPr>
          <w:p w14:paraId="6BF94DA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71DC8FB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刚毛根管藻</w:t>
            </w:r>
          </w:p>
        </w:tc>
        <w:tc>
          <w:tcPr>
            <w:tcW w:w="1398" w:type="pct"/>
            <w:noWrap/>
            <w:vAlign w:val="center"/>
          </w:tcPr>
          <w:p w14:paraId="06B82F09">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setigera</w:t>
            </w:r>
          </w:p>
        </w:tc>
        <w:tc>
          <w:tcPr>
            <w:tcW w:w="683" w:type="pct"/>
            <w:noWrap/>
            <w:vAlign w:val="center"/>
          </w:tcPr>
          <w:p w14:paraId="2B69845A">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63C14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239F816">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E45CE30">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28</w:t>
            </w:r>
          </w:p>
        </w:tc>
        <w:tc>
          <w:tcPr>
            <w:tcW w:w="1085" w:type="pct"/>
            <w:vAlign w:val="center"/>
          </w:tcPr>
          <w:p w14:paraId="53CCA6A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硅藻门骨条藻属</w:t>
            </w:r>
          </w:p>
        </w:tc>
        <w:tc>
          <w:tcPr>
            <w:tcW w:w="1072" w:type="pct"/>
            <w:noWrap/>
            <w:vAlign w:val="center"/>
          </w:tcPr>
          <w:p w14:paraId="639F8B2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中肋骨条藻</w:t>
            </w:r>
          </w:p>
        </w:tc>
        <w:tc>
          <w:tcPr>
            <w:tcW w:w="1398" w:type="pct"/>
            <w:noWrap/>
            <w:vAlign w:val="center"/>
          </w:tcPr>
          <w:p w14:paraId="4E289D4C">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Skeletonema costatum</w:t>
            </w:r>
          </w:p>
        </w:tc>
        <w:tc>
          <w:tcPr>
            <w:tcW w:w="683" w:type="pct"/>
            <w:noWrap/>
            <w:vAlign w:val="center"/>
          </w:tcPr>
          <w:p w14:paraId="789F99A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ECFCA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A0CD508">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C6F0FA6">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w:t>
            </w:r>
          </w:p>
        </w:tc>
        <w:tc>
          <w:tcPr>
            <w:tcW w:w="1085" w:type="pct"/>
            <w:vAlign w:val="center"/>
          </w:tcPr>
          <w:p w14:paraId="5D57A23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硅藻门海线藻属</w:t>
            </w:r>
          </w:p>
        </w:tc>
        <w:tc>
          <w:tcPr>
            <w:tcW w:w="1072" w:type="pct"/>
            <w:noWrap/>
            <w:vAlign w:val="center"/>
          </w:tcPr>
          <w:p w14:paraId="0E63B0E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菱形海线藻</w:t>
            </w:r>
          </w:p>
        </w:tc>
        <w:tc>
          <w:tcPr>
            <w:tcW w:w="1398" w:type="pct"/>
            <w:noWrap/>
            <w:vAlign w:val="center"/>
          </w:tcPr>
          <w:p w14:paraId="226BE5E0">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Thalassionema nitzschioides</w:t>
            </w:r>
          </w:p>
        </w:tc>
        <w:tc>
          <w:tcPr>
            <w:tcW w:w="683" w:type="pct"/>
            <w:noWrap/>
            <w:vAlign w:val="center"/>
          </w:tcPr>
          <w:p w14:paraId="184D1915">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B6787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5E602A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1D7941E">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w:t>
            </w:r>
          </w:p>
        </w:tc>
        <w:tc>
          <w:tcPr>
            <w:tcW w:w="1085" w:type="pct"/>
            <w:vAlign w:val="center"/>
          </w:tcPr>
          <w:p w14:paraId="4BC84FA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硅藻门海毛藻属</w:t>
            </w:r>
          </w:p>
        </w:tc>
        <w:tc>
          <w:tcPr>
            <w:tcW w:w="1072" w:type="pct"/>
            <w:noWrap/>
            <w:vAlign w:val="center"/>
          </w:tcPr>
          <w:p w14:paraId="2903279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佛氏海毛藻</w:t>
            </w:r>
          </w:p>
        </w:tc>
        <w:tc>
          <w:tcPr>
            <w:tcW w:w="1398" w:type="pct"/>
            <w:noWrap/>
            <w:vAlign w:val="center"/>
          </w:tcPr>
          <w:p w14:paraId="0EA81490">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Thalassiothrix frauenfeldii</w:t>
            </w:r>
          </w:p>
        </w:tc>
        <w:tc>
          <w:tcPr>
            <w:tcW w:w="683" w:type="pct"/>
            <w:noWrap/>
            <w:vAlign w:val="center"/>
          </w:tcPr>
          <w:p w14:paraId="654B5C9C">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B6BEA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5FB777A">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FEAEDED">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31</w:t>
            </w:r>
          </w:p>
        </w:tc>
        <w:tc>
          <w:tcPr>
            <w:tcW w:w="1085" w:type="pct"/>
            <w:vAlign w:val="center"/>
          </w:tcPr>
          <w:p w14:paraId="26E369E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硅藻门海毛藻属</w:t>
            </w:r>
          </w:p>
        </w:tc>
        <w:tc>
          <w:tcPr>
            <w:tcW w:w="1072" w:type="pct"/>
            <w:noWrap/>
            <w:vAlign w:val="center"/>
          </w:tcPr>
          <w:p w14:paraId="4592C64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长海毛藻</w:t>
            </w:r>
          </w:p>
        </w:tc>
        <w:tc>
          <w:tcPr>
            <w:tcW w:w="1398" w:type="pct"/>
            <w:noWrap/>
            <w:vAlign w:val="center"/>
          </w:tcPr>
          <w:p w14:paraId="341442A8">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Thalassiothrix longissima</w:t>
            </w:r>
          </w:p>
        </w:tc>
        <w:tc>
          <w:tcPr>
            <w:tcW w:w="683" w:type="pct"/>
            <w:noWrap/>
            <w:vAlign w:val="center"/>
          </w:tcPr>
          <w:p w14:paraId="767090CD">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F3839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811008C">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D012DC9">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32</w:t>
            </w:r>
          </w:p>
        </w:tc>
        <w:tc>
          <w:tcPr>
            <w:tcW w:w="1085" w:type="pct"/>
            <w:vAlign w:val="center"/>
          </w:tcPr>
          <w:p w14:paraId="11E42F2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硅藻门海链藻属</w:t>
            </w:r>
          </w:p>
        </w:tc>
        <w:tc>
          <w:tcPr>
            <w:tcW w:w="1072" w:type="pct"/>
            <w:noWrap/>
            <w:vAlign w:val="center"/>
          </w:tcPr>
          <w:p w14:paraId="34C7770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细弱海链藻</w:t>
            </w:r>
          </w:p>
        </w:tc>
        <w:tc>
          <w:tcPr>
            <w:tcW w:w="1398" w:type="pct"/>
            <w:noWrap/>
            <w:vAlign w:val="center"/>
          </w:tcPr>
          <w:p w14:paraId="41558DBB">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Thalassiosira subtilis</w:t>
            </w:r>
          </w:p>
        </w:tc>
        <w:tc>
          <w:tcPr>
            <w:tcW w:w="683" w:type="pct"/>
            <w:noWrap/>
            <w:vAlign w:val="center"/>
          </w:tcPr>
          <w:p w14:paraId="772EE7C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AFFCA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66970C3">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C0CE233">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33</w:t>
            </w:r>
          </w:p>
        </w:tc>
        <w:tc>
          <w:tcPr>
            <w:tcW w:w="1085" w:type="pct"/>
            <w:vAlign w:val="center"/>
          </w:tcPr>
          <w:p w14:paraId="2CD14C3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硅藻门海链藻属</w:t>
            </w:r>
          </w:p>
        </w:tc>
        <w:tc>
          <w:tcPr>
            <w:tcW w:w="1072" w:type="pct"/>
            <w:noWrap/>
            <w:vAlign w:val="center"/>
          </w:tcPr>
          <w:p w14:paraId="6A28E50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圆海链藻</w:t>
            </w:r>
          </w:p>
        </w:tc>
        <w:tc>
          <w:tcPr>
            <w:tcW w:w="1398" w:type="pct"/>
            <w:noWrap/>
            <w:vAlign w:val="center"/>
          </w:tcPr>
          <w:p w14:paraId="7BA47CF0">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Thalassiosira rotula</w:t>
            </w:r>
          </w:p>
        </w:tc>
        <w:tc>
          <w:tcPr>
            <w:tcW w:w="683" w:type="pct"/>
            <w:noWrap/>
            <w:vAlign w:val="center"/>
          </w:tcPr>
          <w:p w14:paraId="63E8CEE8">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4A543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BC807BC">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477581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34</w:t>
            </w:r>
          </w:p>
        </w:tc>
        <w:tc>
          <w:tcPr>
            <w:tcW w:w="1085" w:type="pct"/>
            <w:vAlign w:val="center"/>
          </w:tcPr>
          <w:p w14:paraId="61CD3E6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甲藻门多甲藻属</w:t>
            </w:r>
          </w:p>
        </w:tc>
        <w:tc>
          <w:tcPr>
            <w:tcW w:w="1072" w:type="pct"/>
            <w:noWrap/>
            <w:vAlign w:val="center"/>
          </w:tcPr>
          <w:p w14:paraId="2E1F55A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叉分多甲藻</w:t>
            </w:r>
          </w:p>
        </w:tc>
        <w:tc>
          <w:tcPr>
            <w:tcW w:w="1398" w:type="pct"/>
            <w:noWrap/>
            <w:vAlign w:val="center"/>
          </w:tcPr>
          <w:p w14:paraId="6D36D708">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Peridinium divergens</w:t>
            </w:r>
          </w:p>
        </w:tc>
        <w:tc>
          <w:tcPr>
            <w:tcW w:w="683" w:type="pct"/>
            <w:noWrap/>
            <w:vAlign w:val="center"/>
          </w:tcPr>
          <w:p w14:paraId="52F62445">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A7D78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restart"/>
            <w:noWrap/>
            <w:vAlign w:val="center"/>
          </w:tcPr>
          <w:p w14:paraId="69A0954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S4</w:t>
            </w:r>
          </w:p>
        </w:tc>
        <w:tc>
          <w:tcPr>
            <w:tcW w:w="403" w:type="pct"/>
            <w:noWrap/>
            <w:vAlign w:val="center"/>
          </w:tcPr>
          <w:p w14:paraId="1FA46E34">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085" w:type="pct"/>
            <w:vAlign w:val="center"/>
          </w:tcPr>
          <w:p w14:paraId="790172C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硅藻门星杆藻属</w:t>
            </w:r>
          </w:p>
        </w:tc>
        <w:tc>
          <w:tcPr>
            <w:tcW w:w="1072" w:type="pct"/>
            <w:noWrap/>
            <w:vAlign w:val="center"/>
          </w:tcPr>
          <w:p w14:paraId="153C062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冰河拟星杆藻</w:t>
            </w:r>
          </w:p>
        </w:tc>
        <w:tc>
          <w:tcPr>
            <w:tcW w:w="1398" w:type="pct"/>
            <w:noWrap/>
            <w:vAlign w:val="center"/>
          </w:tcPr>
          <w:p w14:paraId="12D89D1D">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Amphora coffeaeformis</w:t>
            </w:r>
          </w:p>
        </w:tc>
        <w:tc>
          <w:tcPr>
            <w:tcW w:w="683" w:type="pct"/>
            <w:noWrap/>
            <w:vAlign w:val="center"/>
          </w:tcPr>
          <w:p w14:paraId="26690A85">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EF732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4D34469">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F4903CD">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c>
          <w:tcPr>
            <w:tcW w:w="1085" w:type="pct"/>
            <w:vAlign w:val="center"/>
          </w:tcPr>
          <w:p w14:paraId="2F33873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硅藻门盒形藻属</w:t>
            </w:r>
          </w:p>
        </w:tc>
        <w:tc>
          <w:tcPr>
            <w:tcW w:w="1072" w:type="pct"/>
            <w:noWrap/>
            <w:vAlign w:val="center"/>
          </w:tcPr>
          <w:p w14:paraId="528647B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中华盒形藻</w:t>
            </w:r>
          </w:p>
        </w:tc>
        <w:tc>
          <w:tcPr>
            <w:tcW w:w="1398" w:type="pct"/>
            <w:noWrap/>
            <w:vAlign w:val="center"/>
          </w:tcPr>
          <w:p w14:paraId="45E82DA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Biddulphia sinensis</w:t>
            </w:r>
          </w:p>
        </w:tc>
        <w:tc>
          <w:tcPr>
            <w:tcW w:w="683" w:type="pct"/>
            <w:noWrap/>
            <w:vAlign w:val="center"/>
          </w:tcPr>
          <w:p w14:paraId="3D4783EA">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786A1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69BFDA4">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F76A8E6">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1085" w:type="pct"/>
            <w:vAlign w:val="center"/>
          </w:tcPr>
          <w:p w14:paraId="342D2FD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6B9C74A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范氏角毛藻</w:t>
            </w:r>
          </w:p>
        </w:tc>
        <w:tc>
          <w:tcPr>
            <w:tcW w:w="1398" w:type="pct"/>
            <w:noWrap/>
            <w:vAlign w:val="center"/>
          </w:tcPr>
          <w:p w14:paraId="4FB2C24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van-heurckii</w:t>
            </w:r>
          </w:p>
        </w:tc>
        <w:tc>
          <w:tcPr>
            <w:tcW w:w="683" w:type="pct"/>
            <w:noWrap/>
            <w:vAlign w:val="center"/>
          </w:tcPr>
          <w:p w14:paraId="6089AFF0">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74BC5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6F63B1A">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9FEBFE4">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w:t>
            </w:r>
          </w:p>
        </w:tc>
        <w:tc>
          <w:tcPr>
            <w:tcW w:w="1085" w:type="pct"/>
            <w:vAlign w:val="center"/>
          </w:tcPr>
          <w:p w14:paraId="37D53AE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2A7F3AC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旋链角毛藻</w:t>
            </w:r>
          </w:p>
        </w:tc>
        <w:tc>
          <w:tcPr>
            <w:tcW w:w="1398" w:type="pct"/>
            <w:noWrap/>
            <w:vAlign w:val="center"/>
          </w:tcPr>
          <w:p w14:paraId="54D5BA70">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curvisetus</w:t>
            </w:r>
          </w:p>
        </w:tc>
        <w:tc>
          <w:tcPr>
            <w:tcW w:w="683" w:type="pct"/>
            <w:noWrap/>
            <w:vAlign w:val="center"/>
          </w:tcPr>
          <w:p w14:paraId="73CAAE42">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831E6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48B34E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FE4C0AB">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w:t>
            </w:r>
          </w:p>
        </w:tc>
        <w:tc>
          <w:tcPr>
            <w:tcW w:w="1085" w:type="pct"/>
            <w:vAlign w:val="center"/>
          </w:tcPr>
          <w:p w14:paraId="2BE1FEF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278ABB0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柔弱角毛藻</w:t>
            </w:r>
          </w:p>
        </w:tc>
        <w:tc>
          <w:tcPr>
            <w:tcW w:w="1398" w:type="pct"/>
            <w:noWrap/>
            <w:vAlign w:val="center"/>
          </w:tcPr>
          <w:p w14:paraId="293262C7">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debilis</w:t>
            </w:r>
          </w:p>
        </w:tc>
        <w:tc>
          <w:tcPr>
            <w:tcW w:w="683" w:type="pct"/>
            <w:noWrap/>
            <w:vAlign w:val="center"/>
          </w:tcPr>
          <w:p w14:paraId="39033487">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57B12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E825CE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8C05E7E">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w:t>
            </w:r>
          </w:p>
        </w:tc>
        <w:tc>
          <w:tcPr>
            <w:tcW w:w="1085" w:type="pct"/>
            <w:vAlign w:val="center"/>
          </w:tcPr>
          <w:p w14:paraId="4385440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5394FF2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暹罗角毛藻</w:t>
            </w:r>
          </w:p>
        </w:tc>
        <w:tc>
          <w:tcPr>
            <w:tcW w:w="1398" w:type="pct"/>
            <w:noWrap/>
            <w:vAlign w:val="center"/>
          </w:tcPr>
          <w:p w14:paraId="12D08E17">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siamense</w:t>
            </w:r>
          </w:p>
        </w:tc>
        <w:tc>
          <w:tcPr>
            <w:tcW w:w="683" w:type="pct"/>
            <w:noWrap/>
            <w:vAlign w:val="center"/>
          </w:tcPr>
          <w:p w14:paraId="25262E95">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6BD20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5DC55F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05377BA">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w:t>
            </w:r>
          </w:p>
        </w:tc>
        <w:tc>
          <w:tcPr>
            <w:tcW w:w="1085" w:type="pct"/>
            <w:vAlign w:val="center"/>
          </w:tcPr>
          <w:p w14:paraId="34FB917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硅藻门角管藻属</w:t>
            </w:r>
          </w:p>
        </w:tc>
        <w:tc>
          <w:tcPr>
            <w:tcW w:w="1072" w:type="pct"/>
            <w:noWrap/>
            <w:vAlign w:val="center"/>
          </w:tcPr>
          <w:p w14:paraId="45130BB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大洋角管藻</w:t>
            </w:r>
          </w:p>
        </w:tc>
        <w:tc>
          <w:tcPr>
            <w:tcW w:w="1398" w:type="pct"/>
            <w:noWrap/>
            <w:vAlign w:val="center"/>
          </w:tcPr>
          <w:p w14:paraId="0002C9E4">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Cerataulina pelagica</w:t>
            </w:r>
          </w:p>
        </w:tc>
        <w:tc>
          <w:tcPr>
            <w:tcW w:w="683" w:type="pct"/>
            <w:noWrap/>
            <w:vAlign w:val="center"/>
          </w:tcPr>
          <w:p w14:paraId="759FE359">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F8F84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F11276C">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E582304">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w:t>
            </w:r>
          </w:p>
        </w:tc>
        <w:tc>
          <w:tcPr>
            <w:tcW w:w="1085" w:type="pct"/>
            <w:vAlign w:val="center"/>
          </w:tcPr>
          <w:p w14:paraId="6F5B4DF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硅藻门圆筛藻属</w:t>
            </w:r>
          </w:p>
        </w:tc>
        <w:tc>
          <w:tcPr>
            <w:tcW w:w="1072" w:type="pct"/>
            <w:noWrap/>
            <w:vAlign w:val="center"/>
          </w:tcPr>
          <w:p w14:paraId="448F4E8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细弱圆筛藻</w:t>
            </w:r>
          </w:p>
        </w:tc>
        <w:tc>
          <w:tcPr>
            <w:tcW w:w="1398" w:type="pct"/>
            <w:noWrap/>
            <w:vAlign w:val="center"/>
          </w:tcPr>
          <w:p w14:paraId="6382A4F2">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Coscinodiscus subtilis</w:t>
            </w:r>
          </w:p>
        </w:tc>
        <w:tc>
          <w:tcPr>
            <w:tcW w:w="683" w:type="pct"/>
            <w:noWrap/>
            <w:vAlign w:val="center"/>
          </w:tcPr>
          <w:p w14:paraId="6FC0C08A">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5C885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6954F29">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3E251C5">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w:t>
            </w:r>
          </w:p>
        </w:tc>
        <w:tc>
          <w:tcPr>
            <w:tcW w:w="1085" w:type="pct"/>
            <w:vAlign w:val="center"/>
          </w:tcPr>
          <w:p w14:paraId="7B5B4E8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硅藻门小环藻属</w:t>
            </w:r>
          </w:p>
        </w:tc>
        <w:tc>
          <w:tcPr>
            <w:tcW w:w="1072" w:type="pct"/>
            <w:noWrap/>
            <w:vAlign w:val="center"/>
          </w:tcPr>
          <w:p w14:paraId="773A2BC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条纹小环藻</w:t>
            </w:r>
          </w:p>
        </w:tc>
        <w:tc>
          <w:tcPr>
            <w:tcW w:w="1398" w:type="pct"/>
            <w:noWrap/>
            <w:vAlign w:val="center"/>
          </w:tcPr>
          <w:p w14:paraId="3B07F390">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Cyclotella striata</w:t>
            </w:r>
          </w:p>
        </w:tc>
        <w:tc>
          <w:tcPr>
            <w:tcW w:w="683" w:type="pct"/>
            <w:noWrap/>
            <w:vAlign w:val="center"/>
          </w:tcPr>
          <w:p w14:paraId="1090B0B4">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620BD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1FD651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E9EB927">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1085" w:type="pct"/>
            <w:vAlign w:val="center"/>
          </w:tcPr>
          <w:p w14:paraId="46CAEB7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硅藻门筒柱藻属</w:t>
            </w:r>
          </w:p>
        </w:tc>
        <w:tc>
          <w:tcPr>
            <w:tcW w:w="1072" w:type="pct"/>
            <w:noWrap/>
            <w:vAlign w:val="center"/>
          </w:tcPr>
          <w:p w14:paraId="4578BD3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新月筒柱藻</w:t>
            </w:r>
          </w:p>
        </w:tc>
        <w:tc>
          <w:tcPr>
            <w:tcW w:w="1398" w:type="pct"/>
            <w:noWrap/>
            <w:vAlign w:val="center"/>
          </w:tcPr>
          <w:p w14:paraId="209BC6D0">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Cylindrotheca closterium</w:t>
            </w:r>
          </w:p>
        </w:tc>
        <w:tc>
          <w:tcPr>
            <w:tcW w:w="683" w:type="pct"/>
            <w:noWrap/>
            <w:vAlign w:val="center"/>
          </w:tcPr>
          <w:p w14:paraId="1AA7EF05">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88844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3D5F890">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0FB3C37">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w:t>
            </w:r>
          </w:p>
        </w:tc>
        <w:tc>
          <w:tcPr>
            <w:tcW w:w="1085" w:type="pct"/>
            <w:vAlign w:val="center"/>
          </w:tcPr>
          <w:p w14:paraId="2D7B5A4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硅藻门双尾藻属</w:t>
            </w:r>
          </w:p>
        </w:tc>
        <w:tc>
          <w:tcPr>
            <w:tcW w:w="1072" w:type="pct"/>
            <w:noWrap/>
            <w:vAlign w:val="center"/>
          </w:tcPr>
          <w:p w14:paraId="78FC7E2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布氏双尾藻</w:t>
            </w:r>
          </w:p>
        </w:tc>
        <w:tc>
          <w:tcPr>
            <w:tcW w:w="1398" w:type="pct"/>
            <w:noWrap/>
            <w:vAlign w:val="center"/>
          </w:tcPr>
          <w:p w14:paraId="68BCCB37">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Ditylum brightwellii</w:t>
            </w:r>
          </w:p>
        </w:tc>
        <w:tc>
          <w:tcPr>
            <w:tcW w:w="683" w:type="pct"/>
            <w:noWrap/>
            <w:vAlign w:val="center"/>
          </w:tcPr>
          <w:p w14:paraId="5B3A330C">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630B7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E5365AB">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47166E5">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w:t>
            </w:r>
          </w:p>
        </w:tc>
        <w:tc>
          <w:tcPr>
            <w:tcW w:w="1085" w:type="pct"/>
            <w:vAlign w:val="center"/>
          </w:tcPr>
          <w:p w14:paraId="1A7ECD3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硅藻门几内亚藻属</w:t>
            </w:r>
          </w:p>
        </w:tc>
        <w:tc>
          <w:tcPr>
            <w:tcW w:w="1072" w:type="pct"/>
            <w:noWrap/>
            <w:vAlign w:val="center"/>
          </w:tcPr>
          <w:p w14:paraId="5766149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条纹几内亚藻</w:t>
            </w:r>
          </w:p>
        </w:tc>
        <w:tc>
          <w:tcPr>
            <w:tcW w:w="1398" w:type="pct"/>
            <w:noWrap/>
            <w:vAlign w:val="center"/>
          </w:tcPr>
          <w:p w14:paraId="7316FE50">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Guinardia  striata</w:t>
            </w:r>
          </w:p>
        </w:tc>
        <w:tc>
          <w:tcPr>
            <w:tcW w:w="683" w:type="pct"/>
            <w:noWrap/>
            <w:vAlign w:val="center"/>
          </w:tcPr>
          <w:p w14:paraId="541606C7">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FB257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7A8E5A5">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C42E827">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w:t>
            </w:r>
          </w:p>
        </w:tc>
        <w:tc>
          <w:tcPr>
            <w:tcW w:w="1085" w:type="pct"/>
            <w:vAlign w:val="center"/>
          </w:tcPr>
          <w:p w14:paraId="6BCBA1F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硅藻门半管藻属</w:t>
            </w:r>
          </w:p>
        </w:tc>
        <w:tc>
          <w:tcPr>
            <w:tcW w:w="1072" w:type="pct"/>
            <w:noWrap/>
            <w:vAlign w:val="center"/>
          </w:tcPr>
          <w:p w14:paraId="37A6416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中华半管藻</w:t>
            </w:r>
          </w:p>
        </w:tc>
        <w:tc>
          <w:tcPr>
            <w:tcW w:w="1398" w:type="pct"/>
            <w:noWrap/>
            <w:vAlign w:val="center"/>
          </w:tcPr>
          <w:p w14:paraId="4E43EE29">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Hemiaulus sinensis</w:t>
            </w:r>
          </w:p>
        </w:tc>
        <w:tc>
          <w:tcPr>
            <w:tcW w:w="683" w:type="pct"/>
            <w:noWrap/>
            <w:vAlign w:val="center"/>
          </w:tcPr>
          <w:p w14:paraId="3E70128B">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3F94B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7FF3BC3">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F19D18D">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w:t>
            </w:r>
          </w:p>
        </w:tc>
        <w:tc>
          <w:tcPr>
            <w:tcW w:w="1085" w:type="pct"/>
            <w:vAlign w:val="center"/>
          </w:tcPr>
          <w:p w14:paraId="6729D2E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硅藻门半管藻属</w:t>
            </w:r>
          </w:p>
        </w:tc>
        <w:tc>
          <w:tcPr>
            <w:tcW w:w="1072" w:type="pct"/>
            <w:noWrap/>
            <w:vAlign w:val="center"/>
          </w:tcPr>
          <w:p w14:paraId="4550EFC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霍氏半管藻</w:t>
            </w:r>
          </w:p>
        </w:tc>
        <w:tc>
          <w:tcPr>
            <w:tcW w:w="1398" w:type="pct"/>
            <w:noWrap/>
            <w:vAlign w:val="center"/>
          </w:tcPr>
          <w:p w14:paraId="5F31B3AB">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Hemiaulus heurckii</w:t>
            </w:r>
          </w:p>
        </w:tc>
        <w:tc>
          <w:tcPr>
            <w:tcW w:w="683" w:type="pct"/>
            <w:noWrap/>
            <w:vAlign w:val="center"/>
          </w:tcPr>
          <w:p w14:paraId="43009A39">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2572F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9928436">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A9A8851">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w:t>
            </w:r>
          </w:p>
        </w:tc>
        <w:tc>
          <w:tcPr>
            <w:tcW w:w="1085" w:type="pct"/>
            <w:vAlign w:val="center"/>
          </w:tcPr>
          <w:p w14:paraId="1D6B09F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硅藻门半管藻属</w:t>
            </w:r>
          </w:p>
        </w:tc>
        <w:tc>
          <w:tcPr>
            <w:tcW w:w="1072" w:type="pct"/>
            <w:noWrap/>
            <w:vAlign w:val="center"/>
          </w:tcPr>
          <w:p w14:paraId="37F2A50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膜质半管藻</w:t>
            </w:r>
          </w:p>
        </w:tc>
        <w:tc>
          <w:tcPr>
            <w:tcW w:w="1398" w:type="pct"/>
            <w:noWrap/>
            <w:vAlign w:val="center"/>
          </w:tcPr>
          <w:p w14:paraId="13A63F85">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Hemiaulus membranacus</w:t>
            </w:r>
          </w:p>
        </w:tc>
        <w:tc>
          <w:tcPr>
            <w:tcW w:w="683" w:type="pct"/>
            <w:noWrap/>
            <w:vAlign w:val="center"/>
          </w:tcPr>
          <w:p w14:paraId="06F362D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814BE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BD1E66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915A52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w:t>
            </w:r>
          </w:p>
        </w:tc>
        <w:tc>
          <w:tcPr>
            <w:tcW w:w="1085" w:type="pct"/>
            <w:vAlign w:val="center"/>
          </w:tcPr>
          <w:p w14:paraId="6B6A650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硅藻门娄氏藻属</w:t>
            </w:r>
          </w:p>
        </w:tc>
        <w:tc>
          <w:tcPr>
            <w:tcW w:w="1072" w:type="pct"/>
            <w:noWrap/>
            <w:vAlign w:val="center"/>
          </w:tcPr>
          <w:p w14:paraId="690DC25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环纹娄氏藻</w:t>
            </w:r>
          </w:p>
        </w:tc>
        <w:tc>
          <w:tcPr>
            <w:tcW w:w="1398" w:type="pct"/>
            <w:noWrap/>
            <w:vAlign w:val="center"/>
          </w:tcPr>
          <w:p w14:paraId="2E2C0CC8">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Lauderia annulata</w:t>
            </w:r>
          </w:p>
        </w:tc>
        <w:tc>
          <w:tcPr>
            <w:tcW w:w="683" w:type="pct"/>
            <w:noWrap/>
            <w:vAlign w:val="center"/>
          </w:tcPr>
          <w:p w14:paraId="34F68CBA">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8E58F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33F30F3">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5FC4F93">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w:t>
            </w:r>
          </w:p>
        </w:tc>
        <w:tc>
          <w:tcPr>
            <w:tcW w:w="1085" w:type="pct"/>
            <w:vAlign w:val="center"/>
          </w:tcPr>
          <w:p w14:paraId="59EB198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硅藻门细柱藻属</w:t>
            </w:r>
          </w:p>
        </w:tc>
        <w:tc>
          <w:tcPr>
            <w:tcW w:w="1072" w:type="pct"/>
            <w:noWrap/>
            <w:vAlign w:val="center"/>
          </w:tcPr>
          <w:p w14:paraId="4CA397F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丹麦细柱藻</w:t>
            </w:r>
          </w:p>
        </w:tc>
        <w:tc>
          <w:tcPr>
            <w:tcW w:w="1398" w:type="pct"/>
            <w:noWrap/>
            <w:vAlign w:val="center"/>
          </w:tcPr>
          <w:p w14:paraId="0174CBC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Leptocylindrus danicus</w:t>
            </w:r>
          </w:p>
        </w:tc>
        <w:tc>
          <w:tcPr>
            <w:tcW w:w="683" w:type="pct"/>
            <w:noWrap/>
            <w:vAlign w:val="center"/>
          </w:tcPr>
          <w:p w14:paraId="75E7DDCF">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74B24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BB816ED">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EE4C50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w:t>
            </w:r>
          </w:p>
        </w:tc>
        <w:tc>
          <w:tcPr>
            <w:tcW w:w="1085" w:type="pct"/>
            <w:vAlign w:val="center"/>
          </w:tcPr>
          <w:p w14:paraId="03F918F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硅藻门楔形藻属</w:t>
            </w:r>
          </w:p>
        </w:tc>
        <w:tc>
          <w:tcPr>
            <w:tcW w:w="1072" w:type="pct"/>
            <w:noWrap/>
            <w:vAlign w:val="center"/>
          </w:tcPr>
          <w:p w14:paraId="5618D79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纤细楔形藻</w:t>
            </w:r>
          </w:p>
        </w:tc>
        <w:tc>
          <w:tcPr>
            <w:tcW w:w="1398" w:type="pct"/>
            <w:noWrap/>
            <w:vAlign w:val="center"/>
          </w:tcPr>
          <w:p w14:paraId="148ACB8B">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Licmophora gracilis</w:t>
            </w:r>
          </w:p>
        </w:tc>
        <w:tc>
          <w:tcPr>
            <w:tcW w:w="683" w:type="pct"/>
            <w:noWrap/>
            <w:vAlign w:val="center"/>
          </w:tcPr>
          <w:p w14:paraId="4F1B1EBB">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972F7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3D6BE89">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015DD03">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w:t>
            </w:r>
          </w:p>
        </w:tc>
        <w:tc>
          <w:tcPr>
            <w:tcW w:w="1085" w:type="pct"/>
            <w:vAlign w:val="center"/>
          </w:tcPr>
          <w:p w14:paraId="7088681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硅藻门缪氏藻属</w:t>
            </w:r>
          </w:p>
        </w:tc>
        <w:tc>
          <w:tcPr>
            <w:tcW w:w="1072" w:type="pct"/>
            <w:noWrap/>
            <w:vAlign w:val="center"/>
          </w:tcPr>
          <w:p w14:paraId="786A41D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膜状缪氏藻</w:t>
            </w:r>
          </w:p>
        </w:tc>
        <w:tc>
          <w:tcPr>
            <w:tcW w:w="1398" w:type="pct"/>
            <w:noWrap/>
            <w:vAlign w:val="center"/>
          </w:tcPr>
          <w:p w14:paraId="4940DDC5">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Meuniera membranacea</w:t>
            </w:r>
          </w:p>
        </w:tc>
        <w:tc>
          <w:tcPr>
            <w:tcW w:w="683" w:type="pct"/>
            <w:noWrap/>
            <w:vAlign w:val="center"/>
          </w:tcPr>
          <w:p w14:paraId="4E2C6F52">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4999E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186D73D">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664FDE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c>
          <w:tcPr>
            <w:tcW w:w="1085" w:type="pct"/>
            <w:vAlign w:val="center"/>
          </w:tcPr>
          <w:p w14:paraId="1F9676A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硅藻门斜纹藻属</w:t>
            </w:r>
          </w:p>
        </w:tc>
        <w:tc>
          <w:tcPr>
            <w:tcW w:w="1072" w:type="pct"/>
            <w:noWrap/>
            <w:vAlign w:val="center"/>
          </w:tcPr>
          <w:p w14:paraId="414B532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端尖斜纹藻</w:t>
            </w:r>
          </w:p>
        </w:tc>
        <w:tc>
          <w:tcPr>
            <w:tcW w:w="1398" w:type="pct"/>
            <w:noWrap/>
            <w:vAlign w:val="center"/>
          </w:tcPr>
          <w:p w14:paraId="1751847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Pleurosigma acautum</w:t>
            </w:r>
          </w:p>
        </w:tc>
        <w:tc>
          <w:tcPr>
            <w:tcW w:w="683" w:type="pct"/>
            <w:noWrap/>
            <w:vAlign w:val="center"/>
          </w:tcPr>
          <w:p w14:paraId="7EFFB0C8">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37498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EF58638">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9533039">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w:t>
            </w:r>
          </w:p>
        </w:tc>
        <w:tc>
          <w:tcPr>
            <w:tcW w:w="1085" w:type="pct"/>
            <w:vAlign w:val="center"/>
          </w:tcPr>
          <w:p w14:paraId="10A2152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硅藻门斜纹藻属</w:t>
            </w:r>
          </w:p>
        </w:tc>
        <w:tc>
          <w:tcPr>
            <w:tcW w:w="1072" w:type="pct"/>
            <w:noWrap/>
            <w:vAlign w:val="center"/>
          </w:tcPr>
          <w:p w14:paraId="7888522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海洋斜纹藻</w:t>
            </w:r>
          </w:p>
        </w:tc>
        <w:tc>
          <w:tcPr>
            <w:tcW w:w="1398" w:type="pct"/>
            <w:noWrap/>
            <w:vAlign w:val="center"/>
          </w:tcPr>
          <w:p w14:paraId="4E0ED6A8">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Pleurosigma pelagicum</w:t>
            </w:r>
          </w:p>
        </w:tc>
        <w:tc>
          <w:tcPr>
            <w:tcW w:w="683" w:type="pct"/>
            <w:noWrap/>
            <w:vAlign w:val="center"/>
          </w:tcPr>
          <w:p w14:paraId="6FBE6AD7">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00995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38FDB1E">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58C618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w:t>
            </w:r>
          </w:p>
        </w:tc>
        <w:tc>
          <w:tcPr>
            <w:tcW w:w="1085" w:type="pct"/>
            <w:vAlign w:val="center"/>
          </w:tcPr>
          <w:p w14:paraId="74849B4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硅藻门拟菱形藻属</w:t>
            </w:r>
          </w:p>
        </w:tc>
        <w:tc>
          <w:tcPr>
            <w:tcW w:w="1072" w:type="pct"/>
            <w:noWrap/>
            <w:vAlign w:val="center"/>
          </w:tcPr>
          <w:p w14:paraId="3E6BF6D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柔弱拟菱形藻</w:t>
            </w:r>
          </w:p>
        </w:tc>
        <w:tc>
          <w:tcPr>
            <w:tcW w:w="1398" w:type="pct"/>
            <w:noWrap/>
            <w:vAlign w:val="center"/>
          </w:tcPr>
          <w:p w14:paraId="11B255B8">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Pseudo-nitzschia delicatissima</w:t>
            </w:r>
          </w:p>
        </w:tc>
        <w:tc>
          <w:tcPr>
            <w:tcW w:w="683" w:type="pct"/>
            <w:noWrap/>
            <w:vAlign w:val="center"/>
          </w:tcPr>
          <w:p w14:paraId="554253D0">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99340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10467D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E88BA8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w:t>
            </w:r>
          </w:p>
        </w:tc>
        <w:tc>
          <w:tcPr>
            <w:tcW w:w="1085" w:type="pct"/>
            <w:vAlign w:val="center"/>
          </w:tcPr>
          <w:p w14:paraId="25177EF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硅藻门拟菱形藻属</w:t>
            </w:r>
          </w:p>
        </w:tc>
        <w:tc>
          <w:tcPr>
            <w:tcW w:w="1072" w:type="pct"/>
            <w:noWrap/>
            <w:vAlign w:val="center"/>
          </w:tcPr>
          <w:p w14:paraId="1F1B5E0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尖刺拟菱形藻</w:t>
            </w:r>
          </w:p>
        </w:tc>
        <w:tc>
          <w:tcPr>
            <w:tcW w:w="1398" w:type="pct"/>
            <w:noWrap/>
            <w:vAlign w:val="center"/>
          </w:tcPr>
          <w:p w14:paraId="7ED06855">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Pseudo-nitzschia pungens</w:t>
            </w:r>
          </w:p>
        </w:tc>
        <w:tc>
          <w:tcPr>
            <w:tcW w:w="683" w:type="pct"/>
            <w:noWrap/>
            <w:vAlign w:val="center"/>
          </w:tcPr>
          <w:p w14:paraId="68A3A291">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57A6E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346D6ED">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D4707C4">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w:t>
            </w:r>
          </w:p>
        </w:tc>
        <w:tc>
          <w:tcPr>
            <w:tcW w:w="1085" w:type="pct"/>
            <w:vAlign w:val="center"/>
          </w:tcPr>
          <w:p w14:paraId="5A0F0B0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46412DB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翼根管藻纤细变型</w:t>
            </w:r>
          </w:p>
        </w:tc>
        <w:tc>
          <w:tcPr>
            <w:tcW w:w="1398" w:type="pct"/>
            <w:noWrap/>
            <w:vAlign w:val="center"/>
          </w:tcPr>
          <w:p w14:paraId="11AA151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alata</w:t>
            </w:r>
            <w:r>
              <w:rPr>
                <w:color w:val="000000" w:themeColor="text1"/>
                <w:kern w:val="0"/>
                <w:sz w:val="21"/>
                <w:szCs w:val="21"/>
                <w14:textFill>
                  <w14:solidFill>
                    <w14:schemeClr w14:val="tx1"/>
                  </w14:solidFill>
                </w14:textFill>
              </w:rPr>
              <w:t xml:space="preserve"> f. </w:t>
            </w:r>
            <w:r>
              <w:rPr>
                <w:i/>
                <w:iCs/>
                <w:color w:val="000000" w:themeColor="text1"/>
                <w:kern w:val="0"/>
                <w:sz w:val="21"/>
                <w:szCs w:val="21"/>
                <w14:textFill>
                  <w14:solidFill>
                    <w14:schemeClr w14:val="tx1"/>
                  </w14:solidFill>
                </w14:textFill>
              </w:rPr>
              <w:t>gracillima</w:t>
            </w:r>
          </w:p>
        </w:tc>
        <w:tc>
          <w:tcPr>
            <w:tcW w:w="683" w:type="pct"/>
            <w:noWrap/>
            <w:vAlign w:val="center"/>
          </w:tcPr>
          <w:p w14:paraId="1702549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DE516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83211D6">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2AE297D">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w:t>
            </w:r>
          </w:p>
        </w:tc>
        <w:tc>
          <w:tcPr>
            <w:tcW w:w="1085" w:type="pct"/>
            <w:vAlign w:val="center"/>
          </w:tcPr>
          <w:p w14:paraId="68FA415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341D917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柔弱根管藻</w:t>
            </w:r>
          </w:p>
        </w:tc>
        <w:tc>
          <w:tcPr>
            <w:tcW w:w="1398" w:type="pct"/>
            <w:noWrap/>
            <w:vAlign w:val="center"/>
          </w:tcPr>
          <w:p w14:paraId="4020AED8">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delicatula</w:t>
            </w:r>
          </w:p>
        </w:tc>
        <w:tc>
          <w:tcPr>
            <w:tcW w:w="683" w:type="pct"/>
            <w:noWrap/>
            <w:vAlign w:val="center"/>
          </w:tcPr>
          <w:p w14:paraId="3FD10F8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53712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8B32ED6">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69ABE9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w:t>
            </w:r>
          </w:p>
        </w:tc>
        <w:tc>
          <w:tcPr>
            <w:tcW w:w="1085" w:type="pct"/>
            <w:vAlign w:val="center"/>
          </w:tcPr>
          <w:p w14:paraId="7D89EF5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136483F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脆根管藻</w:t>
            </w:r>
          </w:p>
        </w:tc>
        <w:tc>
          <w:tcPr>
            <w:tcW w:w="1398" w:type="pct"/>
            <w:noWrap/>
            <w:vAlign w:val="center"/>
          </w:tcPr>
          <w:p w14:paraId="1A88710B">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fragilissima</w:t>
            </w:r>
          </w:p>
        </w:tc>
        <w:tc>
          <w:tcPr>
            <w:tcW w:w="683" w:type="pct"/>
            <w:noWrap/>
            <w:vAlign w:val="center"/>
          </w:tcPr>
          <w:p w14:paraId="35A3B5DA">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D4E16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29E7B0E">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800B1AE">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w:t>
            </w:r>
          </w:p>
        </w:tc>
        <w:tc>
          <w:tcPr>
            <w:tcW w:w="1085" w:type="pct"/>
            <w:vAlign w:val="center"/>
          </w:tcPr>
          <w:p w14:paraId="2EFCEEF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228A689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中华根管藻</w:t>
            </w:r>
          </w:p>
        </w:tc>
        <w:tc>
          <w:tcPr>
            <w:tcW w:w="1398" w:type="pct"/>
            <w:noWrap/>
            <w:vAlign w:val="center"/>
          </w:tcPr>
          <w:p w14:paraId="7A340202">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sinensis</w:t>
            </w:r>
          </w:p>
        </w:tc>
        <w:tc>
          <w:tcPr>
            <w:tcW w:w="683" w:type="pct"/>
            <w:noWrap/>
            <w:vAlign w:val="center"/>
          </w:tcPr>
          <w:p w14:paraId="6A10F658">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2C9A8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913FD91">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3E3C947">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28</w:t>
            </w:r>
          </w:p>
        </w:tc>
        <w:tc>
          <w:tcPr>
            <w:tcW w:w="1085" w:type="pct"/>
            <w:vAlign w:val="center"/>
          </w:tcPr>
          <w:p w14:paraId="20E340F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3CF2E13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刚毛根管藻</w:t>
            </w:r>
          </w:p>
        </w:tc>
        <w:tc>
          <w:tcPr>
            <w:tcW w:w="1398" w:type="pct"/>
            <w:noWrap/>
            <w:vAlign w:val="center"/>
          </w:tcPr>
          <w:p w14:paraId="7E9CEFD7">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setigera</w:t>
            </w:r>
          </w:p>
        </w:tc>
        <w:tc>
          <w:tcPr>
            <w:tcW w:w="683" w:type="pct"/>
            <w:noWrap/>
            <w:vAlign w:val="center"/>
          </w:tcPr>
          <w:p w14:paraId="79176631">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E5DF6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699B784">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A81F187">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w:t>
            </w:r>
          </w:p>
        </w:tc>
        <w:tc>
          <w:tcPr>
            <w:tcW w:w="1085" w:type="pct"/>
            <w:vAlign w:val="center"/>
          </w:tcPr>
          <w:p w14:paraId="72DB26F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硅藻门骨条藻属</w:t>
            </w:r>
          </w:p>
        </w:tc>
        <w:tc>
          <w:tcPr>
            <w:tcW w:w="1072" w:type="pct"/>
            <w:noWrap/>
            <w:vAlign w:val="center"/>
          </w:tcPr>
          <w:p w14:paraId="43F21E5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中肋骨条藻</w:t>
            </w:r>
          </w:p>
        </w:tc>
        <w:tc>
          <w:tcPr>
            <w:tcW w:w="1398" w:type="pct"/>
            <w:noWrap/>
            <w:vAlign w:val="center"/>
          </w:tcPr>
          <w:p w14:paraId="38F797E6">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Skeletonema costatum</w:t>
            </w:r>
          </w:p>
        </w:tc>
        <w:tc>
          <w:tcPr>
            <w:tcW w:w="683" w:type="pct"/>
            <w:noWrap/>
            <w:vAlign w:val="center"/>
          </w:tcPr>
          <w:p w14:paraId="045BA425">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20574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F1F70E3">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8A4A9FC">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w:t>
            </w:r>
          </w:p>
        </w:tc>
        <w:tc>
          <w:tcPr>
            <w:tcW w:w="1085" w:type="pct"/>
            <w:vAlign w:val="center"/>
          </w:tcPr>
          <w:p w14:paraId="158D6E4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硅藻门海线藻属</w:t>
            </w:r>
          </w:p>
        </w:tc>
        <w:tc>
          <w:tcPr>
            <w:tcW w:w="1072" w:type="pct"/>
            <w:noWrap/>
            <w:vAlign w:val="center"/>
          </w:tcPr>
          <w:p w14:paraId="3BF9733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菱形海线藻</w:t>
            </w:r>
          </w:p>
        </w:tc>
        <w:tc>
          <w:tcPr>
            <w:tcW w:w="1398" w:type="pct"/>
            <w:noWrap/>
            <w:vAlign w:val="center"/>
          </w:tcPr>
          <w:p w14:paraId="5DCC123D">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Thalassionema nitzschioides</w:t>
            </w:r>
          </w:p>
        </w:tc>
        <w:tc>
          <w:tcPr>
            <w:tcW w:w="683" w:type="pct"/>
            <w:noWrap/>
            <w:vAlign w:val="center"/>
          </w:tcPr>
          <w:p w14:paraId="60F0B1C7">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D4C74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AE933E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713AE8B">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31</w:t>
            </w:r>
          </w:p>
        </w:tc>
        <w:tc>
          <w:tcPr>
            <w:tcW w:w="1085" w:type="pct"/>
            <w:vAlign w:val="center"/>
          </w:tcPr>
          <w:p w14:paraId="0B44D6E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硅藻门海毛藻属</w:t>
            </w:r>
          </w:p>
        </w:tc>
        <w:tc>
          <w:tcPr>
            <w:tcW w:w="1072" w:type="pct"/>
            <w:noWrap/>
            <w:vAlign w:val="center"/>
          </w:tcPr>
          <w:p w14:paraId="74B4E91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佛氏海毛藻</w:t>
            </w:r>
          </w:p>
        </w:tc>
        <w:tc>
          <w:tcPr>
            <w:tcW w:w="1398" w:type="pct"/>
            <w:noWrap/>
            <w:vAlign w:val="center"/>
          </w:tcPr>
          <w:p w14:paraId="3AD3A508">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Thalassiothrix frauenfeldii</w:t>
            </w:r>
          </w:p>
        </w:tc>
        <w:tc>
          <w:tcPr>
            <w:tcW w:w="683" w:type="pct"/>
            <w:noWrap/>
            <w:vAlign w:val="center"/>
          </w:tcPr>
          <w:p w14:paraId="6ABB413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28BA6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EB29F71">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9B185C0">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32</w:t>
            </w:r>
          </w:p>
        </w:tc>
        <w:tc>
          <w:tcPr>
            <w:tcW w:w="1085" w:type="pct"/>
            <w:vAlign w:val="center"/>
          </w:tcPr>
          <w:p w14:paraId="05E8A69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硅藻门海链藻属</w:t>
            </w:r>
          </w:p>
        </w:tc>
        <w:tc>
          <w:tcPr>
            <w:tcW w:w="1072" w:type="pct"/>
            <w:noWrap/>
            <w:vAlign w:val="center"/>
          </w:tcPr>
          <w:p w14:paraId="67FFEC1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圆海链藻</w:t>
            </w:r>
          </w:p>
        </w:tc>
        <w:tc>
          <w:tcPr>
            <w:tcW w:w="1398" w:type="pct"/>
            <w:noWrap/>
            <w:vAlign w:val="center"/>
          </w:tcPr>
          <w:p w14:paraId="1F8CD17B">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Thalassiosira rotula</w:t>
            </w:r>
          </w:p>
        </w:tc>
        <w:tc>
          <w:tcPr>
            <w:tcW w:w="683" w:type="pct"/>
            <w:noWrap/>
            <w:vAlign w:val="center"/>
          </w:tcPr>
          <w:p w14:paraId="3D2B6470">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7FDB0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restart"/>
            <w:noWrap/>
            <w:vAlign w:val="center"/>
          </w:tcPr>
          <w:p w14:paraId="247173CC">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S5</w:t>
            </w:r>
          </w:p>
        </w:tc>
        <w:tc>
          <w:tcPr>
            <w:tcW w:w="403" w:type="pct"/>
            <w:noWrap/>
            <w:vAlign w:val="center"/>
          </w:tcPr>
          <w:p w14:paraId="70059363">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085" w:type="pct"/>
            <w:vAlign w:val="center"/>
          </w:tcPr>
          <w:p w14:paraId="7FBA65C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硅藻门星杆藻属</w:t>
            </w:r>
          </w:p>
        </w:tc>
        <w:tc>
          <w:tcPr>
            <w:tcW w:w="1072" w:type="pct"/>
            <w:noWrap/>
            <w:vAlign w:val="center"/>
          </w:tcPr>
          <w:p w14:paraId="2DA5E84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冰河拟星杆藻</w:t>
            </w:r>
          </w:p>
        </w:tc>
        <w:tc>
          <w:tcPr>
            <w:tcW w:w="1398" w:type="pct"/>
            <w:noWrap/>
            <w:vAlign w:val="center"/>
          </w:tcPr>
          <w:p w14:paraId="515DBE53">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Amphora coffeaeformis</w:t>
            </w:r>
          </w:p>
        </w:tc>
        <w:tc>
          <w:tcPr>
            <w:tcW w:w="683" w:type="pct"/>
            <w:noWrap/>
            <w:vAlign w:val="center"/>
          </w:tcPr>
          <w:p w14:paraId="507FE08E">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1E666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962544B">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3493FD9">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c>
          <w:tcPr>
            <w:tcW w:w="1085" w:type="pct"/>
            <w:vAlign w:val="center"/>
          </w:tcPr>
          <w:p w14:paraId="47BF166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硅藻门盒形藻属</w:t>
            </w:r>
          </w:p>
        </w:tc>
        <w:tc>
          <w:tcPr>
            <w:tcW w:w="1072" w:type="pct"/>
            <w:noWrap/>
            <w:vAlign w:val="center"/>
          </w:tcPr>
          <w:p w14:paraId="2175125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中华盒形藻</w:t>
            </w:r>
          </w:p>
        </w:tc>
        <w:tc>
          <w:tcPr>
            <w:tcW w:w="1398" w:type="pct"/>
            <w:noWrap/>
            <w:vAlign w:val="center"/>
          </w:tcPr>
          <w:p w14:paraId="4914F5B3">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Biddulphia sinensis</w:t>
            </w:r>
          </w:p>
        </w:tc>
        <w:tc>
          <w:tcPr>
            <w:tcW w:w="683" w:type="pct"/>
            <w:noWrap/>
            <w:vAlign w:val="center"/>
          </w:tcPr>
          <w:p w14:paraId="48C83A42">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5C464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587FBC0">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601601C">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1085" w:type="pct"/>
            <w:vAlign w:val="center"/>
          </w:tcPr>
          <w:p w14:paraId="079B548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46B15E9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旋链角毛藻</w:t>
            </w:r>
          </w:p>
        </w:tc>
        <w:tc>
          <w:tcPr>
            <w:tcW w:w="1398" w:type="pct"/>
            <w:noWrap/>
            <w:vAlign w:val="center"/>
          </w:tcPr>
          <w:p w14:paraId="7CF0033F">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curvisetus</w:t>
            </w:r>
          </w:p>
        </w:tc>
        <w:tc>
          <w:tcPr>
            <w:tcW w:w="683" w:type="pct"/>
            <w:noWrap/>
            <w:vAlign w:val="center"/>
          </w:tcPr>
          <w:p w14:paraId="270C207E">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ED0E6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A08BEE6">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208E2F4">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w:t>
            </w:r>
          </w:p>
        </w:tc>
        <w:tc>
          <w:tcPr>
            <w:tcW w:w="1085" w:type="pct"/>
            <w:vAlign w:val="center"/>
          </w:tcPr>
          <w:p w14:paraId="341808C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00AAC32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中肋角毛藻</w:t>
            </w:r>
          </w:p>
        </w:tc>
        <w:tc>
          <w:tcPr>
            <w:tcW w:w="1398" w:type="pct"/>
            <w:noWrap/>
            <w:vAlign w:val="center"/>
          </w:tcPr>
          <w:p w14:paraId="1217122B">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costatus</w:t>
            </w:r>
          </w:p>
        </w:tc>
        <w:tc>
          <w:tcPr>
            <w:tcW w:w="683" w:type="pct"/>
            <w:noWrap/>
            <w:vAlign w:val="center"/>
          </w:tcPr>
          <w:p w14:paraId="7778A91E">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0D3C9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6DFE640">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501C77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w:t>
            </w:r>
          </w:p>
        </w:tc>
        <w:tc>
          <w:tcPr>
            <w:tcW w:w="1085" w:type="pct"/>
            <w:vAlign w:val="center"/>
          </w:tcPr>
          <w:p w14:paraId="24C8B91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硅藻门小环藻属</w:t>
            </w:r>
          </w:p>
        </w:tc>
        <w:tc>
          <w:tcPr>
            <w:tcW w:w="1072" w:type="pct"/>
            <w:noWrap/>
            <w:vAlign w:val="center"/>
          </w:tcPr>
          <w:p w14:paraId="4E6099B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条纹小环藻</w:t>
            </w:r>
          </w:p>
        </w:tc>
        <w:tc>
          <w:tcPr>
            <w:tcW w:w="1398" w:type="pct"/>
            <w:noWrap/>
            <w:vAlign w:val="center"/>
          </w:tcPr>
          <w:p w14:paraId="6413571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Cyclotella striata</w:t>
            </w:r>
          </w:p>
        </w:tc>
        <w:tc>
          <w:tcPr>
            <w:tcW w:w="683" w:type="pct"/>
            <w:noWrap/>
            <w:vAlign w:val="center"/>
          </w:tcPr>
          <w:p w14:paraId="6A8EC490">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4F1B3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8980AF9">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122AD0A">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w:t>
            </w:r>
          </w:p>
        </w:tc>
        <w:tc>
          <w:tcPr>
            <w:tcW w:w="1085" w:type="pct"/>
            <w:vAlign w:val="center"/>
          </w:tcPr>
          <w:p w14:paraId="6F45884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硅藻门筒柱藻属</w:t>
            </w:r>
          </w:p>
        </w:tc>
        <w:tc>
          <w:tcPr>
            <w:tcW w:w="1072" w:type="pct"/>
            <w:noWrap/>
            <w:vAlign w:val="center"/>
          </w:tcPr>
          <w:p w14:paraId="265E34F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新月筒柱藻</w:t>
            </w:r>
          </w:p>
        </w:tc>
        <w:tc>
          <w:tcPr>
            <w:tcW w:w="1398" w:type="pct"/>
            <w:noWrap/>
            <w:vAlign w:val="center"/>
          </w:tcPr>
          <w:p w14:paraId="36D1DE6C">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Cylindrotheca closterium</w:t>
            </w:r>
          </w:p>
        </w:tc>
        <w:tc>
          <w:tcPr>
            <w:tcW w:w="683" w:type="pct"/>
            <w:noWrap/>
            <w:vAlign w:val="center"/>
          </w:tcPr>
          <w:p w14:paraId="27DFE378">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E1A67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6D15AC5">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3559F57">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w:t>
            </w:r>
          </w:p>
        </w:tc>
        <w:tc>
          <w:tcPr>
            <w:tcW w:w="1085" w:type="pct"/>
            <w:vAlign w:val="center"/>
          </w:tcPr>
          <w:p w14:paraId="08E7846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硅藻门双壁藻属</w:t>
            </w:r>
          </w:p>
        </w:tc>
        <w:tc>
          <w:tcPr>
            <w:tcW w:w="1072" w:type="pct"/>
            <w:noWrap/>
            <w:vAlign w:val="center"/>
          </w:tcPr>
          <w:p w14:paraId="468249B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双壁藻</w:t>
            </w:r>
          </w:p>
        </w:tc>
        <w:tc>
          <w:tcPr>
            <w:tcW w:w="1398" w:type="pct"/>
            <w:noWrap/>
            <w:vAlign w:val="center"/>
          </w:tcPr>
          <w:p w14:paraId="5092ED5C">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Diploneis</w:t>
            </w:r>
            <w:r>
              <w:rPr>
                <w:color w:val="000000" w:themeColor="text1"/>
                <w:kern w:val="0"/>
                <w:sz w:val="21"/>
                <w:szCs w:val="21"/>
                <w14:textFill>
                  <w14:solidFill>
                    <w14:schemeClr w14:val="tx1"/>
                  </w14:solidFill>
                </w14:textFill>
              </w:rPr>
              <w:t xml:space="preserve"> sp.</w:t>
            </w:r>
          </w:p>
        </w:tc>
        <w:tc>
          <w:tcPr>
            <w:tcW w:w="683" w:type="pct"/>
            <w:noWrap/>
            <w:vAlign w:val="center"/>
          </w:tcPr>
          <w:p w14:paraId="4BB391D9">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28F37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2450805">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135AEB5">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w:t>
            </w:r>
          </w:p>
        </w:tc>
        <w:tc>
          <w:tcPr>
            <w:tcW w:w="1085" w:type="pct"/>
            <w:vAlign w:val="center"/>
          </w:tcPr>
          <w:p w14:paraId="0F7B161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硅藻门双尾藻属</w:t>
            </w:r>
          </w:p>
        </w:tc>
        <w:tc>
          <w:tcPr>
            <w:tcW w:w="1072" w:type="pct"/>
            <w:noWrap/>
            <w:vAlign w:val="center"/>
          </w:tcPr>
          <w:p w14:paraId="1E6D0EF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布氏双尾藻</w:t>
            </w:r>
          </w:p>
        </w:tc>
        <w:tc>
          <w:tcPr>
            <w:tcW w:w="1398" w:type="pct"/>
            <w:noWrap/>
            <w:vAlign w:val="center"/>
          </w:tcPr>
          <w:p w14:paraId="60EB3517">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Ditylum brightwellii</w:t>
            </w:r>
          </w:p>
        </w:tc>
        <w:tc>
          <w:tcPr>
            <w:tcW w:w="683" w:type="pct"/>
            <w:noWrap/>
            <w:vAlign w:val="center"/>
          </w:tcPr>
          <w:p w14:paraId="7ACE273C">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866FB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17F8929">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1E9518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w:t>
            </w:r>
          </w:p>
        </w:tc>
        <w:tc>
          <w:tcPr>
            <w:tcW w:w="1085" w:type="pct"/>
            <w:vAlign w:val="center"/>
          </w:tcPr>
          <w:p w14:paraId="2002226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硅藻门双尾藻属</w:t>
            </w:r>
          </w:p>
        </w:tc>
        <w:tc>
          <w:tcPr>
            <w:tcW w:w="1072" w:type="pct"/>
            <w:noWrap/>
            <w:vAlign w:val="center"/>
          </w:tcPr>
          <w:p w14:paraId="7B76ED5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太阳双尾藻</w:t>
            </w:r>
          </w:p>
        </w:tc>
        <w:tc>
          <w:tcPr>
            <w:tcW w:w="1398" w:type="pct"/>
            <w:noWrap/>
            <w:vAlign w:val="center"/>
          </w:tcPr>
          <w:p w14:paraId="791E31C7">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Ditylum sol</w:t>
            </w:r>
          </w:p>
        </w:tc>
        <w:tc>
          <w:tcPr>
            <w:tcW w:w="683" w:type="pct"/>
            <w:noWrap/>
            <w:vAlign w:val="center"/>
          </w:tcPr>
          <w:p w14:paraId="7A839DAE">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F689E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D0B9DC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04EFF58">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1085" w:type="pct"/>
            <w:vAlign w:val="center"/>
          </w:tcPr>
          <w:p w14:paraId="1EE7FF8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硅藻门几内亚藻属</w:t>
            </w:r>
          </w:p>
        </w:tc>
        <w:tc>
          <w:tcPr>
            <w:tcW w:w="1072" w:type="pct"/>
            <w:noWrap/>
            <w:vAlign w:val="center"/>
          </w:tcPr>
          <w:p w14:paraId="3167841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条纹几内亚藻</w:t>
            </w:r>
          </w:p>
        </w:tc>
        <w:tc>
          <w:tcPr>
            <w:tcW w:w="1398" w:type="pct"/>
            <w:noWrap/>
            <w:vAlign w:val="center"/>
          </w:tcPr>
          <w:p w14:paraId="2615BB31">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Guinardia  striata</w:t>
            </w:r>
          </w:p>
        </w:tc>
        <w:tc>
          <w:tcPr>
            <w:tcW w:w="683" w:type="pct"/>
            <w:noWrap/>
            <w:vAlign w:val="center"/>
          </w:tcPr>
          <w:p w14:paraId="08A1342F">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8784B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4B4BEBC">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6840A3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w:t>
            </w:r>
          </w:p>
        </w:tc>
        <w:tc>
          <w:tcPr>
            <w:tcW w:w="1085" w:type="pct"/>
            <w:vAlign w:val="center"/>
          </w:tcPr>
          <w:p w14:paraId="5E7BE52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硅藻门半管藻属</w:t>
            </w:r>
          </w:p>
        </w:tc>
        <w:tc>
          <w:tcPr>
            <w:tcW w:w="1072" w:type="pct"/>
            <w:noWrap/>
            <w:vAlign w:val="center"/>
          </w:tcPr>
          <w:p w14:paraId="0AEB4DC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中华半管藻</w:t>
            </w:r>
          </w:p>
        </w:tc>
        <w:tc>
          <w:tcPr>
            <w:tcW w:w="1398" w:type="pct"/>
            <w:noWrap/>
            <w:vAlign w:val="center"/>
          </w:tcPr>
          <w:p w14:paraId="4F8A75CC">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Hemiaulus sinensis</w:t>
            </w:r>
          </w:p>
        </w:tc>
        <w:tc>
          <w:tcPr>
            <w:tcW w:w="683" w:type="pct"/>
            <w:noWrap/>
            <w:vAlign w:val="center"/>
          </w:tcPr>
          <w:p w14:paraId="78FBD218">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ABEC5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D646DC6">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31945D1">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w:t>
            </w:r>
          </w:p>
        </w:tc>
        <w:tc>
          <w:tcPr>
            <w:tcW w:w="1085" w:type="pct"/>
            <w:vAlign w:val="center"/>
          </w:tcPr>
          <w:p w14:paraId="7D6EC58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硅藻门娄氏藻属</w:t>
            </w:r>
          </w:p>
        </w:tc>
        <w:tc>
          <w:tcPr>
            <w:tcW w:w="1072" w:type="pct"/>
            <w:noWrap/>
            <w:vAlign w:val="center"/>
          </w:tcPr>
          <w:p w14:paraId="7B09051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环纹娄氏藻</w:t>
            </w:r>
          </w:p>
        </w:tc>
        <w:tc>
          <w:tcPr>
            <w:tcW w:w="1398" w:type="pct"/>
            <w:noWrap/>
            <w:vAlign w:val="center"/>
          </w:tcPr>
          <w:p w14:paraId="2962CEB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Lauderia annulata</w:t>
            </w:r>
          </w:p>
        </w:tc>
        <w:tc>
          <w:tcPr>
            <w:tcW w:w="683" w:type="pct"/>
            <w:noWrap/>
            <w:vAlign w:val="center"/>
          </w:tcPr>
          <w:p w14:paraId="20AAA61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CAEB8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E526F33">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DBFF0B5">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w:t>
            </w:r>
          </w:p>
        </w:tc>
        <w:tc>
          <w:tcPr>
            <w:tcW w:w="1085" w:type="pct"/>
            <w:vAlign w:val="center"/>
          </w:tcPr>
          <w:p w14:paraId="3EB54EA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硅藻门细柱藻属</w:t>
            </w:r>
          </w:p>
        </w:tc>
        <w:tc>
          <w:tcPr>
            <w:tcW w:w="1072" w:type="pct"/>
            <w:noWrap/>
            <w:vAlign w:val="center"/>
          </w:tcPr>
          <w:p w14:paraId="2FB4D3C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丹麦细柱藻</w:t>
            </w:r>
          </w:p>
        </w:tc>
        <w:tc>
          <w:tcPr>
            <w:tcW w:w="1398" w:type="pct"/>
            <w:noWrap/>
            <w:vAlign w:val="center"/>
          </w:tcPr>
          <w:p w14:paraId="08DDAA4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Leptocylindrus danicus</w:t>
            </w:r>
          </w:p>
        </w:tc>
        <w:tc>
          <w:tcPr>
            <w:tcW w:w="683" w:type="pct"/>
            <w:noWrap/>
            <w:vAlign w:val="center"/>
          </w:tcPr>
          <w:p w14:paraId="17D1A6FB">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1FB21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FC8459F">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7DD0504">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w:t>
            </w:r>
          </w:p>
        </w:tc>
        <w:tc>
          <w:tcPr>
            <w:tcW w:w="1085" w:type="pct"/>
            <w:vAlign w:val="center"/>
          </w:tcPr>
          <w:p w14:paraId="5ED81A9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硅藻门缪氏藻属</w:t>
            </w:r>
          </w:p>
        </w:tc>
        <w:tc>
          <w:tcPr>
            <w:tcW w:w="1072" w:type="pct"/>
            <w:noWrap/>
            <w:vAlign w:val="center"/>
          </w:tcPr>
          <w:p w14:paraId="3F98A00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膜状缪氏藻</w:t>
            </w:r>
          </w:p>
        </w:tc>
        <w:tc>
          <w:tcPr>
            <w:tcW w:w="1398" w:type="pct"/>
            <w:noWrap/>
            <w:vAlign w:val="center"/>
          </w:tcPr>
          <w:p w14:paraId="41A8A7D2">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Meuniera membranacea</w:t>
            </w:r>
          </w:p>
        </w:tc>
        <w:tc>
          <w:tcPr>
            <w:tcW w:w="683" w:type="pct"/>
            <w:noWrap/>
            <w:vAlign w:val="center"/>
          </w:tcPr>
          <w:p w14:paraId="32523C3A">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08516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ABDD2AD">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4121D04">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w:t>
            </w:r>
          </w:p>
        </w:tc>
        <w:tc>
          <w:tcPr>
            <w:tcW w:w="1085" w:type="pct"/>
            <w:vAlign w:val="center"/>
          </w:tcPr>
          <w:p w14:paraId="6F0B6E9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硅藻门菱形藻属</w:t>
            </w:r>
          </w:p>
        </w:tc>
        <w:tc>
          <w:tcPr>
            <w:tcW w:w="1072" w:type="pct"/>
            <w:noWrap/>
            <w:vAlign w:val="center"/>
          </w:tcPr>
          <w:p w14:paraId="2424F80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菱形藻未定种</w:t>
            </w:r>
          </w:p>
        </w:tc>
        <w:tc>
          <w:tcPr>
            <w:tcW w:w="1398" w:type="pct"/>
            <w:noWrap/>
            <w:vAlign w:val="center"/>
          </w:tcPr>
          <w:p w14:paraId="7FBCFA59">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 xml:space="preserve">Nitzschia </w:t>
            </w:r>
            <w:r>
              <w:rPr>
                <w:color w:val="000000" w:themeColor="text1"/>
                <w:kern w:val="0"/>
                <w:sz w:val="21"/>
                <w:szCs w:val="21"/>
                <w14:textFill>
                  <w14:solidFill>
                    <w14:schemeClr w14:val="tx1"/>
                  </w14:solidFill>
                </w14:textFill>
              </w:rPr>
              <w:t>sp.</w:t>
            </w:r>
          </w:p>
        </w:tc>
        <w:tc>
          <w:tcPr>
            <w:tcW w:w="683" w:type="pct"/>
            <w:noWrap/>
            <w:vAlign w:val="center"/>
          </w:tcPr>
          <w:p w14:paraId="07DCB98C">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36DEF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8347A9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768FDDB">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w:t>
            </w:r>
          </w:p>
        </w:tc>
        <w:tc>
          <w:tcPr>
            <w:tcW w:w="1085" w:type="pct"/>
            <w:vAlign w:val="center"/>
          </w:tcPr>
          <w:p w14:paraId="6453167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硅藻门斜纹藻属</w:t>
            </w:r>
          </w:p>
        </w:tc>
        <w:tc>
          <w:tcPr>
            <w:tcW w:w="1072" w:type="pct"/>
            <w:noWrap/>
            <w:vAlign w:val="center"/>
          </w:tcPr>
          <w:p w14:paraId="2CAA8FC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端尖斜纹藻</w:t>
            </w:r>
          </w:p>
        </w:tc>
        <w:tc>
          <w:tcPr>
            <w:tcW w:w="1398" w:type="pct"/>
            <w:noWrap/>
            <w:vAlign w:val="center"/>
          </w:tcPr>
          <w:p w14:paraId="754D56A1">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Pleurosigma acautum</w:t>
            </w:r>
          </w:p>
        </w:tc>
        <w:tc>
          <w:tcPr>
            <w:tcW w:w="683" w:type="pct"/>
            <w:noWrap/>
            <w:vAlign w:val="center"/>
          </w:tcPr>
          <w:p w14:paraId="285DD971">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425E2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27F308F">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745A0E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w:t>
            </w:r>
          </w:p>
        </w:tc>
        <w:tc>
          <w:tcPr>
            <w:tcW w:w="1085" w:type="pct"/>
            <w:vAlign w:val="center"/>
          </w:tcPr>
          <w:p w14:paraId="3DC5C17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硅藻门斜纹藻属</w:t>
            </w:r>
          </w:p>
        </w:tc>
        <w:tc>
          <w:tcPr>
            <w:tcW w:w="1072" w:type="pct"/>
            <w:noWrap/>
            <w:vAlign w:val="center"/>
          </w:tcPr>
          <w:p w14:paraId="2AA05EC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海洋斜纹藻</w:t>
            </w:r>
          </w:p>
        </w:tc>
        <w:tc>
          <w:tcPr>
            <w:tcW w:w="1398" w:type="pct"/>
            <w:noWrap/>
            <w:vAlign w:val="center"/>
          </w:tcPr>
          <w:p w14:paraId="38C9450C">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Pleurosigma pelagicum</w:t>
            </w:r>
          </w:p>
        </w:tc>
        <w:tc>
          <w:tcPr>
            <w:tcW w:w="683" w:type="pct"/>
            <w:noWrap/>
            <w:vAlign w:val="center"/>
          </w:tcPr>
          <w:p w14:paraId="79644DC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C5F9B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D0B862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F4AF63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w:t>
            </w:r>
          </w:p>
        </w:tc>
        <w:tc>
          <w:tcPr>
            <w:tcW w:w="1085" w:type="pct"/>
            <w:vAlign w:val="center"/>
          </w:tcPr>
          <w:p w14:paraId="771A67A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64C3F32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翼根管藻纤细变型</w:t>
            </w:r>
          </w:p>
        </w:tc>
        <w:tc>
          <w:tcPr>
            <w:tcW w:w="1398" w:type="pct"/>
            <w:noWrap/>
            <w:vAlign w:val="center"/>
          </w:tcPr>
          <w:p w14:paraId="1F9A5D64">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alata</w:t>
            </w:r>
            <w:r>
              <w:rPr>
                <w:color w:val="000000" w:themeColor="text1"/>
                <w:kern w:val="0"/>
                <w:sz w:val="21"/>
                <w:szCs w:val="21"/>
                <w14:textFill>
                  <w14:solidFill>
                    <w14:schemeClr w14:val="tx1"/>
                  </w14:solidFill>
                </w14:textFill>
              </w:rPr>
              <w:t xml:space="preserve"> f. </w:t>
            </w:r>
            <w:r>
              <w:rPr>
                <w:i/>
                <w:iCs/>
                <w:color w:val="000000" w:themeColor="text1"/>
                <w:kern w:val="0"/>
                <w:sz w:val="21"/>
                <w:szCs w:val="21"/>
                <w14:textFill>
                  <w14:solidFill>
                    <w14:schemeClr w14:val="tx1"/>
                  </w14:solidFill>
                </w14:textFill>
              </w:rPr>
              <w:t>gracillima</w:t>
            </w:r>
          </w:p>
        </w:tc>
        <w:tc>
          <w:tcPr>
            <w:tcW w:w="683" w:type="pct"/>
            <w:noWrap/>
            <w:vAlign w:val="center"/>
          </w:tcPr>
          <w:p w14:paraId="2479623A">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E81EE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BADB71D">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C29ECB5">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w:t>
            </w:r>
          </w:p>
        </w:tc>
        <w:tc>
          <w:tcPr>
            <w:tcW w:w="1085" w:type="pct"/>
            <w:vAlign w:val="center"/>
          </w:tcPr>
          <w:p w14:paraId="337BAEE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033357F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柔弱根管藻</w:t>
            </w:r>
          </w:p>
        </w:tc>
        <w:tc>
          <w:tcPr>
            <w:tcW w:w="1398" w:type="pct"/>
            <w:noWrap/>
            <w:vAlign w:val="center"/>
          </w:tcPr>
          <w:p w14:paraId="37546B4C">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delicatula</w:t>
            </w:r>
          </w:p>
        </w:tc>
        <w:tc>
          <w:tcPr>
            <w:tcW w:w="683" w:type="pct"/>
            <w:noWrap/>
            <w:vAlign w:val="center"/>
          </w:tcPr>
          <w:p w14:paraId="2201CFD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12682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67BAFD3">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B096609">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c>
          <w:tcPr>
            <w:tcW w:w="1085" w:type="pct"/>
            <w:vAlign w:val="center"/>
          </w:tcPr>
          <w:p w14:paraId="226DA2C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4B8828D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脆根管藻</w:t>
            </w:r>
          </w:p>
        </w:tc>
        <w:tc>
          <w:tcPr>
            <w:tcW w:w="1398" w:type="pct"/>
            <w:noWrap/>
            <w:vAlign w:val="center"/>
          </w:tcPr>
          <w:p w14:paraId="0D924F3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fragilissima</w:t>
            </w:r>
          </w:p>
        </w:tc>
        <w:tc>
          <w:tcPr>
            <w:tcW w:w="683" w:type="pct"/>
            <w:noWrap/>
            <w:vAlign w:val="center"/>
          </w:tcPr>
          <w:p w14:paraId="093CB99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D74D7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C7C4DA1">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A7A2EFD">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w:t>
            </w:r>
          </w:p>
        </w:tc>
        <w:tc>
          <w:tcPr>
            <w:tcW w:w="1085" w:type="pct"/>
            <w:vAlign w:val="center"/>
          </w:tcPr>
          <w:p w14:paraId="7764B49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28AD919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中华根管藻</w:t>
            </w:r>
          </w:p>
        </w:tc>
        <w:tc>
          <w:tcPr>
            <w:tcW w:w="1398" w:type="pct"/>
            <w:noWrap/>
            <w:vAlign w:val="center"/>
          </w:tcPr>
          <w:p w14:paraId="0CC49E6D">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sinensis</w:t>
            </w:r>
          </w:p>
        </w:tc>
        <w:tc>
          <w:tcPr>
            <w:tcW w:w="683" w:type="pct"/>
            <w:noWrap/>
            <w:vAlign w:val="center"/>
          </w:tcPr>
          <w:p w14:paraId="4CB11ACD">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C96C7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60BE66F">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9164DAB">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w:t>
            </w:r>
          </w:p>
        </w:tc>
        <w:tc>
          <w:tcPr>
            <w:tcW w:w="1085" w:type="pct"/>
            <w:vAlign w:val="center"/>
          </w:tcPr>
          <w:p w14:paraId="2393F75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62E16DE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刚毛根管藻</w:t>
            </w:r>
          </w:p>
        </w:tc>
        <w:tc>
          <w:tcPr>
            <w:tcW w:w="1398" w:type="pct"/>
            <w:noWrap/>
            <w:vAlign w:val="center"/>
          </w:tcPr>
          <w:p w14:paraId="3FB2B38C">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setigera</w:t>
            </w:r>
          </w:p>
        </w:tc>
        <w:tc>
          <w:tcPr>
            <w:tcW w:w="683" w:type="pct"/>
            <w:noWrap/>
            <w:vAlign w:val="center"/>
          </w:tcPr>
          <w:p w14:paraId="415CC585">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B3CA5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5985080">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4137711">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w:t>
            </w:r>
          </w:p>
        </w:tc>
        <w:tc>
          <w:tcPr>
            <w:tcW w:w="1085" w:type="pct"/>
            <w:vAlign w:val="center"/>
          </w:tcPr>
          <w:p w14:paraId="0E3D297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硅藻门扭鞘藻属</w:t>
            </w:r>
          </w:p>
        </w:tc>
        <w:tc>
          <w:tcPr>
            <w:tcW w:w="1072" w:type="pct"/>
            <w:noWrap/>
            <w:vAlign w:val="center"/>
          </w:tcPr>
          <w:p w14:paraId="5E8A7DE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泰晤士扭鞘藻</w:t>
            </w:r>
          </w:p>
        </w:tc>
        <w:tc>
          <w:tcPr>
            <w:tcW w:w="1398" w:type="pct"/>
            <w:noWrap/>
            <w:vAlign w:val="center"/>
          </w:tcPr>
          <w:p w14:paraId="03BB0A2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Streptotheca tamesis</w:t>
            </w:r>
          </w:p>
        </w:tc>
        <w:tc>
          <w:tcPr>
            <w:tcW w:w="683" w:type="pct"/>
            <w:noWrap/>
            <w:vAlign w:val="center"/>
          </w:tcPr>
          <w:p w14:paraId="118B7717">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0C7CB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97B4B91">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F17050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w:t>
            </w:r>
          </w:p>
        </w:tc>
        <w:tc>
          <w:tcPr>
            <w:tcW w:w="1085" w:type="pct"/>
            <w:vAlign w:val="center"/>
          </w:tcPr>
          <w:p w14:paraId="6481A86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硅藻门骨条藻属</w:t>
            </w:r>
          </w:p>
        </w:tc>
        <w:tc>
          <w:tcPr>
            <w:tcW w:w="1072" w:type="pct"/>
            <w:noWrap/>
            <w:vAlign w:val="center"/>
          </w:tcPr>
          <w:p w14:paraId="311CBDA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中肋骨条藻</w:t>
            </w:r>
          </w:p>
        </w:tc>
        <w:tc>
          <w:tcPr>
            <w:tcW w:w="1398" w:type="pct"/>
            <w:noWrap/>
            <w:vAlign w:val="center"/>
          </w:tcPr>
          <w:p w14:paraId="3FA97028">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Skeletonema costatum</w:t>
            </w:r>
          </w:p>
        </w:tc>
        <w:tc>
          <w:tcPr>
            <w:tcW w:w="683" w:type="pct"/>
            <w:noWrap/>
            <w:vAlign w:val="center"/>
          </w:tcPr>
          <w:p w14:paraId="5B8C8CFA">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C24C2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9E450A1">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99BF3DE">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w:t>
            </w:r>
          </w:p>
        </w:tc>
        <w:tc>
          <w:tcPr>
            <w:tcW w:w="1085" w:type="pct"/>
            <w:vAlign w:val="center"/>
          </w:tcPr>
          <w:p w14:paraId="2BDC65D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硅藻门海线藻属</w:t>
            </w:r>
          </w:p>
        </w:tc>
        <w:tc>
          <w:tcPr>
            <w:tcW w:w="1072" w:type="pct"/>
            <w:noWrap/>
            <w:vAlign w:val="center"/>
          </w:tcPr>
          <w:p w14:paraId="636AE94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菱形海线藻</w:t>
            </w:r>
          </w:p>
        </w:tc>
        <w:tc>
          <w:tcPr>
            <w:tcW w:w="1398" w:type="pct"/>
            <w:noWrap/>
            <w:vAlign w:val="center"/>
          </w:tcPr>
          <w:p w14:paraId="2255CFE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Thalassionema</w:t>
            </w:r>
            <w:r>
              <w:rPr>
                <w:rFonts w:hint="eastAsia"/>
                <w:i/>
                <w:iCs/>
                <w:color w:val="000000" w:themeColor="text1"/>
                <w:kern w:val="0"/>
                <w:sz w:val="21"/>
                <w:szCs w:val="21"/>
                <w14:textFill>
                  <w14:solidFill>
                    <w14:schemeClr w14:val="tx1"/>
                  </w14:solidFill>
                </w14:textFill>
              </w:rPr>
              <w:t xml:space="preserve"> </w:t>
            </w:r>
            <w:r>
              <w:rPr>
                <w:i/>
                <w:iCs/>
                <w:color w:val="000000" w:themeColor="text1"/>
                <w:kern w:val="0"/>
                <w:sz w:val="21"/>
                <w:szCs w:val="21"/>
                <w14:textFill>
                  <w14:solidFill>
                    <w14:schemeClr w14:val="tx1"/>
                  </w14:solidFill>
                </w14:textFill>
              </w:rPr>
              <w:t>itzschioides</w:t>
            </w:r>
          </w:p>
        </w:tc>
        <w:tc>
          <w:tcPr>
            <w:tcW w:w="683" w:type="pct"/>
            <w:noWrap/>
            <w:vAlign w:val="center"/>
          </w:tcPr>
          <w:p w14:paraId="3A8CA7BE">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589EE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CF02835">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F0DF387">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w:t>
            </w:r>
          </w:p>
        </w:tc>
        <w:tc>
          <w:tcPr>
            <w:tcW w:w="1085" w:type="pct"/>
            <w:vAlign w:val="center"/>
          </w:tcPr>
          <w:p w14:paraId="182BF04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硅藻门海毛藻属</w:t>
            </w:r>
          </w:p>
        </w:tc>
        <w:tc>
          <w:tcPr>
            <w:tcW w:w="1072" w:type="pct"/>
            <w:noWrap/>
            <w:vAlign w:val="center"/>
          </w:tcPr>
          <w:p w14:paraId="4672BD9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佛氏海毛藻</w:t>
            </w:r>
          </w:p>
        </w:tc>
        <w:tc>
          <w:tcPr>
            <w:tcW w:w="1398" w:type="pct"/>
            <w:noWrap/>
            <w:vAlign w:val="center"/>
          </w:tcPr>
          <w:p w14:paraId="2590B39D">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Thalassiothrix frauenfeldii</w:t>
            </w:r>
          </w:p>
        </w:tc>
        <w:tc>
          <w:tcPr>
            <w:tcW w:w="683" w:type="pct"/>
            <w:noWrap/>
            <w:vAlign w:val="center"/>
          </w:tcPr>
          <w:p w14:paraId="5F9ABCB8">
            <w:pPr>
              <w:spacing w:after="160" w:line="240" w:lineRule="exact"/>
              <w:ind w:firstLine="0" w:firstLineChars="0"/>
              <w:jc w:val="center"/>
              <w:rPr>
                <w:color w:val="000000" w:themeColor="text1"/>
                <w:kern w:val="0"/>
                <w:sz w:val="21"/>
                <w:szCs w:val="21"/>
                <w14:textFill>
                  <w14:solidFill>
                    <w14:schemeClr w14:val="tx1"/>
                  </w14:solidFill>
                </w14:textFill>
              </w:rPr>
            </w:pPr>
          </w:p>
        </w:tc>
      </w:tr>
    </w:tbl>
    <w:p w14:paraId="54A6F7E5">
      <w:pPr>
        <w:ind w:firstLine="480"/>
        <w:rPr>
          <w:bCs/>
          <w:color w:val="000000" w:themeColor="text1"/>
          <w:lang w:bidi="zh-CN"/>
          <w14:textFill>
            <w14:solidFill>
              <w14:schemeClr w14:val="tx1"/>
            </w14:solidFill>
          </w14:textFill>
        </w:rPr>
      </w:pPr>
      <w:r>
        <w:rPr>
          <w:bCs/>
          <w:color w:val="000000" w:themeColor="text1"/>
          <w:lang w:bidi="zh-CN"/>
          <w14:textFill>
            <w14:solidFill>
              <w14:schemeClr w14:val="tx1"/>
            </w14:solidFill>
          </w14:textFill>
        </w:rPr>
        <w:t xml:space="preserve">3）浮游动物 </w:t>
      </w:r>
    </w:p>
    <w:p w14:paraId="00E019FF">
      <w:pPr>
        <w:pStyle w:val="41"/>
        <w:ind w:firstLine="24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本次调查共鉴定出浮游动物成体 16种，浮游幼体 3类，其中桡足类种类最多（10种），其次为毛颚类（2种）。</w:t>
      </w:r>
    </w:p>
    <w:p w14:paraId="70204F5E">
      <w:pPr>
        <w:pStyle w:val="41"/>
        <w:ind w:firstLine="24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各测站浮游动物种类数在 6～15种 之间。其中 S4站 种类数最多，为 15 种；S1站次之，为 14 种；S2、S5站 种类数最少，均为 6 种。</w:t>
      </w:r>
    </w:p>
    <w:p w14:paraId="342C0023">
      <w:pPr>
        <w:pStyle w:val="41"/>
        <w:ind w:firstLine="24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调查期间，各测站浮游动物的总密度介于 935.9 ~ 2067.2 个/m³ 之间，总体平均密度为 1355.2 个/m³。最高密度出现在 S4站，为 2067.2 个/m³；最低密度出现在 S2站，为 935.9 个/m³。</w:t>
      </w:r>
    </w:p>
    <w:p w14:paraId="636649DE">
      <w:pPr>
        <w:pStyle w:val="41"/>
        <w:ind w:firstLine="24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调查期间，各测站浮游动物生物量变化范围为 95.8 ~ 345 mg/m³，平均值为 188.76 mg/m³。最大值出现在 S4站（345 mg/m³）；最小值出现在 S2站（95.8 mg/m³）。</w:t>
      </w:r>
    </w:p>
    <w:p w14:paraId="6BAD5B8F">
      <w:pPr>
        <w:pStyle w:val="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浮游动物丰度和生物量统计表</w:t>
      </w:r>
    </w:p>
    <w:tbl>
      <w:tblPr>
        <w:tblStyle w:val="44"/>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48"/>
        <w:gridCol w:w="1010"/>
        <w:gridCol w:w="1847"/>
        <w:gridCol w:w="2438"/>
        <w:gridCol w:w="1158"/>
        <w:gridCol w:w="1221"/>
      </w:tblGrid>
      <w:tr w14:paraId="2FA09D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848" w:type="dxa"/>
            <w:vAlign w:val="center"/>
          </w:tcPr>
          <w:p w14:paraId="5AA944EB">
            <w:pPr>
              <w:spacing w:line="240" w:lineRule="auto"/>
              <w:ind w:firstLine="0" w:firstLineChars="0"/>
              <w:jc w:val="center"/>
              <w:rPr>
                <w:b/>
                <w:bCs/>
                <w:color w:val="000000" w:themeColor="text1"/>
                <w:sz w:val="21"/>
                <w14:textFill>
                  <w14:solidFill>
                    <w14:schemeClr w14:val="tx1"/>
                  </w14:solidFill>
                </w14:textFill>
              </w:rPr>
            </w:pPr>
            <w:r>
              <w:rPr>
                <w:rFonts w:hint="eastAsia"/>
                <w:b/>
                <w:bCs/>
                <w:color w:val="000000" w:themeColor="text1"/>
                <w:sz w:val="21"/>
                <w14:textFill>
                  <w14:solidFill>
                    <w14:schemeClr w14:val="tx1"/>
                  </w14:solidFill>
                </w14:textFill>
              </w:rPr>
              <w:t>站号</w:t>
            </w:r>
          </w:p>
        </w:tc>
        <w:tc>
          <w:tcPr>
            <w:tcW w:w="1010" w:type="dxa"/>
            <w:vAlign w:val="center"/>
          </w:tcPr>
          <w:p w14:paraId="3D231824">
            <w:pPr>
              <w:spacing w:line="240" w:lineRule="auto"/>
              <w:ind w:firstLine="0" w:firstLineChars="0"/>
              <w:jc w:val="center"/>
              <w:rPr>
                <w:b/>
                <w:bCs/>
                <w:color w:val="000000" w:themeColor="text1"/>
                <w:sz w:val="21"/>
                <w14:textFill>
                  <w14:solidFill>
                    <w14:schemeClr w14:val="tx1"/>
                  </w14:solidFill>
                </w14:textFill>
              </w:rPr>
            </w:pPr>
            <w:r>
              <w:rPr>
                <w:rFonts w:hint="eastAsia"/>
                <w:b/>
                <w:bCs/>
                <w:color w:val="000000" w:themeColor="text1"/>
                <w:sz w:val="21"/>
                <w14:textFill>
                  <w14:solidFill>
                    <w14:schemeClr w14:val="tx1"/>
                  </w14:solidFill>
                </w14:textFill>
              </w:rPr>
              <w:t>类群</w:t>
            </w:r>
          </w:p>
        </w:tc>
        <w:tc>
          <w:tcPr>
            <w:tcW w:w="1847" w:type="dxa"/>
            <w:vAlign w:val="center"/>
          </w:tcPr>
          <w:p w14:paraId="2C08BACD">
            <w:pPr>
              <w:spacing w:line="240" w:lineRule="auto"/>
              <w:ind w:firstLine="0" w:firstLineChars="0"/>
              <w:jc w:val="center"/>
              <w:rPr>
                <w:b/>
                <w:bCs/>
                <w:color w:val="000000" w:themeColor="text1"/>
                <w:sz w:val="21"/>
                <w14:textFill>
                  <w14:solidFill>
                    <w14:schemeClr w14:val="tx1"/>
                  </w14:solidFill>
                </w14:textFill>
              </w:rPr>
            </w:pPr>
            <w:r>
              <w:rPr>
                <w:b/>
                <w:bCs/>
                <w:color w:val="000000" w:themeColor="text1"/>
                <w:kern w:val="0"/>
                <w:sz w:val="21"/>
                <w14:textFill>
                  <w14:solidFill>
                    <w14:schemeClr w14:val="tx1"/>
                  </w14:solidFill>
                </w14:textFill>
              </w:rPr>
              <w:t>种</w:t>
            </w:r>
            <w:r>
              <w:rPr>
                <w:rFonts w:hint="eastAsia"/>
                <w:b/>
                <w:bCs/>
                <w:color w:val="000000" w:themeColor="text1"/>
                <w:kern w:val="0"/>
                <w:sz w:val="21"/>
                <w14:textFill>
                  <w14:solidFill>
                    <w14:schemeClr w14:val="tx1"/>
                  </w14:solidFill>
                </w14:textFill>
              </w:rPr>
              <w:t>名</w:t>
            </w:r>
          </w:p>
        </w:tc>
        <w:tc>
          <w:tcPr>
            <w:tcW w:w="2438" w:type="dxa"/>
            <w:vAlign w:val="center"/>
          </w:tcPr>
          <w:p w14:paraId="3048FACE">
            <w:pPr>
              <w:spacing w:line="240" w:lineRule="auto"/>
              <w:ind w:firstLine="0" w:firstLineChars="0"/>
              <w:jc w:val="center"/>
              <w:rPr>
                <w:b/>
                <w:bCs/>
                <w:color w:val="000000" w:themeColor="text1"/>
                <w:sz w:val="21"/>
                <w14:textFill>
                  <w14:solidFill>
                    <w14:schemeClr w14:val="tx1"/>
                  </w14:solidFill>
                </w14:textFill>
              </w:rPr>
            </w:pPr>
            <w:r>
              <w:rPr>
                <w:rFonts w:hint="eastAsia"/>
                <w:b/>
                <w:bCs/>
                <w:color w:val="000000" w:themeColor="text1"/>
                <w:sz w:val="21"/>
                <w14:textFill>
                  <w14:solidFill>
                    <w14:schemeClr w14:val="tx1"/>
                  </w14:solidFill>
                </w14:textFill>
              </w:rPr>
              <w:t>拉丁名</w:t>
            </w:r>
          </w:p>
        </w:tc>
        <w:tc>
          <w:tcPr>
            <w:tcW w:w="1158" w:type="dxa"/>
            <w:vAlign w:val="center"/>
          </w:tcPr>
          <w:p w14:paraId="1FA617AA">
            <w:pPr>
              <w:spacing w:line="240" w:lineRule="auto"/>
              <w:ind w:firstLine="0" w:firstLineChars="0"/>
              <w:jc w:val="center"/>
              <w:rPr>
                <w:b/>
                <w:bCs/>
                <w:color w:val="000000" w:themeColor="text1"/>
                <w:sz w:val="21"/>
                <w14:textFill>
                  <w14:solidFill>
                    <w14:schemeClr w14:val="tx1"/>
                  </w14:solidFill>
                </w14:textFill>
              </w:rPr>
            </w:pPr>
            <w:r>
              <w:rPr>
                <w:rFonts w:hint="eastAsia"/>
                <w:b/>
                <w:bCs/>
                <w:color w:val="000000" w:themeColor="text1"/>
                <w:sz w:val="21"/>
                <w14:textFill>
                  <w14:solidFill>
                    <w14:schemeClr w14:val="tx1"/>
                  </w14:solidFill>
                </w14:textFill>
              </w:rPr>
              <w:t>密度</w:t>
            </w:r>
          </w:p>
          <w:p w14:paraId="0B9E5D25">
            <w:pPr>
              <w:spacing w:line="240" w:lineRule="auto"/>
              <w:ind w:firstLine="0" w:firstLineChars="0"/>
              <w:jc w:val="center"/>
              <w:rPr>
                <w:b/>
                <w:bCs/>
                <w:color w:val="000000" w:themeColor="text1"/>
                <w:sz w:val="21"/>
                <w14:textFill>
                  <w14:solidFill>
                    <w14:schemeClr w14:val="tx1"/>
                  </w14:solidFill>
                </w14:textFill>
              </w:rPr>
            </w:pPr>
            <w:r>
              <w:rPr>
                <w:b/>
                <w:bCs/>
                <w:color w:val="000000" w:themeColor="text1"/>
                <w:sz w:val="21"/>
                <w14:textFill>
                  <w14:solidFill>
                    <w14:schemeClr w14:val="tx1"/>
                  </w14:solidFill>
                </w14:textFill>
              </w:rPr>
              <w:t>（</w:t>
            </w:r>
            <w:r>
              <w:rPr>
                <w:rFonts w:hint="eastAsia"/>
                <w:b/>
                <w:bCs/>
                <w:color w:val="000000" w:themeColor="text1"/>
                <w:kern w:val="0"/>
                <w:sz w:val="21"/>
                <w14:textFill>
                  <w14:solidFill>
                    <w14:schemeClr w14:val="tx1"/>
                  </w14:solidFill>
                </w14:textFill>
              </w:rPr>
              <w:t>个</w:t>
            </w:r>
            <w:r>
              <w:rPr>
                <w:b/>
                <w:bCs/>
                <w:color w:val="000000" w:themeColor="text1"/>
                <w:kern w:val="0"/>
                <w:sz w:val="21"/>
                <w14:textFill>
                  <w14:solidFill>
                    <w14:schemeClr w14:val="tx1"/>
                  </w14:solidFill>
                </w14:textFill>
              </w:rPr>
              <w:t>/</w:t>
            </w:r>
            <w:r>
              <w:rPr>
                <w:rFonts w:hint="eastAsia"/>
                <w:b/>
                <w:bCs/>
                <w:color w:val="000000" w:themeColor="text1"/>
                <w:kern w:val="0"/>
                <w:sz w:val="21"/>
                <w14:textFill>
                  <w14:solidFill>
                    <w14:schemeClr w14:val="tx1"/>
                  </w14:solidFill>
                </w14:textFill>
              </w:rPr>
              <w:t>m</w:t>
            </w:r>
            <w:r>
              <w:rPr>
                <w:b/>
                <w:bCs/>
                <w:color w:val="000000" w:themeColor="text1"/>
                <w:kern w:val="0"/>
                <w:sz w:val="21"/>
                <w:vertAlign w:val="superscript"/>
                <w14:textFill>
                  <w14:solidFill>
                    <w14:schemeClr w14:val="tx1"/>
                  </w14:solidFill>
                </w14:textFill>
              </w:rPr>
              <w:t>3</w:t>
            </w:r>
            <w:r>
              <w:rPr>
                <w:b/>
                <w:bCs/>
                <w:color w:val="000000" w:themeColor="text1"/>
                <w:sz w:val="21"/>
                <w14:textFill>
                  <w14:solidFill>
                    <w14:schemeClr w14:val="tx1"/>
                  </w14:solidFill>
                </w14:textFill>
              </w:rPr>
              <w:t>）</w:t>
            </w:r>
          </w:p>
        </w:tc>
        <w:tc>
          <w:tcPr>
            <w:tcW w:w="1221" w:type="dxa"/>
            <w:vAlign w:val="center"/>
          </w:tcPr>
          <w:p w14:paraId="5D05C860">
            <w:pPr>
              <w:spacing w:line="240" w:lineRule="auto"/>
              <w:ind w:firstLine="0" w:firstLineChars="0"/>
              <w:jc w:val="center"/>
              <w:rPr>
                <w:b/>
                <w:bCs/>
                <w:color w:val="000000" w:themeColor="text1"/>
                <w:sz w:val="21"/>
                <w14:textFill>
                  <w14:solidFill>
                    <w14:schemeClr w14:val="tx1"/>
                  </w14:solidFill>
                </w14:textFill>
              </w:rPr>
            </w:pPr>
            <w:r>
              <w:rPr>
                <w:rFonts w:hint="eastAsia"/>
                <w:b/>
                <w:bCs/>
                <w:color w:val="000000" w:themeColor="text1"/>
                <w:sz w:val="21"/>
                <w14:textFill>
                  <w14:solidFill>
                    <w14:schemeClr w14:val="tx1"/>
                  </w14:solidFill>
                </w14:textFill>
              </w:rPr>
              <w:t>生物量</w:t>
            </w:r>
          </w:p>
          <w:p w14:paraId="288A4A6F">
            <w:pPr>
              <w:spacing w:line="240" w:lineRule="auto"/>
              <w:ind w:firstLine="0" w:firstLineChars="0"/>
              <w:jc w:val="center"/>
              <w:rPr>
                <w:b/>
                <w:bCs/>
                <w:color w:val="000000" w:themeColor="text1"/>
                <w:sz w:val="21"/>
                <w14:textFill>
                  <w14:solidFill>
                    <w14:schemeClr w14:val="tx1"/>
                  </w14:solidFill>
                </w14:textFill>
              </w:rPr>
            </w:pPr>
            <w:r>
              <w:rPr>
                <w:rFonts w:hint="eastAsia"/>
                <w:b/>
                <w:bCs/>
                <w:color w:val="000000" w:themeColor="text1"/>
                <w:sz w:val="21"/>
                <w14:textFill>
                  <w14:solidFill>
                    <w14:schemeClr w14:val="tx1"/>
                  </w14:solidFill>
                </w14:textFill>
              </w:rPr>
              <w:t>（mg/m</w:t>
            </w:r>
            <w:r>
              <w:rPr>
                <w:b/>
                <w:bCs/>
                <w:color w:val="000000" w:themeColor="text1"/>
                <w:sz w:val="21"/>
                <w:vertAlign w:val="superscript"/>
                <w14:textFill>
                  <w14:solidFill>
                    <w14:schemeClr w14:val="tx1"/>
                  </w14:solidFill>
                </w14:textFill>
              </w:rPr>
              <w:t>3</w:t>
            </w:r>
            <w:r>
              <w:rPr>
                <w:rFonts w:hint="eastAsia"/>
                <w:b/>
                <w:bCs/>
                <w:color w:val="000000" w:themeColor="text1"/>
                <w:sz w:val="21"/>
                <w14:textFill>
                  <w14:solidFill>
                    <w14:schemeClr w14:val="tx1"/>
                  </w14:solidFill>
                </w14:textFill>
              </w:rPr>
              <w:t>）</w:t>
            </w:r>
          </w:p>
        </w:tc>
      </w:tr>
      <w:tr w14:paraId="20D9B4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restart"/>
            <w:vAlign w:val="center"/>
          </w:tcPr>
          <w:p w14:paraId="36952DC3">
            <w:pPr>
              <w:spacing w:line="240" w:lineRule="auto"/>
              <w:ind w:firstLine="0" w:firstLineChars="0"/>
              <w:jc w:val="center"/>
              <w:rPr>
                <w:color w:val="000000" w:themeColor="text1"/>
                <w:sz w:val="21"/>
                <w14:textFill>
                  <w14:solidFill>
                    <w14:schemeClr w14:val="tx1"/>
                  </w14:solidFill>
                </w14:textFill>
              </w:rPr>
            </w:pPr>
            <w:r>
              <w:rPr>
                <w:color w:val="000000" w:themeColor="text1"/>
                <w:kern w:val="0"/>
                <w:sz w:val="21"/>
                <w14:textFill>
                  <w14:solidFill>
                    <w14:schemeClr w14:val="tx1"/>
                  </w14:solidFill>
                </w14:textFill>
              </w:rPr>
              <w:t>S</w:t>
            </w:r>
            <w:r>
              <w:rPr>
                <w:rFonts w:hint="eastAsia"/>
                <w:color w:val="000000" w:themeColor="text1"/>
                <w:kern w:val="0"/>
                <w:sz w:val="21"/>
                <w14:textFill>
                  <w14:solidFill>
                    <w14:schemeClr w14:val="tx1"/>
                  </w14:solidFill>
                </w14:textFill>
              </w:rPr>
              <w:t>1</w:t>
            </w:r>
          </w:p>
        </w:tc>
        <w:tc>
          <w:tcPr>
            <w:tcW w:w="1010" w:type="dxa"/>
            <w:vAlign w:val="center"/>
          </w:tcPr>
          <w:p w14:paraId="7C096799">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毛颚类</w:t>
            </w:r>
          </w:p>
        </w:tc>
        <w:tc>
          <w:tcPr>
            <w:tcW w:w="1847" w:type="dxa"/>
            <w:vAlign w:val="center"/>
          </w:tcPr>
          <w:p w14:paraId="4E4AAD3B">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百陶带箭虫</w:t>
            </w:r>
          </w:p>
        </w:tc>
        <w:tc>
          <w:tcPr>
            <w:tcW w:w="2438" w:type="dxa"/>
            <w:vAlign w:val="center"/>
          </w:tcPr>
          <w:p w14:paraId="21C7CEF6">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Sagitta bedoti</w:t>
            </w:r>
          </w:p>
        </w:tc>
        <w:tc>
          <w:tcPr>
            <w:tcW w:w="1158" w:type="dxa"/>
            <w:vAlign w:val="center"/>
          </w:tcPr>
          <w:p w14:paraId="25B3671A">
            <w:pPr>
              <w:spacing w:line="240" w:lineRule="auto"/>
              <w:ind w:firstLine="0" w:firstLineChars="0"/>
              <w:jc w:val="center"/>
              <w:rPr>
                <w:color w:val="000000" w:themeColor="text1"/>
                <w:kern w:val="0"/>
                <w:sz w:val="21"/>
                <w14:textFill>
                  <w14:solidFill>
                    <w14:schemeClr w14:val="tx1"/>
                  </w14:solidFill>
                </w14:textFill>
              </w:rPr>
            </w:pPr>
          </w:p>
        </w:tc>
        <w:tc>
          <w:tcPr>
            <w:tcW w:w="1221" w:type="dxa"/>
            <w:vMerge w:val="restart"/>
            <w:vAlign w:val="center"/>
          </w:tcPr>
          <w:p w14:paraId="4BDC829B">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268</w:t>
            </w:r>
          </w:p>
        </w:tc>
      </w:tr>
      <w:tr w14:paraId="250A19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6E53A7C7">
            <w:pPr>
              <w:spacing w:line="240" w:lineRule="auto"/>
              <w:ind w:firstLine="0" w:firstLineChars="0"/>
              <w:jc w:val="center"/>
              <w:rPr>
                <w:color w:val="000000" w:themeColor="text1"/>
                <w:sz w:val="21"/>
                <w14:textFill>
                  <w14:solidFill>
                    <w14:schemeClr w14:val="tx1"/>
                  </w14:solidFill>
                </w14:textFill>
              </w:rPr>
            </w:pPr>
          </w:p>
        </w:tc>
        <w:tc>
          <w:tcPr>
            <w:tcW w:w="1010" w:type="dxa"/>
            <w:vAlign w:val="center"/>
          </w:tcPr>
          <w:p w14:paraId="29356136">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被囊类</w:t>
            </w:r>
          </w:p>
        </w:tc>
        <w:tc>
          <w:tcPr>
            <w:tcW w:w="1847" w:type="dxa"/>
            <w:vAlign w:val="center"/>
          </w:tcPr>
          <w:p w14:paraId="7AA21C8D">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异体住囊虫</w:t>
            </w:r>
          </w:p>
        </w:tc>
        <w:tc>
          <w:tcPr>
            <w:tcW w:w="2438" w:type="dxa"/>
            <w:vAlign w:val="center"/>
          </w:tcPr>
          <w:p w14:paraId="58329881">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Oikopleura dioica</w:t>
            </w:r>
          </w:p>
        </w:tc>
        <w:tc>
          <w:tcPr>
            <w:tcW w:w="1158" w:type="dxa"/>
            <w:vAlign w:val="center"/>
          </w:tcPr>
          <w:p w14:paraId="721AC26F">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6B712848">
            <w:pPr>
              <w:spacing w:line="240" w:lineRule="auto"/>
              <w:ind w:firstLine="0" w:firstLineChars="0"/>
              <w:jc w:val="center"/>
              <w:rPr>
                <w:color w:val="000000" w:themeColor="text1"/>
                <w:sz w:val="21"/>
                <w14:textFill>
                  <w14:solidFill>
                    <w14:schemeClr w14:val="tx1"/>
                  </w14:solidFill>
                </w14:textFill>
              </w:rPr>
            </w:pPr>
          </w:p>
        </w:tc>
      </w:tr>
      <w:tr w14:paraId="5D3766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0875DB4B">
            <w:pPr>
              <w:spacing w:line="240" w:lineRule="auto"/>
              <w:ind w:firstLine="0" w:firstLineChars="0"/>
              <w:jc w:val="center"/>
              <w:rPr>
                <w:color w:val="000000" w:themeColor="text1"/>
                <w:sz w:val="21"/>
                <w14:textFill>
                  <w14:solidFill>
                    <w14:schemeClr w14:val="tx1"/>
                  </w14:solidFill>
                </w14:textFill>
              </w:rPr>
            </w:pPr>
          </w:p>
        </w:tc>
        <w:tc>
          <w:tcPr>
            <w:tcW w:w="1010" w:type="dxa"/>
            <w:vMerge w:val="restart"/>
            <w:vAlign w:val="center"/>
          </w:tcPr>
          <w:p w14:paraId="5C2AD5A5">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桡足类</w:t>
            </w:r>
          </w:p>
        </w:tc>
        <w:tc>
          <w:tcPr>
            <w:tcW w:w="1847" w:type="dxa"/>
            <w:vAlign w:val="center"/>
          </w:tcPr>
          <w:p w14:paraId="4227BD0D">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近缘大眼水蚤</w:t>
            </w:r>
          </w:p>
        </w:tc>
        <w:tc>
          <w:tcPr>
            <w:tcW w:w="2438" w:type="dxa"/>
            <w:vAlign w:val="center"/>
          </w:tcPr>
          <w:p w14:paraId="3C9A8413">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Corycaeus affinis</w:t>
            </w:r>
          </w:p>
        </w:tc>
        <w:tc>
          <w:tcPr>
            <w:tcW w:w="1158" w:type="dxa"/>
            <w:vAlign w:val="center"/>
          </w:tcPr>
          <w:p w14:paraId="3B765384">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60645FE6">
            <w:pPr>
              <w:spacing w:line="240" w:lineRule="auto"/>
              <w:ind w:firstLine="0" w:firstLineChars="0"/>
              <w:jc w:val="center"/>
              <w:rPr>
                <w:color w:val="000000" w:themeColor="text1"/>
                <w:sz w:val="21"/>
                <w14:textFill>
                  <w14:solidFill>
                    <w14:schemeClr w14:val="tx1"/>
                  </w14:solidFill>
                </w14:textFill>
              </w:rPr>
            </w:pPr>
          </w:p>
        </w:tc>
      </w:tr>
      <w:tr w14:paraId="7FD79B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143F1FB7">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1ECEDF61">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3CF8B2FC">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尖额谐猛水蚤</w:t>
            </w:r>
          </w:p>
        </w:tc>
        <w:tc>
          <w:tcPr>
            <w:tcW w:w="2438" w:type="dxa"/>
            <w:vAlign w:val="center"/>
          </w:tcPr>
          <w:p w14:paraId="0C1D82D3">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Euterpina acutifrons</w:t>
            </w:r>
          </w:p>
        </w:tc>
        <w:tc>
          <w:tcPr>
            <w:tcW w:w="1158" w:type="dxa"/>
            <w:vAlign w:val="center"/>
          </w:tcPr>
          <w:p w14:paraId="58CE48B6">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2C4987B1">
            <w:pPr>
              <w:spacing w:line="240" w:lineRule="auto"/>
              <w:ind w:firstLine="0" w:firstLineChars="0"/>
              <w:jc w:val="center"/>
              <w:rPr>
                <w:color w:val="000000" w:themeColor="text1"/>
                <w:sz w:val="21"/>
                <w14:textFill>
                  <w14:solidFill>
                    <w14:schemeClr w14:val="tx1"/>
                  </w14:solidFill>
                </w14:textFill>
              </w:rPr>
            </w:pPr>
          </w:p>
        </w:tc>
      </w:tr>
      <w:tr w14:paraId="182563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23652F2C">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78E913B3">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30B75647">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克氏纺锤水蚤</w:t>
            </w:r>
          </w:p>
        </w:tc>
        <w:tc>
          <w:tcPr>
            <w:tcW w:w="2438" w:type="dxa"/>
            <w:vAlign w:val="center"/>
          </w:tcPr>
          <w:p w14:paraId="4FD2CB61">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Acartia clausi</w:t>
            </w:r>
          </w:p>
        </w:tc>
        <w:tc>
          <w:tcPr>
            <w:tcW w:w="1158" w:type="dxa"/>
            <w:vAlign w:val="center"/>
          </w:tcPr>
          <w:p w14:paraId="328D6BA6">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77C185C9">
            <w:pPr>
              <w:spacing w:line="240" w:lineRule="auto"/>
              <w:ind w:firstLine="0" w:firstLineChars="0"/>
              <w:jc w:val="center"/>
              <w:rPr>
                <w:color w:val="000000" w:themeColor="text1"/>
                <w:sz w:val="21"/>
                <w14:textFill>
                  <w14:solidFill>
                    <w14:schemeClr w14:val="tx1"/>
                  </w14:solidFill>
                </w14:textFill>
              </w:rPr>
            </w:pPr>
          </w:p>
        </w:tc>
      </w:tr>
      <w:tr w14:paraId="3308D4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76B6B7B1">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063DD7F6">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46A23054">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双毛纺锤水蚤</w:t>
            </w:r>
          </w:p>
        </w:tc>
        <w:tc>
          <w:tcPr>
            <w:tcW w:w="2438" w:type="dxa"/>
            <w:vAlign w:val="center"/>
          </w:tcPr>
          <w:p w14:paraId="0C6A7649">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Acartia bifilosa</w:t>
            </w:r>
          </w:p>
        </w:tc>
        <w:tc>
          <w:tcPr>
            <w:tcW w:w="1158" w:type="dxa"/>
            <w:vAlign w:val="center"/>
          </w:tcPr>
          <w:p w14:paraId="060D5FCF">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598CE0B5">
            <w:pPr>
              <w:spacing w:line="240" w:lineRule="auto"/>
              <w:ind w:firstLine="0" w:firstLineChars="0"/>
              <w:jc w:val="center"/>
              <w:rPr>
                <w:color w:val="000000" w:themeColor="text1"/>
                <w:sz w:val="21"/>
                <w14:textFill>
                  <w14:solidFill>
                    <w14:schemeClr w14:val="tx1"/>
                  </w14:solidFill>
                </w14:textFill>
              </w:rPr>
            </w:pPr>
          </w:p>
        </w:tc>
      </w:tr>
      <w:tr w14:paraId="013423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4B94EABB">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1A75C325">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14408B80">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小长腹剑水蚤</w:t>
            </w:r>
          </w:p>
        </w:tc>
        <w:tc>
          <w:tcPr>
            <w:tcW w:w="2438" w:type="dxa"/>
            <w:vAlign w:val="center"/>
          </w:tcPr>
          <w:p w14:paraId="46EAB195">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Oithona nana</w:t>
            </w:r>
          </w:p>
        </w:tc>
        <w:tc>
          <w:tcPr>
            <w:tcW w:w="1158" w:type="dxa"/>
            <w:vAlign w:val="center"/>
          </w:tcPr>
          <w:p w14:paraId="05273CB2">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50F42E0E">
            <w:pPr>
              <w:spacing w:line="240" w:lineRule="auto"/>
              <w:ind w:firstLine="0" w:firstLineChars="0"/>
              <w:jc w:val="center"/>
              <w:rPr>
                <w:color w:val="000000" w:themeColor="text1"/>
                <w:sz w:val="21"/>
                <w14:textFill>
                  <w14:solidFill>
                    <w14:schemeClr w14:val="tx1"/>
                  </w14:solidFill>
                </w14:textFill>
              </w:rPr>
            </w:pPr>
          </w:p>
        </w:tc>
      </w:tr>
      <w:tr w14:paraId="232C6F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0057D26E">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7E84DB4C">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2F08B84A">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拟长腹剑水蚤</w:t>
            </w:r>
          </w:p>
        </w:tc>
        <w:tc>
          <w:tcPr>
            <w:tcW w:w="2438" w:type="dxa"/>
            <w:vAlign w:val="center"/>
          </w:tcPr>
          <w:p w14:paraId="5692FC7B">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Oithona similis</w:t>
            </w:r>
          </w:p>
        </w:tc>
        <w:tc>
          <w:tcPr>
            <w:tcW w:w="1158" w:type="dxa"/>
            <w:vAlign w:val="center"/>
          </w:tcPr>
          <w:p w14:paraId="7D169061">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12B041AF">
            <w:pPr>
              <w:spacing w:line="240" w:lineRule="auto"/>
              <w:ind w:firstLine="0" w:firstLineChars="0"/>
              <w:jc w:val="center"/>
              <w:rPr>
                <w:color w:val="000000" w:themeColor="text1"/>
                <w:sz w:val="21"/>
                <w14:textFill>
                  <w14:solidFill>
                    <w14:schemeClr w14:val="tx1"/>
                  </w14:solidFill>
                </w14:textFill>
              </w:rPr>
            </w:pPr>
          </w:p>
        </w:tc>
      </w:tr>
      <w:tr w14:paraId="447A09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7AC96312">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525DD473">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51E4990E">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小拟哲水蚤</w:t>
            </w:r>
          </w:p>
        </w:tc>
        <w:tc>
          <w:tcPr>
            <w:tcW w:w="2438" w:type="dxa"/>
            <w:vAlign w:val="center"/>
          </w:tcPr>
          <w:p w14:paraId="4FEB5F6A">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Paracalanus parvus</w:t>
            </w:r>
          </w:p>
        </w:tc>
        <w:tc>
          <w:tcPr>
            <w:tcW w:w="1158" w:type="dxa"/>
            <w:vAlign w:val="center"/>
          </w:tcPr>
          <w:p w14:paraId="662808B5">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1E1197A6">
            <w:pPr>
              <w:spacing w:line="240" w:lineRule="auto"/>
              <w:ind w:firstLine="0" w:firstLineChars="0"/>
              <w:jc w:val="center"/>
              <w:rPr>
                <w:color w:val="000000" w:themeColor="text1"/>
                <w:sz w:val="21"/>
                <w14:textFill>
                  <w14:solidFill>
                    <w14:schemeClr w14:val="tx1"/>
                  </w14:solidFill>
                </w14:textFill>
              </w:rPr>
            </w:pPr>
          </w:p>
        </w:tc>
      </w:tr>
      <w:tr w14:paraId="4DCDC0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140539BD">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1032D7E5">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582948BF">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强额孔雀水蚤</w:t>
            </w:r>
          </w:p>
        </w:tc>
        <w:tc>
          <w:tcPr>
            <w:tcW w:w="2438" w:type="dxa"/>
            <w:vAlign w:val="center"/>
          </w:tcPr>
          <w:p w14:paraId="7B083591">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Pavocalanus crassirostris</w:t>
            </w:r>
          </w:p>
        </w:tc>
        <w:tc>
          <w:tcPr>
            <w:tcW w:w="1158" w:type="dxa"/>
            <w:vAlign w:val="center"/>
          </w:tcPr>
          <w:p w14:paraId="297FBA91">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5BF59E36">
            <w:pPr>
              <w:spacing w:line="240" w:lineRule="auto"/>
              <w:ind w:firstLine="0" w:firstLineChars="0"/>
              <w:jc w:val="center"/>
              <w:rPr>
                <w:color w:val="000000" w:themeColor="text1"/>
                <w:sz w:val="21"/>
                <w14:textFill>
                  <w14:solidFill>
                    <w14:schemeClr w14:val="tx1"/>
                  </w14:solidFill>
                </w14:textFill>
              </w:rPr>
            </w:pPr>
          </w:p>
        </w:tc>
      </w:tr>
      <w:tr w14:paraId="0990F9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52C9B191">
            <w:pPr>
              <w:spacing w:line="240" w:lineRule="auto"/>
              <w:ind w:firstLine="0" w:firstLineChars="0"/>
              <w:jc w:val="center"/>
              <w:rPr>
                <w:color w:val="000000" w:themeColor="text1"/>
                <w:sz w:val="21"/>
                <w14:textFill>
                  <w14:solidFill>
                    <w14:schemeClr w14:val="tx1"/>
                  </w14:solidFill>
                </w14:textFill>
              </w:rPr>
            </w:pPr>
          </w:p>
        </w:tc>
        <w:tc>
          <w:tcPr>
            <w:tcW w:w="1010" w:type="dxa"/>
            <w:vAlign w:val="center"/>
          </w:tcPr>
          <w:p w14:paraId="6BE33A93">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水母类</w:t>
            </w:r>
          </w:p>
        </w:tc>
        <w:tc>
          <w:tcPr>
            <w:tcW w:w="1847" w:type="dxa"/>
            <w:vAlign w:val="center"/>
          </w:tcPr>
          <w:p w14:paraId="735FBCCF">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杜氏外肋水母</w:t>
            </w:r>
          </w:p>
        </w:tc>
        <w:tc>
          <w:tcPr>
            <w:tcW w:w="2438" w:type="dxa"/>
            <w:vAlign w:val="center"/>
          </w:tcPr>
          <w:p w14:paraId="2C089A8E">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Ectopleura dumortieri</w:t>
            </w:r>
          </w:p>
        </w:tc>
        <w:tc>
          <w:tcPr>
            <w:tcW w:w="1158" w:type="dxa"/>
            <w:vAlign w:val="center"/>
          </w:tcPr>
          <w:p w14:paraId="2D17729F">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49416304">
            <w:pPr>
              <w:spacing w:line="240" w:lineRule="auto"/>
              <w:ind w:firstLine="0" w:firstLineChars="0"/>
              <w:jc w:val="center"/>
              <w:rPr>
                <w:color w:val="000000" w:themeColor="text1"/>
                <w:sz w:val="21"/>
                <w14:textFill>
                  <w14:solidFill>
                    <w14:schemeClr w14:val="tx1"/>
                  </w14:solidFill>
                </w14:textFill>
              </w:rPr>
            </w:pPr>
          </w:p>
        </w:tc>
      </w:tr>
      <w:tr w14:paraId="79B925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02CA1959">
            <w:pPr>
              <w:spacing w:line="240" w:lineRule="auto"/>
              <w:ind w:firstLine="0" w:firstLineChars="0"/>
              <w:jc w:val="center"/>
              <w:rPr>
                <w:color w:val="000000" w:themeColor="text1"/>
                <w:sz w:val="21"/>
                <w14:textFill>
                  <w14:solidFill>
                    <w14:schemeClr w14:val="tx1"/>
                  </w14:solidFill>
                </w14:textFill>
              </w:rPr>
            </w:pPr>
          </w:p>
        </w:tc>
        <w:tc>
          <w:tcPr>
            <w:tcW w:w="1010" w:type="dxa"/>
            <w:vAlign w:val="center"/>
          </w:tcPr>
          <w:p w14:paraId="7C3BB33D">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介形类</w:t>
            </w:r>
          </w:p>
        </w:tc>
        <w:tc>
          <w:tcPr>
            <w:tcW w:w="1847" w:type="dxa"/>
            <w:vAlign w:val="center"/>
          </w:tcPr>
          <w:p w14:paraId="1EFA13D2">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针刺真浮萤</w:t>
            </w:r>
          </w:p>
        </w:tc>
        <w:tc>
          <w:tcPr>
            <w:tcW w:w="2438" w:type="dxa"/>
            <w:vAlign w:val="center"/>
          </w:tcPr>
          <w:p w14:paraId="7D83EB74">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Euconchoecia aculeata</w:t>
            </w:r>
          </w:p>
        </w:tc>
        <w:tc>
          <w:tcPr>
            <w:tcW w:w="1158" w:type="dxa"/>
            <w:vAlign w:val="center"/>
          </w:tcPr>
          <w:p w14:paraId="5662DD01">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0D77C382">
            <w:pPr>
              <w:spacing w:line="240" w:lineRule="auto"/>
              <w:ind w:firstLine="0" w:firstLineChars="0"/>
              <w:jc w:val="center"/>
              <w:rPr>
                <w:color w:val="000000" w:themeColor="text1"/>
                <w:sz w:val="21"/>
                <w14:textFill>
                  <w14:solidFill>
                    <w14:schemeClr w14:val="tx1"/>
                  </w14:solidFill>
                </w14:textFill>
              </w:rPr>
            </w:pPr>
          </w:p>
        </w:tc>
      </w:tr>
      <w:tr w14:paraId="12AA1A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6573377F">
            <w:pPr>
              <w:spacing w:line="240" w:lineRule="auto"/>
              <w:ind w:firstLine="0" w:firstLineChars="0"/>
              <w:jc w:val="center"/>
              <w:rPr>
                <w:color w:val="000000" w:themeColor="text1"/>
                <w:sz w:val="21"/>
                <w14:textFill>
                  <w14:solidFill>
                    <w14:schemeClr w14:val="tx1"/>
                  </w14:solidFill>
                </w14:textFill>
              </w:rPr>
            </w:pPr>
          </w:p>
        </w:tc>
        <w:tc>
          <w:tcPr>
            <w:tcW w:w="1010" w:type="dxa"/>
            <w:vMerge w:val="restart"/>
            <w:vAlign w:val="center"/>
          </w:tcPr>
          <w:p w14:paraId="5C260482">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浮游幼虫</w:t>
            </w:r>
          </w:p>
        </w:tc>
        <w:tc>
          <w:tcPr>
            <w:tcW w:w="1847" w:type="dxa"/>
            <w:vAlign w:val="center"/>
          </w:tcPr>
          <w:p w14:paraId="5ABDC0AE">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短尾类溞状幼体</w:t>
            </w:r>
          </w:p>
        </w:tc>
        <w:tc>
          <w:tcPr>
            <w:tcW w:w="2438" w:type="dxa"/>
            <w:vAlign w:val="center"/>
          </w:tcPr>
          <w:p w14:paraId="6936007A">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Brachyura zoea</w:t>
            </w:r>
          </w:p>
        </w:tc>
        <w:tc>
          <w:tcPr>
            <w:tcW w:w="1158" w:type="dxa"/>
            <w:vAlign w:val="center"/>
          </w:tcPr>
          <w:p w14:paraId="2329D7BB">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5A3A8682">
            <w:pPr>
              <w:spacing w:line="240" w:lineRule="auto"/>
              <w:ind w:firstLine="0" w:firstLineChars="0"/>
              <w:jc w:val="center"/>
              <w:rPr>
                <w:color w:val="000000" w:themeColor="text1"/>
                <w:sz w:val="21"/>
                <w14:textFill>
                  <w14:solidFill>
                    <w14:schemeClr w14:val="tx1"/>
                  </w14:solidFill>
                </w14:textFill>
              </w:rPr>
            </w:pPr>
          </w:p>
        </w:tc>
      </w:tr>
      <w:tr w14:paraId="24E34E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5F9442E6">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1118BF6F">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41BC1498">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曼足类幼体</w:t>
            </w:r>
          </w:p>
        </w:tc>
        <w:tc>
          <w:tcPr>
            <w:tcW w:w="2438" w:type="dxa"/>
            <w:vAlign w:val="center"/>
          </w:tcPr>
          <w:p w14:paraId="1F4DA4EA">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Balanus larva</w:t>
            </w:r>
          </w:p>
        </w:tc>
        <w:tc>
          <w:tcPr>
            <w:tcW w:w="1158" w:type="dxa"/>
            <w:vAlign w:val="center"/>
          </w:tcPr>
          <w:p w14:paraId="35E89B9D">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4E030B8D">
            <w:pPr>
              <w:spacing w:line="240" w:lineRule="auto"/>
              <w:ind w:firstLine="0" w:firstLineChars="0"/>
              <w:jc w:val="center"/>
              <w:rPr>
                <w:color w:val="000000" w:themeColor="text1"/>
                <w:sz w:val="21"/>
                <w14:textFill>
                  <w14:solidFill>
                    <w14:schemeClr w14:val="tx1"/>
                  </w14:solidFill>
                </w14:textFill>
              </w:rPr>
            </w:pPr>
          </w:p>
        </w:tc>
      </w:tr>
      <w:tr w14:paraId="4535D9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restart"/>
            <w:vAlign w:val="center"/>
          </w:tcPr>
          <w:p w14:paraId="04652035">
            <w:pPr>
              <w:spacing w:line="240" w:lineRule="auto"/>
              <w:ind w:firstLine="0" w:firstLineChars="0"/>
              <w:jc w:val="center"/>
              <w:rPr>
                <w:color w:val="000000" w:themeColor="text1"/>
                <w:sz w:val="21"/>
                <w14:textFill>
                  <w14:solidFill>
                    <w14:schemeClr w14:val="tx1"/>
                  </w14:solidFill>
                </w14:textFill>
              </w:rPr>
            </w:pPr>
            <w:r>
              <w:rPr>
                <w:color w:val="000000" w:themeColor="text1"/>
                <w:kern w:val="0"/>
                <w:sz w:val="21"/>
                <w14:textFill>
                  <w14:solidFill>
                    <w14:schemeClr w14:val="tx1"/>
                  </w14:solidFill>
                </w14:textFill>
              </w:rPr>
              <w:t>S</w:t>
            </w:r>
            <w:r>
              <w:rPr>
                <w:rFonts w:hint="eastAsia"/>
                <w:color w:val="000000" w:themeColor="text1"/>
                <w:kern w:val="0"/>
                <w:sz w:val="21"/>
                <w14:textFill>
                  <w14:solidFill>
                    <w14:schemeClr w14:val="tx1"/>
                  </w14:solidFill>
                </w14:textFill>
              </w:rPr>
              <w:t>2</w:t>
            </w:r>
          </w:p>
        </w:tc>
        <w:tc>
          <w:tcPr>
            <w:tcW w:w="1010" w:type="dxa"/>
            <w:vMerge w:val="restart"/>
            <w:vAlign w:val="center"/>
          </w:tcPr>
          <w:p w14:paraId="665C07DF">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桡足类</w:t>
            </w:r>
          </w:p>
        </w:tc>
        <w:tc>
          <w:tcPr>
            <w:tcW w:w="1847" w:type="dxa"/>
            <w:vAlign w:val="center"/>
          </w:tcPr>
          <w:p w14:paraId="7EA3F4E5">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尖额谐猛水蚤</w:t>
            </w:r>
          </w:p>
        </w:tc>
        <w:tc>
          <w:tcPr>
            <w:tcW w:w="2438" w:type="dxa"/>
            <w:vAlign w:val="center"/>
          </w:tcPr>
          <w:p w14:paraId="03283A8E">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Euterpina acutifrons</w:t>
            </w:r>
          </w:p>
        </w:tc>
        <w:tc>
          <w:tcPr>
            <w:tcW w:w="1158" w:type="dxa"/>
            <w:vAlign w:val="center"/>
          </w:tcPr>
          <w:p w14:paraId="38589E55">
            <w:pPr>
              <w:spacing w:line="240" w:lineRule="auto"/>
              <w:ind w:firstLine="0" w:firstLineChars="0"/>
              <w:jc w:val="center"/>
              <w:rPr>
                <w:color w:val="000000" w:themeColor="text1"/>
                <w:kern w:val="0"/>
                <w:sz w:val="21"/>
                <w14:textFill>
                  <w14:solidFill>
                    <w14:schemeClr w14:val="tx1"/>
                  </w14:solidFill>
                </w14:textFill>
              </w:rPr>
            </w:pPr>
          </w:p>
        </w:tc>
        <w:tc>
          <w:tcPr>
            <w:tcW w:w="1221" w:type="dxa"/>
            <w:vMerge w:val="restart"/>
            <w:vAlign w:val="center"/>
          </w:tcPr>
          <w:p w14:paraId="62CA2F53">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95.8</w:t>
            </w:r>
          </w:p>
        </w:tc>
      </w:tr>
      <w:tr w14:paraId="21BF04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06B8B55E">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3BAF13FA">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6CA77E18">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细长腹剑水蚤</w:t>
            </w:r>
          </w:p>
        </w:tc>
        <w:tc>
          <w:tcPr>
            <w:tcW w:w="2438" w:type="dxa"/>
            <w:vAlign w:val="center"/>
          </w:tcPr>
          <w:p w14:paraId="75283535">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Oithona attenuata</w:t>
            </w:r>
          </w:p>
        </w:tc>
        <w:tc>
          <w:tcPr>
            <w:tcW w:w="1158" w:type="dxa"/>
            <w:vAlign w:val="center"/>
          </w:tcPr>
          <w:p w14:paraId="5D7CFB29">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2A2BAA2E">
            <w:pPr>
              <w:spacing w:line="240" w:lineRule="auto"/>
              <w:ind w:firstLine="0" w:firstLineChars="0"/>
              <w:jc w:val="center"/>
              <w:rPr>
                <w:color w:val="000000" w:themeColor="text1"/>
                <w:sz w:val="21"/>
                <w14:textFill>
                  <w14:solidFill>
                    <w14:schemeClr w14:val="tx1"/>
                  </w14:solidFill>
                </w14:textFill>
              </w:rPr>
            </w:pPr>
          </w:p>
        </w:tc>
      </w:tr>
      <w:tr w14:paraId="025D90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11E925D8">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1DC2E8F8">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77F1042D">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强额孔雀水蚤</w:t>
            </w:r>
          </w:p>
        </w:tc>
        <w:tc>
          <w:tcPr>
            <w:tcW w:w="2438" w:type="dxa"/>
            <w:vAlign w:val="center"/>
          </w:tcPr>
          <w:p w14:paraId="6B3BFE65">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Pavocalanus crassirostris</w:t>
            </w:r>
          </w:p>
        </w:tc>
        <w:tc>
          <w:tcPr>
            <w:tcW w:w="1158" w:type="dxa"/>
            <w:vAlign w:val="center"/>
          </w:tcPr>
          <w:p w14:paraId="04F5856A">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4EA448A1">
            <w:pPr>
              <w:spacing w:line="240" w:lineRule="auto"/>
              <w:ind w:firstLine="0" w:firstLineChars="0"/>
              <w:jc w:val="center"/>
              <w:rPr>
                <w:color w:val="000000" w:themeColor="text1"/>
                <w:sz w:val="21"/>
                <w14:textFill>
                  <w14:solidFill>
                    <w14:schemeClr w14:val="tx1"/>
                  </w14:solidFill>
                </w14:textFill>
              </w:rPr>
            </w:pPr>
          </w:p>
        </w:tc>
      </w:tr>
      <w:tr w14:paraId="6DE392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7852DF91">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57E99A3A">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7719991C">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小拟哲水蚤</w:t>
            </w:r>
          </w:p>
        </w:tc>
        <w:tc>
          <w:tcPr>
            <w:tcW w:w="2438" w:type="dxa"/>
            <w:vAlign w:val="center"/>
          </w:tcPr>
          <w:p w14:paraId="344FD49D">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Paracalanus parvus</w:t>
            </w:r>
          </w:p>
        </w:tc>
        <w:tc>
          <w:tcPr>
            <w:tcW w:w="1158" w:type="dxa"/>
            <w:vAlign w:val="center"/>
          </w:tcPr>
          <w:p w14:paraId="5B441569">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18968F64">
            <w:pPr>
              <w:spacing w:line="240" w:lineRule="auto"/>
              <w:ind w:firstLine="0" w:firstLineChars="0"/>
              <w:jc w:val="center"/>
              <w:rPr>
                <w:color w:val="000000" w:themeColor="text1"/>
                <w:sz w:val="21"/>
                <w14:textFill>
                  <w14:solidFill>
                    <w14:schemeClr w14:val="tx1"/>
                  </w14:solidFill>
                </w14:textFill>
              </w:rPr>
            </w:pPr>
          </w:p>
        </w:tc>
      </w:tr>
      <w:tr w14:paraId="5D50F8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1853E2C5">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7CFC5DF0">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00119276">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短尾类溞状幼体</w:t>
            </w:r>
          </w:p>
        </w:tc>
        <w:tc>
          <w:tcPr>
            <w:tcW w:w="2438" w:type="dxa"/>
            <w:vAlign w:val="center"/>
          </w:tcPr>
          <w:p w14:paraId="00BB1BFF">
            <w:pPr>
              <w:spacing w:line="240" w:lineRule="auto"/>
              <w:ind w:firstLine="0" w:firstLineChars="0"/>
              <w:jc w:val="center"/>
              <w:rPr>
                <w:i/>
                <w:iCs/>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Brachyura zoea</w:t>
            </w:r>
          </w:p>
        </w:tc>
        <w:tc>
          <w:tcPr>
            <w:tcW w:w="1158" w:type="dxa"/>
            <w:vAlign w:val="center"/>
          </w:tcPr>
          <w:p w14:paraId="21B353E7">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5E5BA376">
            <w:pPr>
              <w:spacing w:line="240" w:lineRule="auto"/>
              <w:ind w:firstLine="0" w:firstLineChars="0"/>
              <w:jc w:val="center"/>
              <w:rPr>
                <w:color w:val="000000" w:themeColor="text1"/>
                <w:sz w:val="21"/>
                <w14:textFill>
                  <w14:solidFill>
                    <w14:schemeClr w14:val="tx1"/>
                  </w14:solidFill>
                </w14:textFill>
              </w:rPr>
            </w:pPr>
          </w:p>
        </w:tc>
      </w:tr>
      <w:tr w14:paraId="53BF29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21E8F8FE">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03914323">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7164D1F6">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曼足类幼体</w:t>
            </w:r>
          </w:p>
        </w:tc>
        <w:tc>
          <w:tcPr>
            <w:tcW w:w="2438" w:type="dxa"/>
            <w:vAlign w:val="center"/>
          </w:tcPr>
          <w:p w14:paraId="13D42F56">
            <w:pPr>
              <w:spacing w:line="240" w:lineRule="auto"/>
              <w:ind w:firstLine="0" w:firstLineChars="0"/>
              <w:jc w:val="center"/>
              <w:rPr>
                <w:i/>
                <w:iCs/>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Balanus larva</w:t>
            </w:r>
          </w:p>
        </w:tc>
        <w:tc>
          <w:tcPr>
            <w:tcW w:w="1158" w:type="dxa"/>
            <w:vAlign w:val="center"/>
          </w:tcPr>
          <w:p w14:paraId="34FF7221">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44F61FE0">
            <w:pPr>
              <w:spacing w:line="240" w:lineRule="auto"/>
              <w:ind w:firstLine="0" w:firstLineChars="0"/>
              <w:jc w:val="center"/>
              <w:rPr>
                <w:color w:val="000000" w:themeColor="text1"/>
                <w:sz w:val="21"/>
                <w14:textFill>
                  <w14:solidFill>
                    <w14:schemeClr w14:val="tx1"/>
                  </w14:solidFill>
                </w14:textFill>
              </w:rPr>
            </w:pPr>
          </w:p>
        </w:tc>
      </w:tr>
      <w:tr w14:paraId="112B7A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restart"/>
            <w:vAlign w:val="center"/>
          </w:tcPr>
          <w:p w14:paraId="62E45B5C">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kern w:val="0"/>
                <w:sz w:val="21"/>
                <w14:textFill>
                  <w14:solidFill>
                    <w14:schemeClr w14:val="tx1"/>
                  </w14:solidFill>
                </w14:textFill>
              </w:rPr>
              <w:t>S3</w:t>
            </w:r>
          </w:p>
        </w:tc>
        <w:tc>
          <w:tcPr>
            <w:tcW w:w="1010" w:type="dxa"/>
            <w:vMerge w:val="restart"/>
            <w:vAlign w:val="center"/>
          </w:tcPr>
          <w:p w14:paraId="64A748DD">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桡足类</w:t>
            </w:r>
          </w:p>
        </w:tc>
        <w:tc>
          <w:tcPr>
            <w:tcW w:w="1847" w:type="dxa"/>
            <w:vAlign w:val="center"/>
          </w:tcPr>
          <w:p w14:paraId="545751B2">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小拟哲水蚤</w:t>
            </w:r>
          </w:p>
        </w:tc>
        <w:tc>
          <w:tcPr>
            <w:tcW w:w="2438" w:type="dxa"/>
            <w:vAlign w:val="center"/>
          </w:tcPr>
          <w:p w14:paraId="483F17BA">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Paracalanus parvus</w:t>
            </w:r>
          </w:p>
        </w:tc>
        <w:tc>
          <w:tcPr>
            <w:tcW w:w="1158" w:type="dxa"/>
            <w:vAlign w:val="center"/>
          </w:tcPr>
          <w:p w14:paraId="318FDB35">
            <w:pPr>
              <w:spacing w:line="240" w:lineRule="auto"/>
              <w:ind w:firstLine="0" w:firstLineChars="0"/>
              <w:jc w:val="center"/>
              <w:rPr>
                <w:color w:val="000000" w:themeColor="text1"/>
                <w:kern w:val="0"/>
                <w:sz w:val="21"/>
                <w14:textFill>
                  <w14:solidFill>
                    <w14:schemeClr w14:val="tx1"/>
                  </w14:solidFill>
                </w14:textFill>
              </w:rPr>
            </w:pPr>
          </w:p>
        </w:tc>
        <w:tc>
          <w:tcPr>
            <w:tcW w:w="1221" w:type="dxa"/>
            <w:vMerge w:val="restart"/>
            <w:vAlign w:val="center"/>
          </w:tcPr>
          <w:p w14:paraId="20C0CE37">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120</w:t>
            </w:r>
          </w:p>
        </w:tc>
      </w:tr>
      <w:tr w14:paraId="527A28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1EE96CA2">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09CE404C">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7CFC22D3">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强额孔雀水蚤</w:t>
            </w:r>
          </w:p>
        </w:tc>
        <w:tc>
          <w:tcPr>
            <w:tcW w:w="2438" w:type="dxa"/>
            <w:vAlign w:val="center"/>
          </w:tcPr>
          <w:p w14:paraId="045A3228">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Pavocalanus crassirostris</w:t>
            </w:r>
          </w:p>
        </w:tc>
        <w:tc>
          <w:tcPr>
            <w:tcW w:w="1158" w:type="dxa"/>
            <w:vAlign w:val="center"/>
          </w:tcPr>
          <w:p w14:paraId="29DDFD08">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40965134">
            <w:pPr>
              <w:spacing w:line="240" w:lineRule="auto"/>
              <w:ind w:firstLine="0" w:firstLineChars="0"/>
              <w:jc w:val="center"/>
              <w:rPr>
                <w:color w:val="000000" w:themeColor="text1"/>
                <w:sz w:val="21"/>
                <w14:textFill>
                  <w14:solidFill>
                    <w14:schemeClr w14:val="tx1"/>
                  </w14:solidFill>
                </w14:textFill>
              </w:rPr>
            </w:pPr>
          </w:p>
        </w:tc>
      </w:tr>
      <w:tr w14:paraId="650678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061182EA">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3B8A79AE">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7D3BB6C5">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拟长腹剑水蚤</w:t>
            </w:r>
          </w:p>
        </w:tc>
        <w:tc>
          <w:tcPr>
            <w:tcW w:w="2438" w:type="dxa"/>
            <w:vAlign w:val="center"/>
          </w:tcPr>
          <w:p w14:paraId="755FD920">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Oithona similis</w:t>
            </w:r>
          </w:p>
        </w:tc>
        <w:tc>
          <w:tcPr>
            <w:tcW w:w="1158" w:type="dxa"/>
            <w:vAlign w:val="center"/>
          </w:tcPr>
          <w:p w14:paraId="04F6AA75">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71D535CB">
            <w:pPr>
              <w:spacing w:line="240" w:lineRule="auto"/>
              <w:ind w:firstLine="0" w:firstLineChars="0"/>
              <w:jc w:val="center"/>
              <w:rPr>
                <w:color w:val="000000" w:themeColor="text1"/>
                <w:sz w:val="21"/>
                <w14:textFill>
                  <w14:solidFill>
                    <w14:schemeClr w14:val="tx1"/>
                  </w14:solidFill>
                </w14:textFill>
              </w:rPr>
            </w:pPr>
          </w:p>
        </w:tc>
      </w:tr>
      <w:tr w14:paraId="72D610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757C29D3">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60EC2FFC">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459A4923">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小长腹剑水蚤</w:t>
            </w:r>
          </w:p>
        </w:tc>
        <w:tc>
          <w:tcPr>
            <w:tcW w:w="2438" w:type="dxa"/>
            <w:vAlign w:val="center"/>
          </w:tcPr>
          <w:p w14:paraId="3151B090">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Oithona nana</w:t>
            </w:r>
          </w:p>
        </w:tc>
        <w:tc>
          <w:tcPr>
            <w:tcW w:w="1158" w:type="dxa"/>
            <w:vAlign w:val="center"/>
          </w:tcPr>
          <w:p w14:paraId="51EC7412">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2BD4BEFE">
            <w:pPr>
              <w:spacing w:line="240" w:lineRule="auto"/>
              <w:ind w:firstLine="0" w:firstLineChars="0"/>
              <w:jc w:val="center"/>
              <w:rPr>
                <w:color w:val="000000" w:themeColor="text1"/>
                <w:sz w:val="21"/>
                <w14:textFill>
                  <w14:solidFill>
                    <w14:schemeClr w14:val="tx1"/>
                  </w14:solidFill>
                </w14:textFill>
              </w:rPr>
            </w:pPr>
          </w:p>
        </w:tc>
      </w:tr>
      <w:tr w14:paraId="490C1D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6018A183">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22015112">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72E80A23">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锥形宽水蚤</w:t>
            </w:r>
          </w:p>
        </w:tc>
        <w:tc>
          <w:tcPr>
            <w:tcW w:w="2438" w:type="dxa"/>
            <w:vAlign w:val="center"/>
          </w:tcPr>
          <w:p w14:paraId="115CBC03">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Temora discaudata</w:t>
            </w:r>
          </w:p>
        </w:tc>
        <w:tc>
          <w:tcPr>
            <w:tcW w:w="1158" w:type="dxa"/>
            <w:vAlign w:val="center"/>
          </w:tcPr>
          <w:p w14:paraId="60D597F8">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5106958D">
            <w:pPr>
              <w:spacing w:line="240" w:lineRule="auto"/>
              <w:ind w:firstLine="0" w:firstLineChars="0"/>
              <w:jc w:val="center"/>
              <w:rPr>
                <w:color w:val="000000" w:themeColor="text1"/>
                <w:kern w:val="0"/>
                <w:sz w:val="21"/>
                <w14:textFill>
                  <w14:solidFill>
                    <w14:schemeClr w14:val="tx1"/>
                  </w14:solidFill>
                </w14:textFill>
              </w:rPr>
            </w:pPr>
          </w:p>
        </w:tc>
      </w:tr>
      <w:tr w14:paraId="134A51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4B944D62">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074C339B">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113CF077">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细长腹剑水蚤</w:t>
            </w:r>
          </w:p>
        </w:tc>
        <w:tc>
          <w:tcPr>
            <w:tcW w:w="2438" w:type="dxa"/>
            <w:vAlign w:val="center"/>
          </w:tcPr>
          <w:p w14:paraId="650DD681">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Oithona attenuata</w:t>
            </w:r>
          </w:p>
        </w:tc>
        <w:tc>
          <w:tcPr>
            <w:tcW w:w="1158" w:type="dxa"/>
            <w:vAlign w:val="center"/>
          </w:tcPr>
          <w:p w14:paraId="1CBA4305">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41FE1AF2">
            <w:pPr>
              <w:spacing w:line="240" w:lineRule="auto"/>
              <w:ind w:firstLine="0" w:firstLineChars="0"/>
              <w:jc w:val="center"/>
              <w:rPr>
                <w:color w:val="000000" w:themeColor="text1"/>
                <w:kern w:val="0"/>
                <w:sz w:val="21"/>
                <w14:textFill>
                  <w14:solidFill>
                    <w14:schemeClr w14:val="tx1"/>
                  </w14:solidFill>
                </w14:textFill>
              </w:rPr>
            </w:pPr>
          </w:p>
        </w:tc>
      </w:tr>
      <w:tr w14:paraId="280986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2367E253">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644916B1">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133C8728">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尖额谐猛水蚤</w:t>
            </w:r>
          </w:p>
        </w:tc>
        <w:tc>
          <w:tcPr>
            <w:tcW w:w="2438" w:type="dxa"/>
            <w:vAlign w:val="center"/>
          </w:tcPr>
          <w:p w14:paraId="35030F7E">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Euterpina acutifrons</w:t>
            </w:r>
          </w:p>
        </w:tc>
        <w:tc>
          <w:tcPr>
            <w:tcW w:w="1158" w:type="dxa"/>
            <w:vAlign w:val="center"/>
          </w:tcPr>
          <w:p w14:paraId="14831C24">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67664139">
            <w:pPr>
              <w:spacing w:line="240" w:lineRule="auto"/>
              <w:ind w:firstLine="0" w:firstLineChars="0"/>
              <w:jc w:val="center"/>
              <w:rPr>
                <w:color w:val="000000" w:themeColor="text1"/>
                <w:kern w:val="0"/>
                <w:sz w:val="21"/>
                <w14:textFill>
                  <w14:solidFill>
                    <w14:schemeClr w14:val="tx1"/>
                  </w14:solidFill>
                </w14:textFill>
              </w:rPr>
            </w:pPr>
          </w:p>
        </w:tc>
      </w:tr>
      <w:tr w14:paraId="35BFE1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restart"/>
            <w:vAlign w:val="center"/>
          </w:tcPr>
          <w:p w14:paraId="01E02012">
            <w:pPr>
              <w:spacing w:line="240" w:lineRule="auto"/>
              <w:ind w:firstLine="0" w:firstLineChars="0"/>
              <w:jc w:val="center"/>
              <w:rPr>
                <w:color w:val="000000" w:themeColor="text1"/>
                <w:sz w:val="21"/>
                <w14:textFill>
                  <w14:solidFill>
                    <w14:schemeClr w14:val="tx1"/>
                  </w14:solidFill>
                </w14:textFill>
              </w:rPr>
            </w:pPr>
            <w:r>
              <w:rPr>
                <w:color w:val="000000" w:themeColor="text1"/>
                <w:kern w:val="0"/>
                <w:sz w:val="21"/>
                <w14:textFill>
                  <w14:solidFill>
                    <w14:schemeClr w14:val="tx1"/>
                  </w14:solidFill>
                </w14:textFill>
              </w:rPr>
              <w:t>S</w:t>
            </w:r>
            <w:r>
              <w:rPr>
                <w:rFonts w:hint="eastAsia"/>
                <w:color w:val="000000" w:themeColor="text1"/>
                <w:kern w:val="0"/>
                <w:sz w:val="21"/>
                <w14:textFill>
                  <w14:solidFill>
                    <w14:schemeClr w14:val="tx1"/>
                  </w14:solidFill>
                </w14:textFill>
              </w:rPr>
              <w:t>4</w:t>
            </w:r>
          </w:p>
        </w:tc>
        <w:tc>
          <w:tcPr>
            <w:tcW w:w="1010" w:type="dxa"/>
            <w:vAlign w:val="center"/>
          </w:tcPr>
          <w:p w14:paraId="50B7C020">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被囊类</w:t>
            </w:r>
          </w:p>
        </w:tc>
        <w:tc>
          <w:tcPr>
            <w:tcW w:w="1847" w:type="dxa"/>
            <w:vAlign w:val="center"/>
          </w:tcPr>
          <w:p w14:paraId="44BB7669">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异体住囊虫</w:t>
            </w:r>
          </w:p>
        </w:tc>
        <w:tc>
          <w:tcPr>
            <w:tcW w:w="2438" w:type="dxa"/>
            <w:vAlign w:val="center"/>
          </w:tcPr>
          <w:p w14:paraId="5AC2A0F2">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Oikopleura dioica</w:t>
            </w:r>
          </w:p>
        </w:tc>
        <w:tc>
          <w:tcPr>
            <w:tcW w:w="1158" w:type="dxa"/>
            <w:vAlign w:val="center"/>
          </w:tcPr>
          <w:p w14:paraId="17056FB3">
            <w:pPr>
              <w:spacing w:line="240" w:lineRule="auto"/>
              <w:ind w:firstLine="0" w:firstLineChars="0"/>
              <w:jc w:val="center"/>
              <w:rPr>
                <w:color w:val="000000" w:themeColor="text1"/>
                <w:kern w:val="0"/>
                <w:sz w:val="21"/>
                <w14:textFill>
                  <w14:solidFill>
                    <w14:schemeClr w14:val="tx1"/>
                  </w14:solidFill>
                </w14:textFill>
              </w:rPr>
            </w:pPr>
          </w:p>
        </w:tc>
        <w:tc>
          <w:tcPr>
            <w:tcW w:w="1221" w:type="dxa"/>
            <w:vMerge w:val="restart"/>
            <w:vAlign w:val="center"/>
          </w:tcPr>
          <w:p w14:paraId="2B63C6B4">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345</w:t>
            </w:r>
          </w:p>
        </w:tc>
      </w:tr>
      <w:tr w14:paraId="69E6C5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6082F528">
            <w:pPr>
              <w:spacing w:line="240" w:lineRule="auto"/>
              <w:ind w:firstLine="0" w:firstLineChars="0"/>
              <w:jc w:val="center"/>
              <w:rPr>
                <w:color w:val="000000" w:themeColor="text1"/>
                <w:sz w:val="21"/>
                <w14:textFill>
                  <w14:solidFill>
                    <w14:schemeClr w14:val="tx1"/>
                  </w14:solidFill>
                </w14:textFill>
              </w:rPr>
            </w:pPr>
          </w:p>
        </w:tc>
        <w:tc>
          <w:tcPr>
            <w:tcW w:w="1010" w:type="dxa"/>
            <w:vMerge w:val="restart"/>
            <w:vAlign w:val="center"/>
          </w:tcPr>
          <w:p w14:paraId="5932FD58">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毛颚类</w:t>
            </w:r>
          </w:p>
        </w:tc>
        <w:tc>
          <w:tcPr>
            <w:tcW w:w="1847" w:type="dxa"/>
            <w:vAlign w:val="center"/>
          </w:tcPr>
          <w:p w14:paraId="7AB37913">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百陶带箭虫</w:t>
            </w:r>
          </w:p>
        </w:tc>
        <w:tc>
          <w:tcPr>
            <w:tcW w:w="2438" w:type="dxa"/>
            <w:vAlign w:val="center"/>
          </w:tcPr>
          <w:p w14:paraId="3F3506B0">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Sagitta bedoti</w:t>
            </w:r>
          </w:p>
        </w:tc>
        <w:tc>
          <w:tcPr>
            <w:tcW w:w="1158" w:type="dxa"/>
            <w:vAlign w:val="center"/>
          </w:tcPr>
          <w:p w14:paraId="125D2364">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241DE4A5">
            <w:pPr>
              <w:spacing w:line="240" w:lineRule="auto"/>
              <w:ind w:firstLine="0" w:firstLineChars="0"/>
              <w:jc w:val="center"/>
              <w:rPr>
                <w:color w:val="000000" w:themeColor="text1"/>
                <w:sz w:val="21"/>
                <w14:textFill>
                  <w14:solidFill>
                    <w14:schemeClr w14:val="tx1"/>
                  </w14:solidFill>
                </w14:textFill>
              </w:rPr>
            </w:pPr>
          </w:p>
        </w:tc>
      </w:tr>
      <w:tr w14:paraId="604EC1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7373D57D">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6A99D14C">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03C801B7">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凶型猛箭虫</w:t>
            </w:r>
          </w:p>
        </w:tc>
        <w:tc>
          <w:tcPr>
            <w:tcW w:w="2438" w:type="dxa"/>
            <w:vAlign w:val="center"/>
          </w:tcPr>
          <w:p w14:paraId="79C32438">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Ferosagitta ferox</w:t>
            </w:r>
          </w:p>
        </w:tc>
        <w:tc>
          <w:tcPr>
            <w:tcW w:w="1158" w:type="dxa"/>
            <w:vAlign w:val="center"/>
          </w:tcPr>
          <w:p w14:paraId="5BF6F81B">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01D397AD">
            <w:pPr>
              <w:spacing w:line="240" w:lineRule="auto"/>
              <w:ind w:firstLine="0" w:firstLineChars="0"/>
              <w:jc w:val="center"/>
              <w:rPr>
                <w:color w:val="000000" w:themeColor="text1"/>
                <w:sz w:val="21"/>
                <w14:textFill>
                  <w14:solidFill>
                    <w14:schemeClr w14:val="tx1"/>
                  </w14:solidFill>
                </w14:textFill>
              </w:rPr>
            </w:pPr>
          </w:p>
        </w:tc>
      </w:tr>
      <w:tr w14:paraId="4446D8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21448EED">
            <w:pPr>
              <w:spacing w:line="240" w:lineRule="auto"/>
              <w:ind w:firstLine="0" w:firstLineChars="0"/>
              <w:jc w:val="center"/>
              <w:rPr>
                <w:color w:val="000000" w:themeColor="text1"/>
                <w:sz w:val="21"/>
                <w14:textFill>
                  <w14:solidFill>
                    <w14:schemeClr w14:val="tx1"/>
                  </w14:solidFill>
                </w14:textFill>
              </w:rPr>
            </w:pPr>
          </w:p>
        </w:tc>
        <w:tc>
          <w:tcPr>
            <w:tcW w:w="1010" w:type="dxa"/>
            <w:vMerge w:val="restart"/>
            <w:vAlign w:val="center"/>
          </w:tcPr>
          <w:p w14:paraId="594ED2DF">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桡足类</w:t>
            </w:r>
          </w:p>
        </w:tc>
        <w:tc>
          <w:tcPr>
            <w:tcW w:w="1847" w:type="dxa"/>
            <w:vAlign w:val="center"/>
          </w:tcPr>
          <w:p w14:paraId="1290C9DD">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克氏纺锤水蚤</w:t>
            </w:r>
          </w:p>
        </w:tc>
        <w:tc>
          <w:tcPr>
            <w:tcW w:w="2438" w:type="dxa"/>
            <w:vAlign w:val="center"/>
          </w:tcPr>
          <w:p w14:paraId="51859E2C">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Acartia clausi</w:t>
            </w:r>
          </w:p>
        </w:tc>
        <w:tc>
          <w:tcPr>
            <w:tcW w:w="1158" w:type="dxa"/>
            <w:vAlign w:val="center"/>
          </w:tcPr>
          <w:p w14:paraId="7142A771">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0E083225">
            <w:pPr>
              <w:spacing w:line="240" w:lineRule="auto"/>
              <w:ind w:firstLine="0" w:firstLineChars="0"/>
              <w:jc w:val="center"/>
              <w:rPr>
                <w:color w:val="000000" w:themeColor="text1"/>
                <w:sz w:val="21"/>
                <w14:textFill>
                  <w14:solidFill>
                    <w14:schemeClr w14:val="tx1"/>
                  </w14:solidFill>
                </w14:textFill>
              </w:rPr>
            </w:pPr>
          </w:p>
        </w:tc>
      </w:tr>
      <w:tr w14:paraId="6A7C16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594D598A">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1D8C4AC3">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302AC326">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细长腹剑水蚤</w:t>
            </w:r>
          </w:p>
        </w:tc>
        <w:tc>
          <w:tcPr>
            <w:tcW w:w="2438" w:type="dxa"/>
            <w:vAlign w:val="center"/>
          </w:tcPr>
          <w:p w14:paraId="1E5B4D01">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Oithona attenuata</w:t>
            </w:r>
          </w:p>
        </w:tc>
        <w:tc>
          <w:tcPr>
            <w:tcW w:w="1158" w:type="dxa"/>
            <w:vAlign w:val="center"/>
          </w:tcPr>
          <w:p w14:paraId="1D5C6E15">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53BDBD18">
            <w:pPr>
              <w:spacing w:line="240" w:lineRule="auto"/>
              <w:ind w:firstLine="0" w:firstLineChars="0"/>
              <w:jc w:val="center"/>
              <w:rPr>
                <w:color w:val="000000" w:themeColor="text1"/>
                <w:sz w:val="21"/>
                <w14:textFill>
                  <w14:solidFill>
                    <w14:schemeClr w14:val="tx1"/>
                  </w14:solidFill>
                </w14:textFill>
              </w:rPr>
            </w:pPr>
          </w:p>
        </w:tc>
      </w:tr>
      <w:tr w14:paraId="497B36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79D13E28">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6BF1362E">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7AEAF28C">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小长腹剑水蚤</w:t>
            </w:r>
          </w:p>
        </w:tc>
        <w:tc>
          <w:tcPr>
            <w:tcW w:w="2438" w:type="dxa"/>
            <w:vAlign w:val="center"/>
          </w:tcPr>
          <w:p w14:paraId="36DFD0BE">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Oithona nana</w:t>
            </w:r>
          </w:p>
        </w:tc>
        <w:tc>
          <w:tcPr>
            <w:tcW w:w="1158" w:type="dxa"/>
            <w:vAlign w:val="center"/>
          </w:tcPr>
          <w:p w14:paraId="381943A7">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25CD7FBE">
            <w:pPr>
              <w:spacing w:line="240" w:lineRule="auto"/>
              <w:ind w:firstLine="0" w:firstLineChars="0"/>
              <w:jc w:val="center"/>
              <w:rPr>
                <w:color w:val="000000" w:themeColor="text1"/>
                <w:sz w:val="21"/>
                <w14:textFill>
                  <w14:solidFill>
                    <w14:schemeClr w14:val="tx1"/>
                  </w14:solidFill>
                </w14:textFill>
              </w:rPr>
            </w:pPr>
          </w:p>
        </w:tc>
      </w:tr>
      <w:tr w14:paraId="4441CB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1DFD6292">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61EFDE4D">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4ACB50F6">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尖额谐猛水蚤</w:t>
            </w:r>
          </w:p>
        </w:tc>
        <w:tc>
          <w:tcPr>
            <w:tcW w:w="2438" w:type="dxa"/>
            <w:vAlign w:val="center"/>
          </w:tcPr>
          <w:p w14:paraId="10F130CC">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Euterpina acutifrons</w:t>
            </w:r>
          </w:p>
        </w:tc>
        <w:tc>
          <w:tcPr>
            <w:tcW w:w="1158" w:type="dxa"/>
            <w:vAlign w:val="center"/>
          </w:tcPr>
          <w:p w14:paraId="78B86E8A">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2404E986">
            <w:pPr>
              <w:spacing w:line="240" w:lineRule="auto"/>
              <w:ind w:firstLine="0" w:firstLineChars="0"/>
              <w:jc w:val="center"/>
              <w:rPr>
                <w:color w:val="000000" w:themeColor="text1"/>
                <w:sz w:val="21"/>
                <w14:textFill>
                  <w14:solidFill>
                    <w14:schemeClr w14:val="tx1"/>
                  </w14:solidFill>
                </w14:textFill>
              </w:rPr>
            </w:pPr>
          </w:p>
        </w:tc>
      </w:tr>
      <w:tr w14:paraId="125985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1127ACDD">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1EB18D8E">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38A16914">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锥形宽水蚤</w:t>
            </w:r>
          </w:p>
        </w:tc>
        <w:tc>
          <w:tcPr>
            <w:tcW w:w="2438" w:type="dxa"/>
            <w:vAlign w:val="center"/>
          </w:tcPr>
          <w:p w14:paraId="5AF697B2">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Temora discaudata</w:t>
            </w:r>
          </w:p>
        </w:tc>
        <w:tc>
          <w:tcPr>
            <w:tcW w:w="1158" w:type="dxa"/>
            <w:vAlign w:val="center"/>
          </w:tcPr>
          <w:p w14:paraId="382AAFC3">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2E8BC14A">
            <w:pPr>
              <w:spacing w:line="240" w:lineRule="auto"/>
              <w:ind w:firstLine="0" w:firstLineChars="0"/>
              <w:jc w:val="center"/>
              <w:rPr>
                <w:color w:val="000000" w:themeColor="text1"/>
                <w:sz w:val="21"/>
                <w14:textFill>
                  <w14:solidFill>
                    <w14:schemeClr w14:val="tx1"/>
                  </w14:solidFill>
                </w14:textFill>
              </w:rPr>
            </w:pPr>
          </w:p>
        </w:tc>
      </w:tr>
      <w:tr w14:paraId="773B99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5D312FF5">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57B8485B">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3D10590F">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小拟哲水蚤</w:t>
            </w:r>
          </w:p>
        </w:tc>
        <w:tc>
          <w:tcPr>
            <w:tcW w:w="2438" w:type="dxa"/>
            <w:vAlign w:val="center"/>
          </w:tcPr>
          <w:p w14:paraId="09095BBF">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Paracalanus parvus</w:t>
            </w:r>
          </w:p>
        </w:tc>
        <w:tc>
          <w:tcPr>
            <w:tcW w:w="1158" w:type="dxa"/>
            <w:vAlign w:val="center"/>
          </w:tcPr>
          <w:p w14:paraId="2DD62FD6">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0AAA74B5">
            <w:pPr>
              <w:spacing w:line="240" w:lineRule="auto"/>
              <w:ind w:firstLine="0" w:firstLineChars="0"/>
              <w:jc w:val="center"/>
              <w:rPr>
                <w:color w:val="000000" w:themeColor="text1"/>
                <w:sz w:val="21"/>
                <w14:textFill>
                  <w14:solidFill>
                    <w14:schemeClr w14:val="tx1"/>
                  </w14:solidFill>
                </w14:textFill>
              </w:rPr>
            </w:pPr>
          </w:p>
        </w:tc>
      </w:tr>
      <w:tr w14:paraId="1D1885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53C0037F">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01739D22">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61967FE3">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强额孔雀水蚤</w:t>
            </w:r>
          </w:p>
        </w:tc>
        <w:tc>
          <w:tcPr>
            <w:tcW w:w="2438" w:type="dxa"/>
            <w:vAlign w:val="center"/>
          </w:tcPr>
          <w:p w14:paraId="10E8D260">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Pavocalanus crassirostris</w:t>
            </w:r>
          </w:p>
        </w:tc>
        <w:tc>
          <w:tcPr>
            <w:tcW w:w="1158" w:type="dxa"/>
            <w:vAlign w:val="center"/>
          </w:tcPr>
          <w:p w14:paraId="76F98D72">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0E3E1F23">
            <w:pPr>
              <w:spacing w:line="240" w:lineRule="auto"/>
              <w:ind w:firstLine="0" w:firstLineChars="0"/>
              <w:jc w:val="center"/>
              <w:rPr>
                <w:color w:val="000000" w:themeColor="text1"/>
                <w:sz w:val="21"/>
                <w14:textFill>
                  <w14:solidFill>
                    <w14:schemeClr w14:val="tx1"/>
                  </w14:solidFill>
                </w14:textFill>
              </w:rPr>
            </w:pPr>
          </w:p>
        </w:tc>
      </w:tr>
      <w:tr w14:paraId="793B22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3B26AD0F">
            <w:pPr>
              <w:spacing w:line="240" w:lineRule="auto"/>
              <w:ind w:firstLine="0" w:firstLineChars="0"/>
              <w:jc w:val="center"/>
              <w:rPr>
                <w:color w:val="000000" w:themeColor="text1"/>
                <w:sz w:val="21"/>
                <w14:textFill>
                  <w14:solidFill>
                    <w14:schemeClr w14:val="tx1"/>
                  </w14:solidFill>
                </w14:textFill>
              </w:rPr>
            </w:pPr>
          </w:p>
        </w:tc>
        <w:tc>
          <w:tcPr>
            <w:tcW w:w="1010" w:type="dxa"/>
            <w:vAlign w:val="center"/>
          </w:tcPr>
          <w:p w14:paraId="6A57D518">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多毛类</w:t>
            </w:r>
          </w:p>
        </w:tc>
        <w:tc>
          <w:tcPr>
            <w:tcW w:w="1847" w:type="dxa"/>
            <w:vAlign w:val="center"/>
          </w:tcPr>
          <w:p w14:paraId="2B44E006">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眼蚕</w:t>
            </w:r>
          </w:p>
        </w:tc>
        <w:tc>
          <w:tcPr>
            <w:tcW w:w="2438" w:type="dxa"/>
            <w:vAlign w:val="center"/>
          </w:tcPr>
          <w:p w14:paraId="112E5252">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Alciopina parasitica</w:t>
            </w:r>
          </w:p>
        </w:tc>
        <w:tc>
          <w:tcPr>
            <w:tcW w:w="1158" w:type="dxa"/>
            <w:vAlign w:val="center"/>
          </w:tcPr>
          <w:p w14:paraId="751DA321">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6D805176">
            <w:pPr>
              <w:spacing w:line="240" w:lineRule="auto"/>
              <w:ind w:firstLine="0" w:firstLineChars="0"/>
              <w:jc w:val="center"/>
              <w:rPr>
                <w:color w:val="000000" w:themeColor="text1"/>
                <w:sz w:val="21"/>
                <w14:textFill>
                  <w14:solidFill>
                    <w14:schemeClr w14:val="tx1"/>
                  </w14:solidFill>
                </w14:textFill>
              </w:rPr>
            </w:pPr>
          </w:p>
        </w:tc>
      </w:tr>
      <w:tr w14:paraId="6AC3D3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48EFFCE3">
            <w:pPr>
              <w:spacing w:line="240" w:lineRule="auto"/>
              <w:ind w:firstLine="0" w:firstLineChars="0"/>
              <w:jc w:val="center"/>
              <w:rPr>
                <w:color w:val="000000" w:themeColor="text1"/>
                <w:sz w:val="21"/>
                <w14:textFill>
                  <w14:solidFill>
                    <w14:schemeClr w14:val="tx1"/>
                  </w14:solidFill>
                </w14:textFill>
              </w:rPr>
            </w:pPr>
          </w:p>
        </w:tc>
        <w:tc>
          <w:tcPr>
            <w:tcW w:w="1010" w:type="dxa"/>
            <w:vAlign w:val="center"/>
          </w:tcPr>
          <w:p w14:paraId="379EA571">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水母类</w:t>
            </w:r>
          </w:p>
        </w:tc>
        <w:tc>
          <w:tcPr>
            <w:tcW w:w="1847" w:type="dxa"/>
            <w:vAlign w:val="center"/>
          </w:tcPr>
          <w:p w14:paraId="4C86DF98">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杜氏外肋水母</w:t>
            </w:r>
          </w:p>
        </w:tc>
        <w:tc>
          <w:tcPr>
            <w:tcW w:w="2438" w:type="dxa"/>
            <w:vAlign w:val="center"/>
          </w:tcPr>
          <w:p w14:paraId="2A8A796B">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Ectopleura dumortieri</w:t>
            </w:r>
          </w:p>
        </w:tc>
        <w:tc>
          <w:tcPr>
            <w:tcW w:w="1158" w:type="dxa"/>
            <w:vAlign w:val="center"/>
          </w:tcPr>
          <w:p w14:paraId="3BFB5C66">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2D19BF8C">
            <w:pPr>
              <w:spacing w:line="240" w:lineRule="auto"/>
              <w:ind w:firstLine="0" w:firstLineChars="0"/>
              <w:jc w:val="center"/>
              <w:rPr>
                <w:color w:val="000000" w:themeColor="text1"/>
                <w:sz w:val="21"/>
                <w14:textFill>
                  <w14:solidFill>
                    <w14:schemeClr w14:val="tx1"/>
                  </w14:solidFill>
                </w14:textFill>
              </w:rPr>
            </w:pPr>
          </w:p>
        </w:tc>
      </w:tr>
      <w:tr w14:paraId="394041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7AEFD550">
            <w:pPr>
              <w:spacing w:line="240" w:lineRule="auto"/>
              <w:ind w:firstLine="0" w:firstLineChars="0"/>
              <w:jc w:val="center"/>
              <w:rPr>
                <w:color w:val="000000" w:themeColor="text1"/>
                <w:sz w:val="21"/>
                <w14:textFill>
                  <w14:solidFill>
                    <w14:schemeClr w14:val="tx1"/>
                  </w14:solidFill>
                </w14:textFill>
              </w:rPr>
            </w:pPr>
          </w:p>
        </w:tc>
        <w:tc>
          <w:tcPr>
            <w:tcW w:w="1010" w:type="dxa"/>
            <w:vMerge w:val="restart"/>
            <w:vAlign w:val="center"/>
          </w:tcPr>
          <w:p w14:paraId="4E6DC28E">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浮游幼虫</w:t>
            </w:r>
          </w:p>
        </w:tc>
        <w:tc>
          <w:tcPr>
            <w:tcW w:w="1847" w:type="dxa"/>
            <w:vAlign w:val="center"/>
          </w:tcPr>
          <w:p w14:paraId="666B4139">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糠虾幼体</w:t>
            </w:r>
          </w:p>
        </w:tc>
        <w:tc>
          <w:tcPr>
            <w:tcW w:w="2438" w:type="dxa"/>
            <w:vAlign w:val="center"/>
          </w:tcPr>
          <w:p w14:paraId="03372D6E">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Mysidaeea larva</w:t>
            </w:r>
          </w:p>
        </w:tc>
        <w:tc>
          <w:tcPr>
            <w:tcW w:w="1158" w:type="dxa"/>
            <w:vAlign w:val="center"/>
          </w:tcPr>
          <w:p w14:paraId="585FB5E8">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309A4510">
            <w:pPr>
              <w:spacing w:line="240" w:lineRule="auto"/>
              <w:ind w:firstLine="0" w:firstLineChars="0"/>
              <w:jc w:val="center"/>
              <w:rPr>
                <w:color w:val="000000" w:themeColor="text1"/>
                <w:sz w:val="21"/>
                <w14:textFill>
                  <w14:solidFill>
                    <w14:schemeClr w14:val="tx1"/>
                  </w14:solidFill>
                </w14:textFill>
              </w:rPr>
            </w:pPr>
          </w:p>
        </w:tc>
      </w:tr>
      <w:tr w14:paraId="4D0513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0E5247BF">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65419A90">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3B7802F8">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短尾类溞状幼体</w:t>
            </w:r>
          </w:p>
        </w:tc>
        <w:tc>
          <w:tcPr>
            <w:tcW w:w="2438" w:type="dxa"/>
            <w:vAlign w:val="center"/>
          </w:tcPr>
          <w:p w14:paraId="02A4D102">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Brachyura zoea</w:t>
            </w:r>
          </w:p>
        </w:tc>
        <w:tc>
          <w:tcPr>
            <w:tcW w:w="1158" w:type="dxa"/>
            <w:vAlign w:val="center"/>
          </w:tcPr>
          <w:p w14:paraId="6DE1B6BC">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1DACAC54">
            <w:pPr>
              <w:spacing w:line="240" w:lineRule="auto"/>
              <w:ind w:firstLine="0" w:firstLineChars="0"/>
              <w:jc w:val="center"/>
              <w:rPr>
                <w:color w:val="000000" w:themeColor="text1"/>
                <w:sz w:val="21"/>
                <w14:textFill>
                  <w14:solidFill>
                    <w14:schemeClr w14:val="tx1"/>
                  </w14:solidFill>
                </w14:textFill>
              </w:rPr>
            </w:pPr>
          </w:p>
        </w:tc>
      </w:tr>
      <w:tr w14:paraId="7F5229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51B4791B">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0EF9526C">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6D339D9E">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曼足类幼体</w:t>
            </w:r>
          </w:p>
        </w:tc>
        <w:tc>
          <w:tcPr>
            <w:tcW w:w="2438" w:type="dxa"/>
            <w:vAlign w:val="center"/>
          </w:tcPr>
          <w:p w14:paraId="2D0004B8">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Balanus larva</w:t>
            </w:r>
          </w:p>
        </w:tc>
        <w:tc>
          <w:tcPr>
            <w:tcW w:w="1158" w:type="dxa"/>
            <w:vAlign w:val="center"/>
          </w:tcPr>
          <w:p w14:paraId="31D7965C">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35CD4790">
            <w:pPr>
              <w:spacing w:line="240" w:lineRule="auto"/>
              <w:ind w:firstLine="0" w:firstLineChars="0"/>
              <w:jc w:val="center"/>
              <w:rPr>
                <w:color w:val="000000" w:themeColor="text1"/>
                <w:sz w:val="21"/>
                <w14:textFill>
                  <w14:solidFill>
                    <w14:schemeClr w14:val="tx1"/>
                  </w14:solidFill>
                </w14:textFill>
              </w:rPr>
            </w:pPr>
          </w:p>
        </w:tc>
      </w:tr>
      <w:tr w14:paraId="550C66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restart"/>
            <w:vAlign w:val="center"/>
          </w:tcPr>
          <w:p w14:paraId="3E185915">
            <w:pPr>
              <w:spacing w:line="240" w:lineRule="auto"/>
              <w:ind w:firstLine="0" w:firstLineChars="0"/>
              <w:jc w:val="center"/>
              <w:rPr>
                <w:color w:val="000000" w:themeColor="text1"/>
                <w:sz w:val="21"/>
                <w14:textFill>
                  <w14:solidFill>
                    <w14:schemeClr w14:val="tx1"/>
                  </w14:solidFill>
                </w14:textFill>
              </w:rPr>
            </w:pPr>
            <w:r>
              <w:rPr>
                <w:color w:val="000000" w:themeColor="text1"/>
                <w:kern w:val="0"/>
                <w:sz w:val="21"/>
                <w14:textFill>
                  <w14:solidFill>
                    <w14:schemeClr w14:val="tx1"/>
                  </w14:solidFill>
                </w14:textFill>
              </w:rPr>
              <w:t>S</w:t>
            </w:r>
            <w:r>
              <w:rPr>
                <w:rFonts w:hint="eastAsia"/>
                <w:color w:val="000000" w:themeColor="text1"/>
                <w:kern w:val="0"/>
                <w:sz w:val="21"/>
                <w14:textFill>
                  <w14:solidFill>
                    <w14:schemeClr w14:val="tx1"/>
                  </w14:solidFill>
                </w14:textFill>
              </w:rPr>
              <w:t>5</w:t>
            </w:r>
          </w:p>
        </w:tc>
        <w:tc>
          <w:tcPr>
            <w:tcW w:w="1010" w:type="dxa"/>
            <w:vMerge w:val="restart"/>
            <w:vAlign w:val="center"/>
          </w:tcPr>
          <w:p w14:paraId="4E1C2AB3">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桡足类</w:t>
            </w:r>
          </w:p>
        </w:tc>
        <w:tc>
          <w:tcPr>
            <w:tcW w:w="1847" w:type="dxa"/>
            <w:vAlign w:val="center"/>
          </w:tcPr>
          <w:p w14:paraId="221321ED">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细长腹剑水蚤</w:t>
            </w:r>
          </w:p>
        </w:tc>
        <w:tc>
          <w:tcPr>
            <w:tcW w:w="2438" w:type="dxa"/>
            <w:vAlign w:val="center"/>
          </w:tcPr>
          <w:p w14:paraId="2DF7677A">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Oithona attenuata</w:t>
            </w:r>
          </w:p>
        </w:tc>
        <w:tc>
          <w:tcPr>
            <w:tcW w:w="1158" w:type="dxa"/>
            <w:vAlign w:val="center"/>
          </w:tcPr>
          <w:p w14:paraId="71BB9506">
            <w:pPr>
              <w:spacing w:line="240" w:lineRule="auto"/>
              <w:ind w:firstLine="0" w:firstLineChars="0"/>
              <w:jc w:val="center"/>
              <w:rPr>
                <w:color w:val="000000" w:themeColor="text1"/>
                <w:kern w:val="0"/>
                <w:sz w:val="21"/>
                <w14:textFill>
                  <w14:solidFill>
                    <w14:schemeClr w14:val="tx1"/>
                  </w14:solidFill>
                </w14:textFill>
              </w:rPr>
            </w:pPr>
          </w:p>
        </w:tc>
        <w:tc>
          <w:tcPr>
            <w:tcW w:w="1221" w:type="dxa"/>
            <w:vMerge w:val="restart"/>
            <w:vAlign w:val="center"/>
          </w:tcPr>
          <w:p w14:paraId="6617F2DA">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115</w:t>
            </w:r>
          </w:p>
        </w:tc>
      </w:tr>
      <w:tr w14:paraId="3E88C5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2BE27FCA">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23DC055B">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5B73E653">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强额孔雀水蚤</w:t>
            </w:r>
          </w:p>
        </w:tc>
        <w:tc>
          <w:tcPr>
            <w:tcW w:w="2438" w:type="dxa"/>
            <w:vAlign w:val="center"/>
          </w:tcPr>
          <w:p w14:paraId="15571C3F">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Pavocalanus crassirostris</w:t>
            </w:r>
          </w:p>
        </w:tc>
        <w:tc>
          <w:tcPr>
            <w:tcW w:w="1158" w:type="dxa"/>
            <w:vAlign w:val="center"/>
          </w:tcPr>
          <w:p w14:paraId="06C2FC49">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3E62E0A4">
            <w:pPr>
              <w:spacing w:line="240" w:lineRule="auto"/>
              <w:ind w:firstLine="0" w:firstLineChars="0"/>
              <w:jc w:val="center"/>
              <w:rPr>
                <w:color w:val="000000" w:themeColor="text1"/>
                <w:sz w:val="21"/>
                <w14:textFill>
                  <w14:solidFill>
                    <w14:schemeClr w14:val="tx1"/>
                  </w14:solidFill>
                </w14:textFill>
              </w:rPr>
            </w:pPr>
          </w:p>
        </w:tc>
      </w:tr>
      <w:tr w14:paraId="24E122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54FBD252">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0974E4A9">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68DE77EB">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小长腹剑水蚤</w:t>
            </w:r>
          </w:p>
        </w:tc>
        <w:tc>
          <w:tcPr>
            <w:tcW w:w="2438" w:type="dxa"/>
            <w:vAlign w:val="center"/>
          </w:tcPr>
          <w:p w14:paraId="20625D30">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Oithona nana</w:t>
            </w:r>
          </w:p>
        </w:tc>
        <w:tc>
          <w:tcPr>
            <w:tcW w:w="1158" w:type="dxa"/>
            <w:vAlign w:val="center"/>
          </w:tcPr>
          <w:p w14:paraId="14E4F050">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5591879F">
            <w:pPr>
              <w:spacing w:line="240" w:lineRule="auto"/>
              <w:ind w:firstLine="0" w:firstLineChars="0"/>
              <w:jc w:val="center"/>
              <w:rPr>
                <w:color w:val="000000" w:themeColor="text1"/>
                <w:sz w:val="21"/>
                <w14:textFill>
                  <w14:solidFill>
                    <w14:schemeClr w14:val="tx1"/>
                  </w14:solidFill>
                </w14:textFill>
              </w:rPr>
            </w:pPr>
          </w:p>
        </w:tc>
      </w:tr>
      <w:tr w14:paraId="51F07B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4831DF26">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200377FC">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5D2FCC49">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小拟哲水蚤</w:t>
            </w:r>
          </w:p>
        </w:tc>
        <w:tc>
          <w:tcPr>
            <w:tcW w:w="2438" w:type="dxa"/>
            <w:vAlign w:val="center"/>
          </w:tcPr>
          <w:p w14:paraId="7473674E">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Paracalanus parvus</w:t>
            </w:r>
          </w:p>
        </w:tc>
        <w:tc>
          <w:tcPr>
            <w:tcW w:w="1158" w:type="dxa"/>
            <w:vAlign w:val="center"/>
          </w:tcPr>
          <w:p w14:paraId="61E48618">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11800D88">
            <w:pPr>
              <w:spacing w:line="240" w:lineRule="auto"/>
              <w:ind w:firstLine="0" w:firstLineChars="0"/>
              <w:jc w:val="center"/>
              <w:rPr>
                <w:color w:val="000000" w:themeColor="text1"/>
                <w:sz w:val="21"/>
                <w14:textFill>
                  <w14:solidFill>
                    <w14:schemeClr w14:val="tx1"/>
                  </w14:solidFill>
                </w14:textFill>
              </w:rPr>
            </w:pPr>
          </w:p>
        </w:tc>
      </w:tr>
      <w:tr w14:paraId="592E58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49F632F6">
            <w:pPr>
              <w:spacing w:line="240" w:lineRule="auto"/>
              <w:ind w:firstLine="0" w:firstLineChars="0"/>
              <w:jc w:val="center"/>
              <w:rPr>
                <w:color w:val="000000" w:themeColor="text1"/>
                <w:sz w:val="21"/>
                <w14:textFill>
                  <w14:solidFill>
                    <w14:schemeClr w14:val="tx1"/>
                  </w14:solidFill>
                </w14:textFill>
              </w:rPr>
            </w:pPr>
          </w:p>
        </w:tc>
        <w:tc>
          <w:tcPr>
            <w:tcW w:w="1010" w:type="dxa"/>
            <w:vAlign w:val="center"/>
          </w:tcPr>
          <w:p w14:paraId="33D6C465">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多毛类</w:t>
            </w:r>
          </w:p>
        </w:tc>
        <w:tc>
          <w:tcPr>
            <w:tcW w:w="1847" w:type="dxa"/>
            <w:vAlign w:val="center"/>
          </w:tcPr>
          <w:p w14:paraId="4F7FD78A">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眼蚕</w:t>
            </w:r>
          </w:p>
        </w:tc>
        <w:tc>
          <w:tcPr>
            <w:tcW w:w="2438" w:type="dxa"/>
            <w:vAlign w:val="center"/>
          </w:tcPr>
          <w:p w14:paraId="1FB451F4">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Alciopina parasitica</w:t>
            </w:r>
          </w:p>
        </w:tc>
        <w:tc>
          <w:tcPr>
            <w:tcW w:w="1158" w:type="dxa"/>
            <w:vAlign w:val="center"/>
          </w:tcPr>
          <w:p w14:paraId="3633CAC7">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029CB734">
            <w:pPr>
              <w:spacing w:line="240" w:lineRule="auto"/>
              <w:ind w:firstLine="0" w:firstLineChars="0"/>
              <w:jc w:val="center"/>
              <w:rPr>
                <w:color w:val="000000" w:themeColor="text1"/>
                <w:sz w:val="21"/>
                <w14:textFill>
                  <w14:solidFill>
                    <w14:schemeClr w14:val="tx1"/>
                  </w14:solidFill>
                </w14:textFill>
              </w:rPr>
            </w:pPr>
          </w:p>
        </w:tc>
      </w:tr>
      <w:tr w14:paraId="4EC1AE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759E5DF4">
            <w:pPr>
              <w:spacing w:line="240" w:lineRule="auto"/>
              <w:ind w:firstLine="0" w:firstLineChars="0"/>
              <w:jc w:val="center"/>
              <w:rPr>
                <w:color w:val="000000" w:themeColor="text1"/>
                <w:sz w:val="21"/>
                <w14:textFill>
                  <w14:solidFill>
                    <w14:schemeClr w14:val="tx1"/>
                  </w14:solidFill>
                </w14:textFill>
              </w:rPr>
            </w:pPr>
          </w:p>
        </w:tc>
        <w:tc>
          <w:tcPr>
            <w:tcW w:w="1010" w:type="dxa"/>
            <w:vAlign w:val="center"/>
          </w:tcPr>
          <w:p w14:paraId="032A1F19">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浮游幼虫</w:t>
            </w:r>
          </w:p>
        </w:tc>
        <w:tc>
          <w:tcPr>
            <w:tcW w:w="1847" w:type="dxa"/>
            <w:vAlign w:val="center"/>
          </w:tcPr>
          <w:p w14:paraId="607C77FF">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短尾类溞状幼体</w:t>
            </w:r>
          </w:p>
        </w:tc>
        <w:tc>
          <w:tcPr>
            <w:tcW w:w="2438" w:type="dxa"/>
            <w:vAlign w:val="center"/>
          </w:tcPr>
          <w:p w14:paraId="1ACFDD87">
            <w:pPr>
              <w:spacing w:line="240" w:lineRule="auto"/>
              <w:ind w:firstLine="0" w:firstLineChars="0"/>
              <w:jc w:val="center"/>
              <w:rPr>
                <w:i/>
                <w:iCs/>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Brachyura zoea</w:t>
            </w:r>
          </w:p>
        </w:tc>
        <w:tc>
          <w:tcPr>
            <w:tcW w:w="1158" w:type="dxa"/>
            <w:vAlign w:val="center"/>
          </w:tcPr>
          <w:p w14:paraId="7D013EFF">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6FA8800E">
            <w:pPr>
              <w:spacing w:line="240" w:lineRule="auto"/>
              <w:ind w:firstLine="0" w:firstLineChars="0"/>
              <w:jc w:val="center"/>
              <w:rPr>
                <w:color w:val="000000" w:themeColor="text1"/>
                <w:sz w:val="21"/>
                <w14:textFill>
                  <w14:solidFill>
                    <w14:schemeClr w14:val="tx1"/>
                  </w14:solidFill>
                </w14:textFill>
              </w:rPr>
            </w:pPr>
          </w:p>
        </w:tc>
      </w:tr>
    </w:tbl>
    <w:p w14:paraId="1A995E6D">
      <w:pPr>
        <w:ind w:firstLine="480"/>
        <w:rPr>
          <w:bCs/>
          <w:color w:val="000000" w:themeColor="text1"/>
          <w:lang w:bidi="zh-CN"/>
          <w14:textFill>
            <w14:solidFill>
              <w14:schemeClr w14:val="tx1"/>
            </w14:solidFill>
          </w14:textFill>
        </w:rPr>
      </w:pPr>
      <w:r>
        <w:rPr>
          <w:bCs/>
          <w:color w:val="000000" w:themeColor="text1"/>
          <w:lang w:bidi="zh-CN"/>
          <w14:textFill>
            <w14:solidFill>
              <w14:schemeClr w14:val="tx1"/>
            </w14:solidFill>
          </w14:textFill>
        </w:rPr>
        <w:t xml:space="preserve">4）大型底栖动物 </w:t>
      </w:r>
    </w:p>
    <w:p w14:paraId="706EC0D1">
      <w:pPr>
        <w:pStyle w:val="41"/>
        <w:ind w:firstLine="24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本次调查共鉴定出底栖生物4大类群（环节动物多毛类、软体动物、脊索动物、棘皮动物），其中，多毛类种类数最多（8种/类）。</w:t>
      </w:r>
    </w:p>
    <w:p w14:paraId="66B513DA">
      <w:pPr>
        <w:pStyle w:val="41"/>
        <w:ind w:firstLine="24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调查海域5个测站中，S5站采集到的底栖生物种类数最多，为4种；S1、S2站次之，均采集到3种；S3、S4站最少，均仅采集到1种。</w:t>
      </w:r>
    </w:p>
    <w:p w14:paraId="0B322C2A">
      <w:pPr>
        <w:pStyle w:val="41"/>
        <w:ind w:firstLine="24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调查海域底栖生物的总密度变化范围为 3.0 ~ 43.0 个/m²，平均密度为 19.6 个/m²。密度最高站位为S4站，为 43.0 个/m²；密度最低的站位为S3站，为 3.0 个/m²。</w:t>
      </w:r>
    </w:p>
    <w:p w14:paraId="06E58CFE">
      <w:pPr>
        <w:pStyle w:val="41"/>
        <w:ind w:firstLine="24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调查海域底栖生物的总生物量变化范围为 0.27 ~ 2.80 g/m²，平均生物量为 1.24 g/m²。生物量最高的站位为S1站，为 2.80 g/m²；生物量最低的站位：S3站，为 0.27 g/m²。</w:t>
      </w:r>
    </w:p>
    <w:p w14:paraId="1D4DFB24">
      <w:pPr>
        <w:pStyle w:val="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各站底栖动物密度和生物量</w:t>
      </w:r>
    </w:p>
    <w:tbl>
      <w:tblPr>
        <w:tblStyle w:val="43"/>
        <w:tblW w:w="5000" w:type="pct"/>
        <w:tblInd w:w="113"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98"/>
        <w:gridCol w:w="1154"/>
        <w:gridCol w:w="1613"/>
        <w:gridCol w:w="2329"/>
        <w:gridCol w:w="1312"/>
        <w:gridCol w:w="1416"/>
      </w:tblGrid>
      <w:tr w14:paraId="7AF240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noWrap/>
            <w:vAlign w:val="center"/>
          </w:tcPr>
          <w:p w14:paraId="355FE9C8">
            <w:pPr>
              <w:spacing w:line="240" w:lineRule="auto"/>
              <w:ind w:firstLine="0" w:firstLineChars="0"/>
              <w:jc w:val="center"/>
              <w:rPr>
                <w:b/>
                <w:bCs/>
                <w:color w:val="000000" w:themeColor="text1"/>
                <w:kern w:val="0"/>
                <w:sz w:val="21"/>
                <w14:textFill>
                  <w14:solidFill>
                    <w14:schemeClr w14:val="tx1"/>
                  </w14:solidFill>
                </w14:textFill>
              </w:rPr>
            </w:pPr>
            <w:r>
              <w:rPr>
                <w:rFonts w:hint="eastAsia"/>
                <w:b/>
                <w:bCs/>
                <w:color w:val="000000" w:themeColor="text1"/>
                <w:sz w:val="21"/>
                <w14:textFill>
                  <w14:solidFill>
                    <w14:schemeClr w14:val="tx1"/>
                  </w14:solidFill>
                </w14:textFill>
              </w:rPr>
              <w:t>站号</w:t>
            </w:r>
          </w:p>
        </w:tc>
        <w:tc>
          <w:tcPr>
            <w:tcW w:w="1154" w:type="dxa"/>
            <w:vAlign w:val="center"/>
          </w:tcPr>
          <w:p w14:paraId="6780DE08">
            <w:pPr>
              <w:spacing w:line="240" w:lineRule="auto"/>
              <w:ind w:firstLine="0" w:firstLineChars="0"/>
              <w:jc w:val="center"/>
              <w:rPr>
                <w:b/>
                <w:bCs/>
                <w:color w:val="000000" w:themeColor="text1"/>
                <w:kern w:val="0"/>
                <w:sz w:val="21"/>
                <w14:textFill>
                  <w14:solidFill>
                    <w14:schemeClr w14:val="tx1"/>
                  </w14:solidFill>
                </w14:textFill>
              </w:rPr>
            </w:pPr>
            <w:r>
              <w:rPr>
                <w:rFonts w:hint="eastAsia"/>
                <w:b/>
                <w:bCs/>
                <w:color w:val="000000" w:themeColor="text1"/>
                <w:kern w:val="0"/>
                <w:sz w:val="21"/>
                <w14:textFill>
                  <w14:solidFill>
                    <w14:schemeClr w14:val="tx1"/>
                  </w14:solidFill>
                </w14:textFill>
              </w:rPr>
              <w:t>类群</w:t>
            </w:r>
          </w:p>
        </w:tc>
        <w:tc>
          <w:tcPr>
            <w:tcW w:w="1613" w:type="dxa"/>
            <w:noWrap/>
            <w:vAlign w:val="center"/>
          </w:tcPr>
          <w:p w14:paraId="22CD9445">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种</w:t>
            </w:r>
            <w:r>
              <w:rPr>
                <w:rFonts w:hint="eastAsia"/>
                <w:b/>
                <w:bCs/>
                <w:color w:val="000000" w:themeColor="text1"/>
                <w:kern w:val="0"/>
                <w:sz w:val="21"/>
                <w14:textFill>
                  <w14:solidFill>
                    <w14:schemeClr w14:val="tx1"/>
                  </w14:solidFill>
                </w14:textFill>
              </w:rPr>
              <w:t>名</w:t>
            </w:r>
          </w:p>
        </w:tc>
        <w:tc>
          <w:tcPr>
            <w:tcW w:w="2329" w:type="dxa"/>
            <w:noWrap/>
            <w:vAlign w:val="center"/>
          </w:tcPr>
          <w:p w14:paraId="5D2E23B1">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拉丁名</w:t>
            </w:r>
          </w:p>
        </w:tc>
        <w:tc>
          <w:tcPr>
            <w:tcW w:w="1312" w:type="dxa"/>
            <w:noWrap/>
            <w:vAlign w:val="center"/>
          </w:tcPr>
          <w:p w14:paraId="1DBE8624">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密度</w:t>
            </w:r>
          </w:p>
          <w:p w14:paraId="1F38F22C">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w:t>
            </w:r>
            <w:r>
              <w:rPr>
                <w:rFonts w:hint="eastAsia"/>
                <w:b/>
                <w:bCs/>
                <w:color w:val="000000" w:themeColor="text1"/>
                <w:kern w:val="0"/>
                <w:sz w:val="21"/>
                <w14:textFill>
                  <w14:solidFill>
                    <w14:schemeClr w14:val="tx1"/>
                  </w14:solidFill>
                </w14:textFill>
              </w:rPr>
              <w:t>个</w:t>
            </w:r>
            <w:r>
              <w:rPr>
                <w:b/>
                <w:bCs/>
                <w:color w:val="000000" w:themeColor="text1"/>
                <w:kern w:val="0"/>
                <w:sz w:val="21"/>
                <w14:textFill>
                  <w14:solidFill>
                    <w14:schemeClr w14:val="tx1"/>
                  </w14:solidFill>
                </w14:textFill>
              </w:rPr>
              <w:t>m</w:t>
            </w:r>
            <w:r>
              <w:rPr>
                <w:b/>
                <w:bCs/>
                <w:color w:val="000000" w:themeColor="text1"/>
                <w:kern w:val="0"/>
                <w:sz w:val="21"/>
                <w:vertAlign w:val="superscript"/>
                <w14:textFill>
                  <w14:solidFill>
                    <w14:schemeClr w14:val="tx1"/>
                  </w14:solidFill>
                </w14:textFill>
              </w:rPr>
              <w:t>2</w:t>
            </w:r>
            <w:r>
              <w:rPr>
                <w:b/>
                <w:bCs/>
                <w:color w:val="000000" w:themeColor="text1"/>
                <w:kern w:val="0"/>
                <w:sz w:val="21"/>
                <w14:textFill>
                  <w14:solidFill>
                    <w14:schemeClr w14:val="tx1"/>
                  </w14:solidFill>
                </w14:textFill>
              </w:rPr>
              <w:t>）</w:t>
            </w:r>
          </w:p>
        </w:tc>
        <w:tc>
          <w:tcPr>
            <w:tcW w:w="1416" w:type="dxa"/>
            <w:noWrap/>
            <w:vAlign w:val="center"/>
          </w:tcPr>
          <w:p w14:paraId="16CEFDBB">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生物量(g/m</w:t>
            </w:r>
            <w:r>
              <w:rPr>
                <w:b/>
                <w:bCs/>
                <w:color w:val="000000" w:themeColor="text1"/>
                <w:kern w:val="0"/>
                <w:sz w:val="21"/>
                <w:vertAlign w:val="superscript"/>
                <w14:textFill>
                  <w14:solidFill>
                    <w14:schemeClr w14:val="tx1"/>
                  </w14:solidFill>
                </w14:textFill>
              </w:rPr>
              <w:t>2</w:t>
            </w:r>
            <w:r>
              <w:rPr>
                <w:b/>
                <w:bCs/>
                <w:color w:val="000000" w:themeColor="text1"/>
                <w:kern w:val="0"/>
                <w:sz w:val="21"/>
                <w14:textFill>
                  <w14:solidFill>
                    <w14:schemeClr w14:val="tx1"/>
                  </w14:solidFill>
                </w14:textFill>
              </w:rPr>
              <w:t>)</w:t>
            </w:r>
          </w:p>
        </w:tc>
      </w:tr>
      <w:tr w14:paraId="0CBC8C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vMerge w:val="restart"/>
            <w:noWrap/>
            <w:vAlign w:val="center"/>
          </w:tcPr>
          <w:p w14:paraId="7372D0C6">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S</w:t>
            </w:r>
            <w:r>
              <w:rPr>
                <w:rFonts w:hint="eastAsia"/>
                <w:color w:val="000000" w:themeColor="text1"/>
                <w:kern w:val="0"/>
                <w:sz w:val="21"/>
                <w14:textFill>
                  <w14:solidFill>
                    <w14:schemeClr w14:val="tx1"/>
                  </w14:solidFill>
                </w14:textFill>
              </w:rPr>
              <w:t>1</w:t>
            </w:r>
          </w:p>
        </w:tc>
        <w:tc>
          <w:tcPr>
            <w:tcW w:w="1154" w:type="dxa"/>
            <w:vAlign w:val="center"/>
          </w:tcPr>
          <w:p w14:paraId="7193271B">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软体动物</w:t>
            </w:r>
          </w:p>
        </w:tc>
        <w:tc>
          <w:tcPr>
            <w:tcW w:w="1613" w:type="dxa"/>
            <w:noWrap/>
            <w:vAlign w:val="center"/>
          </w:tcPr>
          <w:p w14:paraId="68062776">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长竹蛏</w:t>
            </w:r>
          </w:p>
        </w:tc>
        <w:tc>
          <w:tcPr>
            <w:tcW w:w="2329" w:type="dxa"/>
            <w:noWrap/>
            <w:vAlign w:val="center"/>
          </w:tcPr>
          <w:p w14:paraId="7F16BDE2">
            <w:pPr>
              <w:spacing w:line="240" w:lineRule="auto"/>
              <w:ind w:firstLine="0" w:firstLineChars="0"/>
              <w:jc w:val="center"/>
              <w:rPr>
                <w:color w:val="000000" w:themeColor="text1"/>
                <w:kern w:val="0"/>
                <w:sz w:val="21"/>
                <w14:textFill>
                  <w14:solidFill>
                    <w14:schemeClr w14:val="tx1"/>
                  </w14:solidFill>
                </w14:textFill>
              </w:rPr>
            </w:pPr>
            <w:r>
              <w:rPr>
                <w:i/>
                <w:iCs/>
                <w:color w:val="000000" w:themeColor="text1"/>
                <w:sz w:val="21"/>
                <w14:textFill>
                  <w14:solidFill>
                    <w14:schemeClr w14:val="tx1"/>
                  </w14:solidFill>
                </w14:textFill>
              </w:rPr>
              <w:t>Solen strictus</w:t>
            </w:r>
          </w:p>
        </w:tc>
        <w:tc>
          <w:tcPr>
            <w:tcW w:w="1312" w:type="dxa"/>
            <w:noWrap/>
            <w:vAlign w:val="center"/>
          </w:tcPr>
          <w:p w14:paraId="0F398658">
            <w:pPr>
              <w:spacing w:line="240" w:lineRule="auto"/>
              <w:ind w:firstLine="0" w:firstLineChars="0"/>
              <w:jc w:val="center"/>
              <w:rPr>
                <w:color w:val="000000" w:themeColor="text1"/>
                <w:kern w:val="0"/>
                <w:sz w:val="21"/>
                <w14:textFill>
                  <w14:solidFill>
                    <w14:schemeClr w14:val="tx1"/>
                  </w14:solidFill>
                </w14:textFill>
              </w:rPr>
            </w:pPr>
          </w:p>
        </w:tc>
        <w:tc>
          <w:tcPr>
            <w:tcW w:w="1416" w:type="dxa"/>
            <w:noWrap/>
            <w:vAlign w:val="center"/>
          </w:tcPr>
          <w:p w14:paraId="16DB6186">
            <w:pPr>
              <w:spacing w:line="240" w:lineRule="auto"/>
              <w:ind w:firstLine="0" w:firstLineChars="0"/>
              <w:jc w:val="center"/>
              <w:rPr>
                <w:color w:val="000000" w:themeColor="text1"/>
                <w:kern w:val="0"/>
                <w:sz w:val="21"/>
                <w14:textFill>
                  <w14:solidFill>
                    <w14:schemeClr w14:val="tx1"/>
                  </w14:solidFill>
                </w14:textFill>
              </w:rPr>
            </w:pPr>
          </w:p>
        </w:tc>
      </w:tr>
      <w:tr w14:paraId="35920F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vMerge w:val="continue"/>
            <w:noWrap/>
            <w:vAlign w:val="center"/>
          </w:tcPr>
          <w:p w14:paraId="4E6BE1A2">
            <w:pPr>
              <w:spacing w:line="240" w:lineRule="auto"/>
              <w:ind w:firstLine="0" w:firstLineChars="0"/>
              <w:jc w:val="center"/>
              <w:rPr>
                <w:color w:val="000000" w:themeColor="text1"/>
                <w:kern w:val="0"/>
                <w:sz w:val="21"/>
                <w14:textFill>
                  <w14:solidFill>
                    <w14:schemeClr w14:val="tx1"/>
                  </w14:solidFill>
                </w14:textFill>
              </w:rPr>
            </w:pPr>
          </w:p>
        </w:tc>
        <w:tc>
          <w:tcPr>
            <w:tcW w:w="1154" w:type="dxa"/>
            <w:vAlign w:val="center"/>
          </w:tcPr>
          <w:p w14:paraId="02B58E93">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脊索动物</w:t>
            </w:r>
          </w:p>
        </w:tc>
        <w:tc>
          <w:tcPr>
            <w:tcW w:w="1613" w:type="dxa"/>
            <w:noWrap/>
            <w:vAlign w:val="center"/>
          </w:tcPr>
          <w:p w14:paraId="2041FC88">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白氏文昌鱼</w:t>
            </w:r>
          </w:p>
        </w:tc>
        <w:tc>
          <w:tcPr>
            <w:tcW w:w="2329" w:type="dxa"/>
            <w:noWrap/>
            <w:vAlign w:val="center"/>
          </w:tcPr>
          <w:p w14:paraId="2FC9AEF0">
            <w:pPr>
              <w:spacing w:line="240" w:lineRule="auto"/>
              <w:ind w:firstLine="0" w:firstLineChars="0"/>
              <w:jc w:val="center"/>
              <w:rPr>
                <w:color w:val="000000" w:themeColor="text1"/>
                <w:kern w:val="0"/>
                <w:sz w:val="21"/>
                <w14:textFill>
                  <w14:solidFill>
                    <w14:schemeClr w14:val="tx1"/>
                  </w14:solidFill>
                </w14:textFill>
              </w:rPr>
            </w:pPr>
            <w:r>
              <w:rPr>
                <w:i/>
                <w:iCs/>
                <w:color w:val="000000" w:themeColor="text1"/>
                <w:sz w:val="21"/>
                <w14:textFill>
                  <w14:solidFill>
                    <w14:schemeClr w14:val="tx1"/>
                  </w14:solidFill>
                </w14:textFill>
              </w:rPr>
              <w:t>Branchiostoma belcheri</w:t>
            </w:r>
          </w:p>
        </w:tc>
        <w:tc>
          <w:tcPr>
            <w:tcW w:w="1312" w:type="dxa"/>
            <w:noWrap/>
            <w:vAlign w:val="center"/>
          </w:tcPr>
          <w:p w14:paraId="4ACEB475">
            <w:pPr>
              <w:spacing w:line="240" w:lineRule="auto"/>
              <w:ind w:firstLine="0" w:firstLineChars="0"/>
              <w:jc w:val="center"/>
              <w:rPr>
                <w:color w:val="000000" w:themeColor="text1"/>
                <w:kern w:val="0"/>
                <w:sz w:val="21"/>
                <w14:textFill>
                  <w14:solidFill>
                    <w14:schemeClr w14:val="tx1"/>
                  </w14:solidFill>
                </w14:textFill>
              </w:rPr>
            </w:pPr>
          </w:p>
        </w:tc>
        <w:tc>
          <w:tcPr>
            <w:tcW w:w="1416" w:type="dxa"/>
            <w:noWrap/>
            <w:vAlign w:val="center"/>
          </w:tcPr>
          <w:p w14:paraId="461C29F5">
            <w:pPr>
              <w:spacing w:line="240" w:lineRule="auto"/>
              <w:ind w:firstLine="0" w:firstLineChars="0"/>
              <w:jc w:val="center"/>
              <w:rPr>
                <w:color w:val="000000" w:themeColor="text1"/>
                <w:kern w:val="0"/>
                <w:sz w:val="21"/>
                <w14:textFill>
                  <w14:solidFill>
                    <w14:schemeClr w14:val="tx1"/>
                  </w14:solidFill>
                </w14:textFill>
              </w:rPr>
            </w:pPr>
          </w:p>
        </w:tc>
      </w:tr>
      <w:tr w14:paraId="2667EF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vMerge w:val="continue"/>
            <w:noWrap/>
            <w:vAlign w:val="center"/>
          </w:tcPr>
          <w:p w14:paraId="1DFF730B">
            <w:pPr>
              <w:spacing w:line="240" w:lineRule="auto"/>
              <w:ind w:firstLine="0" w:firstLineChars="0"/>
              <w:jc w:val="center"/>
              <w:rPr>
                <w:color w:val="000000" w:themeColor="text1"/>
                <w:kern w:val="0"/>
                <w:sz w:val="21"/>
                <w14:textFill>
                  <w14:solidFill>
                    <w14:schemeClr w14:val="tx1"/>
                  </w14:solidFill>
                </w14:textFill>
              </w:rPr>
            </w:pPr>
          </w:p>
        </w:tc>
        <w:tc>
          <w:tcPr>
            <w:tcW w:w="1154" w:type="dxa"/>
            <w:vAlign w:val="center"/>
          </w:tcPr>
          <w:p w14:paraId="2583649E">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棘皮动物</w:t>
            </w:r>
          </w:p>
        </w:tc>
        <w:tc>
          <w:tcPr>
            <w:tcW w:w="1613" w:type="dxa"/>
            <w:noWrap/>
            <w:vAlign w:val="center"/>
          </w:tcPr>
          <w:p w14:paraId="6DEA7884">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细腕倍棘蛇尾</w:t>
            </w:r>
          </w:p>
        </w:tc>
        <w:tc>
          <w:tcPr>
            <w:tcW w:w="2329" w:type="dxa"/>
            <w:noWrap/>
            <w:vAlign w:val="center"/>
          </w:tcPr>
          <w:p w14:paraId="0AD4D66E">
            <w:pPr>
              <w:spacing w:line="240" w:lineRule="auto"/>
              <w:ind w:firstLine="0" w:firstLineChars="0"/>
              <w:jc w:val="center"/>
              <w:rPr>
                <w:i/>
                <w:iCs/>
                <w:color w:val="000000" w:themeColor="text1"/>
                <w:sz w:val="21"/>
                <w14:textFill>
                  <w14:solidFill>
                    <w14:schemeClr w14:val="tx1"/>
                  </w14:solidFill>
                </w14:textFill>
              </w:rPr>
            </w:pPr>
            <w:r>
              <w:rPr>
                <w:i/>
                <w:iCs/>
                <w:color w:val="000000" w:themeColor="text1"/>
                <w:sz w:val="21"/>
                <w14:textFill>
                  <w14:solidFill>
                    <w14:schemeClr w14:val="tx1"/>
                  </w14:solidFill>
                </w14:textFill>
              </w:rPr>
              <w:t>Amphioplus rhadinobrachius</w:t>
            </w:r>
          </w:p>
        </w:tc>
        <w:tc>
          <w:tcPr>
            <w:tcW w:w="1312" w:type="dxa"/>
            <w:noWrap/>
            <w:vAlign w:val="center"/>
          </w:tcPr>
          <w:p w14:paraId="6AE34913">
            <w:pPr>
              <w:spacing w:line="240" w:lineRule="auto"/>
              <w:ind w:firstLine="0" w:firstLineChars="0"/>
              <w:jc w:val="center"/>
              <w:rPr>
                <w:color w:val="000000" w:themeColor="text1"/>
                <w:sz w:val="21"/>
                <w14:textFill>
                  <w14:solidFill>
                    <w14:schemeClr w14:val="tx1"/>
                  </w14:solidFill>
                </w14:textFill>
              </w:rPr>
            </w:pPr>
          </w:p>
        </w:tc>
        <w:tc>
          <w:tcPr>
            <w:tcW w:w="1416" w:type="dxa"/>
            <w:noWrap/>
            <w:vAlign w:val="center"/>
          </w:tcPr>
          <w:p w14:paraId="0F7B109E">
            <w:pPr>
              <w:spacing w:line="240" w:lineRule="auto"/>
              <w:ind w:firstLine="0" w:firstLineChars="0"/>
              <w:jc w:val="center"/>
              <w:rPr>
                <w:color w:val="000000" w:themeColor="text1"/>
                <w:sz w:val="21"/>
                <w14:textFill>
                  <w14:solidFill>
                    <w14:schemeClr w14:val="tx1"/>
                  </w14:solidFill>
                </w14:textFill>
              </w:rPr>
            </w:pPr>
          </w:p>
        </w:tc>
      </w:tr>
      <w:tr w14:paraId="093DC4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vMerge w:val="restart"/>
            <w:noWrap/>
            <w:vAlign w:val="center"/>
          </w:tcPr>
          <w:p w14:paraId="03EC9847">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S</w:t>
            </w:r>
            <w:r>
              <w:rPr>
                <w:rFonts w:hint="eastAsia"/>
                <w:color w:val="000000" w:themeColor="text1"/>
                <w:kern w:val="0"/>
                <w:sz w:val="21"/>
                <w14:textFill>
                  <w14:solidFill>
                    <w14:schemeClr w14:val="tx1"/>
                  </w14:solidFill>
                </w14:textFill>
              </w:rPr>
              <w:t>2</w:t>
            </w:r>
          </w:p>
        </w:tc>
        <w:tc>
          <w:tcPr>
            <w:tcW w:w="1154" w:type="dxa"/>
            <w:vAlign w:val="center"/>
          </w:tcPr>
          <w:p w14:paraId="23AE9C58">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多毛类</w:t>
            </w:r>
          </w:p>
        </w:tc>
        <w:tc>
          <w:tcPr>
            <w:tcW w:w="1613" w:type="dxa"/>
            <w:noWrap/>
            <w:vAlign w:val="center"/>
          </w:tcPr>
          <w:p w14:paraId="4FA2B4E8">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日本刺沙蚕</w:t>
            </w:r>
          </w:p>
        </w:tc>
        <w:tc>
          <w:tcPr>
            <w:tcW w:w="2329" w:type="dxa"/>
            <w:noWrap/>
            <w:vAlign w:val="center"/>
          </w:tcPr>
          <w:p w14:paraId="763186CD">
            <w:pPr>
              <w:spacing w:line="240" w:lineRule="auto"/>
              <w:ind w:firstLine="0" w:firstLineChars="0"/>
              <w:jc w:val="center"/>
              <w:rPr>
                <w:color w:val="000000" w:themeColor="text1"/>
                <w:kern w:val="0"/>
                <w:sz w:val="21"/>
                <w14:textFill>
                  <w14:solidFill>
                    <w14:schemeClr w14:val="tx1"/>
                  </w14:solidFill>
                </w14:textFill>
              </w:rPr>
            </w:pPr>
            <w:r>
              <w:rPr>
                <w:i/>
                <w:iCs/>
                <w:color w:val="000000" w:themeColor="text1"/>
                <w:sz w:val="21"/>
                <w14:textFill>
                  <w14:solidFill>
                    <w14:schemeClr w14:val="tx1"/>
                  </w14:solidFill>
                </w14:textFill>
              </w:rPr>
              <w:t>Neanthes japonica</w:t>
            </w:r>
          </w:p>
        </w:tc>
        <w:tc>
          <w:tcPr>
            <w:tcW w:w="1312" w:type="dxa"/>
            <w:noWrap/>
            <w:vAlign w:val="center"/>
          </w:tcPr>
          <w:p w14:paraId="4E10E5AF">
            <w:pPr>
              <w:spacing w:line="240" w:lineRule="auto"/>
              <w:ind w:firstLine="0" w:firstLineChars="0"/>
              <w:jc w:val="center"/>
              <w:rPr>
                <w:color w:val="000000" w:themeColor="text1"/>
                <w:kern w:val="0"/>
                <w:sz w:val="21"/>
                <w14:textFill>
                  <w14:solidFill>
                    <w14:schemeClr w14:val="tx1"/>
                  </w14:solidFill>
                </w14:textFill>
              </w:rPr>
            </w:pPr>
          </w:p>
        </w:tc>
        <w:tc>
          <w:tcPr>
            <w:tcW w:w="1416" w:type="dxa"/>
            <w:noWrap/>
            <w:vAlign w:val="center"/>
          </w:tcPr>
          <w:p w14:paraId="09323F02">
            <w:pPr>
              <w:spacing w:line="240" w:lineRule="auto"/>
              <w:ind w:firstLine="0" w:firstLineChars="0"/>
              <w:jc w:val="center"/>
              <w:rPr>
                <w:color w:val="000000" w:themeColor="text1"/>
                <w:kern w:val="0"/>
                <w:sz w:val="21"/>
                <w14:textFill>
                  <w14:solidFill>
                    <w14:schemeClr w14:val="tx1"/>
                  </w14:solidFill>
                </w14:textFill>
              </w:rPr>
            </w:pPr>
          </w:p>
        </w:tc>
      </w:tr>
      <w:tr w14:paraId="4D8841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vMerge w:val="continue"/>
            <w:noWrap/>
            <w:vAlign w:val="center"/>
          </w:tcPr>
          <w:p w14:paraId="0091088D">
            <w:pPr>
              <w:spacing w:line="240" w:lineRule="auto"/>
              <w:ind w:firstLine="0" w:firstLineChars="0"/>
              <w:jc w:val="center"/>
              <w:rPr>
                <w:color w:val="000000" w:themeColor="text1"/>
                <w:kern w:val="0"/>
                <w:sz w:val="21"/>
                <w14:textFill>
                  <w14:solidFill>
                    <w14:schemeClr w14:val="tx1"/>
                  </w14:solidFill>
                </w14:textFill>
              </w:rPr>
            </w:pPr>
          </w:p>
        </w:tc>
        <w:tc>
          <w:tcPr>
            <w:tcW w:w="1154" w:type="dxa"/>
            <w:vAlign w:val="center"/>
          </w:tcPr>
          <w:p w14:paraId="16CD6CBB">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多毛类</w:t>
            </w:r>
          </w:p>
        </w:tc>
        <w:tc>
          <w:tcPr>
            <w:tcW w:w="1613" w:type="dxa"/>
            <w:noWrap/>
            <w:vAlign w:val="center"/>
          </w:tcPr>
          <w:p w14:paraId="6149A787">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小头虫</w:t>
            </w:r>
          </w:p>
        </w:tc>
        <w:tc>
          <w:tcPr>
            <w:tcW w:w="2329" w:type="dxa"/>
            <w:noWrap/>
            <w:vAlign w:val="center"/>
          </w:tcPr>
          <w:p w14:paraId="7B8684BB">
            <w:pPr>
              <w:spacing w:line="240" w:lineRule="auto"/>
              <w:ind w:firstLine="0" w:firstLineChars="0"/>
              <w:jc w:val="center"/>
              <w:rPr>
                <w:color w:val="000000" w:themeColor="text1"/>
                <w:kern w:val="0"/>
                <w:sz w:val="21"/>
                <w14:textFill>
                  <w14:solidFill>
                    <w14:schemeClr w14:val="tx1"/>
                  </w14:solidFill>
                </w14:textFill>
              </w:rPr>
            </w:pPr>
            <w:r>
              <w:rPr>
                <w:i/>
                <w:iCs/>
                <w:color w:val="000000" w:themeColor="text1"/>
                <w:sz w:val="21"/>
                <w14:textFill>
                  <w14:solidFill>
                    <w14:schemeClr w14:val="tx1"/>
                  </w14:solidFill>
                </w14:textFill>
              </w:rPr>
              <w:t>Capitella capitata</w:t>
            </w:r>
          </w:p>
        </w:tc>
        <w:tc>
          <w:tcPr>
            <w:tcW w:w="1312" w:type="dxa"/>
            <w:noWrap/>
            <w:vAlign w:val="center"/>
          </w:tcPr>
          <w:p w14:paraId="6C375914">
            <w:pPr>
              <w:spacing w:line="240" w:lineRule="auto"/>
              <w:ind w:firstLine="0" w:firstLineChars="0"/>
              <w:jc w:val="center"/>
              <w:rPr>
                <w:color w:val="000000" w:themeColor="text1"/>
                <w:kern w:val="0"/>
                <w:sz w:val="21"/>
                <w14:textFill>
                  <w14:solidFill>
                    <w14:schemeClr w14:val="tx1"/>
                  </w14:solidFill>
                </w14:textFill>
              </w:rPr>
            </w:pPr>
          </w:p>
        </w:tc>
        <w:tc>
          <w:tcPr>
            <w:tcW w:w="1416" w:type="dxa"/>
            <w:noWrap/>
            <w:vAlign w:val="center"/>
          </w:tcPr>
          <w:p w14:paraId="095E2DCB">
            <w:pPr>
              <w:spacing w:line="240" w:lineRule="auto"/>
              <w:ind w:firstLine="0" w:firstLineChars="0"/>
              <w:jc w:val="center"/>
              <w:rPr>
                <w:color w:val="000000" w:themeColor="text1"/>
                <w:kern w:val="0"/>
                <w:sz w:val="21"/>
                <w14:textFill>
                  <w14:solidFill>
                    <w14:schemeClr w14:val="tx1"/>
                  </w14:solidFill>
                </w14:textFill>
              </w:rPr>
            </w:pPr>
          </w:p>
        </w:tc>
      </w:tr>
      <w:tr w14:paraId="3F1054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vMerge w:val="continue"/>
            <w:noWrap/>
            <w:vAlign w:val="center"/>
          </w:tcPr>
          <w:p w14:paraId="35042D4B">
            <w:pPr>
              <w:spacing w:line="240" w:lineRule="auto"/>
              <w:ind w:firstLine="0" w:firstLineChars="0"/>
              <w:jc w:val="center"/>
              <w:rPr>
                <w:color w:val="000000" w:themeColor="text1"/>
                <w:kern w:val="0"/>
                <w:sz w:val="21"/>
                <w14:textFill>
                  <w14:solidFill>
                    <w14:schemeClr w14:val="tx1"/>
                  </w14:solidFill>
                </w14:textFill>
              </w:rPr>
            </w:pPr>
          </w:p>
        </w:tc>
        <w:tc>
          <w:tcPr>
            <w:tcW w:w="1154" w:type="dxa"/>
            <w:vAlign w:val="center"/>
          </w:tcPr>
          <w:p w14:paraId="47933D0F">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多毛类</w:t>
            </w:r>
          </w:p>
        </w:tc>
        <w:tc>
          <w:tcPr>
            <w:tcW w:w="1613" w:type="dxa"/>
            <w:noWrap/>
            <w:vAlign w:val="center"/>
          </w:tcPr>
          <w:p w14:paraId="428FE0F3">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日本角吻沙蚕</w:t>
            </w:r>
          </w:p>
        </w:tc>
        <w:tc>
          <w:tcPr>
            <w:tcW w:w="2329" w:type="dxa"/>
            <w:noWrap/>
            <w:vAlign w:val="center"/>
          </w:tcPr>
          <w:p w14:paraId="5D168399">
            <w:pPr>
              <w:spacing w:line="240" w:lineRule="auto"/>
              <w:ind w:firstLine="0" w:firstLineChars="0"/>
              <w:jc w:val="center"/>
              <w:rPr>
                <w:i/>
                <w:iCs/>
                <w:color w:val="000000" w:themeColor="text1"/>
                <w:sz w:val="21"/>
                <w14:textFill>
                  <w14:solidFill>
                    <w14:schemeClr w14:val="tx1"/>
                  </w14:solidFill>
                </w14:textFill>
              </w:rPr>
            </w:pPr>
            <w:r>
              <w:rPr>
                <w:i/>
                <w:iCs/>
                <w:color w:val="000000" w:themeColor="text1"/>
                <w:sz w:val="21"/>
                <w14:textFill>
                  <w14:solidFill>
                    <w14:schemeClr w14:val="tx1"/>
                  </w14:solidFill>
                </w14:textFill>
              </w:rPr>
              <w:t>Goniada japonica</w:t>
            </w:r>
          </w:p>
        </w:tc>
        <w:tc>
          <w:tcPr>
            <w:tcW w:w="1312" w:type="dxa"/>
            <w:noWrap/>
            <w:vAlign w:val="center"/>
          </w:tcPr>
          <w:p w14:paraId="48CFF69C">
            <w:pPr>
              <w:spacing w:line="240" w:lineRule="auto"/>
              <w:ind w:firstLine="0" w:firstLineChars="0"/>
              <w:jc w:val="center"/>
              <w:rPr>
                <w:color w:val="000000" w:themeColor="text1"/>
                <w:sz w:val="21"/>
                <w14:textFill>
                  <w14:solidFill>
                    <w14:schemeClr w14:val="tx1"/>
                  </w14:solidFill>
                </w14:textFill>
              </w:rPr>
            </w:pPr>
          </w:p>
        </w:tc>
        <w:tc>
          <w:tcPr>
            <w:tcW w:w="1416" w:type="dxa"/>
            <w:noWrap/>
            <w:vAlign w:val="center"/>
          </w:tcPr>
          <w:p w14:paraId="53B86B60">
            <w:pPr>
              <w:spacing w:line="240" w:lineRule="auto"/>
              <w:ind w:firstLine="0" w:firstLineChars="0"/>
              <w:jc w:val="center"/>
              <w:rPr>
                <w:color w:val="000000" w:themeColor="text1"/>
                <w:sz w:val="21"/>
                <w14:textFill>
                  <w14:solidFill>
                    <w14:schemeClr w14:val="tx1"/>
                  </w14:solidFill>
                </w14:textFill>
              </w:rPr>
            </w:pPr>
          </w:p>
        </w:tc>
      </w:tr>
      <w:tr w14:paraId="55621A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noWrap/>
            <w:vAlign w:val="center"/>
          </w:tcPr>
          <w:p w14:paraId="5DF14D0D">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S</w:t>
            </w:r>
            <w:r>
              <w:rPr>
                <w:rFonts w:hint="eastAsia"/>
                <w:color w:val="000000" w:themeColor="text1"/>
                <w:kern w:val="0"/>
                <w:sz w:val="21"/>
                <w14:textFill>
                  <w14:solidFill>
                    <w14:schemeClr w14:val="tx1"/>
                  </w14:solidFill>
                </w14:textFill>
              </w:rPr>
              <w:t>3</w:t>
            </w:r>
          </w:p>
        </w:tc>
        <w:tc>
          <w:tcPr>
            <w:tcW w:w="1154" w:type="dxa"/>
            <w:vAlign w:val="center"/>
          </w:tcPr>
          <w:p w14:paraId="0D55E3D1">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多毛类</w:t>
            </w:r>
          </w:p>
        </w:tc>
        <w:tc>
          <w:tcPr>
            <w:tcW w:w="1613" w:type="dxa"/>
            <w:noWrap/>
            <w:vAlign w:val="center"/>
          </w:tcPr>
          <w:p w14:paraId="046B6E45">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多毛类残体</w:t>
            </w:r>
          </w:p>
        </w:tc>
        <w:tc>
          <w:tcPr>
            <w:tcW w:w="2329" w:type="dxa"/>
            <w:noWrap/>
            <w:vAlign w:val="center"/>
          </w:tcPr>
          <w:p w14:paraId="4B7157A2">
            <w:pPr>
              <w:spacing w:line="240" w:lineRule="auto"/>
              <w:ind w:firstLine="0" w:firstLineChars="0"/>
              <w:jc w:val="center"/>
              <w:rPr>
                <w:color w:val="000000" w:themeColor="text1"/>
                <w:kern w:val="0"/>
                <w:sz w:val="21"/>
                <w14:textFill>
                  <w14:solidFill>
                    <w14:schemeClr w14:val="tx1"/>
                  </w14:solidFill>
                </w14:textFill>
              </w:rPr>
            </w:pPr>
            <w:r>
              <w:rPr>
                <w:color w:val="000000" w:themeColor="text1"/>
                <w:sz w:val="21"/>
                <w14:textFill>
                  <w14:solidFill>
                    <w14:schemeClr w14:val="tx1"/>
                  </w14:solidFill>
                </w14:textFill>
              </w:rPr>
              <w:t>Polychaeta</w:t>
            </w:r>
          </w:p>
        </w:tc>
        <w:tc>
          <w:tcPr>
            <w:tcW w:w="1312" w:type="dxa"/>
            <w:noWrap/>
            <w:vAlign w:val="center"/>
          </w:tcPr>
          <w:p w14:paraId="03A9C7B7">
            <w:pPr>
              <w:spacing w:line="240" w:lineRule="auto"/>
              <w:ind w:firstLine="0" w:firstLineChars="0"/>
              <w:jc w:val="center"/>
              <w:rPr>
                <w:color w:val="000000" w:themeColor="text1"/>
                <w:kern w:val="0"/>
                <w:sz w:val="21"/>
                <w14:textFill>
                  <w14:solidFill>
                    <w14:schemeClr w14:val="tx1"/>
                  </w14:solidFill>
                </w14:textFill>
              </w:rPr>
            </w:pPr>
          </w:p>
        </w:tc>
        <w:tc>
          <w:tcPr>
            <w:tcW w:w="1416" w:type="dxa"/>
            <w:noWrap/>
            <w:vAlign w:val="center"/>
          </w:tcPr>
          <w:p w14:paraId="4C3A282C">
            <w:pPr>
              <w:spacing w:line="240" w:lineRule="auto"/>
              <w:ind w:firstLine="0" w:firstLineChars="0"/>
              <w:jc w:val="center"/>
              <w:rPr>
                <w:color w:val="000000" w:themeColor="text1"/>
                <w:kern w:val="0"/>
                <w:sz w:val="21"/>
                <w14:textFill>
                  <w14:solidFill>
                    <w14:schemeClr w14:val="tx1"/>
                  </w14:solidFill>
                </w14:textFill>
              </w:rPr>
            </w:pPr>
          </w:p>
        </w:tc>
      </w:tr>
      <w:tr w14:paraId="389E2E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noWrap/>
            <w:vAlign w:val="center"/>
          </w:tcPr>
          <w:p w14:paraId="47F2B951">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S</w:t>
            </w:r>
            <w:r>
              <w:rPr>
                <w:rFonts w:hint="eastAsia"/>
                <w:color w:val="000000" w:themeColor="text1"/>
                <w:kern w:val="0"/>
                <w:sz w:val="21"/>
                <w14:textFill>
                  <w14:solidFill>
                    <w14:schemeClr w14:val="tx1"/>
                  </w14:solidFill>
                </w14:textFill>
              </w:rPr>
              <w:t>4</w:t>
            </w:r>
          </w:p>
        </w:tc>
        <w:tc>
          <w:tcPr>
            <w:tcW w:w="1154" w:type="dxa"/>
            <w:vAlign w:val="center"/>
          </w:tcPr>
          <w:p w14:paraId="15A897B7">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脊索动物</w:t>
            </w:r>
          </w:p>
        </w:tc>
        <w:tc>
          <w:tcPr>
            <w:tcW w:w="1613" w:type="dxa"/>
            <w:noWrap/>
            <w:vAlign w:val="center"/>
          </w:tcPr>
          <w:p w14:paraId="024C830C">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白氏文昌鱼</w:t>
            </w:r>
          </w:p>
        </w:tc>
        <w:tc>
          <w:tcPr>
            <w:tcW w:w="2329" w:type="dxa"/>
            <w:noWrap/>
            <w:vAlign w:val="center"/>
          </w:tcPr>
          <w:p w14:paraId="4BB91A64">
            <w:pPr>
              <w:spacing w:line="240" w:lineRule="auto"/>
              <w:ind w:firstLine="0" w:firstLineChars="0"/>
              <w:jc w:val="center"/>
              <w:rPr>
                <w:color w:val="000000" w:themeColor="text1"/>
                <w:kern w:val="0"/>
                <w:sz w:val="21"/>
                <w14:textFill>
                  <w14:solidFill>
                    <w14:schemeClr w14:val="tx1"/>
                  </w14:solidFill>
                </w14:textFill>
              </w:rPr>
            </w:pPr>
            <w:r>
              <w:rPr>
                <w:i/>
                <w:iCs/>
                <w:color w:val="000000" w:themeColor="text1"/>
                <w:sz w:val="21"/>
                <w14:textFill>
                  <w14:solidFill>
                    <w14:schemeClr w14:val="tx1"/>
                  </w14:solidFill>
                </w14:textFill>
              </w:rPr>
              <w:t>Branchiostoma belcheri</w:t>
            </w:r>
          </w:p>
        </w:tc>
        <w:tc>
          <w:tcPr>
            <w:tcW w:w="1312" w:type="dxa"/>
            <w:noWrap/>
            <w:vAlign w:val="center"/>
          </w:tcPr>
          <w:p w14:paraId="502FD397">
            <w:pPr>
              <w:spacing w:line="240" w:lineRule="auto"/>
              <w:ind w:firstLine="0" w:firstLineChars="0"/>
              <w:jc w:val="center"/>
              <w:rPr>
                <w:color w:val="000000" w:themeColor="text1"/>
                <w:kern w:val="0"/>
                <w:sz w:val="21"/>
                <w14:textFill>
                  <w14:solidFill>
                    <w14:schemeClr w14:val="tx1"/>
                  </w14:solidFill>
                </w14:textFill>
              </w:rPr>
            </w:pPr>
          </w:p>
        </w:tc>
        <w:tc>
          <w:tcPr>
            <w:tcW w:w="1416" w:type="dxa"/>
            <w:noWrap/>
            <w:vAlign w:val="center"/>
          </w:tcPr>
          <w:p w14:paraId="06BA0E23">
            <w:pPr>
              <w:spacing w:line="240" w:lineRule="auto"/>
              <w:ind w:firstLine="0" w:firstLineChars="0"/>
              <w:jc w:val="center"/>
              <w:rPr>
                <w:color w:val="000000" w:themeColor="text1"/>
                <w:kern w:val="0"/>
                <w:sz w:val="21"/>
                <w14:textFill>
                  <w14:solidFill>
                    <w14:schemeClr w14:val="tx1"/>
                  </w14:solidFill>
                </w14:textFill>
              </w:rPr>
            </w:pPr>
          </w:p>
        </w:tc>
      </w:tr>
      <w:tr w14:paraId="6FB6B5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vMerge w:val="restart"/>
            <w:noWrap/>
            <w:vAlign w:val="center"/>
          </w:tcPr>
          <w:p w14:paraId="4B2F53BF">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S</w:t>
            </w:r>
            <w:r>
              <w:rPr>
                <w:rFonts w:hint="eastAsia"/>
                <w:color w:val="000000" w:themeColor="text1"/>
                <w:kern w:val="0"/>
                <w:sz w:val="21"/>
                <w14:textFill>
                  <w14:solidFill>
                    <w14:schemeClr w14:val="tx1"/>
                  </w14:solidFill>
                </w14:textFill>
              </w:rPr>
              <w:t>5</w:t>
            </w:r>
          </w:p>
        </w:tc>
        <w:tc>
          <w:tcPr>
            <w:tcW w:w="1154" w:type="dxa"/>
            <w:vAlign w:val="center"/>
          </w:tcPr>
          <w:p w14:paraId="1E7778C4">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多毛类</w:t>
            </w:r>
          </w:p>
        </w:tc>
        <w:tc>
          <w:tcPr>
            <w:tcW w:w="1613" w:type="dxa"/>
            <w:noWrap/>
            <w:vAlign w:val="center"/>
          </w:tcPr>
          <w:p w14:paraId="483D008C">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曲强真节虫</w:t>
            </w:r>
          </w:p>
        </w:tc>
        <w:tc>
          <w:tcPr>
            <w:tcW w:w="2329" w:type="dxa"/>
            <w:noWrap/>
            <w:vAlign w:val="center"/>
          </w:tcPr>
          <w:p w14:paraId="4AF5E4B6">
            <w:pPr>
              <w:spacing w:line="240" w:lineRule="auto"/>
              <w:ind w:firstLine="0" w:firstLineChars="0"/>
              <w:jc w:val="center"/>
              <w:rPr>
                <w:color w:val="000000" w:themeColor="text1"/>
                <w:kern w:val="0"/>
                <w:sz w:val="21"/>
                <w14:textFill>
                  <w14:solidFill>
                    <w14:schemeClr w14:val="tx1"/>
                  </w14:solidFill>
                </w14:textFill>
              </w:rPr>
            </w:pPr>
            <w:r>
              <w:rPr>
                <w:i/>
                <w:iCs/>
                <w:color w:val="000000" w:themeColor="text1"/>
                <w:sz w:val="21"/>
                <w14:textFill>
                  <w14:solidFill>
                    <w14:schemeClr w14:val="tx1"/>
                  </w14:solidFill>
                </w14:textFill>
              </w:rPr>
              <w:t>Euclymene lombricoides</w:t>
            </w:r>
          </w:p>
        </w:tc>
        <w:tc>
          <w:tcPr>
            <w:tcW w:w="1312" w:type="dxa"/>
            <w:noWrap/>
            <w:vAlign w:val="center"/>
          </w:tcPr>
          <w:p w14:paraId="280FD6E4">
            <w:pPr>
              <w:spacing w:line="240" w:lineRule="auto"/>
              <w:ind w:firstLine="0" w:firstLineChars="0"/>
              <w:jc w:val="center"/>
              <w:rPr>
                <w:color w:val="000000" w:themeColor="text1"/>
                <w:kern w:val="0"/>
                <w:sz w:val="21"/>
                <w14:textFill>
                  <w14:solidFill>
                    <w14:schemeClr w14:val="tx1"/>
                  </w14:solidFill>
                </w14:textFill>
              </w:rPr>
            </w:pPr>
          </w:p>
        </w:tc>
        <w:tc>
          <w:tcPr>
            <w:tcW w:w="1416" w:type="dxa"/>
            <w:noWrap/>
            <w:vAlign w:val="center"/>
          </w:tcPr>
          <w:p w14:paraId="4F050B40">
            <w:pPr>
              <w:spacing w:line="240" w:lineRule="auto"/>
              <w:ind w:firstLine="0" w:firstLineChars="0"/>
              <w:jc w:val="center"/>
              <w:rPr>
                <w:color w:val="000000" w:themeColor="text1"/>
                <w:kern w:val="0"/>
                <w:sz w:val="21"/>
                <w14:textFill>
                  <w14:solidFill>
                    <w14:schemeClr w14:val="tx1"/>
                  </w14:solidFill>
                </w14:textFill>
              </w:rPr>
            </w:pPr>
          </w:p>
        </w:tc>
      </w:tr>
      <w:tr w14:paraId="330CED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vMerge w:val="continue"/>
            <w:noWrap/>
            <w:vAlign w:val="center"/>
          </w:tcPr>
          <w:p w14:paraId="2D22DD03">
            <w:pPr>
              <w:spacing w:line="240" w:lineRule="auto"/>
              <w:ind w:firstLine="0" w:firstLineChars="0"/>
              <w:jc w:val="center"/>
              <w:rPr>
                <w:color w:val="000000" w:themeColor="text1"/>
                <w:kern w:val="0"/>
                <w:sz w:val="21"/>
                <w14:textFill>
                  <w14:solidFill>
                    <w14:schemeClr w14:val="tx1"/>
                  </w14:solidFill>
                </w14:textFill>
              </w:rPr>
            </w:pPr>
          </w:p>
        </w:tc>
        <w:tc>
          <w:tcPr>
            <w:tcW w:w="1154" w:type="dxa"/>
            <w:vAlign w:val="center"/>
          </w:tcPr>
          <w:p w14:paraId="50C8514C">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多毛类</w:t>
            </w:r>
          </w:p>
        </w:tc>
        <w:tc>
          <w:tcPr>
            <w:tcW w:w="1613" w:type="dxa"/>
            <w:noWrap/>
            <w:vAlign w:val="center"/>
          </w:tcPr>
          <w:p w14:paraId="2CAAD4BE">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欧努菲虫</w:t>
            </w:r>
          </w:p>
        </w:tc>
        <w:tc>
          <w:tcPr>
            <w:tcW w:w="2329" w:type="dxa"/>
            <w:noWrap/>
            <w:vAlign w:val="center"/>
          </w:tcPr>
          <w:p w14:paraId="0B4C0578">
            <w:pPr>
              <w:spacing w:line="240" w:lineRule="auto"/>
              <w:ind w:firstLine="0" w:firstLineChars="0"/>
              <w:jc w:val="center"/>
              <w:rPr>
                <w:color w:val="000000" w:themeColor="text1"/>
                <w:kern w:val="0"/>
                <w:sz w:val="21"/>
                <w14:textFill>
                  <w14:solidFill>
                    <w14:schemeClr w14:val="tx1"/>
                  </w14:solidFill>
                </w14:textFill>
              </w:rPr>
            </w:pPr>
            <w:r>
              <w:rPr>
                <w:i/>
                <w:iCs/>
                <w:color w:val="000000" w:themeColor="text1"/>
                <w:sz w:val="21"/>
                <w14:textFill>
                  <w14:solidFill>
                    <w14:schemeClr w14:val="tx1"/>
                  </w14:solidFill>
                </w14:textFill>
              </w:rPr>
              <w:t>Onuphis eremita</w:t>
            </w:r>
          </w:p>
        </w:tc>
        <w:tc>
          <w:tcPr>
            <w:tcW w:w="1312" w:type="dxa"/>
            <w:noWrap/>
            <w:vAlign w:val="center"/>
          </w:tcPr>
          <w:p w14:paraId="06A53EF3">
            <w:pPr>
              <w:spacing w:line="240" w:lineRule="auto"/>
              <w:ind w:firstLine="0" w:firstLineChars="0"/>
              <w:jc w:val="center"/>
              <w:rPr>
                <w:color w:val="000000" w:themeColor="text1"/>
                <w:kern w:val="0"/>
                <w:sz w:val="21"/>
                <w14:textFill>
                  <w14:solidFill>
                    <w14:schemeClr w14:val="tx1"/>
                  </w14:solidFill>
                </w14:textFill>
              </w:rPr>
            </w:pPr>
          </w:p>
        </w:tc>
        <w:tc>
          <w:tcPr>
            <w:tcW w:w="1416" w:type="dxa"/>
            <w:noWrap/>
            <w:vAlign w:val="center"/>
          </w:tcPr>
          <w:p w14:paraId="61E77942">
            <w:pPr>
              <w:spacing w:line="240" w:lineRule="auto"/>
              <w:ind w:firstLine="0" w:firstLineChars="0"/>
              <w:jc w:val="center"/>
              <w:rPr>
                <w:color w:val="000000" w:themeColor="text1"/>
                <w:kern w:val="0"/>
                <w:sz w:val="21"/>
                <w14:textFill>
                  <w14:solidFill>
                    <w14:schemeClr w14:val="tx1"/>
                  </w14:solidFill>
                </w14:textFill>
              </w:rPr>
            </w:pPr>
          </w:p>
        </w:tc>
      </w:tr>
      <w:tr w14:paraId="7FFCC8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vMerge w:val="continue"/>
            <w:noWrap/>
            <w:vAlign w:val="center"/>
          </w:tcPr>
          <w:p w14:paraId="7F236AA9">
            <w:pPr>
              <w:spacing w:line="240" w:lineRule="auto"/>
              <w:ind w:firstLine="0" w:firstLineChars="0"/>
              <w:jc w:val="center"/>
              <w:rPr>
                <w:color w:val="000000" w:themeColor="text1"/>
                <w:kern w:val="0"/>
                <w:sz w:val="21"/>
                <w14:textFill>
                  <w14:solidFill>
                    <w14:schemeClr w14:val="tx1"/>
                  </w14:solidFill>
                </w14:textFill>
              </w:rPr>
            </w:pPr>
          </w:p>
        </w:tc>
        <w:tc>
          <w:tcPr>
            <w:tcW w:w="1154" w:type="dxa"/>
            <w:vAlign w:val="center"/>
          </w:tcPr>
          <w:p w14:paraId="122BF436">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多毛类</w:t>
            </w:r>
          </w:p>
        </w:tc>
        <w:tc>
          <w:tcPr>
            <w:tcW w:w="1613" w:type="dxa"/>
            <w:noWrap/>
            <w:vAlign w:val="center"/>
          </w:tcPr>
          <w:p w14:paraId="004C0B0D">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短叶索沙蚕</w:t>
            </w:r>
          </w:p>
        </w:tc>
        <w:tc>
          <w:tcPr>
            <w:tcW w:w="2329" w:type="dxa"/>
            <w:noWrap/>
            <w:vAlign w:val="center"/>
          </w:tcPr>
          <w:p w14:paraId="0F1BFB57">
            <w:pPr>
              <w:spacing w:line="240" w:lineRule="auto"/>
              <w:ind w:firstLine="0" w:firstLineChars="0"/>
              <w:jc w:val="center"/>
              <w:rPr>
                <w:color w:val="000000" w:themeColor="text1"/>
                <w:kern w:val="0"/>
                <w:sz w:val="21"/>
                <w14:textFill>
                  <w14:solidFill>
                    <w14:schemeClr w14:val="tx1"/>
                  </w14:solidFill>
                </w14:textFill>
              </w:rPr>
            </w:pPr>
            <w:r>
              <w:rPr>
                <w:i/>
                <w:iCs/>
                <w:color w:val="000000" w:themeColor="text1"/>
                <w:sz w:val="21"/>
                <w14:textFill>
                  <w14:solidFill>
                    <w14:schemeClr w14:val="tx1"/>
                  </w14:solidFill>
                </w14:textFill>
              </w:rPr>
              <w:t>Lumbrineris latreilli</w:t>
            </w:r>
          </w:p>
        </w:tc>
        <w:tc>
          <w:tcPr>
            <w:tcW w:w="1312" w:type="dxa"/>
            <w:noWrap/>
            <w:vAlign w:val="center"/>
          </w:tcPr>
          <w:p w14:paraId="1D466E7C">
            <w:pPr>
              <w:spacing w:line="240" w:lineRule="auto"/>
              <w:ind w:firstLine="0" w:firstLineChars="0"/>
              <w:jc w:val="center"/>
              <w:rPr>
                <w:color w:val="000000" w:themeColor="text1"/>
                <w:kern w:val="0"/>
                <w:sz w:val="21"/>
                <w14:textFill>
                  <w14:solidFill>
                    <w14:schemeClr w14:val="tx1"/>
                  </w14:solidFill>
                </w14:textFill>
              </w:rPr>
            </w:pPr>
          </w:p>
        </w:tc>
        <w:tc>
          <w:tcPr>
            <w:tcW w:w="1416" w:type="dxa"/>
            <w:noWrap/>
            <w:vAlign w:val="center"/>
          </w:tcPr>
          <w:p w14:paraId="360FC664">
            <w:pPr>
              <w:spacing w:line="240" w:lineRule="auto"/>
              <w:ind w:firstLine="0" w:firstLineChars="0"/>
              <w:jc w:val="center"/>
              <w:rPr>
                <w:color w:val="000000" w:themeColor="text1"/>
                <w:kern w:val="0"/>
                <w:sz w:val="21"/>
                <w14:textFill>
                  <w14:solidFill>
                    <w14:schemeClr w14:val="tx1"/>
                  </w14:solidFill>
                </w14:textFill>
              </w:rPr>
            </w:pPr>
          </w:p>
        </w:tc>
      </w:tr>
      <w:tr w14:paraId="6B5E59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vMerge w:val="continue"/>
            <w:noWrap/>
            <w:vAlign w:val="center"/>
          </w:tcPr>
          <w:p w14:paraId="3033D278">
            <w:pPr>
              <w:spacing w:line="240" w:lineRule="auto"/>
              <w:ind w:firstLine="0" w:firstLineChars="0"/>
              <w:jc w:val="center"/>
              <w:rPr>
                <w:color w:val="000000" w:themeColor="text1"/>
                <w:kern w:val="0"/>
                <w:sz w:val="21"/>
                <w14:textFill>
                  <w14:solidFill>
                    <w14:schemeClr w14:val="tx1"/>
                  </w14:solidFill>
                </w14:textFill>
              </w:rPr>
            </w:pPr>
          </w:p>
        </w:tc>
        <w:tc>
          <w:tcPr>
            <w:tcW w:w="1154" w:type="dxa"/>
            <w:vAlign w:val="center"/>
          </w:tcPr>
          <w:p w14:paraId="09B806B8">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多毛类</w:t>
            </w:r>
          </w:p>
        </w:tc>
        <w:tc>
          <w:tcPr>
            <w:tcW w:w="1613" w:type="dxa"/>
            <w:noWrap/>
            <w:vAlign w:val="center"/>
          </w:tcPr>
          <w:p w14:paraId="217B1375">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中华沙蚕</w:t>
            </w:r>
          </w:p>
        </w:tc>
        <w:tc>
          <w:tcPr>
            <w:tcW w:w="2329" w:type="dxa"/>
            <w:noWrap/>
            <w:vAlign w:val="center"/>
          </w:tcPr>
          <w:p w14:paraId="7E7FCFDF">
            <w:pPr>
              <w:spacing w:line="240" w:lineRule="auto"/>
              <w:ind w:firstLine="0" w:firstLineChars="0"/>
              <w:jc w:val="center"/>
              <w:rPr>
                <w:color w:val="000000" w:themeColor="text1"/>
                <w:kern w:val="0"/>
                <w:sz w:val="21"/>
                <w14:textFill>
                  <w14:solidFill>
                    <w14:schemeClr w14:val="tx1"/>
                  </w14:solidFill>
                </w14:textFill>
              </w:rPr>
            </w:pPr>
            <w:r>
              <w:rPr>
                <w:i/>
                <w:iCs/>
                <w:color w:val="000000" w:themeColor="text1"/>
                <w:sz w:val="21"/>
                <w14:textFill>
                  <w14:solidFill>
                    <w14:schemeClr w14:val="tx1"/>
                  </w14:solidFill>
                </w14:textFill>
              </w:rPr>
              <w:t>Neanthes sinensis</w:t>
            </w:r>
          </w:p>
        </w:tc>
        <w:tc>
          <w:tcPr>
            <w:tcW w:w="1312" w:type="dxa"/>
            <w:noWrap/>
            <w:vAlign w:val="center"/>
          </w:tcPr>
          <w:p w14:paraId="106CEAC3">
            <w:pPr>
              <w:spacing w:line="240" w:lineRule="auto"/>
              <w:ind w:firstLine="0" w:firstLineChars="0"/>
              <w:jc w:val="center"/>
              <w:rPr>
                <w:color w:val="000000" w:themeColor="text1"/>
                <w:kern w:val="0"/>
                <w:sz w:val="21"/>
                <w14:textFill>
                  <w14:solidFill>
                    <w14:schemeClr w14:val="tx1"/>
                  </w14:solidFill>
                </w14:textFill>
              </w:rPr>
            </w:pPr>
          </w:p>
        </w:tc>
        <w:tc>
          <w:tcPr>
            <w:tcW w:w="1416" w:type="dxa"/>
            <w:noWrap/>
            <w:vAlign w:val="center"/>
          </w:tcPr>
          <w:p w14:paraId="597B0A2F">
            <w:pPr>
              <w:spacing w:line="240" w:lineRule="auto"/>
              <w:ind w:firstLine="0" w:firstLineChars="0"/>
              <w:jc w:val="center"/>
              <w:rPr>
                <w:color w:val="000000" w:themeColor="text1"/>
                <w:kern w:val="0"/>
                <w:sz w:val="21"/>
                <w14:textFill>
                  <w14:solidFill>
                    <w14:schemeClr w14:val="tx1"/>
                  </w14:solidFill>
                </w14:textFill>
              </w:rPr>
            </w:pPr>
          </w:p>
        </w:tc>
      </w:tr>
    </w:tbl>
    <w:p w14:paraId="30727879">
      <w:pPr>
        <w:ind w:firstLine="480"/>
        <w:rPr>
          <w:bCs/>
          <w:color w:val="000000" w:themeColor="text1"/>
          <w:lang w:bidi="zh-CN"/>
          <w14:textFill>
            <w14:solidFill>
              <w14:schemeClr w14:val="tx1"/>
            </w14:solidFill>
          </w14:textFill>
        </w:rPr>
      </w:pPr>
      <w:r>
        <w:rPr>
          <w:rFonts w:hint="eastAsia"/>
          <w:bCs/>
          <w:color w:val="000000" w:themeColor="text1"/>
          <w:lang w:bidi="zh-CN"/>
          <w14:textFill>
            <w14:solidFill>
              <w14:schemeClr w14:val="tx1"/>
            </w14:solidFill>
          </w14:textFill>
        </w:rPr>
        <w:t>5</w:t>
      </w:r>
      <w:r>
        <w:rPr>
          <w:bCs/>
          <w:color w:val="000000" w:themeColor="text1"/>
          <w:lang w:bidi="zh-CN"/>
          <w14:textFill>
            <w14:solidFill>
              <w14:schemeClr w14:val="tx1"/>
            </w14:solidFill>
          </w14:textFill>
        </w:rPr>
        <w:t>）</w:t>
      </w:r>
      <w:r>
        <w:rPr>
          <w:rFonts w:hint="eastAsia"/>
          <w:bCs/>
          <w:color w:val="000000" w:themeColor="text1"/>
          <w:lang w:bidi="zh-CN"/>
          <w14:textFill>
            <w14:solidFill>
              <w14:schemeClr w14:val="tx1"/>
            </w14:solidFill>
          </w14:textFill>
        </w:rPr>
        <w:t>游泳动物</w:t>
      </w:r>
    </w:p>
    <w:p w14:paraId="4A34F95A">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本次调查</w:t>
      </w:r>
      <w:r>
        <w:rPr>
          <w:rFonts w:hint="eastAsia"/>
          <w:color w:val="000000" w:themeColor="text1"/>
          <w:u w:val="single"/>
          <w14:textFill>
            <w14:solidFill>
              <w14:schemeClr w14:val="tx1"/>
            </w14:solidFill>
          </w14:textFill>
        </w:rPr>
        <w:t>共采集到渔获物18种，其中鱼类14种，蟹类3种，头足类1种。平均游泳动物渔获量和相对资源密度见下表。</w:t>
      </w:r>
    </w:p>
    <w:p w14:paraId="54FCAB46">
      <w:pPr>
        <w:pStyle w:val="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游泳动物调查结果表</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86"/>
        <w:gridCol w:w="910"/>
        <w:gridCol w:w="1362"/>
        <w:gridCol w:w="1407"/>
        <w:gridCol w:w="1419"/>
        <w:gridCol w:w="1363"/>
        <w:gridCol w:w="1375"/>
      </w:tblGrid>
      <w:tr w14:paraId="7EF117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0" w:type="auto"/>
            <w:vMerge w:val="restart"/>
            <w:noWrap/>
            <w:vAlign w:val="center"/>
          </w:tcPr>
          <w:p w14:paraId="66B1EF7E">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站位</w:t>
            </w:r>
          </w:p>
        </w:tc>
        <w:tc>
          <w:tcPr>
            <w:tcW w:w="0" w:type="auto"/>
            <w:vMerge w:val="restart"/>
            <w:noWrap/>
            <w:vAlign w:val="center"/>
          </w:tcPr>
          <w:p w14:paraId="0167A41A">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类群</w:t>
            </w:r>
          </w:p>
        </w:tc>
        <w:tc>
          <w:tcPr>
            <w:tcW w:w="0" w:type="auto"/>
            <w:vMerge w:val="restart"/>
            <w:noWrap/>
            <w:vAlign w:val="center"/>
          </w:tcPr>
          <w:p w14:paraId="17984AC2">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种</w:t>
            </w:r>
            <w:r>
              <w:rPr>
                <w:rFonts w:hint="eastAsia"/>
                <w:b/>
                <w:bCs/>
                <w:color w:val="000000" w:themeColor="text1"/>
                <w:kern w:val="0"/>
                <w:sz w:val="21"/>
                <w14:textFill>
                  <w14:solidFill>
                    <w14:schemeClr w14:val="tx1"/>
                  </w14:solidFill>
                </w14:textFill>
              </w:rPr>
              <w:t>名</w:t>
            </w:r>
          </w:p>
        </w:tc>
        <w:tc>
          <w:tcPr>
            <w:tcW w:w="0" w:type="auto"/>
            <w:noWrap/>
            <w:vAlign w:val="center"/>
          </w:tcPr>
          <w:p w14:paraId="151C0357">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渔获尾数</w:t>
            </w:r>
          </w:p>
        </w:tc>
        <w:tc>
          <w:tcPr>
            <w:tcW w:w="0" w:type="auto"/>
            <w:noWrap/>
            <w:vAlign w:val="center"/>
          </w:tcPr>
          <w:p w14:paraId="18D38ABA">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渔获重量</w:t>
            </w:r>
          </w:p>
        </w:tc>
        <w:tc>
          <w:tcPr>
            <w:tcW w:w="0" w:type="auto"/>
            <w:noWrap/>
            <w:vAlign w:val="center"/>
          </w:tcPr>
          <w:p w14:paraId="2286FC2A">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尾数相对</w:t>
            </w:r>
          </w:p>
          <w:p w14:paraId="5A61AFFE">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资源密度</w:t>
            </w:r>
          </w:p>
        </w:tc>
        <w:tc>
          <w:tcPr>
            <w:tcW w:w="0" w:type="auto"/>
            <w:noWrap/>
            <w:vAlign w:val="center"/>
          </w:tcPr>
          <w:p w14:paraId="4F7183E5">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重量相对</w:t>
            </w:r>
          </w:p>
          <w:p w14:paraId="34D812DD">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资源密度</w:t>
            </w:r>
          </w:p>
        </w:tc>
      </w:tr>
      <w:tr w14:paraId="12A120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0" w:type="auto"/>
            <w:vMerge w:val="continue"/>
            <w:vAlign w:val="center"/>
          </w:tcPr>
          <w:p w14:paraId="32FCE8C4">
            <w:pPr>
              <w:spacing w:line="240" w:lineRule="auto"/>
              <w:ind w:firstLine="0" w:firstLineChars="0"/>
              <w:jc w:val="center"/>
              <w:rPr>
                <w:b/>
                <w:bCs/>
                <w:color w:val="000000" w:themeColor="text1"/>
                <w:kern w:val="0"/>
                <w:sz w:val="21"/>
                <w14:textFill>
                  <w14:solidFill>
                    <w14:schemeClr w14:val="tx1"/>
                  </w14:solidFill>
                </w14:textFill>
              </w:rPr>
            </w:pPr>
          </w:p>
        </w:tc>
        <w:tc>
          <w:tcPr>
            <w:tcW w:w="0" w:type="auto"/>
            <w:vMerge w:val="continue"/>
            <w:vAlign w:val="center"/>
          </w:tcPr>
          <w:p w14:paraId="1C1797AA">
            <w:pPr>
              <w:spacing w:line="240" w:lineRule="auto"/>
              <w:ind w:firstLine="0" w:firstLineChars="0"/>
              <w:jc w:val="center"/>
              <w:rPr>
                <w:b/>
                <w:bCs/>
                <w:color w:val="000000" w:themeColor="text1"/>
                <w:kern w:val="0"/>
                <w:sz w:val="21"/>
                <w14:textFill>
                  <w14:solidFill>
                    <w14:schemeClr w14:val="tx1"/>
                  </w14:solidFill>
                </w14:textFill>
              </w:rPr>
            </w:pPr>
          </w:p>
        </w:tc>
        <w:tc>
          <w:tcPr>
            <w:tcW w:w="0" w:type="auto"/>
            <w:vMerge w:val="continue"/>
            <w:vAlign w:val="center"/>
          </w:tcPr>
          <w:p w14:paraId="75A97A2A">
            <w:pPr>
              <w:spacing w:line="240" w:lineRule="auto"/>
              <w:ind w:firstLine="0" w:firstLineChars="0"/>
              <w:jc w:val="center"/>
              <w:rPr>
                <w:b/>
                <w:bCs/>
                <w:color w:val="000000" w:themeColor="text1"/>
                <w:kern w:val="0"/>
                <w:sz w:val="21"/>
                <w14:textFill>
                  <w14:solidFill>
                    <w14:schemeClr w14:val="tx1"/>
                  </w14:solidFill>
                </w14:textFill>
              </w:rPr>
            </w:pPr>
          </w:p>
        </w:tc>
        <w:tc>
          <w:tcPr>
            <w:tcW w:w="0" w:type="auto"/>
            <w:noWrap/>
            <w:vAlign w:val="center"/>
          </w:tcPr>
          <w:p w14:paraId="4E9CFB17">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w:t>
            </w:r>
            <w:r>
              <w:rPr>
                <w:rFonts w:hint="eastAsia"/>
                <w:b/>
                <w:bCs/>
                <w:color w:val="000000" w:themeColor="text1"/>
                <w:kern w:val="0"/>
                <w:sz w:val="21"/>
                <w14:textFill>
                  <w14:solidFill>
                    <w14:schemeClr w14:val="tx1"/>
                  </w14:solidFill>
                </w14:textFill>
              </w:rPr>
              <w:t>个</w:t>
            </w:r>
            <w:r>
              <w:rPr>
                <w:b/>
                <w:bCs/>
                <w:color w:val="000000" w:themeColor="text1"/>
                <w:kern w:val="0"/>
                <w:sz w:val="21"/>
                <w14:textFill>
                  <w14:solidFill>
                    <w14:schemeClr w14:val="tx1"/>
                  </w14:solidFill>
                </w14:textFill>
              </w:rPr>
              <w:t>/网•h）</w:t>
            </w:r>
          </w:p>
        </w:tc>
        <w:tc>
          <w:tcPr>
            <w:tcW w:w="0" w:type="auto"/>
            <w:noWrap/>
            <w:vAlign w:val="center"/>
          </w:tcPr>
          <w:p w14:paraId="4F3AB8A6">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（kg/网•h）</w:t>
            </w:r>
          </w:p>
        </w:tc>
        <w:tc>
          <w:tcPr>
            <w:tcW w:w="0" w:type="auto"/>
            <w:noWrap/>
            <w:vAlign w:val="center"/>
          </w:tcPr>
          <w:p w14:paraId="76646E62">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w:t>
            </w:r>
            <w:r>
              <w:rPr>
                <w:rFonts w:hint="eastAsia"/>
                <w:b/>
                <w:bCs/>
                <w:color w:val="000000" w:themeColor="text1"/>
                <w:kern w:val="0"/>
                <w:sz w:val="21"/>
                <w14:textFill>
                  <w14:solidFill>
                    <w14:schemeClr w14:val="tx1"/>
                  </w14:solidFill>
                </w14:textFill>
              </w:rPr>
              <w:t>个</w:t>
            </w:r>
            <w:r>
              <w:rPr>
                <w:b/>
                <w:bCs/>
                <w:color w:val="000000" w:themeColor="text1"/>
                <w:kern w:val="0"/>
                <w:sz w:val="21"/>
                <w14:textFill>
                  <w14:solidFill>
                    <w14:schemeClr w14:val="tx1"/>
                  </w14:solidFill>
                </w14:textFill>
              </w:rPr>
              <w:t>/km</w:t>
            </w:r>
            <w:r>
              <w:rPr>
                <w:b/>
                <w:bCs/>
                <w:color w:val="000000" w:themeColor="text1"/>
                <w:kern w:val="0"/>
                <w:sz w:val="21"/>
                <w:vertAlign w:val="superscript"/>
                <w14:textFill>
                  <w14:solidFill>
                    <w14:schemeClr w14:val="tx1"/>
                  </w14:solidFill>
                </w14:textFill>
              </w:rPr>
              <w:t>2</w:t>
            </w:r>
            <w:r>
              <w:rPr>
                <w:b/>
                <w:bCs/>
                <w:color w:val="000000" w:themeColor="text1"/>
                <w:kern w:val="0"/>
                <w:sz w:val="21"/>
                <w14:textFill>
                  <w14:solidFill>
                    <w14:schemeClr w14:val="tx1"/>
                  </w14:solidFill>
                </w14:textFill>
              </w:rPr>
              <w:t>）</w:t>
            </w:r>
          </w:p>
        </w:tc>
        <w:tc>
          <w:tcPr>
            <w:tcW w:w="0" w:type="auto"/>
            <w:noWrap/>
            <w:vAlign w:val="center"/>
          </w:tcPr>
          <w:p w14:paraId="1190DFD7">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（kg/km</w:t>
            </w:r>
            <w:r>
              <w:rPr>
                <w:b/>
                <w:bCs/>
                <w:color w:val="000000" w:themeColor="text1"/>
                <w:kern w:val="0"/>
                <w:sz w:val="21"/>
                <w:vertAlign w:val="superscript"/>
                <w14:textFill>
                  <w14:solidFill>
                    <w14:schemeClr w14:val="tx1"/>
                  </w14:solidFill>
                </w14:textFill>
              </w:rPr>
              <w:t>2</w:t>
            </w:r>
            <w:r>
              <w:rPr>
                <w:b/>
                <w:bCs/>
                <w:color w:val="000000" w:themeColor="text1"/>
                <w:kern w:val="0"/>
                <w:sz w:val="21"/>
                <w14:textFill>
                  <w14:solidFill>
                    <w14:schemeClr w14:val="tx1"/>
                  </w14:solidFill>
                </w14:textFill>
              </w:rPr>
              <w:t>）</w:t>
            </w:r>
          </w:p>
        </w:tc>
      </w:tr>
      <w:tr w14:paraId="7BC084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restart"/>
            <w:noWrap/>
            <w:vAlign w:val="center"/>
          </w:tcPr>
          <w:p w14:paraId="4A7370F7">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S</w:t>
            </w:r>
            <w:r>
              <w:rPr>
                <w:rFonts w:hint="eastAsia"/>
                <w:color w:val="000000" w:themeColor="text1"/>
                <w:kern w:val="0"/>
                <w:sz w:val="21"/>
                <w14:textFill>
                  <w14:solidFill>
                    <w14:schemeClr w14:val="tx1"/>
                  </w14:solidFill>
                </w14:textFill>
              </w:rPr>
              <w:t>4</w:t>
            </w:r>
          </w:p>
        </w:tc>
        <w:tc>
          <w:tcPr>
            <w:tcW w:w="0" w:type="auto"/>
            <w:vMerge w:val="restart"/>
            <w:noWrap/>
            <w:vAlign w:val="center"/>
          </w:tcPr>
          <w:p w14:paraId="2E3847FC">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鱼类</w:t>
            </w:r>
          </w:p>
        </w:tc>
        <w:tc>
          <w:tcPr>
            <w:tcW w:w="0" w:type="auto"/>
            <w:noWrap/>
            <w:vAlign w:val="center"/>
          </w:tcPr>
          <w:p w14:paraId="1D2127FE">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棕斑兔头鲀</w:t>
            </w:r>
          </w:p>
        </w:tc>
        <w:tc>
          <w:tcPr>
            <w:tcW w:w="0" w:type="auto"/>
            <w:vMerge w:val="restart"/>
            <w:noWrap/>
            <w:vAlign w:val="center"/>
          </w:tcPr>
          <w:p w14:paraId="67CDBA5F">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restart"/>
            <w:noWrap/>
            <w:vAlign w:val="center"/>
          </w:tcPr>
          <w:p w14:paraId="58F74CC1">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restart"/>
            <w:noWrap/>
            <w:vAlign w:val="center"/>
          </w:tcPr>
          <w:p w14:paraId="438F6995">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restart"/>
            <w:noWrap/>
            <w:vAlign w:val="center"/>
          </w:tcPr>
          <w:p w14:paraId="23202C9C">
            <w:pPr>
              <w:spacing w:line="240" w:lineRule="auto"/>
              <w:ind w:firstLine="0" w:firstLineChars="0"/>
              <w:jc w:val="center"/>
              <w:rPr>
                <w:color w:val="000000" w:themeColor="text1"/>
                <w:kern w:val="0"/>
                <w:sz w:val="21"/>
                <w14:textFill>
                  <w14:solidFill>
                    <w14:schemeClr w14:val="tx1"/>
                  </w14:solidFill>
                </w14:textFill>
              </w:rPr>
            </w:pPr>
          </w:p>
        </w:tc>
      </w:tr>
      <w:tr w14:paraId="260DE8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2DFDB7B9">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02E95926">
            <w:pPr>
              <w:spacing w:line="240" w:lineRule="auto"/>
              <w:ind w:firstLine="0" w:firstLineChars="0"/>
              <w:jc w:val="center"/>
              <w:rPr>
                <w:color w:val="000000" w:themeColor="text1"/>
                <w:kern w:val="0"/>
                <w:sz w:val="21"/>
                <w14:textFill>
                  <w14:solidFill>
                    <w14:schemeClr w14:val="tx1"/>
                  </w14:solidFill>
                </w14:textFill>
              </w:rPr>
            </w:pPr>
          </w:p>
        </w:tc>
        <w:tc>
          <w:tcPr>
            <w:tcW w:w="0" w:type="auto"/>
            <w:vAlign w:val="center"/>
          </w:tcPr>
          <w:p w14:paraId="3266BEF1">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克氏副叶鲹</w:t>
            </w:r>
          </w:p>
        </w:tc>
        <w:tc>
          <w:tcPr>
            <w:tcW w:w="0" w:type="auto"/>
            <w:vMerge w:val="continue"/>
            <w:vAlign w:val="center"/>
          </w:tcPr>
          <w:p w14:paraId="72FCDDB9">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7B3AABC4">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244A5EBC">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1C4C1F4F">
            <w:pPr>
              <w:spacing w:line="240" w:lineRule="auto"/>
              <w:ind w:firstLine="0" w:firstLineChars="0"/>
              <w:jc w:val="center"/>
              <w:rPr>
                <w:color w:val="000000" w:themeColor="text1"/>
                <w:kern w:val="0"/>
                <w:sz w:val="21"/>
                <w14:textFill>
                  <w14:solidFill>
                    <w14:schemeClr w14:val="tx1"/>
                  </w14:solidFill>
                </w14:textFill>
              </w:rPr>
            </w:pPr>
          </w:p>
        </w:tc>
      </w:tr>
      <w:tr w14:paraId="0AED7A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1D308ED3">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6F16AB08">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3B42D44A">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斑鰶</w:t>
            </w:r>
          </w:p>
        </w:tc>
        <w:tc>
          <w:tcPr>
            <w:tcW w:w="0" w:type="auto"/>
            <w:vMerge w:val="continue"/>
            <w:vAlign w:val="center"/>
          </w:tcPr>
          <w:p w14:paraId="7FAACF46">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5B339D14">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572F7ADC">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0A52588D">
            <w:pPr>
              <w:spacing w:line="240" w:lineRule="auto"/>
              <w:ind w:firstLine="0" w:firstLineChars="0"/>
              <w:jc w:val="center"/>
              <w:rPr>
                <w:color w:val="000000" w:themeColor="text1"/>
                <w:kern w:val="0"/>
                <w:sz w:val="21"/>
                <w14:textFill>
                  <w14:solidFill>
                    <w14:schemeClr w14:val="tx1"/>
                  </w14:solidFill>
                </w14:textFill>
              </w:rPr>
            </w:pPr>
          </w:p>
        </w:tc>
      </w:tr>
      <w:tr w14:paraId="67AC97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018BB5B0">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40F76A4B">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3B043C52">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颈斑鲾</w:t>
            </w:r>
          </w:p>
        </w:tc>
        <w:tc>
          <w:tcPr>
            <w:tcW w:w="0" w:type="auto"/>
            <w:vMerge w:val="continue"/>
            <w:vAlign w:val="center"/>
          </w:tcPr>
          <w:p w14:paraId="78FDF1EC">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45BDFCCE">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11A13FEE">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51182D2D">
            <w:pPr>
              <w:spacing w:line="240" w:lineRule="auto"/>
              <w:ind w:firstLine="0" w:firstLineChars="0"/>
              <w:jc w:val="center"/>
              <w:rPr>
                <w:color w:val="000000" w:themeColor="text1"/>
                <w:kern w:val="0"/>
                <w:sz w:val="21"/>
                <w14:textFill>
                  <w14:solidFill>
                    <w14:schemeClr w14:val="tx1"/>
                  </w14:solidFill>
                </w14:textFill>
              </w:rPr>
            </w:pPr>
          </w:p>
        </w:tc>
      </w:tr>
      <w:tr w14:paraId="4C21F2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659E6F70">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4DFD8E15">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0EC4EA31">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银姑鱼</w:t>
            </w:r>
          </w:p>
        </w:tc>
        <w:tc>
          <w:tcPr>
            <w:tcW w:w="0" w:type="auto"/>
            <w:vMerge w:val="continue"/>
            <w:vAlign w:val="center"/>
          </w:tcPr>
          <w:p w14:paraId="229A3F9D">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4AE4057A">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44081B64">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3A9FB8DD">
            <w:pPr>
              <w:spacing w:line="240" w:lineRule="auto"/>
              <w:ind w:firstLine="0" w:firstLineChars="0"/>
              <w:jc w:val="center"/>
              <w:rPr>
                <w:color w:val="000000" w:themeColor="text1"/>
                <w:kern w:val="0"/>
                <w:sz w:val="21"/>
                <w14:textFill>
                  <w14:solidFill>
                    <w14:schemeClr w14:val="tx1"/>
                  </w14:solidFill>
                </w14:textFill>
              </w:rPr>
            </w:pPr>
          </w:p>
        </w:tc>
      </w:tr>
      <w:tr w14:paraId="2C78C3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7D185A89">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1322AB83">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67A1E791">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黑口鳓</w:t>
            </w:r>
          </w:p>
        </w:tc>
        <w:tc>
          <w:tcPr>
            <w:tcW w:w="0" w:type="auto"/>
            <w:vMerge w:val="continue"/>
            <w:vAlign w:val="center"/>
          </w:tcPr>
          <w:p w14:paraId="1DD140C4">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3CDC1C87">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281C7E2E">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5C83695E">
            <w:pPr>
              <w:spacing w:line="240" w:lineRule="auto"/>
              <w:ind w:firstLine="0" w:firstLineChars="0"/>
              <w:jc w:val="center"/>
              <w:rPr>
                <w:color w:val="000000" w:themeColor="text1"/>
                <w:kern w:val="0"/>
                <w:sz w:val="21"/>
                <w14:textFill>
                  <w14:solidFill>
                    <w14:schemeClr w14:val="tx1"/>
                  </w14:solidFill>
                </w14:textFill>
              </w:rPr>
            </w:pPr>
          </w:p>
        </w:tc>
      </w:tr>
      <w:tr w14:paraId="0DE9A2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38CF65B4">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7FBA5771">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638EA49A">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仰口鲾</w:t>
            </w:r>
          </w:p>
        </w:tc>
        <w:tc>
          <w:tcPr>
            <w:tcW w:w="0" w:type="auto"/>
            <w:vMerge w:val="continue"/>
            <w:vAlign w:val="center"/>
          </w:tcPr>
          <w:p w14:paraId="440D48B2">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14D57C29">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571D97BE">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0C45BF9B">
            <w:pPr>
              <w:spacing w:line="240" w:lineRule="auto"/>
              <w:ind w:firstLine="0" w:firstLineChars="0"/>
              <w:jc w:val="center"/>
              <w:rPr>
                <w:color w:val="000000" w:themeColor="text1"/>
                <w:kern w:val="0"/>
                <w:sz w:val="21"/>
                <w14:textFill>
                  <w14:solidFill>
                    <w14:schemeClr w14:val="tx1"/>
                  </w14:solidFill>
                </w14:textFill>
              </w:rPr>
            </w:pPr>
          </w:p>
        </w:tc>
      </w:tr>
      <w:tr w14:paraId="24AA3E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2618DD72">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66C9A523">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0AA8D2D4">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真鲷</w:t>
            </w:r>
          </w:p>
        </w:tc>
        <w:tc>
          <w:tcPr>
            <w:tcW w:w="0" w:type="auto"/>
            <w:vMerge w:val="continue"/>
            <w:vAlign w:val="center"/>
          </w:tcPr>
          <w:p w14:paraId="57DE0449">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715BA0F2">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30584C91">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69CE0CCD">
            <w:pPr>
              <w:spacing w:line="240" w:lineRule="auto"/>
              <w:ind w:firstLine="0" w:firstLineChars="0"/>
              <w:jc w:val="center"/>
              <w:rPr>
                <w:color w:val="000000" w:themeColor="text1"/>
                <w:kern w:val="0"/>
                <w:sz w:val="21"/>
                <w14:textFill>
                  <w14:solidFill>
                    <w14:schemeClr w14:val="tx1"/>
                  </w14:solidFill>
                </w14:textFill>
              </w:rPr>
            </w:pPr>
          </w:p>
        </w:tc>
      </w:tr>
      <w:tr w14:paraId="34C6C0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3FFD5679">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109F475F">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0CFA328E">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褐菖鮋</w:t>
            </w:r>
          </w:p>
        </w:tc>
        <w:tc>
          <w:tcPr>
            <w:tcW w:w="0" w:type="auto"/>
            <w:vMerge w:val="continue"/>
            <w:vAlign w:val="center"/>
          </w:tcPr>
          <w:p w14:paraId="5818E51F">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304DC243">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3B740649">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724F773A">
            <w:pPr>
              <w:spacing w:line="240" w:lineRule="auto"/>
              <w:ind w:firstLine="0" w:firstLineChars="0"/>
              <w:jc w:val="center"/>
              <w:rPr>
                <w:color w:val="000000" w:themeColor="text1"/>
                <w:kern w:val="0"/>
                <w:sz w:val="21"/>
                <w14:textFill>
                  <w14:solidFill>
                    <w14:schemeClr w14:val="tx1"/>
                  </w14:solidFill>
                </w14:textFill>
              </w:rPr>
            </w:pPr>
          </w:p>
        </w:tc>
      </w:tr>
      <w:tr w14:paraId="42A584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1DD1BE59">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6005E833">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78393D0B">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鯻</w:t>
            </w:r>
          </w:p>
        </w:tc>
        <w:tc>
          <w:tcPr>
            <w:tcW w:w="0" w:type="auto"/>
            <w:vMerge w:val="continue"/>
            <w:vAlign w:val="center"/>
          </w:tcPr>
          <w:p w14:paraId="084A8966">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5D9D1FDC">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2E483CA2">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6B19A6C1">
            <w:pPr>
              <w:spacing w:line="240" w:lineRule="auto"/>
              <w:ind w:firstLine="0" w:firstLineChars="0"/>
              <w:jc w:val="center"/>
              <w:rPr>
                <w:color w:val="000000" w:themeColor="text1"/>
                <w:kern w:val="0"/>
                <w:sz w:val="21"/>
                <w14:textFill>
                  <w14:solidFill>
                    <w14:schemeClr w14:val="tx1"/>
                  </w14:solidFill>
                </w14:textFill>
              </w:rPr>
            </w:pPr>
          </w:p>
        </w:tc>
      </w:tr>
      <w:tr w14:paraId="62BF3A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216CB2E9">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2816EF9A">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000144D9">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短吻鲾</w:t>
            </w:r>
          </w:p>
        </w:tc>
        <w:tc>
          <w:tcPr>
            <w:tcW w:w="0" w:type="auto"/>
            <w:vMerge w:val="continue"/>
            <w:vAlign w:val="center"/>
          </w:tcPr>
          <w:p w14:paraId="550242BA">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7F3BBA1F">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03783FE0">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0CEAF232">
            <w:pPr>
              <w:spacing w:line="240" w:lineRule="auto"/>
              <w:ind w:firstLine="0" w:firstLineChars="0"/>
              <w:jc w:val="center"/>
              <w:rPr>
                <w:color w:val="000000" w:themeColor="text1"/>
                <w:kern w:val="0"/>
                <w:sz w:val="21"/>
                <w14:textFill>
                  <w14:solidFill>
                    <w14:schemeClr w14:val="tx1"/>
                  </w14:solidFill>
                </w14:textFill>
              </w:rPr>
            </w:pPr>
          </w:p>
        </w:tc>
      </w:tr>
      <w:tr w14:paraId="20486E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2CE61C24">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7CE58C72">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516F5323">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细纹鲾</w:t>
            </w:r>
          </w:p>
        </w:tc>
        <w:tc>
          <w:tcPr>
            <w:tcW w:w="0" w:type="auto"/>
            <w:vMerge w:val="continue"/>
            <w:vAlign w:val="center"/>
          </w:tcPr>
          <w:p w14:paraId="0EAE82DF">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18D7644E">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23339D39">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3B5557AF">
            <w:pPr>
              <w:spacing w:line="240" w:lineRule="auto"/>
              <w:ind w:firstLine="0" w:firstLineChars="0"/>
              <w:jc w:val="center"/>
              <w:rPr>
                <w:color w:val="000000" w:themeColor="text1"/>
                <w:kern w:val="0"/>
                <w:sz w:val="21"/>
                <w14:textFill>
                  <w14:solidFill>
                    <w14:schemeClr w14:val="tx1"/>
                  </w14:solidFill>
                </w14:textFill>
              </w:rPr>
            </w:pPr>
          </w:p>
        </w:tc>
      </w:tr>
      <w:tr w14:paraId="5EAE5B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217840E7">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0196D09B">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6E415149">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卵鳎</w:t>
            </w:r>
          </w:p>
        </w:tc>
        <w:tc>
          <w:tcPr>
            <w:tcW w:w="0" w:type="auto"/>
            <w:vMerge w:val="continue"/>
            <w:vAlign w:val="center"/>
          </w:tcPr>
          <w:p w14:paraId="0BB521EC">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40C9ECC2">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28299D3F">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359F24B2">
            <w:pPr>
              <w:spacing w:line="240" w:lineRule="auto"/>
              <w:ind w:firstLine="0" w:firstLineChars="0"/>
              <w:jc w:val="center"/>
              <w:rPr>
                <w:color w:val="000000" w:themeColor="text1"/>
                <w:kern w:val="0"/>
                <w:sz w:val="21"/>
                <w14:textFill>
                  <w14:solidFill>
                    <w14:schemeClr w14:val="tx1"/>
                  </w14:solidFill>
                </w14:textFill>
              </w:rPr>
            </w:pPr>
          </w:p>
        </w:tc>
      </w:tr>
      <w:tr w14:paraId="02A4D2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7C2E7D60">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57EAF83A">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2585AA71">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赤魟</w:t>
            </w:r>
          </w:p>
        </w:tc>
        <w:tc>
          <w:tcPr>
            <w:tcW w:w="0" w:type="auto"/>
            <w:vMerge w:val="continue"/>
            <w:vAlign w:val="center"/>
          </w:tcPr>
          <w:p w14:paraId="61C346AF">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0BFF1B03">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5F43457F">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5D243AFD">
            <w:pPr>
              <w:spacing w:line="240" w:lineRule="auto"/>
              <w:ind w:firstLine="0" w:firstLineChars="0"/>
              <w:jc w:val="center"/>
              <w:rPr>
                <w:color w:val="000000" w:themeColor="text1"/>
                <w:kern w:val="0"/>
                <w:sz w:val="21"/>
                <w14:textFill>
                  <w14:solidFill>
                    <w14:schemeClr w14:val="tx1"/>
                  </w14:solidFill>
                </w14:textFill>
              </w:rPr>
            </w:pPr>
          </w:p>
        </w:tc>
      </w:tr>
      <w:tr w14:paraId="526658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24153417">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restart"/>
            <w:noWrap/>
            <w:vAlign w:val="center"/>
          </w:tcPr>
          <w:p w14:paraId="729BECB7">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蟹类</w:t>
            </w:r>
          </w:p>
        </w:tc>
        <w:tc>
          <w:tcPr>
            <w:tcW w:w="0" w:type="auto"/>
            <w:noWrap/>
            <w:vAlign w:val="center"/>
          </w:tcPr>
          <w:p w14:paraId="2FC3F132">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双额短桨蟹</w:t>
            </w:r>
          </w:p>
        </w:tc>
        <w:tc>
          <w:tcPr>
            <w:tcW w:w="0" w:type="auto"/>
            <w:vMerge w:val="restart"/>
            <w:noWrap/>
            <w:vAlign w:val="center"/>
          </w:tcPr>
          <w:p w14:paraId="3C8ABD0A">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restart"/>
            <w:noWrap/>
            <w:vAlign w:val="center"/>
          </w:tcPr>
          <w:p w14:paraId="307694FB">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restart"/>
            <w:noWrap/>
            <w:vAlign w:val="center"/>
          </w:tcPr>
          <w:p w14:paraId="4C656DDC">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restart"/>
            <w:noWrap/>
            <w:vAlign w:val="center"/>
          </w:tcPr>
          <w:p w14:paraId="32E11FBE">
            <w:pPr>
              <w:spacing w:line="240" w:lineRule="auto"/>
              <w:ind w:firstLine="0" w:firstLineChars="0"/>
              <w:jc w:val="center"/>
              <w:rPr>
                <w:color w:val="000000" w:themeColor="text1"/>
                <w:kern w:val="0"/>
                <w:sz w:val="21"/>
                <w14:textFill>
                  <w14:solidFill>
                    <w14:schemeClr w14:val="tx1"/>
                  </w14:solidFill>
                </w14:textFill>
              </w:rPr>
            </w:pPr>
          </w:p>
        </w:tc>
      </w:tr>
      <w:tr w14:paraId="666BE9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6DD5F707">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212EF488">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3AECE15A">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远海梭子蟹</w:t>
            </w:r>
          </w:p>
        </w:tc>
        <w:tc>
          <w:tcPr>
            <w:tcW w:w="0" w:type="auto"/>
            <w:vMerge w:val="continue"/>
            <w:vAlign w:val="center"/>
          </w:tcPr>
          <w:p w14:paraId="47235ABA">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3C2C42D3">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23EE73BA">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3E3FE69D">
            <w:pPr>
              <w:spacing w:line="240" w:lineRule="auto"/>
              <w:ind w:firstLine="0" w:firstLineChars="0"/>
              <w:jc w:val="center"/>
              <w:rPr>
                <w:color w:val="000000" w:themeColor="text1"/>
                <w:kern w:val="0"/>
                <w:sz w:val="21"/>
                <w14:textFill>
                  <w14:solidFill>
                    <w14:schemeClr w14:val="tx1"/>
                  </w14:solidFill>
                </w14:textFill>
              </w:rPr>
            </w:pPr>
          </w:p>
        </w:tc>
      </w:tr>
      <w:tr w14:paraId="67CB10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5C36C321">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02CB43B7">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34F18FC7">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红线黎明蟹</w:t>
            </w:r>
          </w:p>
        </w:tc>
        <w:tc>
          <w:tcPr>
            <w:tcW w:w="0" w:type="auto"/>
            <w:vMerge w:val="continue"/>
            <w:vAlign w:val="center"/>
          </w:tcPr>
          <w:p w14:paraId="2E422D34">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5337CA68">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2CC30C00">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47344DFB">
            <w:pPr>
              <w:spacing w:line="240" w:lineRule="auto"/>
              <w:ind w:firstLine="0" w:firstLineChars="0"/>
              <w:jc w:val="center"/>
              <w:rPr>
                <w:color w:val="000000" w:themeColor="text1"/>
                <w:kern w:val="0"/>
                <w:sz w:val="21"/>
                <w14:textFill>
                  <w14:solidFill>
                    <w14:schemeClr w14:val="tx1"/>
                  </w14:solidFill>
                </w14:textFill>
              </w:rPr>
            </w:pPr>
          </w:p>
        </w:tc>
      </w:tr>
      <w:tr w14:paraId="6C66F8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370BD237">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35E71693">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头足类</w:t>
            </w:r>
          </w:p>
        </w:tc>
        <w:tc>
          <w:tcPr>
            <w:tcW w:w="0" w:type="auto"/>
            <w:noWrap/>
            <w:vAlign w:val="center"/>
          </w:tcPr>
          <w:p w14:paraId="1FF94781">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中国枪鱿</w:t>
            </w:r>
          </w:p>
        </w:tc>
        <w:tc>
          <w:tcPr>
            <w:tcW w:w="0" w:type="auto"/>
            <w:noWrap/>
            <w:vAlign w:val="center"/>
          </w:tcPr>
          <w:p w14:paraId="1FD46A45">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73A8F492">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124B4425">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5933C6F0">
            <w:pPr>
              <w:spacing w:line="240" w:lineRule="auto"/>
              <w:ind w:firstLine="0" w:firstLineChars="0"/>
              <w:jc w:val="center"/>
              <w:rPr>
                <w:color w:val="000000" w:themeColor="text1"/>
                <w:kern w:val="0"/>
                <w:sz w:val="21"/>
                <w14:textFill>
                  <w14:solidFill>
                    <w14:schemeClr w14:val="tx1"/>
                  </w14:solidFill>
                </w14:textFill>
              </w:rPr>
            </w:pPr>
          </w:p>
        </w:tc>
      </w:tr>
    </w:tbl>
    <w:p w14:paraId="78501527">
      <w:pPr>
        <w:pStyle w:val="4"/>
        <w:rPr>
          <w:color w:val="000000" w:themeColor="text1"/>
          <w14:textFill>
            <w14:solidFill>
              <w14:schemeClr w14:val="tx1"/>
            </w14:solidFill>
          </w14:textFill>
        </w:rPr>
      </w:pPr>
      <w:bookmarkStart w:id="640" w:name="_Toc216620564"/>
      <w:r>
        <w:rPr>
          <w:color w:val="000000" w:themeColor="text1"/>
          <w14:textFill>
            <w14:solidFill>
              <w14:schemeClr w14:val="tx1"/>
            </w14:solidFill>
          </w14:textFill>
        </w:rPr>
        <w:t>水文动力现状调查与评价</w:t>
      </w:r>
      <w:bookmarkEnd w:id="640"/>
    </w:p>
    <w:p w14:paraId="0B1D1F8E">
      <w:pPr>
        <w:ind w:firstLine="480"/>
        <w:rPr>
          <w:color w:val="000000" w:themeColor="text1"/>
          <w14:textFill>
            <w14:solidFill>
              <w14:schemeClr w14:val="tx1"/>
            </w14:solidFill>
          </w14:textFill>
        </w:rPr>
      </w:pPr>
      <w:r>
        <w:rPr>
          <w:color w:val="000000" w:themeColor="text1"/>
          <w14:textFill>
            <w14:solidFill>
              <w14:schemeClr w14:val="tx1"/>
            </w14:solidFill>
          </w14:textFill>
        </w:rPr>
        <w:t>本次评价海洋水文动力春季数据引自《钦州港</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十四五</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拟建项目海洋水文调查报告》。</w:t>
      </w:r>
    </w:p>
    <w:p w14:paraId="6FDE3FC7">
      <w:pPr>
        <w:pStyle w:val="6"/>
        <w:rPr>
          <w:color w:val="000000" w:themeColor="text1"/>
          <w14:textFill>
            <w14:solidFill>
              <w14:schemeClr w14:val="tx1"/>
            </w14:solidFill>
          </w14:textFill>
        </w:rPr>
      </w:pPr>
      <w:r>
        <w:rPr>
          <w:color w:val="000000" w:themeColor="text1"/>
          <w14:textFill>
            <w14:solidFill>
              <w14:schemeClr w14:val="tx1"/>
            </w14:solidFill>
          </w14:textFill>
        </w:rPr>
        <w:t>调查时间与站位布置</w:t>
      </w:r>
    </w:p>
    <w:p w14:paraId="7C9B313F">
      <w:pPr>
        <w:ind w:firstLine="480"/>
        <w:rPr>
          <w:color w:val="000000" w:themeColor="text1"/>
          <w14:textFill>
            <w14:solidFill>
              <w14:schemeClr w14:val="tx1"/>
            </w14:solidFill>
          </w14:textFill>
        </w:rPr>
      </w:pPr>
      <w:r>
        <w:rPr>
          <w:color w:val="000000" w:themeColor="text1"/>
          <w14:textFill>
            <w14:solidFill>
              <w14:schemeClr w14:val="tx1"/>
            </w14:solidFill>
          </w14:textFill>
        </w:rPr>
        <w:t>2023年4月17日至5月1日（春季）在项目周边共布设潮位测站3个，海流测站9个。观测站位布设见表3.</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图3.</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-1。</w:t>
      </w:r>
    </w:p>
    <w:p w14:paraId="656CF29C">
      <w:pPr>
        <w:ind w:firstLine="480"/>
        <w:rPr>
          <w:color w:val="000000" w:themeColor="text1"/>
          <w14:textFill>
            <w14:solidFill>
              <w14:schemeClr w14:val="tx1"/>
            </w14:solidFill>
          </w14:textFill>
        </w:rPr>
      </w:pPr>
      <w:r>
        <w:rPr>
          <w:color w:val="000000" w:themeColor="text1"/>
          <w14:textFill>
            <w14:solidFill>
              <w14:schemeClr w14:val="tx1"/>
            </w14:solidFill>
          </w14:textFill>
        </w:rPr>
        <w:t>本次引用的数据为2023年的监测结果，</w:t>
      </w:r>
      <w:r>
        <w:rPr>
          <w:rFonts w:hint="eastAsia"/>
          <w:color w:val="000000" w:themeColor="text1"/>
          <w14:textFill>
            <w14:solidFill>
              <w14:schemeClr w14:val="tx1"/>
            </w14:solidFill>
          </w14:textFill>
        </w:rPr>
        <w:t>满足《环境影响评价技术导则 海洋生态环境》（HJ 1409-2025）中“6.1.3沿岸海域的海洋水文动力现状数据有限期5年”的要求。</w:t>
      </w:r>
      <w:r>
        <w:rPr>
          <w:color w:val="000000" w:themeColor="text1"/>
          <w14:textFill>
            <w14:solidFill>
              <w14:schemeClr w14:val="tx1"/>
            </w14:solidFill>
          </w14:textFill>
        </w:rPr>
        <w:t>本次引用数据布设潮位测站3个、海流测站9个。</w:t>
      </w:r>
    </w:p>
    <w:p w14:paraId="74D910BA">
      <w:pPr>
        <w:pStyle w:val="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潮位、海流观测站位一览表</w:t>
      </w:r>
    </w:p>
    <w:tbl>
      <w:tblPr>
        <w:tblStyle w:val="72"/>
        <w:tblW w:w="5004"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1674"/>
        <w:gridCol w:w="1664"/>
        <w:gridCol w:w="1665"/>
        <w:gridCol w:w="1665"/>
        <w:gridCol w:w="1675"/>
      </w:tblGrid>
      <w:tr w14:paraId="306DAD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67" w:hRule="atLeast"/>
          <w:jc w:val="center"/>
        </w:trPr>
        <w:tc>
          <w:tcPr>
            <w:tcW w:w="1003" w:type="pct"/>
            <w:vAlign w:val="center"/>
          </w:tcPr>
          <w:p w14:paraId="375A44D7">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序号</w:t>
            </w:r>
          </w:p>
        </w:tc>
        <w:tc>
          <w:tcPr>
            <w:tcW w:w="997" w:type="pct"/>
            <w:vAlign w:val="center"/>
          </w:tcPr>
          <w:p w14:paraId="2EF5B19C">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站位</w:t>
            </w:r>
          </w:p>
        </w:tc>
        <w:tc>
          <w:tcPr>
            <w:tcW w:w="998" w:type="pct"/>
            <w:vAlign w:val="center"/>
          </w:tcPr>
          <w:p w14:paraId="69A4B1BF">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经度</w:t>
            </w:r>
          </w:p>
        </w:tc>
        <w:tc>
          <w:tcPr>
            <w:tcW w:w="998" w:type="pct"/>
            <w:vAlign w:val="center"/>
          </w:tcPr>
          <w:p w14:paraId="6D667140">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纬度</w:t>
            </w:r>
          </w:p>
        </w:tc>
        <w:tc>
          <w:tcPr>
            <w:tcW w:w="1004" w:type="pct"/>
            <w:vAlign w:val="center"/>
          </w:tcPr>
          <w:p w14:paraId="67939C1F">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观测项目</w:t>
            </w:r>
          </w:p>
        </w:tc>
      </w:tr>
      <w:tr w14:paraId="2CF1C6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00" w:hRule="atLeast"/>
          <w:jc w:val="center"/>
        </w:trPr>
        <w:tc>
          <w:tcPr>
            <w:tcW w:w="1003" w:type="pct"/>
            <w:vAlign w:val="center"/>
          </w:tcPr>
          <w:p w14:paraId="42EDB547">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w:t>
            </w:r>
          </w:p>
        </w:tc>
        <w:tc>
          <w:tcPr>
            <w:tcW w:w="997" w:type="pct"/>
            <w:vAlign w:val="center"/>
          </w:tcPr>
          <w:p w14:paraId="6F16BF0F">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H1</w:t>
            </w:r>
          </w:p>
        </w:tc>
        <w:tc>
          <w:tcPr>
            <w:tcW w:w="998" w:type="pct"/>
            <w:vAlign w:val="center"/>
          </w:tcPr>
          <w:p w14:paraId="2C99E20C">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108°41′22.12″</w:t>
            </w:r>
          </w:p>
        </w:tc>
        <w:tc>
          <w:tcPr>
            <w:tcW w:w="998" w:type="pct"/>
            <w:vAlign w:val="center"/>
          </w:tcPr>
          <w:p w14:paraId="6CDD2CD4">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21°36′35.69″</w:t>
            </w:r>
          </w:p>
        </w:tc>
        <w:tc>
          <w:tcPr>
            <w:tcW w:w="1004" w:type="pct"/>
            <w:vMerge w:val="restart"/>
            <w:vAlign w:val="center"/>
          </w:tcPr>
          <w:p w14:paraId="200FD2A1">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潮位</w:t>
            </w:r>
          </w:p>
        </w:tc>
      </w:tr>
      <w:tr w14:paraId="4A9444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4" w:hRule="atLeast"/>
          <w:jc w:val="center"/>
        </w:trPr>
        <w:tc>
          <w:tcPr>
            <w:tcW w:w="1003" w:type="pct"/>
            <w:vAlign w:val="center"/>
          </w:tcPr>
          <w:p w14:paraId="3FD5A302">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w:t>
            </w:r>
          </w:p>
        </w:tc>
        <w:tc>
          <w:tcPr>
            <w:tcW w:w="997" w:type="pct"/>
            <w:vAlign w:val="center"/>
          </w:tcPr>
          <w:p w14:paraId="396FB71F">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H2</w:t>
            </w:r>
          </w:p>
        </w:tc>
        <w:tc>
          <w:tcPr>
            <w:tcW w:w="998" w:type="pct"/>
            <w:vAlign w:val="center"/>
          </w:tcPr>
          <w:p w14:paraId="36E4F7BA">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108°39′48.97″</w:t>
            </w:r>
          </w:p>
        </w:tc>
        <w:tc>
          <w:tcPr>
            <w:tcW w:w="998" w:type="pct"/>
            <w:vAlign w:val="center"/>
          </w:tcPr>
          <w:p w14:paraId="36C90B94">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21°38′47.28″</w:t>
            </w:r>
          </w:p>
        </w:tc>
        <w:tc>
          <w:tcPr>
            <w:tcW w:w="1004" w:type="pct"/>
            <w:vMerge w:val="continue"/>
            <w:vAlign w:val="center"/>
          </w:tcPr>
          <w:p w14:paraId="575FD073">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p>
        </w:tc>
      </w:tr>
      <w:tr w14:paraId="370F8B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8" w:hRule="atLeast"/>
          <w:jc w:val="center"/>
        </w:trPr>
        <w:tc>
          <w:tcPr>
            <w:tcW w:w="1003" w:type="pct"/>
            <w:vAlign w:val="center"/>
          </w:tcPr>
          <w:p w14:paraId="0BE5ED0D">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3</w:t>
            </w:r>
          </w:p>
        </w:tc>
        <w:tc>
          <w:tcPr>
            <w:tcW w:w="997" w:type="pct"/>
            <w:vAlign w:val="center"/>
          </w:tcPr>
          <w:p w14:paraId="7798CFA3">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H3</w:t>
            </w:r>
          </w:p>
        </w:tc>
        <w:tc>
          <w:tcPr>
            <w:tcW w:w="998" w:type="pct"/>
            <w:vAlign w:val="center"/>
          </w:tcPr>
          <w:p w14:paraId="26EAF3FC">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108°35′9.81″</w:t>
            </w:r>
          </w:p>
        </w:tc>
        <w:tc>
          <w:tcPr>
            <w:tcW w:w="998" w:type="pct"/>
            <w:vAlign w:val="center"/>
          </w:tcPr>
          <w:p w14:paraId="2E0E751D">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21°43′3.74″</w:t>
            </w:r>
          </w:p>
        </w:tc>
        <w:tc>
          <w:tcPr>
            <w:tcW w:w="1004" w:type="pct"/>
            <w:vMerge w:val="continue"/>
            <w:vAlign w:val="center"/>
          </w:tcPr>
          <w:p w14:paraId="079C0AFC">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p>
        </w:tc>
      </w:tr>
      <w:tr w14:paraId="12EEA6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4" w:hRule="atLeast"/>
          <w:jc w:val="center"/>
        </w:trPr>
        <w:tc>
          <w:tcPr>
            <w:tcW w:w="1003" w:type="pct"/>
            <w:vAlign w:val="center"/>
          </w:tcPr>
          <w:p w14:paraId="3861CC9A">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4</w:t>
            </w:r>
          </w:p>
        </w:tc>
        <w:tc>
          <w:tcPr>
            <w:tcW w:w="997" w:type="pct"/>
            <w:vAlign w:val="center"/>
          </w:tcPr>
          <w:p w14:paraId="46F23CA7">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V1</w:t>
            </w:r>
          </w:p>
        </w:tc>
        <w:tc>
          <w:tcPr>
            <w:tcW w:w="998" w:type="pct"/>
            <w:vAlign w:val="center"/>
          </w:tcPr>
          <w:p w14:paraId="4E7A820D">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108°37′45.60"</w:t>
            </w:r>
          </w:p>
        </w:tc>
        <w:tc>
          <w:tcPr>
            <w:tcW w:w="998" w:type="pct"/>
            <w:vAlign w:val="center"/>
          </w:tcPr>
          <w:p w14:paraId="6325AAF7">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21°29′16.38"</w:t>
            </w:r>
          </w:p>
        </w:tc>
        <w:tc>
          <w:tcPr>
            <w:tcW w:w="1004" w:type="pct"/>
            <w:vMerge w:val="restart"/>
            <w:vAlign w:val="center"/>
          </w:tcPr>
          <w:p w14:paraId="13F23539">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潮流</w:t>
            </w:r>
          </w:p>
        </w:tc>
      </w:tr>
      <w:tr w14:paraId="0ECF70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29" w:hRule="atLeast"/>
          <w:jc w:val="center"/>
        </w:trPr>
        <w:tc>
          <w:tcPr>
            <w:tcW w:w="1003" w:type="pct"/>
            <w:vAlign w:val="center"/>
          </w:tcPr>
          <w:p w14:paraId="11A8D319">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5</w:t>
            </w:r>
          </w:p>
        </w:tc>
        <w:tc>
          <w:tcPr>
            <w:tcW w:w="997" w:type="pct"/>
            <w:vAlign w:val="center"/>
          </w:tcPr>
          <w:p w14:paraId="1451F2FD">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V2</w:t>
            </w:r>
          </w:p>
        </w:tc>
        <w:tc>
          <w:tcPr>
            <w:tcW w:w="998" w:type="pct"/>
            <w:vAlign w:val="center"/>
          </w:tcPr>
          <w:p w14:paraId="03837EE2">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108°44′16.32"</w:t>
            </w:r>
          </w:p>
        </w:tc>
        <w:tc>
          <w:tcPr>
            <w:tcW w:w="998" w:type="pct"/>
            <w:vAlign w:val="center"/>
          </w:tcPr>
          <w:p w14:paraId="5FF80906">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21°31′49.32"</w:t>
            </w:r>
          </w:p>
        </w:tc>
        <w:tc>
          <w:tcPr>
            <w:tcW w:w="1004" w:type="pct"/>
            <w:vMerge w:val="continue"/>
            <w:vAlign w:val="center"/>
          </w:tcPr>
          <w:p w14:paraId="4E17F6D6">
            <w:pPr>
              <w:autoSpaceDE/>
              <w:autoSpaceDN/>
              <w:adjustRightInd w:val="0"/>
              <w:snapToGrid w:val="0"/>
              <w:spacing w:line="240" w:lineRule="auto"/>
              <w:ind w:firstLine="42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p>
        </w:tc>
      </w:tr>
      <w:tr w14:paraId="05F662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4" w:hRule="atLeast"/>
          <w:jc w:val="center"/>
        </w:trPr>
        <w:tc>
          <w:tcPr>
            <w:tcW w:w="1003" w:type="pct"/>
            <w:vAlign w:val="center"/>
          </w:tcPr>
          <w:p w14:paraId="68F8DCE7">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6</w:t>
            </w:r>
          </w:p>
        </w:tc>
        <w:tc>
          <w:tcPr>
            <w:tcW w:w="997" w:type="pct"/>
            <w:vAlign w:val="center"/>
          </w:tcPr>
          <w:p w14:paraId="6C92838A">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V3</w:t>
            </w:r>
          </w:p>
        </w:tc>
        <w:tc>
          <w:tcPr>
            <w:tcW w:w="998" w:type="pct"/>
            <w:vAlign w:val="center"/>
          </w:tcPr>
          <w:p w14:paraId="40ED7B0F">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108°40′54.24"</w:t>
            </w:r>
          </w:p>
        </w:tc>
        <w:tc>
          <w:tcPr>
            <w:tcW w:w="998" w:type="pct"/>
            <w:vAlign w:val="center"/>
          </w:tcPr>
          <w:p w14:paraId="1B4C6D1D">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21°34′15.84"</w:t>
            </w:r>
          </w:p>
        </w:tc>
        <w:tc>
          <w:tcPr>
            <w:tcW w:w="1004" w:type="pct"/>
            <w:vMerge w:val="continue"/>
            <w:vAlign w:val="center"/>
          </w:tcPr>
          <w:p w14:paraId="110792DD">
            <w:pPr>
              <w:autoSpaceDE/>
              <w:autoSpaceDN/>
              <w:adjustRightInd w:val="0"/>
              <w:snapToGrid w:val="0"/>
              <w:spacing w:line="240" w:lineRule="auto"/>
              <w:ind w:firstLine="42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p>
        </w:tc>
      </w:tr>
      <w:tr w14:paraId="567941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24" w:hRule="atLeast"/>
          <w:jc w:val="center"/>
        </w:trPr>
        <w:tc>
          <w:tcPr>
            <w:tcW w:w="1003" w:type="pct"/>
            <w:vAlign w:val="center"/>
          </w:tcPr>
          <w:p w14:paraId="1D5EBEB5">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7</w:t>
            </w:r>
          </w:p>
        </w:tc>
        <w:tc>
          <w:tcPr>
            <w:tcW w:w="997" w:type="pct"/>
            <w:vAlign w:val="center"/>
          </w:tcPr>
          <w:p w14:paraId="753117C1">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V4</w:t>
            </w:r>
          </w:p>
        </w:tc>
        <w:tc>
          <w:tcPr>
            <w:tcW w:w="998" w:type="pct"/>
            <w:vAlign w:val="center"/>
          </w:tcPr>
          <w:p w14:paraId="50AE7CFC">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108°32′44.16"</w:t>
            </w:r>
          </w:p>
        </w:tc>
        <w:tc>
          <w:tcPr>
            <w:tcW w:w="998" w:type="pct"/>
            <w:vAlign w:val="center"/>
          </w:tcPr>
          <w:p w14:paraId="212323D9">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21°33′32.88"</w:t>
            </w:r>
          </w:p>
        </w:tc>
        <w:tc>
          <w:tcPr>
            <w:tcW w:w="1004" w:type="pct"/>
            <w:vMerge w:val="continue"/>
            <w:vAlign w:val="center"/>
          </w:tcPr>
          <w:p w14:paraId="70A9E405">
            <w:pPr>
              <w:autoSpaceDE/>
              <w:autoSpaceDN/>
              <w:adjustRightInd w:val="0"/>
              <w:snapToGrid w:val="0"/>
              <w:spacing w:line="240" w:lineRule="auto"/>
              <w:ind w:firstLine="42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p>
        </w:tc>
      </w:tr>
      <w:tr w14:paraId="1DE94D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4" w:hRule="atLeast"/>
          <w:jc w:val="center"/>
        </w:trPr>
        <w:tc>
          <w:tcPr>
            <w:tcW w:w="1003" w:type="pct"/>
            <w:vAlign w:val="center"/>
          </w:tcPr>
          <w:p w14:paraId="2B56E75B">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8</w:t>
            </w:r>
          </w:p>
        </w:tc>
        <w:tc>
          <w:tcPr>
            <w:tcW w:w="997" w:type="pct"/>
            <w:vAlign w:val="center"/>
          </w:tcPr>
          <w:p w14:paraId="537B1248">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V5</w:t>
            </w:r>
          </w:p>
        </w:tc>
        <w:tc>
          <w:tcPr>
            <w:tcW w:w="998" w:type="pct"/>
            <w:vAlign w:val="center"/>
          </w:tcPr>
          <w:p w14:paraId="3541BC9D">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108°35′1.20"</w:t>
            </w:r>
          </w:p>
        </w:tc>
        <w:tc>
          <w:tcPr>
            <w:tcW w:w="998" w:type="pct"/>
            <w:vAlign w:val="center"/>
          </w:tcPr>
          <w:p w14:paraId="3ADB10D5">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21°38′34.62"</w:t>
            </w:r>
          </w:p>
        </w:tc>
        <w:tc>
          <w:tcPr>
            <w:tcW w:w="1004" w:type="pct"/>
            <w:vMerge w:val="continue"/>
            <w:vAlign w:val="center"/>
          </w:tcPr>
          <w:p w14:paraId="14A01054">
            <w:pPr>
              <w:autoSpaceDE/>
              <w:autoSpaceDN/>
              <w:adjustRightInd w:val="0"/>
              <w:snapToGrid w:val="0"/>
              <w:spacing w:line="240" w:lineRule="auto"/>
              <w:ind w:firstLine="42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p>
        </w:tc>
      </w:tr>
      <w:tr w14:paraId="6491E2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5" w:hRule="atLeast"/>
          <w:jc w:val="center"/>
        </w:trPr>
        <w:tc>
          <w:tcPr>
            <w:tcW w:w="1003" w:type="pct"/>
            <w:vAlign w:val="center"/>
          </w:tcPr>
          <w:p w14:paraId="53F5D56F">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9</w:t>
            </w:r>
          </w:p>
        </w:tc>
        <w:tc>
          <w:tcPr>
            <w:tcW w:w="997" w:type="pct"/>
            <w:vAlign w:val="center"/>
          </w:tcPr>
          <w:p w14:paraId="1640AAED">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V6</w:t>
            </w:r>
          </w:p>
        </w:tc>
        <w:tc>
          <w:tcPr>
            <w:tcW w:w="998" w:type="pct"/>
            <w:vAlign w:val="center"/>
          </w:tcPr>
          <w:p w14:paraId="79AB7132">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108°40′55.08"</w:t>
            </w:r>
          </w:p>
        </w:tc>
        <w:tc>
          <w:tcPr>
            <w:tcW w:w="998" w:type="pct"/>
            <w:vAlign w:val="center"/>
          </w:tcPr>
          <w:p w14:paraId="6A4DE40A">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21°36′58.92"</w:t>
            </w:r>
          </w:p>
        </w:tc>
        <w:tc>
          <w:tcPr>
            <w:tcW w:w="1004" w:type="pct"/>
            <w:vMerge w:val="continue"/>
            <w:vAlign w:val="center"/>
          </w:tcPr>
          <w:p w14:paraId="01070314">
            <w:pPr>
              <w:autoSpaceDE/>
              <w:autoSpaceDN/>
              <w:adjustRightInd w:val="0"/>
              <w:snapToGrid w:val="0"/>
              <w:spacing w:line="240" w:lineRule="auto"/>
              <w:ind w:firstLine="42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p>
        </w:tc>
      </w:tr>
      <w:tr w14:paraId="4A61C0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4" w:hRule="atLeast"/>
          <w:jc w:val="center"/>
        </w:trPr>
        <w:tc>
          <w:tcPr>
            <w:tcW w:w="1003" w:type="pct"/>
            <w:vAlign w:val="center"/>
          </w:tcPr>
          <w:p w14:paraId="54B7B53B">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w:t>
            </w:r>
          </w:p>
        </w:tc>
        <w:tc>
          <w:tcPr>
            <w:tcW w:w="997" w:type="pct"/>
            <w:vAlign w:val="center"/>
          </w:tcPr>
          <w:p w14:paraId="675530F2">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V7</w:t>
            </w:r>
          </w:p>
        </w:tc>
        <w:tc>
          <w:tcPr>
            <w:tcW w:w="998" w:type="pct"/>
            <w:vAlign w:val="center"/>
          </w:tcPr>
          <w:p w14:paraId="41DBF034">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108°38′11.58"</w:t>
            </w:r>
          </w:p>
        </w:tc>
        <w:tc>
          <w:tcPr>
            <w:tcW w:w="998" w:type="pct"/>
            <w:vAlign w:val="center"/>
          </w:tcPr>
          <w:p w14:paraId="10C54F63">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21°39′27.96"</w:t>
            </w:r>
          </w:p>
        </w:tc>
        <w:tc>
          <w:tcPr>
            <w:tcW w:w="1004" w:type="pct"/>
            <w:vMerge w:val="continue"/>
            <w:vAlign w:val="center"/>
          </w:tcPr>
          <w:p w14:paraId="63DA8145">
            <w:pPr>
              <w:autoSpaceDE/>
              <w:autoSpaceDN/>
              <w:adjustRightInd w:val="0"/>
              <w:snapToGrid w:val="0"/>
              <w:spacing w:line="240" w:lineRule="auto"/>
              <w:ind w:firstLine="42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p>
        </w:tc>
      </w:tr>
      <w:tr w14:paraId="0A1C76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5" w:hRule="atLeast"/>
          <w:jc w:val="center"/>
        </w:trPr>
        <w:tc>
          <w:tcPr>
            <w:tcW w:w="1003" w:type="pct"/>
            <w:vAlign w:val="center"/>
          </w:tcPr>
          <w:p w14:paraId="1B8D9E9A">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11</w:t>
            </w:r>
          </w:p>
        </w:tc>
        <w:tc>
          <w:tcPr>
            <w:tcW w:w="997" w:type="pct"/>
            <w:vAlign w:val="center"/>
          </w:tcPr>
          <w:p w14:paraId="0DB5CFF6">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V8</w:t>
            </w:r>
          </w:p>
        </w:tc>
        <w:tc>
          <w:tcPr>
            <w:tcW w:w="998" w:type="pct"/>
            <w:vAlign w:val="center"/>
          </w:tcPr>
          <w:p w14:paraId="7177AB29">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108°35′45.06"</w:t>
            </w:r>
          </w:p>
        </w:tc>
        <w:tc>
          <w:tcPr>
            <w:tcW w:w="998" w:type="pct"/>
            <w:vAlign w:val="center"/>
          </w:tcPr>
          <w:p w14:paraId="5A5A3050">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21°41′43.14"</w:t>
            </w:r>
          </w:p>
        </w:tc>
        <w:tc>
          <w:tcPr>
            <w:tcW w:w="1004" w:type="pct"/>
            <w:vMerge w:val="continue"/>
            <w:vAlign w:val="center"/>
          </w:tcPr>
          <w:p w14:paraId="2B9E1A46">
            <w:pPr>
              <w:autoSpaceDE/>
              <w:autoSpaceDN/>
              <w:adjustRightInd w:val="0"/>
              <w:snapToGrid w:val="0"/>
              <w:spacing w:line="240" w:lineRule="auto"/>
              <w:ind w:firstLine="42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p>
        </w:tc>
      </w:tr>
      <w:tr w14:paraId="0DF122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29" w:hRule="atLeast"/>
          <w:jc w:val="center"/>
        </w:trPr>
        <w:tc>
          <w:tcPr>
            <w:tcW w:w="1003" w:type="pct"/>
            <w:vAlign w:val="center"/>
          </w:tcPr>
          <w:p w14:paraId="26B08BDD">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12</w:t>
            </w:r>
          </w:p>
        </w:tc>
        <w:tc>
          <w:tcPr>
            <w:tcW w:w="997" w:type="pct"/>
            <w:vAlign w:val="center"/>
          </w:tcPr>
          <w:p w14:paraId="769CB26C">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V9</w:t>
            </w:r>
          </w:p>
        </w:tc>
        <w:tc>
          <w:tcPr>
            <w:tcW w:w="998" w:type="pct"/>
            <w:vAlign w:val="center"/>
          </w:tcPr>
          <w:p w14:paraId="0927B6D3">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108°33′40.68"</w:t>
            </w:r>
          </w:p>
        </w:tc>
        <w:tc>
          <w:tcPr>
            <w:tcW w:w="998" w:type="pct"/>
            <w:vAlign w:val="center"/>
          </w:tcPr>
          <w:p w14:paraId="33106136">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21°44′31.14"</w:t>
            </w:r>
          </w:p>
        </w:tc>
        <w:tc>
          <w:tcPr>
            <w:tcW w:w="1004" w:type="pct"/>
            <w:vMerge w:val="continue"/>
            <w:vAlign w:val="center"/>
          </w:tcPr>
          <w:p w14:paraId="09534FDF">
            <w:pPr>
              <w:autoSpaceDE/>
              <w:autoSpaceDN/>
              <w:adjustRightInd w:val="0"/>
              <w:snapToGrid w:val="0"/>
              <w:spacing w:line="240" w:lineRule="auto"/>
              <w:ind w:firstLine="42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p>
        </w:tc>
      </w:tr>
    </w:tbl>
    <w:p w14:paraId="1FEE16E1">
      <w:pPr>
        <w:spacing w:before="78" w:beforeLines="25"/>
        <w:ind w:firstLine="199" w:firstLineChars="83"/>
        <w:rPr>
          <w:color w:val="000000" w:themeColor="text1"/>
          <w14:textFill>
            <w14:solidFill>
              <w14:schemeClr w14:val="tx1"/>
            </w14:solidFill>
          </w14:textFill>
        </w:rPr>
      </w:pPr>
      <w:r>
        <w:rPr>
          <w:rFonts w:hint="eastAsia"/>
          <w:color w:val="000000" w:themeColor="text1"/>
          <w14:textFill>
            <w14:solidFill>
              <w14:schemeClr w14:val="tx1"/>
            </w14:solidFill>
          </w14:textFill>
        </w:rPr>
        <mc:AlternateContent>
          <mc:Choice Requires="wps">
            <w:drawing>
              <wp:anchor distT="0" distB="0" distL="114300" distR="114300" simplePos="0" relativeHeight="251707392" behindDoc="0" locked="0" layoutInCell="1" allowOverlap="1">
                <wp:simplePos x="0" y="0"/>
                <wp:positionH relativeFrom="column">
                  <wp:posOffset>3322320</wp:posOffset>
                </wp:positionH>
                <wp:positionV relativeFrom="paragraph">
                  <wp:posOffset>1440180</wp:posOffset>
                </wp:positionV>
                <wp:extent cx="851535" cy="324485"/>
                <wp:effectExtent l="361950" t="266700" r="24765" b="18415"/>
                <wp:wrapNone/>
                <wp:docPr id="11" name="圆角矩形标注 11"/>
                <wp:cNvGraphicFramePr/>
                <a:graphic xmlns:a="http://schemas.openxmlformats.org/drawingml/2006/main">
                  <a:graphicData uri="http://schemas.microsoft.com/office/word/2010/wordprocessingShape">
                    <wps:wsp>
                      <wps:cNvSpPr/>
                      <wps:spPr>
                        <a:xfrm>
                          <a:off x="0" y="0"/>
                          <a:ext cx="851535" cy="324485"/>
                        </a:xfrm>
                        <a:prstGeom prst="wedgeRoundRectCallout">
                          <a:avLst>
                            <a:gd name="adj1" fmla="val -87882"/>
                            <a:gd name="adj2" fmla="val -122602"/>
                            <a:gd name="adj3" fmla="val 16667"/>
                          </a:avLst>
                        </a:prstGeom>
                        <a:solidFill>
                          <a:srgbClr val="C7EDCC"/>
                        </a:solidFill>
                        <a:ln w="12700" cap="flat" cmpd="sng" algn="ctr">
                          <a:solidFill>
                            <a:srgbClr val="000000"/>
                          </a:solidFill>
                          <a:prstDash val="solid"/>
                          <a:miter lim="800000"/>
                        </a:ln>
                      </wps:spPr>
                      <wps:txbx>
                        <w:txbxContent>
                          <w:p w14:paraId="018675B0">
                            <w:pPr>
                              <w:spacing w:line="240" w:lineRule="auto"/>
                              <w:ind w:firstLine="0" w:firstLineChars="0"/>
                              <w:rPr>
                                <w:b/>
                                <w:bCs/>
                                <w:color w:val="000000"/>
                              </w:rPr>
                            </w:pPr>
                            <w:r>
                              <w:rPr>
                                <w:rFonts w:hint="eastAsia"/>
                                <w:b/>
                                <w:bCs/>
                                <w:color w:val="000000"/>
                                <w:sz w:val="18"/>
                                <w:szCs w:val="18"/>
                              </w:rPr>
                              <w:t>拟建项目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61.6pt;margin-top:113.4pt;height:25.55pt;width:67.05pt;z-index:251707392;v-text-anchor:middle;mso-width-relative:page;mso-height-relative:page;" fillcolor="#C7EDCC" filled="t" stroked="t" coordsize="21600,21600" o:gfxdata="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CAR+HB2QAA&#10;AAsBAAAPAAAAAAAAAAEAIAAAACIAAABkcnMvZG93bnJldi54bWxQSwECFAAUAAAACACHTuJA1sK7&#10;9sgCAACVBQAADgAAAAAAAAABACAAAAAoAQAAZHJzL2Uyb0RvYy54bWxQSwUGAAAAAAYABgBZAQAA&#10;YgYAAAAA&#10;" adj="-8183,-15682,14400">
                <v:fill on="t" focussize="0,0"/>
                <v:stroke weight="1pt" color="#000000" miterlimit="8" joinstyle="miter"/>
                <v:imagedata o:title=""/>
                <o:lock v:ext="edit" aspectratio="f"/>
                <v:textbox>
                  <w:txbxContent>
                    <w:p w14:paraId="018675B0">
                      <w:pPr>
                        <w:spacing w:line="240" w:lineRule="auto"/>
                        <w:ind w:firstLine="0" w:firstLineChars="0"/>
                        <w:rPr>
                          <w:b/>
                          <w:bCs/>
                          <w:color w:val="000000"/>
                        </w:rPr>
                      </w:pPr>
                      <w:r>
                        <w:rPr>
                          <w:rFonts w:hint="eastAsia"/>
                          <w:b/>
                          <w:bCs/>
                          <w:color w:val="000000"/>
                          <w:sz w:val="18"/>
                          <w:szCs w:val="18"/>
                        </w:rPr>
                        <w:t>拟建项目</w:t>
                      </w:r>
                    </w:p>
                  </w:txbxContent>
                </v:textbox>
              </v:shape>
            </w:pict>
          </mc:Fallback>
        </mc:AlternateContent>
      </w:r>
      <w:r>
        <w:rPr>
          <w:rFonts w:hint="eastAsia"/>
          <w:color w:val="000000" w:themeColor="text1"/>
          <w14:textFill>
            <w14:solidFill>
              <w14:schemeClr w14:val="tx1"/>
            </w14:solidFill>
          </w14:textFill>
        </w:rPr>
        <mc:AlternateContent>
          <mc:Choice Requires="wps">
            <w:drawing>
              <wp:anchor distT="0" distB="0" distL="114300" distR="114300" simplePos="0" relativeHeight="251706368" behindDoc="0" locked="0" layoutInCell="1" allowOverlap="1">
                <wp:simplePos x="0" y="0"/>
                <wp:positionH relativeFrom="column">
                  <wp:posOffset>2815590</wp:posOffset>
                </wp:positionH>
                <wp:positionV relativeFrom="paragraph">
                  <wp:posOffset>1057910</wp:posOffset>
                </wp:positionV>
                <wp:extent cx="221615" cy="200025"/>
                <wp:effectExtent l="38100" t="38100" r="0" b="66675"/>
                <wp:wrapNone/>
                <wp:docPr id="10" name="十字星 10"/>
                <wp:cNvGraphicFramePr/>
                <a:graphic xmlns:a="http://schemas.openxmlformats.org/drawingml/2006/main">
                  <a:graphicData uri="http://schemas.microsoft.com/office/word/2010/wordprocessingShape">
                    <wps:wsp>
                      <wps:cNvSpPr/>
                      <wps:spPr>
                        <a:xfrm>
                          <a:off x="0" y="0"/>
                          <a:ext cx="221615" cy="200025"/>
                        </a:xfrm>
                        <a:prstGeom prst="star4">
                          <a:avLst/>
                        </a:prstGeom>
                        <a:solidFill>
                          <a:srgbClr val="FF0000"/>
                        </a:solidFill>
                        <a:ln w="12700"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21.7pt;margin-top:83.3pt;height:15.75pt;width:17.45pt;z-index:251706368;v-text-anchor:middle;mso-width-relative:page;mso-height-relative:page;" fillcolor="#FF0000" filled="t" stroked="t" coordsize="21600,21600" o:gfxdata="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LEdvQPaAAAACwEAAA8AAAAAAAAAAQAgAAAAIgAAAGRycy9kb3du&#10;cmV2LnhtbFBLAQIUABQAAAAIAIdO4kBlc5unbwIAAPkEAAAOAAAAAAAAAAEAIAAAACkBAABkcnMv&#10;ZTJvRG9jLnhtbFBLBQYAAAAABgAGAFkBAAAKBgAAAAA=&#10;" adj="8100">
                <v:fill on="t" focussize="0,0"/>
                <v:stroke weight="1pt" color="#FF0000" miterlimit="8" joinstyle="miter"/>
                <v:imagedata o:title=""/>
                <o:lock v:ext="edit" aspectratio="f"/>
              </v:shape>
            </w:pict>
          </mc:Fallback>
        </mc:AlternateContent>
      </w:r>
      <w:r>
        <w:rPr>
          <w:rFonts w:hint="eastAsia"/>
          <w:color w:val="000000" w:themeColor="text1"/>
          <w14:textFill>
            <w14:solidFill>
              <w14:schemeClr w14:val="tx1"/>
            </w14:solidFill>
          </w14:textFill>
        </w:rPr>
        <w:drawing>
          <wp:inline distT="0" distB="0" distL="0" distR="0">
            <wp:extent cx="5715000" cy="4048125"/>
            <wp:effectExtent l="0" t="0" r="0" b="9525"/>
            <wp:docPr id="9" name="图片 9" descr="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3.8.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715000" cy="4048125"/>
                    </a:xfrm>
                    <a:prstGeom prst="rect">
                      <a:avLst/>
                    </a:prstGeom>
                    <a:noFill/>
                    <a:ln>
                      <a:noFill/>
                    </a:ln>
                    <a:effectLst/>
                  </pic:spPr>
                </pic:pic>
              </a:graphicData>
            </a:graphic>
          </wp:inline>
        </w:drawing>
      </w:r>
    </w:p>
    <w:p w14:paraId="3AFA8B28">
      <w:pPr>
        <w:pStyle w:val="8"/>
        <w:rPr>
          <w:color w:val="000000" w:themeColor="text1"/>
          <w14:textFill>
            <w14:solidFill>
              <w14:schemeClr w14:val="tx1"/>
            </w14:solidFill>
          </w14:textFill>
        </w:rPr>
      </w:pPr>
      <w:r>
        <w:rPr>
          <w:color w:val="000000" w:themeColor="text1"/>
          <w14:textFill>
            <w14:solidFill>
              <w14:schemeClr w14:val="tx1"/>
            </w14:solidFill>
          </w14:textFill>
        </w:rPr>
        <w:t>海流、潮位观测站位布设图</w:t>
      </w:r>
    </w:p>
    <w:p w14:paraId="7BCAA0B6">
      <w:pPr>
        <w:pStyle w:val="6"/>
        <w:rPr>
          <w:b/>
          <w:color w:val="000000" w:themeColor="text1"/>
          <w14:textFill>
            <w14:solidFill>
              <w14:schemeClr w14:val="tx1"/>
            </w14:solidFill>
          </w14:textFill>
        </w:rPr>
      </w:pPr>
      <w:r>
        <w:rPr>
          <w:rFonts w:hint="eastAsia"/>
          <w:b/>
          <w:color w:val="000000" w:themeColor="text1"/>
          <w14:textFill>
            <w14:solidFill>
              <w14:schemeClr w14:val="tx1"/>
            </w14:solidFill>
          </w14:textFill>
        </w:rPr>
        <w:t>潮位分析</w:t>
      </w:r>
    </w:p>
    <w:p w14:paraId="041FBE92">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1、潮位过程线</w:t>
      </w:r>
    </w:p>
    <w:p w14:paraId="64150F01">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利用临时H1~H3潮位站实测潮位资料，绘制了该处的潮位过程曲线，其中高度基准面采用当地理论最低基准高程。从潮位过程曲线可以看出：在一个太阴日内，测区大多数天为出现1次高潮和1次低潮（全日潮），少数天为两次高潮和两次低潮（日潮），由此可见，测区潮汐类型以全日潮为主。</w:t>
      </w:r>
    </w:p>
    <w:p w14:paraId="29B0949D">
      <w:pPr>
        <w:spacing w:line="240" w:lineRule="auto"/>
        <w:ind w:firstLine="0" w:firstLineChars="0"/>
        <w:jc w:val="center"/>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drawing>
          <wp:inline distT="0" distB="0" distL="0" distR="0">
            <wp:extent cx="5629275" cy="2571750"/>
            <wp:effectExtent l="0" t="0" r="952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629275" cy="2571750"/>
                    </a:xfrm>
                    <a:prstGeom prst="rect">
                      <a:avLst/>
                    </a:prstGeom>
                    <a:noFill/>
                    <a:ln>
                      <a:noFill/>
                    </a:ln>
                    <a:effectLst/>
                  </pic:spPr>
                </pic:pic>
              </a:graphicData>
            </a:graphic>
          </wp:inline>
        </w:drawing>
      </w:r>
    </w:p>
    <w:p w14:paraId="04E87C53">
      <w:pPr>
        <w:spacing w:line="240" w:lineRule="auto"/>
        <w:ind w:firstLine="0" w:firstLineChars="0"/>
        <w:jc w:val="center"/>
        <w:rPr>
          <w:b/>
          <w:bCs/>
          <w:color w:val="000000" w:themeColor="text1"/>
          <w:kern w:val="0"/>
          <w:szCs w:val="20"/>
          <w14:textFill>
            <w14:solidFill>
              <w14:schemeClr w14:val="tx1"/>
            </w14:solidFill>
          </w14:textFill>
        </w:rPr>
      </w:pPr>
      <w:r>
        <w:rPr>
          <w:b/>
          <w:bCs/>
          <w:color w:val="000000" w:themeColor="text1"/>
          <w:kern w:val="0"/>
          <w:szCs w:val="20"/>
          <w14:textFill>
            <w14:solidFill>
              <w14:schemeClr w14:val="tx1"/>
            </w14:solidFill>
          </w14:textFill>
        </w:rPr>
        <w:t>图3.</w:t>
      </w:r>
      <w:r>
        <w:rPr>
          <w:rFonts w:hint="eastAsia"/>
          <w:b/>
          <w:bCs/>
          <w:color w:val="000000" w:themeColor="text1"/>
          <w:kern w:val="0"/>
          <w:szCs w:val="20"/>
          <w14:textFill>
            <w14:solidFill>
              <w14:schemeClr w14:val="tx1"/>
            </w14:solidFill>
          </w14:textFill>
        </w:rPr>
        <w:t xml:space="preserve">7-2  </w:t>
      </w:r>
      <w:r>
        <w:rPr>
          <w:b/>
          <w:bCs/>
          <w:color w:val="000000" w:themeColor="text1"/>
          <w:kern w:val="0"/>
          <w:szCs w:val="20"/>
          <w14:textFill>
            <w14:solidFill>
              <w14:schemeClr w14:val="tx1"/>
            </w14:solidFill>
          </w14:textFill>
        </w:rPr>
        <w:t>H1潮位站潮位过程曲线</w:t>
      </w:r>
    </w:p>
    <w:p w14:paraId="1E3758F2">
      <w:pPr>
        <w:spacing w:line="240" w:lineRule="auto"/>
        <w:ind w:firstLine="0" w:firstLineChars="0"/>
        <w:jc w:val="center"/>
        <w:rPr>
          <w:b/>
          <w:bCs/>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drawing>
          <wp:inline distT="0" distB="0" distL="0" distR="0">
            <wp:extent cx="5667375" cy="2438400"/>
            <wp:effectExtent l="0" t="0" r="952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667375" cy="2438400"/>
                    </a:xfrm>
                    <a:prstGeom prst="rect">
                      <a:avLst/>
                    </a:prstGeom>
                    <a:noFill/>
                    <a:ln>
                      <a:noFill/>
                    </a:ln>
                    <a:effectLst/>
                  </pic:spPr>
                </pic:pic>
              </a:graphicData>
            </a:graphic>
          </wp:inline>
        </w:drawing>
      </w:r>
      <w:r>
        <w:rPr>
          <w:b/>
          <w:bCs/>
          <w:color w:val="000000" w:themeColor="text1"/>
          <w:kern w:val="0"/>
          <w:szCs w:val="20"/>
          <w14:textFill>
            <w14:solidFill>
              <w14:schemeClr w14:val="tx1"/>
            </w14:solidFill>
          </w14:textFill>
        </w:rPr>
        <w:t>图3.</w:t>
      </w:r>
      <w:r>
        <w:rPr>
          <w:rFonts w:hint="eastAsia"/>
          <w:b/>
          <w:bCs/>
          <w:color w:val="000000" w:themeColor="text1"/>
          <w:kern w:val="0"/>
          <w:szCs w:val="20"/>
          <w14:textFill>
            <w14:solidFill>
              <w14:schemeClr w14:val="tx1"/>
            </w14:solidFill>
          </w14:textFill>
        </w:rPr>
        <w:t xml:space="preserve">7-3  </w:t>
      </w:r>
      <w:r>
        <w:rPr>
          <w:b/>
          <w:bCs/>
          <w:color w:val="000000" w:themeColor="text1"/>
          <w:kern w:val="0"/>
          <w:szCs w:val="20"/>
          <w14:textFill>
            <w14:solidFill>
              <w14:schemeClr w14:val="tx1"/>
            </w14:solidFill>
          </w14:textFill>
        </w:rPr>
        <w:t>H2潮位站潮位过程曲线</w:t>
      </w:r>
    </w:p>
    <w:p w14:paraId="64312AEB">
      <w:pPr>
        <w:spacing w:line="240" w:lineRule="auto"/>
        <w:ind w:firstLine="0" w:firstLineChars="0"/>
        <w:jc w:val="center"/>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drawing>
          <wp:inline distT="0" distB="0" distL="0" distR="0">
            <wp:extent cx="5629275" cy="2276475"/>
            <wp:effectExtent l="0" t="0" r="9525"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5629275" cy="2276475"/>
                    </a:xfrm>
                    <a:prstGeom prst="rect">
                      <a:avLst/>
                    </a:prstGeom>
                    <a:noFill/>
                    <a:ln>
                      <a:noFill/>
                    </a:ln>
                    <a:effectLst/>
                  </pic:spPr>
                </pic:pic>
              </a:graphicData>
            </a:graphic>
          </wp:inline>
        </w:drawing>
      </w:r>
    </w:p>
    <w:p w14:paraId="08F6D900">
      <w:pPr>
        <w:spacing w:line="240" w:lineRule="auto"/>
        <w:ind w:firstLine="0" w:firstLineChars="0"/>
        <w:jc w:val="center"/>
        <w:rPr>
          <w:b/>
          <w:bCs/>
          <w:color w:val="000000" w:themeColor="text1"/>
          <w:kern w:val="0"/>
          <w:szCs w:val="20"/>
          <w14:textFill>
            <w14:solidFill>
              <w14:schemeClr w14:val="tx1"/>
            </w14:solidFill>
          </w14:textFill>
        </w:rPr>
      </w:pPr>
      <w:r>
        <w:rPr>
          <w:b/>
          <w:bCs/>
          <w:color w:val="000000" w:themeColor="text1"/>
          <w:kern w:val="0"/>
          <w:szCs w:val="20"/>
          <w14:textFill>
            <w14:solidFill>
              <w14:schemeClr w14:val="tx1"/>
            </w14:solidFill>
          </w14:textFill>
        </w:rPr>
        <w:t>图3.</w:t>
      </w:r>
      <w:r>
        <w:rPr>
          <w:rFonts w:hint="eastAsia"/>
          <w:b/>
          <w:bCs/>
          <w:color w:val="000000" w:themeColor="text1"/>
          <w:kern w:val="0"/>
          <w:szCs w:val="20"/>
          <w14:textFill>
            <w14:solidFill>
              <w14:schemeClr w14:val="tx1"/>
            </w14:solidFill>
          </w14:textFill>
        </w:rPr>
        <w:t xml:space="preserve">7-4  </w:t>
      </w:r>
      <w:r>
        <w:rPr>
          <w:b/>
          <w:bCs/>
          <w:color w:val="000000" w:themeColor="text1"/>
          <w:kern w:val="0"/>
          <w:szCs w:val="20"/>
          <w14:textFill>
            <w14:solidFill>
              <w14:schemeClr w14:val="tx1"/>
            </w14:solidFill>
          </w14:textFill>
        </w:rPr>
        <w:t>H3潮位站潮位过程曲线</w:t>
      </w:r>
    </w:p>
    <w:p w14:paraId="22E0DF05">
      <w:pPr>
        <w:adjustRightInd w:val="0"/>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2、实测潮汐特征值</w:t>
      </w:r>
    </w:p>
    <w:p w14:paraId="39E70C63">
      <w:pPr>
        <w:adjustRightInd w:val="0"/>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为进一步了解测区的潮位变化特征，根据临时潮位站测得的实测潮位资料，统计得到该处的实测潮汐特征，由此可见：</w:t>
      </w:r>
    </w:p>
    <w:p w14:paraId="31BEFBAC">
      <w:pPr>
        <w:adjustRightInd w:val="0"/>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w:t>
      </w:r>
      <w:r>
        <w:rPr>
          <w:color w:val="000000" w:themeColor="text1"/>
          <w:kern w:val="0"/>
          <w:szCs w:val="20"/>
          <w14:textFill>
            <w14:solidFill>
              <w14:schemeClr w14:val="tx1"/>
            </w14:solidFill>
          </w14:textFill>
        </w:rPr>
        <w:t>1）临时潮位站H1、H2、H3的短期平均海平面分别为263cm、265cm、268cm；</w:t>
      </w:r>
    </w:p>
    <w:p w14:paraId="4F341476">
      <w:pPr>
        <w:adjustRightInd w:val="0"/>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w:t>
      </w:r>
      <w:r>
        <w:rPr>
          <w:color w:val="000000" w:themeColor="text1"/>
          <w:kern w:val="0"/>
          <w:szCs w:val="20"/>
          <w14:textFill>
            <w14:solidFill>
              <w14:schemeClr w14:val="tx1"/>
            </w14:solidFill>
          </w14:textFill>
        </w:rPr>
        <w:t>2）临时潮位站H1、H2、H3的最高潮位分别为467cm、468cm、470cm。最低潮位分别为58cm、59cm、30cm；</w:t>
      </w:r>
    </w:p>
    <w:p w14:paraId="561DCEC0">
      <w:pPr>
        <w:adjustRightInd w:val="0"/>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w:t>
      </w:r>
      <w:r>
        <w:rPr>
          <w:color w:val="000000" w:themeColor="text1"/>
          <w:kern w:val="0"/>
          <w:szCs w:val="20"/>
          <w14:textFill>
            <w14:solidFill>
              <w14:schemeClr w14:val="tx1"/>
            </w14:solidFill>
          </w14:textFill>
        </w:rPr>
        <w:t>3）临时潮位站H1、H2、H3平均高潮位467cm、468cm、470cm，平均低潮位132cm、</w:t>
      </w:r>
      <w:r>
        <w:rPr>
          <w:rFonts w:hint="eastAsia"/>
          <w:color w:val="000000" w:themeColor="text1"/>
          <w:kern w:val="0"/>
          <w:szCs w:val="20"/>
          <w14:textFill>
            <w14:solidFill>
              <w14:schemeClr w14:val="tx1"/>
            </w14:solidFill>
          </w14:textFill>
        </w:rPr>
        <w:t>135cm、137cm。</w:t>
      </w:r>
    </w:p>
    <w:p w14:paraId="349083EE">
      <w:pPr>
        <w:adjustRightInd w:val="0"/>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（4）临时潮位站H1、H2、H3的最大潮差分别为409cm、409cm、410cm，最小潮差</w:t>
      </w:r>
      <w:r>
        <w:rPr>
          <w:color w:val="000000" w:themeColor="text1"/>
          <w:kern w:val="0"/>
          <w:szCs w:val="20"/>
          <w14:textFill>
            <w14:solidFill>
              <w14:schemeClr w14:val="tx1"/>
            </w14:solidFill>
          </w14:textFill>
        </w:rPr>
        <w:t>分别为16cm、15cm、18cm，平均潮差为分别260cm、260cm、261cm。</w:t>
      </w:r>
    </w:p>
    <w:p w14:paraId="4047B7B0">
      <w:pPr>
        <w:pStyle w:val="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 xml:space="preserve"> 测区潮汐特征值列表</w:t>
      </w:r>
    </w:p>
    <w:tbl>
      <w:tblPr>
        <w:tblStyle w:val="217"/>
        <w:tblW w:w="502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886"/>
        <w:gridCol w:w="1991"/>
        <w:gridCol w:w="1823"/>
        <w:gridCol w:w="1821"/>
        <w:gridCol w:w="1863"/>
      </w:tblGrid>
      <w:tr w14:paraId="7C3029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64" w:hRule="atLeast"/>
          <w:tblHeader/>
          <w:jc w:val="center"/>
        </w:trPr>
        <w:tc>
          <w:tcPr>
            <w:tcW w:w="1715" w:type="pct"/>
            <w:gridSpan w:val="2"/>
            <w:vMerge w:val="restart"/>
            <w:vAlign w:val="center"/>
          </w:tcPr>
          <w:p w14:paraId="5E2BD80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项目</w:t>
            </w:r>
          </w:p>
        </w:tc>
        <w:tc>
          <w:tcPr>
            <w:tcW w:w="3284" w:type="pct"/>
            <w:gridSpan w:val="3"/>
            <w:vAlign w:val="center"/>
          </w:tcPr>
          <w:p w14:paraId="406852F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特征值（cm）</w:t>
            </w:r>
          </w:p>
        </w:tc>
      </w:tr>
      <w:tr w14:paraId="305FFF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2" w:hRule="atLeast"/>
          <w:tblHeader/>
          <w:jc w:val="center"/>
        </w:trPr>
        <w:tc>
          <w:tcPr>
            <w:tcW w:w="1715" w:type="pct"/>
            <w:gridSpan w:val="2"/>
            <w:vMerge w:val="continue"/>
            <w:vAlign w:val="center"/>
          </w:tcPr>
          <w:p w14:paraId="62569613">
            <w:pPr>
              <w:spacing w:line="240" w:lineRule="auto"/>
              <w:ind w:firstLine="0" w:firstLineChars="0"/>
              <w:jc w:val="center"/>
              <w:rPr>
                <w:color w:val="000000" w:themeColor="text1"/>
                <w:kern w:val="0"/>
                <w:sz w:val="21"/>
                <w:szCs w:val="21"/>
                <w14:textFill>
                  <w14:solidFill>
                    <w14:schemeClr w14:val="tx1"/>
                  </w14:solidFill>
                </w14:textFill>
              </w:rPr>
            </w:pPr>
          </w:p>
        </w:tc>
        <w:tc>
          <w:tcPr>
            <w:tcW w:w="1087" w:type="pct"/>
            <w:vAlign w:val="center"/>
          </w:tcPr>
          <w:p w14:paraId="6859B6B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临时潮位站H1</w:t>
            </w:r>
          </w:p>
        </w:tc>
        <w:tc>
          <w:tcPr>
            <w:tcW w:w="1086" w:type="pct"/>
            <w:vAlign w:val="center"/>
          </w:tcPr>
          <w:p w14:paraId="7E9A271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临时潮位站H2</w:t>
            </w:r>
          </w:p>
        </w:tc>
        <w:tc>
          <w:tcPr>
            <w:tcW w:w="1110" w:type="pct"/>
            <w:vAlign w:val="center"/>
          </w:tcPr>
          <w:p w14:paraId="6D15005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临时潮位站H3</w:t>
            </w:r>
          </w:p>
        </w:tc>
      </w:tr>
      <w:tr w14:paraId="5B9076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2" w:hRule="atLeast"/>
          <w:jc w:val="center"/>
        </w:trPr>
        <w:tc>
          <w:tcPr>
            <w:tcW w:w="528" w:type="pct"/>
            <w:vMerge w:val="restart"/>
            <w:vAlign w:val="center"/>
          </w:tcPr>
          <w:p w14:paraId="486A465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潮位</w:t>
            </w:r>
          </w:p>
        </w:tc>
        <w:tc>
          <w:tcPr>
            <w:tcW w:w="1187" w:type="pct"/>
            <w:vAlign w:val="center"/>
          </w:tcPr>
          <w:p w14:paraId="1507EC0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最高潮位</w:t>
            </w:r>
          </w:p>
        </w:tc>
        <w:tc>
          <w:tcPr>
            <w:tcW w:w="1087" w:type="pct"/>
            <w:vAlign w:val="center"/>
          </w:tcPr>
          <w:p w14:paraId="0B29D53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467</w:t>
            </w:r>
          </w:p>
        </w:tc>
        <w:tc>
          <w:tcPr>
            <w:tcW w:w="1086" w:type="pct"/>
            <w:vAlign w:val="center"/>
          </w:tcPr>
          <w:p w14:paraId="48FE69F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468</w:t>
            </w:r>
          </w:p>
        </w:tc>
        <w:tc>
          <w:tcPr>
            <w:tcW w:w="1110" w:type="pct"/>
            <w:vAlign w:val="center"/>
          </w:tcPr>
          <w:p w14:paraId="6F706C2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470</w:t>
            </w:r>
          </w:p>
        </w:tc>
      </w:tr>
      <w:tr w14:paraId="2A39A4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24" w:hRule="atLeast"/>
          <w:jc w:val="center"/>
        </w:trPr>
        <w:tc>
          <w:tcPr>
            <w:tcW w:w="528" w:type="pct"/>
            <w:vMerge w:val="continue"/>
            <w:vAlign w:val="center"/>
          </w:tcPr>
          <w:p w14:paraId="01FF8D5C">
            <w:pPr>
              <w:spacing w:line="240" w:lineRule="auto"/>
              <w:ind w:firstLine="0" w:firstLineChars="0"/>
              <w:jc w:val="center"/>
              <w:rPr>
                <w:color w:val="000000" w:themeColor="text1"/>
                <w:kern w:val="0"/>
                <w:sz w:val="21"/>
                <w:szCs w:val="21"/>
                <w14:textFill>
                  <w14:solidFill>
                    <w14:schemeClr w14:val="tx1"/>
                  </w14:solidFill>
                </w14:textFill>
              </w:rPr>
            </w:pPr>
          </w:p>
        </w:tc>
        <w:tc>
          <w:tcPr>
            <w:tcW w:w="1187" w:type="pct"/>
            <w:vAlign w:val="center"/>
          </w:tcPr>
          <w:p w14:paraId="323F911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最低潮位</w:t>
            </w:r>
          </w:p>
        </w:tc>
        <w:tc>
          <w:tcPr>
            <w:tcW w:w="1087" w:type="pct"/>
            <w:vAlign w:val="center"/>
          </w:tcPr>
          <w:p w14:paraId="423865D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58</w:t>
            </w:r>
          </w:p>
        </w:tc>
        <w:tc>
          <w:tcPr>
            <w:tcW w:w="1086" w:type="pct"/>
            <w:vAlign w:val="center"/>
          </w:tcPr>
          <w:p w14:paraId="311ED12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59</w:t>
            </w:r>
          </w:p>
        </w:tc>
        <w:tc>
          <w:tcPr>
            <w:tcW w:w="1110" w:type="pct"/>
            <w:vAlign w:val="center"/>
          </w:tcPr>
          <w:p w14:paraId="207DB20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w:t>
            </w:r>
          </w:p>
        </w:tc>
      </w:tr>
      <w:tr w14:paraId="63C2A7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continue"/>
            <w:vAlign w:val="center"/>
          </w:tcPr>
          <w:p w14:paraId="1969E067">
            <w:pPr>
              <w:spacing w:line="240" w:lineRule="auto"/>
              <w:ind w:firstLine="0" w:firstLineChars="0"/>
              <w:jc w:val="center"/>
              <w:rPr>
                <w:color w:val="000000" w:themeColor="text1"/>
                <w:kern w:val="0"/>
                <w:sz w:val="21"/>
                <w:szCs w:val="21"/>
                <w14:textFill>
                  <w14:solidFill>
                    <w14:schemeClr w14:val="tx1"/>
                  </w14:solidFill>
                </w14:textFill>
              </w:rPr>
            </w:pPr>
          </w:p>
        </w:tc>
        <w:tc>
          <w:tcPr>
            <w:tcW w:w="1187" w:type="pct"/>
            <w:vAlign w:val="center"/>
          </w:tcPr>
          <w:p w14:paraId="0143F88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平均高潮位</w:t>
            </w:r>
          </w:p>
        </w:tc>
        <w:tc>
          <w:tcPr>
            <w:tcW w:w="1087" w:type="pct"/>
            <w:vAlign w:val="center"/>
          </w:tcPr>
          <w:p w14:paraId="189EF6C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393</w:t>
            </w:r>
          </w:p>
        </w:tc>
        <w:tc>
          <w:tcPr>
            <w:tcW w:w="1086" w:type="pct"/>
            <w:vAlign w:val="center"/>
          </w:tcPr>
          <w:p w14:paraId="745F8F8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395</w:t>
            </w:r>
          </w:p>
        </w:tc>
        <w:tc>
          <w:tcPr>
            <w:tcW w:w="1110" w:type="pct"/>
            <w:vAlign w:val="center"/>
          </w:tcPr>
          <w:p w14:paraId="02A3B3A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399</w:t>
            </w:r>
          </w:p>
        </w:tc>
      </w:tr>
      <w:tr w14:paraId="20AC28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continue"/>
            <w:vAlign w:val="center"/>
          </w:tcPr>
          <w:p w14:paraId="127E5C02">
            <w:pPr>
              <w:spacing w:line="240" w:lineRule="auto"/>
              <w:ind w:firstLine="0" w:firstLineChars="0"/>
              <w:jc w:val="center"/>
              <w:rPr>
                <w:color w:val="000000" w:themeColor="text1"/>
                <w:kern w:val="0"/>
                <w:sz w:val="21"/>
                <w:szCs w:val="21"/>
                <w14:textFill>
                  <w14:solidFill>
                    <w14:schemeClr w14:val="tx1"/>
                  </w14:solidFill>
                </w14:textFill>
              </w:rPr>
            </w:pPr>
          </w:p>
        </w:tc>
        <w:tc>
          <w:tcPr>
            <w:tcW w:w="1187" w:type="pct"/>
            <w:vAlign w:val="center"/>
          </w:tcPr>
          <w:p w14:paraId="456C72C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平均低潮位</w:t>
            </w:r>
          </w:p>
        </w:tc>
        <w:tc>
          <w:tcPr>
            <w:tcW w:w="1087" w:type="pct"/>
            <w:vAlign w:val="center"/>
          </w:tcPr>
          <w:p w14:paraId="45B270B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132</w:t>
            </w:r>
          </w:p>
        </w:tc>
        <w:tc>
          <w:tcPr>
            <w:tcW w:w="1086" w:type="pct"/>
            <w:vAlign w:val="center"/>
          </w:tcPr>
          <w:p w14:paraId="0ED8B92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135</w:t>
            </w:r>
          </w:p>
        </w:tc>
        <w:tc>
          <w:tcPr>
            <w:tcW w:w="1110" w:type="pct"/>
            <w:vAlign w:val="center"/>
          </w:tcPr>
          <w:p w14:paraId="7E698EE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137</w:t>
            </w:r>
          </w:p>
        </w:tc>
      </w:tr>
      <w:tr w14:paraId="5C2CEE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continue"/>
            <w:vAlign w:val="center"/>
          </w:tcPr>
          <w:p w14:paraId="1EFE33F6">
            <w:pPr>
              <w:spacing w:line="240" w:lineRule="auto"/>
              <w:ind w:firstLine="0" w:firstLineChars="0"/>
              <w:jc w:val="center"/>
              <w:rPr>
                <w:color w:val="000000" w:themeColor="text1"/>
                <w:kern w:val="0"/>
                <w:sz w:val="21"/>
                <w:szCs w:val="21"/>
                <w14:textFill>
                  <w14:solidFill>
                    <w14:schemeClr w14:val="tx1"/>
                  </w14:solidFill>
                </w14:textFill>
              </w:rPr>
            </w:pPr>
          </w:p>
        </w:tc>
        <w:tc>
          <w:tcPr>
            <w:tcW w:w="1187" w:type="pct"/>
            <w:vAlign w:val="center"/>
          </w:tcPr>
          <w:p w14:paraId="4501190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平均海平面</w:t>
            </w:r>
          </w:p>
        </w:tc>
        <w:tc>
          <w:tcPr>
            <w:tcW w:w="1087" w:type="pct"/>
            <w:vAlign w:val="center"/>
          </w:tcPr>
          <w:p w14:paraId="6E973CA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263</w:t>
            </w:r>
          </w:p>
        </w:tc>
        <w:tc>
          <w:tcPr>
            <w:tcW w:w="1086" w:type="pct"/>
            <w:vAlign w:val="center"/>
          </w:tcPr>
          <w:p w14:paraId="2BFC34F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265</w:t>
            </w:r>
          </w:p>
        </w:tc>
        <w:tc>
          <w:tcPr>
            <w:tcW w:w="1110" w:type="pct"/>
            <w:vAlign w:val="center"/>
          </w:tcPr>
          <w:p w14:paraId="03C10F9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268</w:t>
            </w:r>
          </w:p>
        </w:tc>
      </w:tr>
      <w:tr w14:paraId="4CBBA4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restart"/>
            <w:vAlign w:val="center"/>
          </w:tcPr>
          <w:p w14:paraId="2FAC8C9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潮差</w:t>
            </w:r>
          </w:p>
        </w:tc>
        <w:tc>
          <w:tcPr>
            <w:tcW w:w="1187" w:type="pct"/>
            <w:vAlign w:val="center"/>
          </w:tcPr>
          <w:p w14:paraId="77D865C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最大潮差</w:t>
            </w:r>
          </w:p>
        </w:tc>
        <w:tc>
          <w:tcPr>
            <w:tcW w:w="1087" w:type="pct"/>
            <w:vAlign w:val="center"/>
          </w:tcPr>
          <w:p w14:paraId="3FE2AA5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409</w:t>
            </w:r>
          </w:p>
        </w:tc>
        <w:tc>
          <w:tcPr>
            <w:tcW w:w="1086" w:type="pct"/>
            <w:vAlign w:val="center"/>
          </w:tcPr>
          <w:p w14:paraId="0CEE84C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409</w:t>
            </w:r>
          </w:p>
        </w:tc>
        <w:tc>
          <w:tcPr>
            <w:tcW w:w="1110" w:type="pct"/>
            <w:vAlign w:val="center"/>
          </w:tcPr>
          <w:p w14:paraId="553F9E3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410</w:t>
            </w:r>
          </w:p>
        </w:tc>
      </w:tr>
      <w:tr w14:paraId="4BA3C6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continue"/>
            <w:vAlign w:val="center"/>
          </w:tcPr>
          <w:p w14:paraId="2F7B67F7">
            <w:pPr>
              <w:spacing w:line="240" w:lineRule="auto"/>
              <w:ind w:firstLine="0" w:firstLineChars="0"/>
              <w:jc w:val="center"/>
              <w:rPr>
                <w:color w:val="000000" w:themeColor="text1"/>
                <w:kern w:val="0"/>
                <w:sz w:val="21"/>
                <w:szCs w:val="21"/>
                <w14:textFill>
                  <w14:solidFill>
                    <w14:schemeClr w14:val="tx1"/>
                  </w14:solidFill>
                </w14:textFill>
              </w:rPr>
            </w:pPr>
          </w:p>
        </w:tc>
        <w:tc>
          <w:tcPr>
            <w:tcW w:w="1187" w:type="pct"/>
            <w:vAlign w:val="center"/>
          </w:tcPr>
          <w:p w14:paraId="30D9B8A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最小潮差</w:t>
            </w:r>
          </w:p>
        </w:tc>
        <w:tc>
          <w:tcPr>
            <w:tcW w:w="1087" w:type="pct"/>
            <w:vAlign w:val="center"/>
          </w:tcPr>
          <w:p w14:paraId="45C94A0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w:t>
            </w:r>
          </w:p>
        </w:tc>
        <w:tc>
          <w:tcPr>
            <w:tcW w:w="1086" w:type="pct"/>
            <w:vAlign w:val="center"/>
          </w:tcPr>
          <w:p w14:paraId="6DE36FA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w:t>
            </w:r>
          </w:p>
        </w:tc>
        <w:tc>
          <w:tcPr>
            <w:tcW w:w="1110" w:type="pct"/>
            <w:vAlign w:val="center"/>
          </w:tcPr>
          <w:p w14:paraId="7873901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w:t>
            </w:r>
          </w:p>
        </w:tc>
      </w:tr>
      <w:tr w14:paraId="06E0815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continue"/>
            <w:vAlign w:val="center"/>
          </w:tcPr>
          <w:p w14:paraId="1734B997">
            <w:pPr>
              <w:spacing w:line="240" w:lineRule="auto"/>
              <w:ind w:firstLine="0" w:firstLineChars="0"/>
              <w:jc w:val="center"/>
              <w:rPr>
                <w:color w:val="000000" w:themeColor="text1"/>
                <w:kern w:val="0"/>
                <w:sz w:val="21"/>
                <w:szCs w:val="21"/>
                <w14:textFill>
                  <w14:solidFill>
                    <w14:schemeClr w14:val="tx1"/>
                  </w14:solidFill>
                </w14:textFill>
              </w:rPr>
            </w:pPr>
          </w:p>
        </w:tc>
        <w:tc>
          <w:tcPr>
            <w:tcW w:w="1187" w:type="pct"/>
            <w:vAlign w:val="center"/>
          </w:tcPr>
          <w:p w14:paraId="490836F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平均潮差</w:t>
            </w:r>
          </w:p>
        </w:tc>
        <w:tc>
          <w:tcPr>
            <w:tcW w:w="1087" w:type="pct"/>
            <w:vAlign w:val="center"/>
          </w:tcPr>
          <w:p w14:paraId="7DB58AD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260</w:t>
            </w:r>
          </w:p>
        </w:tc>
        <w:tc>
          <w:tcPr>
            <w:tcW w:w="1086" w:type="pct"/>
            <w:vAlign w:val="center"/>
          </w:tcPr>
          <w:p w14:paraId="7E4B725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260</w:t>
            </w:r>
          </w:p>
        </w:tc>
        <w:tc>
          <w:tcPr>
            <w:tcW w:w="1110" w:type="pct"/>
            <w:vAlign w:val="center"/>
          </w:tcPr>
          <w:p w14:paraId="2580023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261</w:t>
            </w:r>
          </w:p>
        </w:tc>
      </w:tr>
      <w:tr w14:paraId="22A739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restart"/>
            <w:vAlign w:val="center"/>
          </w:tcPr>
          <w:p w14:paraId="55BD4C8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全日潮时段</w:t>
            </w:r>
          </w:p>
        </w:tc>
        <w:tc>
          <w:tcPr>
            <w:tcW w:w="1187" w:type="pct"/>
            <w:vAlign w:val="center"/>
          </w:tcPr>
          <w:p w14:paraId="0E8AB14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平均涨潮历时（h:mm）</w:t>
            </w:r>
          </w:p>
        </w:tc>
        <w:tc>
          <w:tcPr>
            <w:tcW w:w="1087" w:type="pct"/>
            <w:vAlign w:val="center"/>
          </w:tcPr>
          <w:p w14:paraId="2ACB4AF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14:29</w:t>
            </w:r>
          </w:p>
        </w:tc>
        <w:tc>
          <w:tcPr>
            <w:tcW w:w="1086" w:type="pct"/>
            <w:vAlign w:val="center"/>
          </w:tcPr>
          <w:p w14:paraId="1944CD6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14:32</w:t>
            </w:r>
          </w:p>
        </w:tc>
        <w:tc>
          <w:tcPr>
            <w:tcW w:w="1110" w:type="pct"/>
            <w:vAlign w:val="center"/>
          </w:tcPr>
          <w:p w14:paraId="3D9632A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14:36</w:t>
            </w:r>
          </w:p>
        </w:tc>
      </w:tr>
      <w:tr w14:paraId="26451D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continue"/>
            <w:vAlign w:val="center"/>
          </w:tcPr>
          <w:p w14:paraId="04023B27">
            <w:pPr>
              <w:spacing w:line="240" w:lineRule="auto"/>
              <w:ind w:firstLine="0" w:firstLineChars="0"/>
              <w:jc w:val="center"/>
              <w:rPr>
                <w:color w:val="000000" w:themeColor="text1"/>
                <w:kern w:val="0"/>
                <w:sz w:val="21"/>
                <w:szCs w:val="21"/>
                <w14:textFill>
                  <w14:solidFill>
                    <w14:schemeClr w14:val="tx1"/>
                  </w14:solidFill>
                </w14:textFill>
              </w:rPr>
            </w:pPr>
          </w:p>
        </w:tc>
        <w:tc>
          <w:tcPr>
            <w:tcW w:w="1187" w:type="pct"/>
            <w:vAlign w:val="center"/>
          </w:tcPr>
          <w:p w14:paraId="5C7ACEF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平均落潮历时（h:mm）</w:t>
            </w:r>
          </w:p>
        </w:tc>
        <w:tc>
          <w:tcPr>
            <w:tcW w:w="1087" w:type="pct"/>
            <w:vAlign w:val="center"/>
          </w:tcPr>
          <w:p w14:paraId="7F4A02F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10:22</w:t>
            </w:r>
          </w:p>
        </w:tc>
        <w:tc>
          <w:tcPr>
            <w:tcW w:w="1086" w:type="pct"/>
            <w:vAlign w:val="center"/>
          </w:tcPr>
          <w:p w14:paraId="2778A54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10:16</w:t>
            </w:r>
          </w:p>
        </w:tc>
        <w:tc>
          <w:tcPr>
            <w:tcW w:w="1110" w:type="pct"/>
            <w:vAlign w:val="center"/>
          </w:tcPr>
          <w:p w14:paraId="34D0557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10:10</w:t>
            </w:r>
          </w:p>
        </w:tc>
      </w:tr>
      <w:tr w14:paraId="7A80AF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restart"/>
            <w:vAlign w:val="center"/>
          </w:tcPr>
          <w:p w14:paraId="0C31302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半日潮时段</w:t>
            </w:r>
          </w:p>
        </w:tc>
        <w:tc>
          <w:tcPr>
            <w:tcW w:w="1187" w:type="pct"/>
            <w:vAlign w:val="center"/>
          </w:tcPr>
          <w:p w14:paraId="3BA4DFC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平均涨潮历时（h:mm）</w:t>
            </w:r>
          </w:p>
        </w:tc>
        <w:tc>
          <w:tcPr>
            <w:tcW w:w="1087" w:type="pct"/>
            <w:vAlign w:val="center"/>
          </w:tcPr>
          <w:p w14:paraId="71B6B79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5:42</w:t>
            </w:r>
          </w:p>
        </w:tc>
        <w:tc>
          <w:tcPr>
            <w:tcW w:w="1086" w:type="pct"/>
            <w:vAlign w:val="center"/>
          </w:tcPr>
          <w:p w14:paraId="49D215F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5:50</w:t>
            </w:r>
          </w:p>
        </w:tc>
        <w:tc>
          <w:tcPr>
            <w:tcW w:w="1110" w:type="pct"/>
            <w:vAlign w:val="center"/>
          </w:tcPr>
          <w:p w14:paraId="59D894D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5:51</w:t>
            </w:r>
          </w:p>
        </w:tc>
      </w:tr>
      <w:tr w14:paraId="165F87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continue"/>
            <w:vAlign w:val="center"/>
          </w:tcPr>
          <w:p w14:paraId="6BAD4A61">
            <w:pPr>
              <w:spacing w:line="240" w:lineRule="auto"/>
              <w:ind w:firstLine="0" w:firstLineChars="0"/>
              <w:jc w:val="center"/>
              <w:rPr>
                <w:color w:val="000000" w:themeColor="text1"/>
                <w:kern w:val="0"/>
                <w:sz w:val="21"/>
                <w:szCs w:val="21"/>
                <w14:textFill>
                  <w14:solidFill>
                    <w14:schemeClr w14:val="tx1"/>
                  </w14:solidFill>
                </w14:textFill>
              </w:rPr>
            </w:pPr>
          </w:p>
        </w:tc>
        <w:tc>
          <w:tcPr>
            <w:tcW w:w="1187" w:type="pct"/>
            <w:vAlign w:val="center"/>
          </w:tcPr>
          <w:p w14:paraId="04394D9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平均落潮历时（h:mm）</w:t>
            </w:r>
          </w:p>
        </w:tc>
        <w:tc>
          <w:tcPr>
            <w:tcW w:w="1087" w:type="pct"/>
            <w:vAlign w:val="center"/>
          </w:tcPr>
          <w:p w14:paraId="3B7EE7A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6:06</w:t>
            </w:r>
          </w:p>
        </w:tc>
        <w:tc>
          <w:tcPr>
            <w:tcW w:w="1086" w:type="pct"/>
            <w:vAlign w:val="center"/>
          </w:tcPr>
          <w:p w14:paraId="57A2707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5:58</w:t>
            </w:r>
          </w:p>
        </w:tc>
        <w:tc>
          <w:tcPr>
            <w:tcW w:w="1110" w:type="pct"/>
            <w:vAlign w:val="center"/>
          </w:tcPr>
          <w:p w14:paraId="27C38D4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5:58</w:t>
            </w:r>
          </w:p>
        </w:tc>
      </w:tr>
      <w:tr w14:paraId="39225B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30" w:hRule="atLeast"/>
          <w:jc w:val="center"/>
        </w:trPr>
        <w:tc>
          <w:tcPr>
            <w:tcW w:w="1715" w:type="pct"/>
            <w:gridSpan w:val="2"/>
            <w:vAlign w:val="center"/>
          </w:tcPr>
          <w:p w14:paraId="4DDE3A4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基准面</w:t>
            </w:r>
          </w:p>
        </w:tc>
        <w:tc>
          <w:tcPr>
            <w:tcW w:w="3284" w:type="pct"/>
            <w:gridSpan w:val="3"/>
            <w:vAlign w:val="center"/>
          </w:tcPr>
          <w:p w14:paraId="7832AC6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当地理论最低基准高程</w:t>
            </w:r>
          </w:p>
        </w:tc>
      </w:tr>
    </w:tbl>
    <w:p w14:paraId="1444997B">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3、潮汐性质</w:t>
      </w:r>
    </w:p>
    <w:p w14:paraId="218112CE">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对临时潮位站H1、H2、H3实测潮位资料进行短期调和分析，以了解该海域的潮汐一般特性，表3.</w:t>
      </w:r>
      <w:r>
        <w:rPr>
          <w:rFonts w:hint="eastAsia"/>
          <w:color w:val="000000" w:themeColor="text1"/>
          <w:kern w:val="0"/>
          <w:szCs w:val="20"/>
          <w14:textFill>
            <w14:solidFill>
              <w14:schemeClr w14:val="tx1"/>
            </w14:solidFill>
          </w14:textFill>
        </w:rPr>
        <w:t>8-3</w:t>
      </w:r>
      <w:r>
        <w:rPr>
          <w:color w:val="000000" w:themeColor="text1"/>
          <w:kern w:val="0"/>
          <w:szCs w:val="20"/>
          <w14:textFill>
            <w14:solidFill>
              <w14:schemeClr w14:val="tx1"/>
            </w14:solidFill>
          </w14:textFill>
        </w:rPr>
        <w:t>列出了临时潮位站H1~H3处4个主要分潮和4个主要浅水分潮的潮汐调和常数。由表可见，临时潮位站处的潮汐以O1分潮为主，验潮站H1、H2、H3的O1分潮振幅分别为96.28cm、95.70cm、95.30cm，其次是K1分潮，其振幅分别为72.63cm、72.97cm、73.60cm，表明该海区由全日潮占主导。根据下面两个临时潮位站的潮汐类型判别式可知测区潮汐主要表现均为正规全日潮。</w:t>
      </w:r>
    </w:p>
    <w:p w14:paraId="24C468E5">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H1、H2、H3潮位站第一类潮汐特征值</w:t>
      </w:r>
      <w:r>
        <w:rPr>
          <w:rFonts w:hint="eastAsia"/>
          <w:color w:val="000000" w:themeColor="text1"/>
          <w:kern w:val="0"/>
          <w:szCs w:val="20"/>
          <w14:textFill>
            <w14:solidFill>
              <w14:schemeClr w14:val="tx1"/>
            </w14:solidFill>
          </w14:textFill>
        </w:rPr>
        <w:t>（主要描述潮汐的运动学特征，即潮汐的基本运动规律）</w:t>
      </w:r>
      <w:r>
        <w:rPr>
          <w:color w:val="000000" w:themeColor="text1"/>
          <w:kern w:val="0"/>
          <w:szCs w:val="20"/>
          <w14:textFill>
            <w14:solidFill>
              <w14:schemeClr w14:val="tx1"/>
            </w14:solidFill>
          </w14:textFill>
        </w:rPr>
        <w:t>分别为3.12、3.10、3.08，均大于3。第二类潮汐特征值</w:t>
      </w:r>
      <w:r>
        <w:rPr>
          <w:rFonts w:hint="eastAsia"/>
          <w:color w:val="000000" w:themeColor="text1"/>
          <w:kern w:val="0"/>
          <w:szCs w:val="20"/>
          <w14:textFill>
            <w14:solidFill>
              <w14:schemeClr w14:val="tx1"/>
            </w14:solidFill>
          </w14:textFill>
        </w:rPr>
        <w:t>（主要描述潮汐的动力学特征，即潮汐的形成原因和影响因素）</w:t>
      </w:r>
      <w:r>
        <w:rPr>
          <w:color w:val="000000" w:themeColor="text1"/>
          <w:kern w:val="0"/>
          <w:szCs w:val="20"/>
          <w14:textFill>
            <w14:solidFill>
              <w14:schemeClr w14:val="tx1"/>
            </w14:solidFill>
          </w14:textFill>
        </w:rPr>
        <w:t>分别为4.37、4.35、4.32，大于4。潮汐类型：由验潮资料求得的调和常数计算可知，该海区的潮汐类型为正规的全日潮海区。</w:t>
      </w:r>
    </w:p>
    <w:p w14:paraId="38EED702">
      <w:pPr>
        <w:pStyle w:val="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 xml:space="preserve"> 测区临时潮位站的潮汐调和常数列表</w:t>
      </w:r>
    </w:p>
    <w:tbl>
      <w:tblPr>
        <w:tblStyle w:val="217"/>
        <w:tblW w:w="4999"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1752"/>
        <w:gridCol w:w="1094"/>
        <w:gridCol w:w="1095"/>
        <w:gridCol w:w="1094"/>
        <w:gridCol w:w="1095"/>
        <w:gridCol w:w="1094"/>
        <w:gridCol w:w="1110"/>
      </w:tblGrid>
      <w:tr w14:paraId="07B67AF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01" w:hRule="atLeast"/>
          <w:jc w:val="center"/>
        </w:trPr>
        <w:tc>
          <w:tcPr>
            <w:tcW w:w="1051" w:type="pct"/>
            <w:vMerge w:val="restart"/>
            <w:vAlign w:val="center"/>
          </w:tcPr>
          <w:p w14:paraId="5F1EAC5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分潮</w:t>
            </w:r>
          </w:p>
        </w:tc>
        <w:tc>
          <w:tcPr>
            <w:tcW w:w="1313" w:type="pct"/>
            <w:gridSpan w:val="2"/>
            <w:vAlign w:val="center"/>
          </w:tcPr>
          <w:p w14:paraId="1A0E060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H1</w:t>
            </w:r>
          </w:p>
        </w:tc>
        <w:tc>
          <w:tcPr>
            <w:tcW w:w="1313" w:type="pct"/>
            <w:gridSpan w:val="2"/>
            <w:vAlign w:val="center"/>
          </w:tcPr>
          <w:p w14:paraId="7C45FAA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H2</w:t>
            </w:r>
          </w:p>
        </w:tc>
        <w:tc>
          <w:tcPr>
            <w:tcW w:w="1321" w:type="pct"/>
            <w:gridSpan w:val="2"/>
            <w:vAlign w:val="center"/>
          </w:tcPr>
          <w:p w14:paraId="4546CC8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H3</w:t>
            </w:r>
          </w:p>
        </w:tc>
      </w:tr>
      <w:tr w14:paraId="57AB349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9" w:hRule="atLeast"/>
          <w:jc w:val="center"/>
        </w:trPr>
        <w:tc>
          <w:tcPr>
            <w:tcW w:w="1051" w:type="pct"/>
            <w:vMerge w:val="continue"/>
            <w:vAlign w:val="center"/>
          </w:tcPr>
          <w:p w14:paraId="5E8A111B">
            <w:pPr>
              <w:spacing w:line="240" w:lineRule="auto"/>
              <w:ind w:firstLine="0" w:firstLineChars="0"/>
              <w:jc w:val="center"/>
              <w:rPr>
                <w:color w:val="000000" w:themeColor="text1"/>
                <w:kern w:val="0"/>
                <w:sz w:val="21"/>
                <w:szCs w:val="21"/>
                <w14:textFill>
                  <w14:solidFill>
                    <w14:schemeClr w14:val="tx1"/>
                  </w14:solidFill>
                </w14:textFill>
              </w:rPr>
            </w:pPr>
          </w:p>
        </w:tc>
        <w:tc>
          <w:tcPr>
            <w:tcW w:w="656" w:type="pct"/>
            <w:vAlign w:val="center"/>
          </w:tcPr>
          <w:p w14:paraId="766E3DD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振幅</w:t>
            </w:r>
          </w:p>
        </w:tc>
        <w:tc>
          <w:tcPr>
            <w:tcW w:w="657" w:type="pct"/>
            <w:vAlign w:val="center"/>
          </w:tcPr>
          <w:p w14:paraId="515E01A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迟角</w:t>
            </w:r>
          </w:p>
        </w:tc>
        <w:tc>
          <w:tcPr>
            <w:tcW w:w="656" w:type="pct"/>
            <w:vAlign w:val="center"/>
          </w:tcPr>
          <w:p w14:paraId="081F156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振幅</w:t>
            </w:r>
          </w:p>
        </w:tc>
        <w:tc>
          <w:tcPr>
            <w:tcW w:w="657" w:type="pct"/>
            <w:vAlign w:val="center"/>
          </w:tcPr>
          <w:p w14:paraId="64A2036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迟角</w:t>
            </w:r>
          </w:p>
        </w:tc>
        <w:tc>
          <w:tcPr>
            <w:tcW w:w="656" w:type="pct"/>
            <w:vAlign w:val="center"/>
          </w:tcPr>
          <w:p w14:paraId="042B160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振幅</w:t>
            </w:r>
          </w:p>
        </w:tc>
        <w:tc>
          <w:tcPr>
            <w:tcW w:w="664" w:type="pct"/>
            <w:vAlign w:val="center"/>
          </w:tcPr>
          <w:p w14:paraId="79F2F32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迟角</w:t>
            </w:r>
          </w:p>
        </w:tc>
      </w:tr>
      <w:tr w14:paraId="4B7D7A6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9" w:hRule="atLeast"/>
          <w:jc w:val="center"/>
        </w:trPr>
        <w:tc>
          <w:tcPr>
            <w:tcW w:w="1051" w:type="pct"/>
            <w:vAlign w:val="center"/>
          </w:tcPr>
          <w:p w14:paraId="0D020E5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O1</w:t>
            </w:r>
          </w:p>
        </w:tc>
        <w:tc>
          <w:tcPr>
            <w:tcW w:w="656" w:type="pct"/>
            <w:vAlign w:val="center"/>
          </w:tcPr>
          <w:p w14:paraId="6FD8F6F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96.28</w:t>
            </w:r>
          </w:p>
        </w:tc>
        <w:tc>
          <w:tcPr>
            <w:tcW w:w="657" w:type="pct"/>
            <w:vAlign w:val="center"/>
          </w:tcPr>
          <w:p w14:paraId="47146DA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40.66</w:t>
            </w:r>
          </w:p>
        </w:tc>
        <w:tc>
          <w:tcPr>
            <w:tcW w:w="656" w:type="pct"/>
            <w:vAlign w:val="center"/>
          </w:tcPr>
          <w:p w14:paraId="69F9FFE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95.70</w:t>
            </w:r>
          </w:p>
        </w:tc>
        <w:tc>
          <w:tcPr>
            <w:tcW w:w="657" w:type="pct"/>
            <w:vAlign w:val="center"/>
          </w:tcPr>
          <w:p w14:paraId="1DE4827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43.04</w:t>
            </w:r>
          </w:p>
        </w:tc>
        <w:tc>
          <w:tcPr>
            <w:tcW w:w="656" w:type="pct"/>
            <w:vAlign w:val="center"/>
          </w:tcPr>
          <w:p w14:paraId="07180DC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95.30</w:t>
            </w:r>
          </w:p>
        </w:tc>
        <w:tc>
          <w:tcPr>
            <w:tcW w:w="664" w:type="pct"/>
            <w:vAlign w:val="center"/>
          </w:tcPr>
          <w:p w14:paraId="0F9D2B8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45.97</w:t>
            </w:r>
          </w:p>
        </w:tc>
      </w:tr>
      <w:tr w14:paraId="2E59408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9" w:hRule="atLeast"/>
          <w:jc w:val="center"/>
        </w:trPr>
        <w:tc>
          <w:tcPr>
            <w:tcW w:w="1051" w:type="pct"/>
            <w:vAlign w:val="center"/>
          </w:tcPr>
          <w:p w14:paraId="6FE699D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K1</w:t>
            </w:r>
          </w:p>
        </w:tc>
        <w:tc>
          <w:tcPr>
            <w:tcW w:w="656" w:type="pct"/>
            <w:vAlign w:val="center"/>
          </w:tcPr>
          <w:p w14:paraId="51A9B42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72.63</w:t>
            </w:r>
          </w:p>
        </w:tc>
        <w:tc>
          <w:tcPr>
            <w:tcW w:w="657" w:type="pct"/>
            <w:vAlign w:val="center"/>
          </w:tcPr>
          <w:p w14:paraId="14EE64B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83.55</w:t>
            </w:r>
          </w:p>
        </w:tc>
        <w:tc>
          <w:tcPr>
            <w:tcW w:w="656" w:type="pct"/>
            <w:vAlign w:val="center"/>
          </w:tcPr>
          <w:p w14:paraId="7AD9C13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72.97</w:t>
            </w:r>
          </w:p>
        </w:tc>
        <w:tc>
          <w:tcPr>
            <w:tcW w:w="657" w:type="pct"/>
            <w:vAlign w:val="center"/>
          </w:tcPr>
          <w:p w14:paraId="621917B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86.30</w:t>
            </w:r>
          </w:p>
        </w:tc>
        <w:tc>
          <w:tcPr>
            <w:tcW w:w="656" w:type="pct"/>
            <w:vAlign w:val="center"/>
          </w:tcPr>
          <w:p w14:paraId="486BD4A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73.60</w:t>
            </w:r>
          </w:p>
        </w:tc>
        <w:tc>
          <w:tcPr>
            <w:tcW w:w="664" w:type="pct"/>
            <w:vAlign w:val="center"/>
          </w:tcPr>
          <w:p w14:paraId="3C081A6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89.65</w:t>
            </w:r>
          </w:p>
        </w:tc>
      </w:tr>
      <w:tr w14:paraId="720C2D9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50" w:hRule="atLeast"/>
          <w:jc w:val="center"/>
        </w:trPr>
        <w:tc>
          <w:tcPr>
            <w:tcW w:w="1051" w:type="pct"/>
            <w:vAlign w:val="center"/>
          </w:tcPr>
          <w:p w14:paraId="1F4E8C6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M2</w:t>
            </w:r>
          </w:p>
        </w:tc>
        <w:tc>
          <w:tcPr>
            <w:tcW w:w="656" w:type="pct"/>
            <w:vAlign w:val="center"/>
          </w:tcPr>
          <w:p w14:paraId="4DDE213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38.62</w:t>
            </w:r>
          </w:p>
        </w:tc>
        <w:tc>
          <w:tcPr>
            <w:tcW w:w="657" w:type="pct"/>
            <w:vAlign w:val="center"/>
          </w:tcPr>
          <w:p w14:paraId="297F9CD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192.34</w:t>
            </w:r>
          </w:p>
        </w:tc>
        <w:tc>
          <w:tcPr>
            <w:tcW w:w="656" w:type="pct"/>
            <w:vAlign w:val="center"/>
          </w:tcPr>
          <w:p w14:paraId="6DC2DD6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38.73</w:t>
            </w:r>
          </w:p>
        </w:tc>
        <w:tc>
          <w:tcPr>
            <w:tcW w:w="657" w:type="pct"/>
            <w:vAlign w:val="center"/>
          </w:tcPr>
          <w:p w14:paraId="1821705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197.25</w:t>
            </w:r>
          </w:p>
        </w:tc>
        <w:tc>
          <w:tcPr>
            <w:tcW w:w="656" w:type="pct"/>
            <w:vAlign w:val="center"/>
          </w:tcPr>
          <w:p w14:paraId="5B33B7F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39.10</w:t>
            </w:r>
          </w:p>
        </w:tc>
        <w:tc>
          <w:tcPr>
            <w:tcW w:w="664" w:type="pct"/>
            <w:vAlign w:val="center"/>
          </w:tcPr>
          <w:p w14:paraId="2AFE247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203.11</w:t>
            </w:r>
          </w:p>
        </w:tc>
      </w:tr>
      <w:tr w14:paraId="01C01DD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9" w:hRule="atLeast"/>
          <w:jc w:val="center"/>
        </w:trPr>
        <w:tc>
          <w:tcPr>
            <w:tcW w:w="1051" w:type="pct"/>
            <w:vAlign w:val="center"/>
          </w:tcPr>
          <w:p w14:paraId="0605EA1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S2</w:t>
            </w:r>
          </w:p>
        </w:tc>
        <w:tc>
          <w:tcPr>
            <w:tcW w:w="656" w:type="pct"/>
            <w:vAlign w:val="center"/>
          </w:tcPr>
          <w:p w14:paraId="1C7C0CA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15.57</w:t>
            </w:r>
          </w:p>
        </w:tc>
        <w:tc>
          <w:tcPr>
            <w:tcW w:w="657" w:type="pct"/>
            <w:vAlign w:val="center"/>
          </w:tcPr>
          <w:p w14:paraId="6BE662D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225.48</w:t>
            </w:r>
          </w:p>
        </w:tc>
        <w:tc>
          <w:tcPr>
            <w:tcW w:w="656" w:type="pct"/>
            <w:vAlign w:val="center"/>
          </w:tcPr>
          <w:p w14:paraId="69F6437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15.60</w:t>
            </w:r>
          </w:p>
        </w:tc>
        <w:tc>
          <w:tcPr>
            <w:tcW w:w="657" w:type="pct"/>
            <w:vAlign w:val="center"/>
          </w:tcPr>
          <w:p w14:paraId="653AFC5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229.63</w:t>
            </w:r>
          </w:p>
        </w:tc>
        <w:tc>
          <w:tcPr>
            <w:tcW w:w="656" w:type="pct"/>
            <w:vAlign w:val="center"/>
          </w:tcPr>
          <w:p w14:paraId="1817A12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15.70</w:t>
            </w:r>
          </w:p>
        </w:tc>
        <w:tc>
          <w:tcPr>
            <w:tcW w:w="664" w:type="pct"/>
            <w:vAlign w:val="center"/>
          </w:tcPr>
          <w:p w14:paraId="47C90CC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234.22</w:t>
            </w:r>
          </w:p>
        </w:tc>
      </w:tr>
      <w:tr w14:paraId="03EC146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9" w:hRule="atLeast"/>
          <w:jc w:val="center"/>
        </w:trPr>
        <w:tc>
          <w:tcPr>
            <w:tcW w:w="1051" w:type="pct"/>
            <w:vAlign w:val="center"/>
          </w:tcPr>
          <w:p w14:paraId="1CB6F5C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M4</w:t>
            </w:r>
          </w:p>
        </w:tc>
        <w:tc>
          <w:tcPr>
            <w:tcW w:w="656" w:type="pct"/>
            <w:vAlign w:val="center"/>
          </w:tcPr>
          <w:p w14:paraId="4BBB8EA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3.78</w:t>
            </w:r>
          </w:p>
        </w:tc>
        <w:tc>
          <w:tcPr>
            <w:tcW w:w="657" w:type="pct"/>
            <w:vAlign w:val="center"/>
          </w:tcPr>
          <w:p w14:paraId="4C0BD78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334.73</w:t>
            </w:r>
          </w:p>
        </w:tc>
        <w:tc>
          <w:tcPr>
            <w:tcW w:w="656" w:type="pct"/>
            <w:vAlign w:val="center"/>
          </w:tcPr>
          <w:p w14:paraId="1480FC4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3.83</w:t>
            </w:r>
          </w:p>
        </w:tc>
        <w:tc>
          <w:tcPr>
            <w:tcW w:w="657" w:type="pct"/>
            <w:vAlign w:val="center"/>
          </w:tcPr>
          <w:p w14:paraId="4177DE8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345.12</w:t>
            </w:r>
          </w:p>
        </w:tc>
        <w:tc>
          <w:tcPr>
            <w:tcW w:w="656" w:type="pct"/>
            <w:vAlign w:val="center"/>
          </w:tcPr>
          <w:p w14:paraId="6F97D8C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3.90</w:t>
            </w:r>
          </w:p>
        </w:tc>
        <w:tc>
          <w:tcPr>
            <w:tcW w:w="664" w:type="pct"/>
            <w:vAlign w:val="center"/>
          </w:tcPr>
          <w:p w14:paraId="446C1D8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357.84</w:t>
            </w:r>
          </w:p>
        </w:tc>
      </w:tr>
      <w:tr w14:paraId="1615899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9" w:hRule="atLeast"/>
          <w:jc w:val="center"/>
        </w:trPr>
        <w:tc>
          <w:tcPr>
            <w:tcW w:w="1051" w:type="pct"/>
            <w:vAlign w:val="center"/>
          </w:tcPr>
          <w:p w14:paraId="0C0574F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MS4</w:t>
            </w:r>
          </w:p>
        </w:tc>
        <w:tc>
          <w:tcPr>
            <w:tcW w:w="656" w:type="pct"/>
            <w:vAlign w:val="center"/>
          </w:tcPr>
          <w:p w14:paraId="2C5A72F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1.42</w:t>
            </w:r>
          </w:p>
        </w:tc>
        <w:tc>
          <w:tcPr>
            <w:tcW w:w="657" w:type="pct"/>
            <w:vAlign w:val="center"/>
          </w:tcPr>
          <w:p w14:paraId="1FCF394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296.76</w:t>
            </w:r>
          </w:p>
        </w:tc>
        <w:tc>
          <w:tcPr>
            <w:tcW w:w="656" w:type="pct"/>
            <w:vAlign w:val="center"/>
          </w:tcPr>
          <w:p w14:paraId="35EB923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1.24</w:t>
            </w:r>
          </w:p>
        </w:tc>
        <w:tc>
          <w:tcPr>
            <w:tcW w:w="657" w:type="pct"/>
            <w:vAlign w:val="center"/>
          </w:tcPr>
          <w:p w14:paraId="2EE5007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301.15</w:t>
            </w:r>
          </w:p>
        </w:tc>
        <w:tc>
          <w:tcPr>
            <w:tcW w:w="656" w:type="pct"/>
            <w:vAlign w:val="center"/>
          </w:tcPr>
          <w:p w14:paraId="64A1B17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1.01</w:t>
            </w:r>
          </w:p>
        </w:tc>
        <w:tc>
          <w:tcPr>
            <w:tcW w:w="664" w:type="pct"/>
            <w:vAlign w:val="center"/>
          </w:tcPr>
          <w:p w14:paraId="7DE432E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304.60</w:t>
            </w:r>
          </w:p>
        </w:tc>
      </w:tr>
      <w:tr w14:paraId="0B525AC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9" w:hRule="atLeast"/>
          <w:jc w:val="center"/>
        </w:trPr>
        <w:tc>
          <w:tcPr>
            <w:tcW w:w="1051" w:type="pct"/>
            <w:vAlign w:val="center"/>
          </w:tcPr>
          <w:p w14:paraId="1E172F5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M6</w:t>
            </w:r>
          </w:p>
        </w:tc>
        <w:tc>
          <w:tcPr>
            <w:tcW w:w="656" w:type="pct"/>
            <w:vAlign w:val="center"/>
          </w:tcPr>
          <w:p w14:paraId="578B2B0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0.19</w:t>
            </w:r>
          </w:p>
        </w:tc>
        <w:tc>
          <w:tcPr>
            <w:tcW w:w="657" w:type="pct"/>
            <w:vAlign w:val="center"/>
          </w:tcPr>
          <w:p w14:paraId="14E92BC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228.85</w:t>
            </w:r>
          </w:p>
        </w:tc>
        <w:tc>
          <w:tcPr>
            <w:tcW w:w="656" w:type="pct"/>
            <w:vAlign w:val="center"/>
          </w:tcPr>
          <w:p w14:paraId="2DB653E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0.27</w:t>
            </w:r>
          </w:p>
        </w:tc>
        <w:tc>
          <w:tcPr>
            <w:tcW w:w="657" w:type="pct"/>
            <w:vAlign w:val="center"/>
          </w:tcPr>
          <w:p w14:paraId="2DAE987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229.13</w:t>
            </w:r>
          </w:p>
        </w:tc>
        <w:tc>
          <w:tcPr>
            <w:tcW w:w="656" w:type="pct"/>
            <w:vAlign w:val="center"/>
          </w:tcPr>
          <w:p w14:paraId="0308BDE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0.29</w:t>
            </w:r>
          </w:p>
        </w:tc>
        <w:tc>
          <w:tcPr>
            <w:tcW w:w="664" w:type="pct"/>
            <w:vAlign w:val="center"/>
          </w:tcPr>
          <w:p w14:paraId="5A293E2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229.19</w:t>
            </w:r>
          </w:p>
        </w:tc>
      </w:tr>
      <w:tr w14:paraId="319ADA4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50" w:hRule="atLeast"/>
          <w:jc w:val="center"/>
        </w:trPr>
        <w:tc>
          <w:tcPr>
            <w:tcW w:w="1051" w:type="pct"/>
            <w:vAlign w:val="center"/>
          </w:tcPr>
          <w:p w14:paraId="742279A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MS6</w:t>
            </w:r>
          </w:p>
        </w:tc>
        <w:tc>
          <w:tcPr>
            <w:tcW w:w="656" w:type="pct"/>
            <w:vAlign w:val="center"/>
          </w:tcPr>
          <w:p w14:paraId="08B8D14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0.84</w:t>
            </w:r>
          </w:p>
        </w:tc>
        <w:tc>
          <w:tcPr>
            <w:tcW w:w="657" w:type="pct"/>
            <w:vAlign w:val="center"/>
          </w:tcPr>
          <w:p w14:paraId="286B526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252.16</w:t>
            </w:r>
          </w:p>
        </w:tc>
        <w:tc>
          <w:tcPr>
            <w:tcW w:w="656" w:type="pct"/>
            <w:vAlign w:val="center"/>
          </w:tcPr>
          <w:p w14:paraId="078FF87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0.79</w:t>
            </w:r>
          </w:p>
        </w:tc>
        <w:tc>
          <w:tcPr>
            <w:tcW w:w="657" w:type="pct"/>
            <w:vAlign w:val="center"/>
          </w:tcPr>
          <w:p w14:paraId="24C5CF1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262.20</w:t>
            </w:r>
          </w:p>
        </w:tc>
        <w:tc>
          <w:tcPr>
            <w:tcW w:w="656" w:type="pct"/>
            <w:vAlign w:val="center"/>
          </w:tcPr>
          <w:p w14:paraId="1C90133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0.79</w:t>
            </w:r>
          </w:p>
        </w:tc>
        <w:tc>
          <w:tcPr>
            <w:tcW w:w="664" w:type="pct"/>
            <w:vAlign w:val="center"/>
          </w:tcPr>
          <w:p w14:paraId="4F724F7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276.51</w:t>
            </w:r>
          </w:p>
        </w:tc>
      </w:tr>
      <w:tr w14:paraId="06613B8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9" w:hRule="atLeast"/>
          <w:jc w:val="center"/>
        </w:trPr>
        <w:tc>
          <w:tcPr>
            <w:tcW w:w="1051" w:type="pct"/>
            <w:vAlign w:val="center"/>
          </w:tcPr>
          <w:p w14:paraId="19CDFBC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第一类潮汐特征值</w:t>
            </w:r>
          </w:p>
        </w:tc>
        <w:tc>
          <w:tcPr>
            <w:tcW w:w="1313" w:type="pct"/>
            <w:gridSpan w:val="2"/>
            <w:vAlign w:val="center"/>
          </w:tcPr>
          <w:p w14:paraId="397E47D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3.12</w:t>
            </w:r>
          </w:p>
        </w:tc>
        <w:tc>
          <w:tcPr>
            <w:tcW w:w="1313" w:type="pct"/>
            <w:gridSpan w:val="2"/>
            <w:vAlign w:val="center"/>
          </w:tcPr>
          <w:p w14:paraId="650A5DB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3.10</w:t>
            </w:r>
          </w:p>
        </w:tc>
        <w:tc>
          <w:tcPr>
            <w:tcW w:w="1321" w:type="pct"/>
            <w:gridSpan w:val="2"/>
            <w:vAlign w:val="center"/>
          </w:tcPr>
          <w:p w14:paraId="4E0E1B2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3.08</w:t>
            </w:r>
          </w:p>
        </w:tc>
      </w:tr>
      <w:tr w14:paraId="2D4C0DC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64" w:hRule="atLeast"/>
          <w:jc w:val="center"/>
        </w:trPr>
        <w:tc>
          <w:tcPr>
            <w:tcW w:w="1051" w:type="pct"/>
            <w:vAlign w:val="center"/>
          </w:tcPr>
          <w:p w14:paraId="39F1BDB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第二类潮汐特征值</w:t>
            </w:r>
          </w:p>
        </w:tc>
        <w:tc>
          <w:tcPr>
            <w:tcW w:w="1313" w:type="pct"/>
            <w:gridSpan w:val="2"/>
            <w:vAlign w:val="center"/>
          </w:tcPr>
          <w:p w14:paraId="09D8339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4.37</w:t>
            </w:r>
          </w:p>
        </w:tc>
        <w:tc>
          <w:tcPr>
            <w:tcW w:w="1313" w:type="pct"/>
            <w:gridSpan w:val="2"/>
            <w:vAlign w:val="center"/>
          </w:tcPr>
          <w:p w14:paraId="798ECDE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4.35</w:t>
            </w:r>
          </w:p>
        </w:tc>
        <w:tc>
          <w:tcPr>
            <w:tcW w:w="1321" w:type="pct"/>
            <w:gridSpan w:val="2"/>
            <w:vAlign w:val="center"/>
          </w:tcPr>
          <w:p w14:paraId="7EFE25B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4.32</w:t>
            </w:r>
          </w:p>
        </w:tc>
      </w:tr>
    </w:tbl>
    <w:p w14:paraId="530CD0E4">
      <w:pPr>
        <w:pStyle w:val="6"/>
        <w:rPr>
          <w:color w:val="000000" w:themeColor="text1"/>
          <w:kern w:val="0"/>
          <w:szCs w:val="22"/>
          <w14:textFill>
            <w14:solidFill>
              <w14:schemeClr w14:val="tx1"/>
            </w14:solidFill>
          </w14:textFill>
        </w:rPr>
      </w:pPr>
      <w:r>
        <w:rPr>
          <w:rFonts w:hint="eastAsia"/>
          <w:color w:val="000000" w:themeColor="text1"/>
          <w:kern w:val="0"/>
          <w:szCs w:val="22"/>
          <w14:textFill>
            <w14:solidFill>
              <w14:schemeClr w14:val="tx1"/>
            </w14:solidFill>
          </w14:textFill>
        </w:rPr>
        <w:t>潮流分析</w:t>
      </w:r>
    </w:p>
    <w:p w14:paraId="632497CD">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1、实测结果</w:t>
      </w:r>
    </w:p>
    <w:p w14:paraId="3CF7DDD0">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按照项目技术要求，在测区布设V1~V9共计9个定点测站进行了大、小潮汛时连续26个时次的潮流观测，为更清晰地了解测区9个测站的潮流流速、流向分布特征，该处统计了本次大、小潮汛时9个测站各层次的实测最大流速、流向情况。现根据实测资料绘制的潮流矢量图，予以分析。</w:t>
      </w:r>
    </w:p>
    <w:p w14:paraId="511BFB55">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大潮监测时间：2023年4月21日~2023年4月22日，小潮监测时间：2</w:t>
      </w:r>
      <w:r>
        <w:rPr>
          <w:color w:val="000000" w:themeColor="text1"/>
          <w:kern w:val="0"/>
          <w:szCs w:val="20"/>
          <w14:textFill>
            <w14:solidFill>
              <w14:schemeClr w14:val="tx1"/>
            </w14:solidFill>
          </w14:textFill>
        </w:rPr>
        <w:t>023</w:t>
      </w:r>
      <w:r>
        <w:rPr>
          <w:rFonts w:hint="eastAsia"/>
          <w:color w:val="000000" w:themeColor="text1"/>
          <w:kern w:val="0"/>
          <w:szCs w:val="20"/>
          <w14:textFill>
            <w14:solidFill>
              <w14:schemeClr w14:val="tx1"/>
            </w14:solidFill>
          </w14:textFill>
        </w:rPr>
        <w:t>年4月27日</w:t>
      </w:r>
      <w:r>
        <w:rPr>
          <w:color w:val="000000" w:themeColor="text1"/>
          <w:kern w:val="0"/>
          <w:szCs w:val="20"/>
          <w14:textFill>
            <w14:solidFill>
              <w14:schemeClr w14:val="tx1"/>
            </w14:solidFill>
          </w14:textFill>
        </w:rPr>
        <w:t>~2023</w:t>
      </w:r>
      <w:r>
        <w:rPr>
          <w:rFonts w:hint="eastAsia"/>
          <w:color w:val="000000" w:themeColor="text1"/>
          <w:kern w:val="0"/>
          <w:szCs w:val="20"/>
          <w14:textFill>
            <w14:solidFill>
              <w14:schemeClr w14:val="tx1"/>
            </w14:solidFill>
          </w14:textFill>
        </w:rPr>
        <w:t>年4月28日。</w:t>
      </w:r>
    </w:p>
    <w:p w14:paraId="46D886F2">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w:t>
      </w:r>
      <w:r>
        <w:rPr>
          <w:color w:val="000000" w:themeColor="text1"/>
          <w:kern w:val="0"/>
          <w:szCs w:val="20"/>
          <w14:textFill>
            <w14:solidFill>
              <w14:schemeClr w14:val="tx1"/>
            </w14:solidFill>
          </w14:textFill>
        </w:rPr>
        <w:t>1）潮汛期间，测区各站位潮流运动形式以往复流为主。</w:t>
      </w:r>
    </w:p>
    <w:p w14:paraId="37ABD831">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w:t>
      </w:r>
      <w:r>
        <w:rPr>
          <w:color w:val="000000" w:themeColor="text1"/>
          <w:kern w:val="0"/>
          <w:szCs w:val="20"/>
          <w14:textFill>
            <w14:solidFill>
              <w14:schemeClr w14:val="tx1"/>
            </w14:solidFill>
          </w14:textFill>
        </w:rPr>
        <w:t>2）从层次来看，测区普遍上层流速&gt;中层&gt;底层流速。</w:t>
      </w:r>
    </w:p>
    <w:p w14:paraId="2A5A2C6B">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w:t>
      </w:r>
      <w:r>
        <w:rPr>
          <w:color w:val="000000" w:themeColor="text1"/>
          <w:kern w:val="0"/>
          <w:szCs w:val="20"/>
          <w14:textFill>
            <w14:solidFill>
              <w14:schemeClr w14:val="tx1"/>
            </w14:solidFill>
          </w14:textFill>
        </w:rPr>
        <w:t>3）潮流实测最大值为140cm/s，方向为139°</w:t>
      </w:r>
      <w:r>
        <w:rPr>
          <w:rFonts w:hint="eastAsia"/>
          <w:color w:val="000000" w:themeColor="text1"/>
          <w:kern w:val="0"/>
          <w:szCs w:val="20"/>
          <w14:textFill>
            <w14:solidFill>
              <w14:schemeClr w14:val="tx1"/>
            </w14:solidFill>
          </w14:textFill>
        </w:rPr>
        <w:t>，</w:t>
      </w:r>
      <w:r>
        <w:rPr>
          <w:color w:val="000000" w:themeColor="text1"/>
          <w:kern w:val="0"/>
          <w:szCs w:val="20"/>
          <w14:textFill>
            <w14:solidFill>
              <w14:schemeClr w14:val="tx1"/>
            </w14:solidFill>
          </w14:textFill>
        </w:rPr>
        <w:t>发生自V9站位的大潮表层落潮方向。</w:t>
      </w:r>
    </w:p>
    <w:p w14:paraId="678663E2">
      <w:pPr>
        <w:ind w:firstLine="0" w:firstLineChars="0"/>
        <w:jc w:val="center"/>
        <w:rPr>
          <w:b/>
          <w:bCs/>
          <w:color w:val="000000" w:themeColor="text1"/>
          <w:kern w:val="0"/>
          <w:szCs w:val="20"/>
          <w14:textFill>
            <w14:solidFill>
              <w14:schemeClr w14:val="tx1"/>
            </w14:solidFill>
          </w14:textFill>
        </w:rPr>
      </w:pPr>
    </w:p>
    <w:p w14:paraId="4B92A3AD">
      <w:pPr>
        <w:pStyle w:val="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实测潮流最大流速统计结果表</w:t>
      </w:r>
    </w:p>
    <w:tbl>
      <w:tblPr>
        <w:tblStyle w:val="219"/>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1036"/>
        <w:gridCol w:w="1033"/>
        <w:gridCol w:w="1034"/>
        <w:gridCol w:w="1040"/>
        <w:gridCol w:w="1054"/>
        <w:gridCol w:w="1034"/>
        <w:gridCol w:w="1035"/>
        <w:gridCol w:w="1067"/>
      </w:tblGrid>
      <w:tr w14:paraId="5BC7C6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69" w:hRule="atLeast"/>
          <w:tblHeader/>
          <w:jc w:val="center"/>
        </w:trPr>
        <w:tc>
          <w:tcPr>
            <w:tcW w:w="622" w:type="pct"/>
            <w:vMerge w:val="restart"/>
            <w:vAlign w:val="center"/>
          </w:tcPr>
          <w:p w14:paraId="4BAA690F">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站位</w:t>
            </w:r>
          </w:p>
        </w:tc>
        <w:tc>
          <w:tcPr>
            <w:tcW w:w="620" w:type="pct"/>
            <w:vMerge w:val="restart"/>
            <w:vAlign w:val="center"/>
          </w:tcPr>
          <w:p w14:paraId="4599716E">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实测流速</w:t>
            </w:r>
          </w:p>
        </w:tc>
        <w:tc>
          <w:tcPr>
            <w:tcW w:w="1876" w:type="pct"/>
            <w:gridSpan w:val="3"/>
            <w:vAlign w:val="center"/>
          </w:tcPr>
          <w:p w14:paraId="537814F8">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大潮实测潮流最大值（小时、cm/s、°)</w:t>
            </w:r>
          </w:p>
        </w:tc>
        <w:tc>
          <w:tcPr>
            <w:tcW w:w="1881" w:type="pct"/>
            <w:gridSpan w:val="3"/>
            <w:vAlign w:val="center"/>
          </w:tcPr>
          <w:p w14:paraId="250C5C52">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小潮实测潮流最大值（小时、cm/s、°)</w:t>
            </w:r>
          </w:p>
        </w:tc>
      </w:tr>
      <w:tr w14:paraId="50F06B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72" w:hRule="atLeast"/>
          <w:tblHeader/>
          <w:jc w:val="center"/>
        </w:trPr>
        <w:tc>
          <w:tcPr>
            <w:tcW w:w="622" w:type="pct"/>
            <w:vMerge w:val="continue"/>
            <w:vAlign w:val="center"/>
          </w:tcPr>
          <w:p w14:paraId="4D282E38">
            <w:pPr>
              <w:spacing w:line="240" w:lineRule="auto"/>
              <w:ind w:firstLine="0" w:firstLineChars="0"/>
              <w:jc w:val="center"/>
              <w:rPr>
                <w:b/>
                <w:color w:val="000000" w:themeColor="text1"/>
                <w:kern w:val="0"/>
                <w:sz w:val="21"/>
                <w:szCs w:val="21"/>
                <w14:textFill>
                  <w14:solidFill>
                    <w14:schemeClr w14:val="tx1"/>
                  </w14:solidFill>
                </w14:textFill>
              </w:rPr>
            </w:pPr>
          </w:p>
        </w:tc>
        <w:tc>
          <w:tcPr>
            <w:tcW w:w="620" w:type="pct"/>
            <w:vMerge w:val="continue"/>
            <w:vAlign w:val="center"/>
          </w:tcPr>
          <w:p w14:paraId="17571D7B">
            <w:pPr>
              <w:spacing w:line="240" w:lineRule="auto"/>
              <w:ind w:firstLine="0" w:firstLineChars="0"/>
              <w:jc w:val="center"/>
              <w:rPr>
                <w:b/>
                <w:color w:val="000000" w:themeColor="text1"/>
                <w:kern w:val="0"/>
                <w:sz w:val="21"/>
                <w:szCs w:val="21"/>
                <w14:textFill>
                  <w14:solidFill>
                    <w14:schemeClr w14:val="tx1"/>
                  </w14:solidFill>
                </w14:textFill>
              </w:rPr>
            </w:pPr>
          </w:p>
        </w:tc>
        <w:tc>
          <w:tcPr>
            <w:tcW w:w="620" w:type="pct"/>
            <w:vAlign w:val="center"/>
          </w:tcPr>
          <w:p w14:paraId="658401CD">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T</w:t>
            </w:r>
          </w:p>
        </w:tc>
        <w:tc>
          <w:tcPr>
            <w:tcW w:w="624" w:type="pct"/>
            <w:vAlign w:val="center"/>
          </w:tcPr>
          <w:p w14:paraId="578049F6">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V</w:t>
            </w:r>
          </w:p>
        </w:tc>
        <w:tc>
          <w:tcPr>
            <w:tcW w:w="631" w:type="pct"/>
            <w:vAlign w:val="center"/>
          </w:tcPr>
          <w:p w14:paraId="381F4401">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D</w:t>
            </w:r>
          </w:p>
        </w:tc>
        <w:tc>
          <w:tcPr>
            <w:tcW w:w="620" w:type="pct"/>
            <w:vAlign w:val="center"/>
          </w:tcPr>
          <w:p w14:paraId="001E09B3">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T</w:t>
            </w:r>
          </w:p>
        </w:tc>
        <w:tc>
          <w:tcPr>
            <w:tcW w:w="621" w:type="pct"/>
            <w:vAlign w:val="center"/>
          </w:tcPr>
          <w:p w14:paraId="2D3A97A5">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V</w:t>
            </w:r>
          </w:p>
        </w:tc>
        <w:tc>
          <w:tcPr>
            <w:tcW w:w="638" w:type="pct"/>
            <w:vAlign w:val="center"/>
          </w:tcPr>
          <w:p w14:paraId="35DEC8D8">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D</w:t>
            </w:r>
          </w:p>
        </w:tc>
      </w:tr>
      <w:tr w14:paraId="023E16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68" w:hRule="atLeast"/>
          <w:jc w:val="center"/>
        </w:trPr>
        <w:tc>
          <w:tcPr>
            <w:tcW w:w="622" w:type="pct"/>
            <w:vMerge w:val="restart"/>
            <w:vAlign w:val="center"/>
          </w:tcPr>
          <w:p w14:paraId="31AD02E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V1</w:t>
            </w:r>
          </w:p>
        </w:tc>
        <w:tc>
          <w:tcPr>
            <w:tcW w:w="620" w:type="pct"/>
            <w:vAlign w:val="center"/>
          </w:tcPr>
          <w:p w14:paraId="70B6199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620" w:type="pct"/>
            <w:vAlign w:val="center"/>
          </w:tcPr>
          <w:p w14:paraId="7067874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1E172DD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56</w:t>
            </w:r>
          </w:p>
        </w:tc>
        <w:tc>
          <w:tcPr>
            <w:tcW w:w="631" w:type="pct"/>
            <w:vAlign w:val="center"/>
          </w:tcPr>
          <w:p w14:paraId="16F7941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236</w:t>
            </w:r>
          </w:p>
        </w:tc>
        <w:tc>
          <w:tcPr>
            <w:tcW w:w="620" w:type="pct"/>
            <w:vAlign w:val="center"/>
          </w:tcPr>
          <w:p w14:paraId="015A41D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6:00</w:t>
            </w:r>
          </w:p>
        </w:tc>
        <w:tc>
          <w:tcPr>
            <w:tcW w:w="621" w:type="pct"/>
            <w:vAlign w:val="center"/>
          </w:tcPr>
          <w:p w14:paraId="485CDB8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56</w:t>
            </w:r>
          </w:p>
        </w:tc>
        <w:tc>
          <w:tcPr>
            <w:tcW w:w="638" w:type="pct"/>
            <w:vAlign w:val="center"/>
          </w:tcPr>
          <w:p w14:paraId="01AA617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226</w:t>
            </w:r>
          </w:p>
        </w:tc>
      </w:tr>
      <w:tr w14:paraId="1FB5FE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52CAF81B">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413F612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620" w:type="pct"/>
            <w:vAlign w:val="center"/>
          </w:tcPr>
          <w:p w14:paraId="2E9975A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6524D5B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66</w:t>
            </w:r>
          </w:p>
        </w:tc>
        <w:tc>
          <w:tcPr>
            <w:tcW w:w="631" w:type="pct"/>
            <w:vAlign w:val="center"/>
          </w:tcPr>
          <w:p w14:paraId="2940212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237</w:t>
            </w:r>
          </w:p>
        </w:tc>
        <w:tc>
          <w:tcPr>
            <w:tcW w:w="620" w:type="pct"/>
            <w:vAlign w:val="center"/>
          </w:tcPr>
          <w:p w14:paraId="024DBA8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5:00</w:t>
            </w:r>
          </w:p>
        </w:tc>
        <w:tc>
          <w:tcPr>
            <w:tcW w:w="621" w:type="pct"/>
            <w:vAlign w:val="center"/>
          </w:tcPr>
          <w:p w14:paraId="6F0B60A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55</w:t>
            </w:r>
          </w:p>
        </w:tc>
        <w:tc>
          <w:tcPr>
            <w:tcW w:w="638" w:type="pct"/>
            <w:vAlign w:val="center"/>
          </w:tcPr>
          <w:p w14:paraId="16A80F9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228</w:t>
            </w:r>
          </w:p>
        </w:tc>
      </w:tr>
      <w:tr w14:paraId="4124FE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78B2A9D9">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5F9D3F2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620" w:type="pct"/>
            <w:vAlign w:val="center"/>
          </w:tcPr>
          <w:p w14:paraId="6FCD398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1C1EC64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71</w:t>
            </w:r>
          </w:p>
        </w:tc>
        <w:tc>
          <w:tcPr>
            <w:tcW w:w="631" w:type="pct"/>
            <w:vAlign w:val="center"/>
          </w:tcPr>
          <w:p w14:paraId="5CC7405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234</w:t>
            </w:r>
          </w:p>
        </w:tc>
        <w:tc>
          <w:tcPr>
            <w:tcW w:w="620" w:type="pct"/>
            <w:vAlign w:val="center"/>
          </w:tcPr>
          <w:p w14:paraId="72D66AC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6:00</w:t>
            </w:r>
          </w:p>
        </w:tc>
        <w:tc>
          <w:tcPr>
            <w:tcW w:w="621" w:type="pct"/>
            <w:vAlign w:val="center"/>
          </w:tcPr>
          <w:p w14:paraId="7194418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61</w:t>
            </w:r>
          </w:p>
        </w:tc>
        <w:tc>
          <w:tcPr>
            <w:tcW w:w="638" w:type="pct"/>
            <w:vAlign w:val="center"/>
          </w:tcPr>
          <w:p w14:paraId="1711562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205</w:t>
            </w:r>
          </w:p>
        </w:tc>
      </w:tr>
      <w:tr w14:paraId="6A6063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6DF9CEAB">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40F2E4F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620" w:type="pct"/>
            <w:vAlign w:val="center"/>
          </w:tcPr>
          <w:p w14:paraId="40CA590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1F185D4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w:t>
            </w:r>
          </w:p>
        </w:tc>
        <w:tc>
          <w:tcPr>
            <w:tcW w:w="631" w:type="pct"/>
            <w:vAlign w:val="center"/>
          </w:tcPr>
          <w:p w14:paraId="555A86F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236</w:t>
            </w:r>
          </w:p>
        </w:tc>
        <w:tc>
          <w:tcPr>
            <w:tcW w:w="620" w:type="pct"/>
            <w:vAlign w:val="center"/>
          </w:tcPr>
          <w:p w14:paraId="3F15623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8:00</w:t>
            </w:r>
          </w:p>
        </w:tc>
        <w:tc>
          <w:tcPr>
            <w:tcW w:w="621" w:type="pct"/>
            <w:vAlign w:val="center"/>
          </w:tcPr>
          <w:p w14:paraId="134CF09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58</w:t>
            </w:r>
          </w:p>
        </w:tc>
        <w:tc>
          <w:tcPr>
            <w:tcW w:w="638" w:type="pct"/>
            <w:vAlign w:val="center"/>
          </w:tcPr>
          <w:p w14:paraId="433E444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210</w:t>
            </w:r>
          </w:p>
        </w:tc>
      </w:tr>
      <w:tr w14:paraId="1EEEFA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5C7BD458">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604D882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620" w:type="pct"/>
            <w:vAlign w:val="center"/>
          </w:tcPr>
          <w:p w14:paraId="3D7B5DF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11C00F4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57</w:t>
            </w:r>
          </w:p>
        </w:tc>
        <w:tc>
          <w:tcPr>
            <w:tcW w:w="631" w:type="pct"/>
            <w:vAlign w:val="center"/>
          </w:tcPr>
          <w:p w14:paraId="73F162F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236</w:t>
            </w:r>
          </w:p>
        </w:tc>
        <w:tc>
          <w:tcPr>
            <w:tcW w:w="620" w:type="pct"/>
            <w:vAlign w:val="center"/>
          </w:tcPr>
          <w:p w14:paraId="284998C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6:00</w:t>
            </w:r>
          </w:p>
        </w:tc>
        <w:tc>
          <w:tcPr>
            <w:tcW w:w="621" w:type="pct"/>
            <w:vAlign w:val="center"/>
          </w:tcPr>
          <w:p w14:paraId="6F7FC44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54</w:t>
            </w:r>
          </w:p>
        </w:tc>
        <w:tc>
          <w:tcPr>
            <w:tcW w:w="638" w:type="pct"/>
            <w:vAlign w:val="center"/>
          </w:tcPr>
          <w:p w14:paraId="5360A38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209</w:t>
            </w:r>
          </w:p>
        </w:tc>
      </w:tr>
      <w:tr w14:paraId="41E5D4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2A55525E">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4747ADA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620" w:type="pct"/>
            <w:vAlign w:val="center"/>
          </w:tcPr>
          <w:p w14:paraId="0780539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6282995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41</w:t>
            </w:r>
          </w:p>
        </w:tc>
        <w:tc>
          <w:tcPr>
            <w:tcW w:w="631" w:type="pct"/>
            <w:vAlign w:val="center"/>
          </w:tcPr>
          <w:p w14:paraId="34DBBE9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237</w:t>
            </w:r>
          </w:p>
        </w:tc>
        <w:tc>
          <w:tcPr>
            <w:tcW w:w="620" w:type="pct"/>
            <w:vAlign w:val="center"/>
          </w:tcPr>
          <w:p w14:paraId="08774BD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6:00</w:t>
            </w:r>
          </w:p>
        </w:tc>
        <w:tc>
          <w:tcPr>
            <w:tcW w:w="621" w:type="pct"/>
            <w:vAlign w:val="center"/>
          </w:tcPr>
          <w:p w14:paraId="7D3AF20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47</w:t>
            </w:r>
          </w:p>
        </w:tc>
        <w:tc>
          <w:tcPr>
            <w:tcW w:w="638" w:type="pct"/>
            <w:vAlign w:val="center"/>
          </w:tcPr>
          <w:p w14:paraId="7D31953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w:t>
            </w:r>
          </w:p>
        </w:tc>
      </w:tr>
      <w:tr w14:paraId="213FE7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0" w:hRule="atLeast"/>
          <w:jc w:val="center"/>
        </w:trPr>
        <w:tc>
          <w:tcPr>
            <w:tcW w:w="622" w:type="pct"/>
            <w:vMerge w:val="continue"/>
            <w:vAlign w:val="center"/>
          </w:tcPr>
          <w:p w14:paraId="0CC87E1A">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39D5D89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620" w:type="pct"/>
            <w:vAlign w:val="center"/>
          </w:tcPr>
          <w:p w14:paraId="3677732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06E034B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63</w:t>
            </w:r>
          </w:p>
        </w:tc>
        <w:tc>
          <w:tcPr>
            <w:tcW w:w="631" w:type="pct"/>
            <w:vAlign w:val="center"/>
          </w:tcPr>
          <w:p w14:paraId="07E7A8F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238</w:t>
            </w:r>
          </w:p>
        </w:tc>
        <w:tc>
          <w:tcPr>
            <w:tcW w:w="620" w:type="pct"/>
            <w:vAlign w:val="center"/>
          </w:tcPr>
          <w:p w14:paraId="5434671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6:00</w:t>
            </w:r>
          </w:p>
        </w:tc>
        <w:tc>
          <w:tcPr>
            <w:tcW w:w="621" w:type="pct"/>
            <w:vAlign w:val="center"/>
          </w:tcPr>
          <w:p w14:paraId="07E36DC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58</w:t>
            </w:r>
          </w:p>
        </w:tc>
        <w:tc>
          <w:tcPr>
            <w:tcW w:w="638" w:type="pct"/>
            <w:vAlign w:val="center"/>
          </w:tcPr>
          <w:p w14:paraId="0566E9A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215</w:t>
            </w:r>
          </w:p>
        </w:tc>
      </w:tr>
      <w:tr w14:paraId="283B52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restart"/>
            <w:vAlign w:val="center"/>
          </w:tcPr>
          <w:p w14:paraId="4B07054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V2</w:t>
            </w:r>
          </w:p>
        </w:tc>
        <w:tc>
          <w:tcPr>
            <w:tcW w:w="620" w:type="pct"/>
            <w:vAlign w:val="center"/>
          </w:tcPr>
          <w:p w14:paraId="1E48418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620" w:type="pct"/>
            <w:vAlign w:val="center"/>
          </w:tcPr>
          <w:p w14:paraId="2D062C5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21:00</w:t>
            </w:r>
          </w:p>
        </w:tc>
        <w:tc>
          <w:tcPr>
            <w:tcW w:w="624" w:type="pct"/>
            <w:vAlign w:val="center"/>
          </w:tcPr>
          <w:p w14:paraId="3E897DB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44</w:t>
            </w:r>
          </w:p>
        </w:tc>
        <w:tc>
          <w:tcPr>
            <w:tcW w:w="631" w:type="pct"/>
            <w:vAlign w:val="center"/>
          </w:tcPr>
          <w:p w14:paraId="675001C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250</w:t>
            </w:r>
          </w:p>
        </w:tc>
        <w:tc>
          <w:tcPr>
            <w:tcW w:w="620" w:type="pct"/>
            <w:vAlign w:val="center"/>
          </w:tcPr>
          <w:p w14:paraId="56160BD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7:00</w:t>
            </w:r>
          </w:p>
        </w:tc>
        <w:tc>
          <w:tcPr>
            <w:tcW w:w="621" w:type="pct"/>
            <w:vAlign w:val="center"/>
          </w:tcPr>
          <w:p w14:paraId="37A3349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34</w:t>
            </w:r>
          </w:p>
        </w:tc>
        <w:tc>
          <w:tcPr>
            <w:tcW w:w="638" w:type="pct"/>
            <w:vAlign w:val="center"/>
          </w:tcPr>
          <w:p w14:paraId="185B19F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226</w:t>
            </w:r>
          </w:p>
        </w:tc>
      </w:tr>
      <w:tr w14:paraId="14FB69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2FA2E934">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71884A3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620" w:type="pct"/>
            <w:vAlign w:val="center"/>
          </w:tcPr>
          <w:p w14:paraId="48AE479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6AA6C85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56</w:t>
            </w:r>
          </w:p>
        </w:tc>
        <w:tc>
          <w:tcPr>
            <w:tcW w:w="631" w:type="pct"/>
            <w:vAlign w:val="center"/>
          </w:tcPr>
          <w:p w14:paraId="082754C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w:t>
            </w:r>
          </w:p>
        </w:tc>
        <w:tc>
          <w:tcPr>
            <w:tcW w:w="620" w:type="pct"/>
            <w:vAlign w:val="center"/>
          </w:tcPr>
          <w:p w14:paraId="0394545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7:00</w:t>
            </w:r>
          </w:p>
        </w:tc>
        <w:tc>
          <w:tcPr>
            <w:tcW w:w="621" w:type="pct"/>
            <w:vAlign w:val="center"/>
          </w:tcPr>
          <w:p w14:paraId="082A5BD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34</w:t>
            </w:r>
          </w:p>
        </w:tc>
        <w:tc>
          <w:tcPr>
            <w:tcW w:w="638" w:type="pct"/>
            <w:vAlign w:val="center"/>
          </w:tcPr>
          <w:p w14:paraId="71C5571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224</w:t>
            </w:r>
          </w:p>
        </w:tc>
      </w:tr>
      <w:tr w14:paraId="5D8035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6FFC6D32">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309F0F9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620" w:type="pct"/>
            <w:vAlign w:val="center"/>
          </w:tcPr>
          <w:p w14:paraId="6D5537F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1C113FD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72</w:t>
            </w:r>
          </w:p>
        </w:tc>
        <w:tc>
          <w:tcPr>
            <w:tcW w:w="631" w:type="pct"/>
            <w:vAlign w:val="center"/>
          </w:tcPr>
          <w:p w14:paraId="35FB7E6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28</w:t>
            </w:r>
          </w:p>
        </w:tc>
        <w:tc>
          <w:tcPr>
            <w:tcW w:w="620" w:type="pct"/>
            <w:vAlign w:val="center"/>
          </w:tcPr>
          <w:p w14:paraId="7A0E95A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7:00</w:t>
            </w:r>
          </w:p>
        </w:tc>
        <w:tc>
          <w:tcPr>
            <w:tcW w:w="621" w:type="pct"/>
            <w:vAlign w:val="center"/>
          </w:tcPr>
          <w:p w14:paraId="2325A49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w:t>
            </w:r>
          </w:p>
        </w:tc>
        <w:tc>
          <w:tcPr>
            <w:tcW w:w="638" w:type="pct"/>
            <w:vAlign w:val="center"/>
          </w:tcPr>
          <w:p w14:paraId="5AA40AF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225</w:t>
            </w:r>
          </w:p>
        </w:tc>
      </w:tr>
      <w:tr w14:paraId="0B3368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6E770BAB">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354D3F1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620" w:type="pct"/>
            <w:vAlign w:val="center"/>
          </w:tcPr>
          <w:p w14:paraId="5E754B2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3E4C595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82</w:t>
            </w:r>
          </w:p>
        </w:tc>
        <w:tc>
          <w:tcPr>
            <w:tcW w:w="631" w:type="pct"/>
            <w:vAlign w:val="center"/>
          </w:tcPr>
          <w:p w14:paraId="4056AB9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42</w:t>
            </w:r>
          </w:p>
        </w:tc>
        <w:tc>
          <w:tcPr>
            <w:tcW w:w="620" w:type="pct"/>
            <w:vAlign w:val="center"/>
          </w:tcPr>
          <w:p w14:paraId="721077B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7:00</w:t>
            </w:r>
          </w:p>
        </w:tc>
        <w:tc>
          <w:tcPr>
            <w:tcW w:w="621" w:type="pct"/>
            <w:vAlign w:val="center"/>
          </w:tcPr>
          <w:p w14:paraId="0ED4E07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w:t>
            </w:r>
          </w:p>
        </w:tc>
        <w:tc>
          <w:tcPr>
            <w:tcW w:w="638" w:type="pct"/>
            <w:vAlign w:val="center"/>
          </w:tcPr>
          <w:p w14:paraId="18F29C0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255</w:t>
            </w:r>
          </w:p>
        </w:tc>
      </w:tr>
      <w:tr w14:paraId="118984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337BF254">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0F06CCD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620" w:type="pct"/>
            <w:vAlign w:val="center"/>
          </w:tcPr>
          <w:p w14:paraId="6801146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73E505B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78</w:t>
            </w:r>
          </w:p>
        </w:tc>
        <w:tc>
          <w:tcPr>
            <w:tcW w:w="631" w:type="pct"/>
            <w:vAlign w:val="center"/>
          </w:tcPr>
          <w:p w14:paraId="732E0F6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38</w:t>
            </w:r>
          </w:p>
        </w:tc>
        <w:tc>
          <w:tcPr>
            <w:tcW w:w="620" w:type="pct"/>
            <w:vAlign w:val="center"/>
          </w:tcPr>
          <w:p w14:paraId="6654F5F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7:00</w:t>
            </w:r>
          </w:p>
        </w:tc>
        <w:tc>
          <w:tcPr>
            <w:tcW w:w="621" w:type="pct"/>
            <w:vAlign w:val="center"/>
          </w:tcPr>
          <w:p w14:paraId="4CF6DB8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33</w:t>
            </w:r>
          </w:p>
        </w:tc>
        <w:tc>
          <w:tcPr>
            <w:tcW w:w="638" w:type="pct"/>
            <w:vAlign w:val="center"/>
          </w:tcPr>
          <w:p w14:paraId="225EF3E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240</w:t>
            </w:r>
          </w:p>
        </w:tc>
      </w:tr>
      <w:tr w14:paraId="2287B7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25377AC9">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687D33D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620" w:type="pct"/>
            <w:vAlign w:val="center"/>
          </w:tcPr>
          <w:p w14:paraId="08959C0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0588749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90</w:t>
            </w:r>
          </w:p>
        </w:tc>
        <w:tc>
          <w:tcPr>
            <w:tcW w:w="631" w:type="pct"/>
            <w:vAlign w:val="center"/>
          </w:tcPr>
          <w:p w14:paraId="778805E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34</w:t>
            </w:r>
          </w:p>
        </w:tc>
        <w:tc>
          <w:tcPr>
            <w:tcW w:w="620" w:type="pct"/>
            <w:vAlign w:val="center"/>
          </w:tcPr>
          <w:p w14:paraId="52E8113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7:00</w:t>
            </w:r>
          </w:p>
        </w:tc>
        <w:tc>
          <w:tcPr>
            <w:tcW w:w="621" w:type="pct"/>
            <w:vAlign w:val="center"/>
          </w:tcPr>
          <w:p w14:paraId="11E3CBC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33</w:t>
            </w:r>
          </w:p>
        </w:tc>
        <w:tc>
          <w:tcPr>
            <w:tcW w:w="638" w:type="pct"/>
            <w:vAlign w:val="center"/>
          </w:tcPr>
          <w:p w14:paraId="746558C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w:t>
            </w:r>
          </w:p>
        </w:tc>
      </w:tr>
      <w:tr w14:paraId="299719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6245E23C">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5353A8B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620" w:type="pct"/>
            <w:vAlign w:val="center"/>
          </w:tcPr>
          <w:p w14:paraId="221CB94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6100CE5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79</w:t>
            </w:r>
          </w:p>
        </w:tc>
        <w:tc>
          <w:tcPr>
            <w:tcW w:w="631" w:type="pct"/>
            <w:vAlign w:val="center"/>
          </w:tcPr>
          <w:p w14:paraId="10719CC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37</w:t>
            </w:r>
          </w:p>
        </w:tc>
        <w:tc>
          <w:tcPr>
            <w:tcW w:w="620" w:type="pct"/>
            <w:vAlign w:val="center"/>
          </w:tcPr>
          <w:p w14:paraId="1D390A3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7:00</w:t>
            </w:r>
          </w:p>
        </w:tc>
        <w:tc>
          <w:tcPr>
            <w:tcW w:w="621" w:type="pct"/>
            <w:vAlign w:val="center"/>
          </w:tcPr>
          <w:p w14:paraId="30608C7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36</w:t>
            </w:r>
          </w:p>
        </w:tc>
        <w:tc>
          <w:tcPr>
            <w:tcW w:w="638" w:type="pct"/>
            <w:vAlign w:val="center"/>
          </w:tcPr>
          <w:p w14:paraId="218C4AF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232</w:t>
            </w:r>
          </w:p>
        </w:tc>
      </w:tr>
      <w:tr w14:paraId="5804D7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restart"/>
            <w:vAlign w:val="center"/>
          </w:tcPr>
          <w:p w14:paraId="5A7A99C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V3</w:t>
            </w:r>
          </w:p>
        </w:tc>
        <w:tc>
          <w:tcPr>
            <w:tcW w:w="620" w:type="pct"/>
            <w:vAlign w:val="center"/>
          </w:tcPr>
          <w:p w14:paraId="45E3356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620" w:type="pct"/>
            <w:vAlign w:val="center"/>
          </w:tcPr>
          <w:p w14:paraId="111B181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20:00</w:t>
            </w:r>
          </w:p>
        </w:tc>
        <w:tc>
          <w:tcPr>
            <w:tcW w:w="624" w:type="pct"/>
            <w:vAlign w:val="center"/>
          </w:tcPr>
          <w:p w14:paraId="064DBD0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51</w:t>
            </w:r>
          </w:p>
        </w:tc>
        <w:tc>
          <w:tcPr>
            <w:tcW w:w="631" w:type="pct"/>
            <w:vAlign w:val="center"/>
          </w:tcPr>
          <w:p w14:paraId="1BF4913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262</w:t>
            </w:r>
          </w:p>
        </w:tc>
        <w:tc>
          <w:tcPr>
            <w:tcW w:w="620" w:type="pct"/>
            <w:vAlign w:val="center"/>
          </w:tcPr>
          <w:p w14:paraId="73C97BA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17:00</w:t>
            </w:r>
          </w:p>
        </w:tc>
        <w:tc>
          <w:tcPr>
            <w:tcW w:w="621" w:type="pct"/>
            <w:vAlign w:val="center"/>
          </w:tcPr>
          <w:p w14:paraId="7D807FB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37</w:t>
            </w:r>
          </w:p>
        </w:tc>
        <w:tc>
          <w:tcPr>
            <w:tcW w:w="638" w:type="pct"/>
            <w:vAlign w:val="center"/>
          </w:tcPr>
          <w:p w14:paraId="5AE50A4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302</w:t>
            </w:r>
          </w:p>
        </w:tc>
      </w:tr>
      <w:tr w14:paraId="0FCB7F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187D5BDB">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5C0B9A9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620" w:type="pct"/>
            <w:vAlign w:val="center"/>
          </w:tcPr>
          <w:p w14:paraId="48C9864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11:00</w:t>
            </w:r>
          </w:p>
        </w:tc>
        <w:tc>
          <w:tcPr>
            <w:tcW w:w="624" w:type="pct"/>
            <w:vAlign w:val="center"/>
          </w:tcPr>
          <w:p w14:paraId="3E5AE5E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47</w:t>
            </w:r>
          </w:p>
        </w:tc>
        <w:tc>
          <w:tcPr>
            <w:tcW w:w="631" w:type="pct"/>
            <w:vAlign w:val="center"/>
          </w:tcPr>
          <w:p w14:paraId="6E39A12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260</w:t>
            </w:r>
          </w:p>
        </w:tc>
        <w:tc>
          <w:tcPr>
            <w:tcW w:w="620" w:type="pct"/>
            <w:vAlign w:val="center"/>
          </w:tcPr>
          <w:p w14:paraId="7372B76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16:00</w:t>
            </w:r>
          </w:p>
        </w:tc>
        <w:tc>
          <w:tcPr>
            <w:tcW w:w="621" w:type="pct"/>
            <w:vAlign w:val="center"/>
          </w:tcPr>
          <w:p w14:paraId="4731E78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w:t>
            </w:r>
          </w:p>
        </w:tc>
        <w:tc>
          <w:tcPr>
            <w:tcW w:w="638" w:type="pct"/>
            <w:vAlign w:val="center"/>
          </w:tcPr>
          <w:p w14:paraId="19E598C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r>
      <w:tr w14:paraId="02F1A2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2868010D">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6B5E05C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620" w:type="pct"/>
            <w:vAlign w:val="center"/>
          </w:tcPr>
          <w:p w14:paraId="651F4CA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21:00</w:t>
            </w:r>
          </w:p>
        </w:tc>
        <w:tc>
          <w:tcPr>
            <w:tcW w:w="624" w:type="pct"/>
            <w:vAlign w:val="center"/>
          </w:tcPr>
          <w:p w14:paraId="7DC6EB6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46</w:t>
            </w:r>
          </w:p>
        </w:tc>
        <w:tc>
          <w:tcPr>
            <w:tcW w:w="631" w:type="pct"/>
            <w:vAlign w:val="center"/>
          </w:tcPr>
          <w:p w14:paraId="19CBF30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w:t>
            </w:r>
          </w:p>
        </w:tc>
        <w:tc>
          <w:tcPr>
            <w:tcW w:w="620" w:type="pct"/>
            <w:vAlign w:val="center"/>
          </w:tcPr>
          <w:p w14:paraId="4D7FB6D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16:00</w:t>
            </w:r>
          </w:p>
        </w:tc>
        <w:tc>
          <w:tcPr>
            <w:tcW w:w="621" w:type="pct"/>
            <w:vAlign w:val="center"/>
          </w:tcPr>
          <w:p w14:paraId="3AB957F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36</w:t>
            </w:r>
          </w:p>
        </w:tc>
        <w:tc>
          <w:tcPr>
            <w:tcW w:w="638" w:type="pct"/>
            <w:vAlign w:val="center"/>
          </w:tcPr>
          <w:p w14:paraId="766B1CE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292</w:t>
            </w:r>
          </w:p>
        </w:tc>
      </w:tr>
      <w:tr w14:paraId="50D8AF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039C88E2">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50AEB7B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620" w:type="pct"/>
            <w:vAlign w:val="center"/>
          </w:tcPr>
          <w:p w14:paraId="3F9AB08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9:00</w:t>
            </w:r>
          </w:p>
        </w:tc>
        <w:tc>
          <w:tcPr>
            <w:tcW w:w="624" w:type="pct"/>
            <w:vAlign w:val="center"/>
          </w:tcPr>
          <w:p w14:paraId="5197C8D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39</w:t>
            </w:r>
          </w:p>
        </w:tc>
        <w:tc>
          <w:tcPr>
            <w:tcW w:w="631" w:type="pct"/>
            <w:vAlign w:val="center"/>
          </w:tcPr>
          <w:p w14:paraId="6D1CE65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249</w:t>
            </w:r>
          </w:p>
        </w:tc>
        <w:tc>
          <w:tcPr>
            <w:tcW w:w="620" w:type="pct"/>
            <w:vAlign w:val="center"/>
          </w:tcPr>
          <w:p w14:paraId="3981500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11:00</w:t>
            </w:r>
          </w:p>
        </w:tc>
        <w:tc>
          <w:tcPr>
            <w:tcW w:w="621" w:type="pct"/>
            <w:vAlign w:val="center"/>
          </w:tcPr>
          <w:p w14:paraId="47B3F6E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w:t>
            </w:r>
          </w:p>
        </w:tc>
        <w:tc>
          <w:tcPr>
            <w:tcW w:w="638" w:type="pct"/>
            <w:vAlign w:val="center"/>
          </w:tcPr>
          <w:p w14:paraId="5C07EF3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262</w:t>
            </w:r>
          </w:p>
        </w:tc>
      </w:tr>
      <w:tr w14:paraId="672CE2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41BC72D7">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17902B0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620" w:type="pct"/>
            <w:vAlign w:val="center"/>
          </w:tcPr>
          <w:p w14:paraId="751EE8D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8:00</w:t>
            </w:r>
          </w:p>
        </w:tc>
        <w:tc>
          <w:tcPr>
            <w:tcW w:w="624" w:type="pct"/>
            <w:vAlign w:val="center"/>
          </w:tcPr>
          <w:p w14:paraId="013F5A8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28</w:t>
            </w:r>
          </w:p>
        </w:tc>
        <w:tc>
          <w:tcPr>
            <w:tcW w:w="631" w:type="pct"/>
            <w:vAlign w:val="center"/>
          </w:tcPr>
          <w:p w14:paraId="39CF81D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274</w:t>
            </w:r>
          </w:p>
        </w:tc>
        <w:tc>
          <w:tcPr>
            <w:tcW w:w="620" w:type="pct"/>
            <w:vAlign w:val="center"/>
          </w:tcPr>
          <w:p w14:paraId="277F465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12:00</w:t>
            </w:r>
          </w:p>
        </w:tc>
        <w:tc>
          <w:tcPr>
            <w:tcW w:w="621" w:type="pct"/>
            <w:vAlign w:val="center"/>
          </w:tcPr>
          <w:p w14:paraId="6124C16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w:t>
            </w:r>
          </w:p>
        </w:tc>
        <w:tc>
          <w:tcPr>
            <w:tcW w:w="638" w:type="pct"/>
            <w:vAlign w:val="center"/>
          </w:tcPr>
          <w:p w14:paraId="615E179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292</w:t>
            </w:r>
          </w:p>
        </w:tc>
      </w:tr>
      <w:tr w14:paraId="50B8CB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37DE9912">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4605D1F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620" w:type="pct"/>
            <w:vAlign w:val="center"/>
          </w:tcPr>
          <w:p w14:paraId="7D9AE2D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7:00</w:t>
            </w:r>
          </w:p>
        </w:tc>
        <w:tc>
          <w:tcPr>
            <w:tcW w:w="624" w:type="pct"/>
            <w:vAlign w:val="center"/>
          </w:tcPr>
          <w:p w14:paraId="56119C0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w:t>
            </w:r>
          </w:p>
        </w:tc>
        <w:tc>
          <w:tcPr>
            <w:tcW w:w="631" w:type="pct"/>
            <w:vAlign w:val="center"/>
          </w:tcPr>
          <w:p w14:paraId="189A858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278</w:t>
            </w:r>
          </w:p>
        </w:tc>
        <w:tc>
          <w:tcPr>
            <w:tcW w:w="620" w:type="pct"/>
            <w:vAlign w:val="center"/>
          </w:tcPr>
          <w:p w14:paraId="6CE4096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11:00</w:t>
            </w:r>
          </w:p>
        </w:tc>
        <w:tc>
          <w:tcPr>
            <w:tcW w:w="621" w:type="pct"/>
            <w:vAlign w:val="center"/>
          </w:tcPr>
          <w:p w14:paraId="24C33FF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w:t>
            </w:r>
          </w:p>
        </w:tc>
        <w:tc>
          <w:tcPr>
            <w:tcW w:w="638" w:type="pct"/>
            <w:vAlign w:val="center"/>
          </w:tcPr>
          <w:p w14:paraId="4C39CD1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280</w:t>
            </w:r>
          </w:p>
        </w:tc>
      </w:tr>
      <w:tr w14:paraId="425640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4C35949F">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098F258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620" w:type="pct"/>
            <w:vAlign w:val="center"/>
          </w:tcPr>
          <w:p w14:paraId="3CBD012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9:00</w:t>
            </w:r>
          </w:p>
        </w:tc>
        <w:tc>
          <w:tcPr>
            <w:tcW w:w="624" w:type="pct"/>
            <w:vAlign w:val="center"/>
          </w:tcPr>
          <w:p w14:paraId="365180E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37</w:t>
            </w:r>
          </w:p>
        </w:tc>
        <w:tc>
          <w:tcPr>
            <w:tcW w:w="631" w:type="pct"/>
            <w:vAlign w:val="center"/>
          </w:tcPr>
          <w:p w14:paraId="4F7378D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244</w:t>
            </w:r>
          </w:p>
        </w:tc>
        <w:tc>
          <w:tcPr>
            <w:tcW w:w="620" w:type="pct"/>
            <w:vAlign w:val="center"/>
          </w:tcPr>
          <w:p w14:paraId="104EE2D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16:00</w:t>
            </w:r>
          </w:p>
        </w:tc>
        <w:tc>
          <w:tcPr>
            <w:tcW w:w="621" w:type="pct"/>
            <w:vAlign w:val="center"/>
          </w:tcPr>
          <w:p w14:paraId="29A50DD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w:t>
            </w:r>
          </w:p>
        </w:tc>
        <w:tc>
          <w:tcPr>
            <w:tcW w:w="638" w:type="pct"/>
            <w:vAlign w:val="center"/>
          </w:tcPr>
          <w:p w14:paraId="3BB0840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292</w:t>
            </w:r>
          </w:p>
        </w:tc>
      </w:tr>
      <w:tr w14:paraId="3D53FB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restart"/>
            <w:vAlign w:val="center"/>
          </w:tcPr>
          <w:p w14:paraId="0289A0B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w:t>
            </w:r>
            <w:r>
              <w:rPr>
                <w:rFonts w:hint="eastAsia"/>
                <w:color w:val="000000" w:themeColor="text1"/>
                <w:kern w:val="0"/>
                <w:sz w:val="21"/>
                <w:szCs w:val="21"/>
                <w14:textFill>
                  <w14:solidFill>
                    <w14:schemeClr w14:val="tx1"/>
                  </w14:solidFill>
                </w14:textFill>
              </w:rPr>
              <w:t>4</w:t>
            </w:r>
          </w:p>
        </w:tc>
        <w:tc>
          <w:tcPr>
            <w:tcW w:w="620" w:type="pct"/>
            <w:vAlign w:val="center"/>
          </w:tcPr>
          <w:p w14:paraId="2FBACF7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620" w:type="pct"/>
            <w:vAlign w:val="center"/>
          </w:tcPr>
          <w:p w14:paraId="5F33C43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0:00</w:t>
            </w:r>
          </w:p>
        </w:tc>
        <w:tc>
          <w:tcPr>
            <w:tcW w:w="624" w:type="pct"/>
            <w:vAlign w:val="center"/>
          </w:tcPr>
          <w:p w14:paraId="0282B34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86</w:t>
            </w:r>
          </w:p>
        </w:tc>
        <w:tc>
          <w:tcPr>
            <w:tcW w:w="631" w:type="pct"/>
            <w:vAlign w:val="center"/>
          </w:tcPr>
          <w:p w14:paraId="27FA871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240</w:t>
            </w:r>
          </w:p>
        </w:tc>
        <w:tc>
          <w:tcPr>
            <w:tcW w:w="620" w:type="pct"/>
            <w:vAlign w:val="center"/>
          </w:tcPr>
          <w:p w14:paraId="5212D3E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621" w:type="pct"/>
            <w:vAlign w:val="center"/>
          </w:tcPr>
          <w:p w14:paraId="31F178E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74</w:t>
            </w:r>
          </w:p>
        </w:tc>
        <w:tc>
          <w:tcPr>
            <w:tcW w:w="638" w:type="pct"/>
            <w:vAlign w:val="center"/>
          </w:tcPr>
          <w:p w14:paraId="031D4CA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248</w:t>
            </w:r>
          </w:p>
        </w:tc>
      </w:tr>
      <w:tr w14:paraId="5A7B2F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6ADA762A">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052ED94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620" w:type="pct"/>
            <w:vAlign w:val="center"/>
          </w:tcPr>
          <w:p w14:paraId="1056E6A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0:00</w:t>
            </w:r>
          </w:p>
        </w:tc>
        <w:tc>
          <w:tcPr>
            <w:tcW w:w="624" w:type="pct"/>
            <w:vAlign w:val="center"/>
          </w:tcPr>
          <w:p w14:paraId="64ECDF9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76</w:t>
            </w:r>
          </w:p>
        </w:tc>
        <w:tc>
          <w:tcPr>
            <w:tcW w:w="631" w:type="pct"/>
            <w:vAlign w:val="center"/>
          </w:tcPr>
          <w:p w14:paraId="6295321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w:t>
            </w:r>
          </w:p>
        </w:tc>
        <w:tc>
          <w:tcPr>
            <w:tcW w:w="620" w:type="pct"/>
            <w:vAlign w:val="center"/>
          </w:tcPr>
          <w:p w14:paraId="366B05A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w:t>
            </w:r>
          </w:p>
        </w:tc>
        <w:tc>
          <w:tcPr>
            <w:tcW w:w="621" w:type="pct"/>
            <w:vAlign w:val="center"/>
          </w:tcPr>
          <w:p w14:paraId="04C66CC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49</w:t>
            </w:r>
          </w:p>
        </w:tc>
        <w:tc>
          <w:tcPr>
            <w:tcW w:w="638" w:type="pct"/>
            <w:vAlign w:val="center"/>
          </w:tcPr>
          <w:p w14:paraId="12205FF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217</w:t>
            </w:r>
          </w:p>
        </w:tc>
      </w:tr>
      <w:tr w14:paraId="46202E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6196BE13">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2EDC75D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620" w:type="pct"/>
            <w:vAlign w:val="center"/>
          </w:tcPr>
          <w:p w14:paraId="0EA7D7D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7569F93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73</w:t>
            </w:r>
          </w:p>
        </w:tc>
        <w:tc>
          <w:tcPr>
            <w:tcW w:w="631" w:type="pct"/>
            <w:vAlign w:val="center"/>
          </w:tcPr>
          <w:p w14:paraId="28929EF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236</w:t>
            </w:r>
          </w:p>
        </w:tc>
        <w:tc>
          <w:tcPr>
            <w:tcW w:w="620" w:type="pct"/>
            <w:vAlign w:val="center"/>
          </w:tcPr>
          <w:p w14:paraId="761C7FB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w:t>
            </w:r>
          </w:p>
        </w:tc>
        <w:tc>
          <w:tcPr>
            <w:tcW w:w="621" w:type="pct"/>
            <w:vAlign w:val="center"/>
          </w:tcPr>
          <w:p w14:paraId="70907F1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46</w:t>
            </w:r>
          </w:p>
        </w:tc>
        <w:tc>
          <w:tcPr>
            <w:tcW w:w="638" w:type="pct"/>
            <w:vAlign w:val="center"/>
          </w:tcPr>
          <w:p w14:paraId="630A03D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228</w:t>
            </w:r>
          </w:p>
        </w:tc>
      </w:tr>
      <w:tr w14:paraId="741F5E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2F0AC000">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48F133A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620" w:type="pct"/>
            <w:vAlign w:val="center"/>
          </w:tcPr>
          <w:p w14:paraId="6E6EA6C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0:00</w:t>
            </w:r>
          </w:p>
        </w:tc>
        <w:tc>
          <w:tcPr>
            <w:tcW w:w="624" w:type="pct"/>
            <w:vAlign w:val="center"/>
          </w:tcPr>
          <w:p w14:paraId="647B86E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77</w:t>
            </w:r>
          </w:p>
        </w:tc>
        <w:tc>
          <w:tcPr>
            <w:tcW w:w="631" w:type="pct"/>
            <w:vAlign w:val="center"/>
          </w:tcPr>
          <w:p w14:paraId="7F84EAD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229</w:t>
            </w:r>
          </w:p>
        </w:tc>
        <w:tc>
          <w:tcPr>
            <w:tcW w:w="620" w:type="pct"/>
            <w:vAlign w:val="center"/>
          </w:tcPr>
          <w:p w14:paraId="013A17E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w:t>
            </w:r>
          </w:p>
        </w:tc>
        <w:tc>
          <w:tcPr>
            <w:tcW w:w="621" w:type="pct"/>
            <w:vAlign w:val="center"/>
          </w:tcPr>
          <w:p w14:paraId="5F53F23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54</w:t>
            </w:r>
          </w:p>
        </w:tc>
        <w:tc>
          <w:tcPr>
            <w:tcW w:w="638" w:type="pct"/>
            <w:vAlign w:val="center"/>
          </w:tcPr>
          <w:p w14:paraId="3C6F588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228</w:t>
            </w:r>
          </w:p>
        </w:tc>
      </w:tr>
      <w:tr w14:paraId="7696CA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restart"/>
            <w:vAlign w:val="center"/>
          </w:tcPr>
          <w:p w14:paraId="41F2F70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V5</w:t>
            </w:r>
          </w:p>
        </w:tc>
        <w:tc>
          <w:tcPr>
            <w:tcW w:w="620" w:type="pct"/>
            <w:vAlign w:val="center"/>
          </w:tcPr>
          <w:p w14:paraId="1D976BA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620" w:type="pct"/>
            <w:vAlign w:val="center"/>
          </w:tcPr>
          <w:p w14:paraId="7B620D9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0:00</w:t>
            </w:r>
          </w:p>
        </w:tc>
        <w:tc>
          <w:tcPr>
            <w:tcW w:w="624" w:type="pct"/>
            <w:vAlign w:val="center"/>
          </w:tcPr>
          <w:p w14:paraId="1042CA8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51</w:t>
            </w:r>
          </w:p>
        </w:tc>
        <w:tc>
          <w:tcPr>
            <w:tcW w:w="631" w:type="pct"/>
            <w:vAlign w:val="center"/>
          </w:tcPr>
          <w:p w14:paraId="332F5E6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160</w:t>
            </w:r>
          </w:p>
        </w:tc>
        <w:tc>
          <w:tcPr>
            <w:tcW w:w="620" w:type="pct"/>
            <w:vAlign w:val="center"/>
          </w:tcPr>
          <w:p w14:paraId="279AA91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5:00</w:t>
            </w:r>
          </w:p>
        </w:tc>
        <w:tc>
          <w:tcPr>
            <w:tcW w:w="621" w:type="pct"/>
            <w:vAlign w:val="center"/>
          </w:tcPr>
          <w:p w14:paraId="716040B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45</w:t>
            </w:r>
          </w:p>
        </w:tc>
        <w:tc>
          <w:tcPr>
            <w:tcW w:w="638" w:type="pct"/>
            <w:vAlign w:val="center"/>
          </w:tcPr>
          <w:p w14:paraId="0C3A2BC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179</w:t>
            </w:r>
          </w:p>
        </w:tc>
      </w:tr>
      <w:tr w14:paraId="6CFEF0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29" w:hRule="atLeast"/>
          <w:jc w:val="center"/>
        </w:trPr>
        <w:tc>
          <w:tcPr>
            <w:tcW w:w="622" w:type="pct"/>
            <w:vMerge w:val="continue"/>
            <w:vAlign w:val="center"/>
          </w:tcPr>
          <w:p w14:paraId="54CA5884">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7CAB751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620" w:type="pct"/>
            <w:vAlign w:val="center"/>
          </w:tcPr>
          <w:p w14:paraId="3387F06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7:00</w:t>
            </w:r>
          </w:p>
        </w:tc>
        <w:tc>
          <w:tcPr>
            <w:tcW w:w="624" w:type="pct"/>
            <w:vAlign w:val="center"/>
          </w:tcPr>
          <w:p w14:paraId="0AA176B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57</w:t>
            </w:r>
          </w:p>
        </w:tc>
        <w:tc>
          <w:tcPr>
            <w:tcW w:w="631" w:type="pct"/>
            <w:vAlign w:val="center"/>
          </w:tcPr>
          <w:p w14:paraId="14A9B1B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c>
          <w:tcPr>
            <w:tcW w:w="620" w:type="pct"/>
            <w:vAlign w:val="center"/>
          </w:tcPr>
          <w:p w14:paraId="1C1B165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6:00</w:t>
            </w:r>
          </w:p>
        </w:tc>
        <w:tc>
          <w:tcPr>
            <w:tcW w:w="621" w:type="pct"/>
            <w:vAlign w:val="center"/>
          </w:tcPr>
          <w:p w14:paraId="1F5FE49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42</w:t>
            </w:r>
          </w:p>
        </w:tc>
        <w:tc>
          <w:tcPr>
            <w:tcW w:w="638" w:type="pct"/>
            <w:vAlign w:val="center"/>
          </w:tcPr>
          <w:p w14:paraId="241D9C4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175</w:t>
            </w:r>
          </w:p>
        </w:tc>
      </w:tr>
      <w:tr w14:paraId="6F7961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7500EE97">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1FEC850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620" w:type="pct"/>
            <w:vAlign w:val="center"/>
          </w:tcPr>
          <w:p w14:paraId="217D988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3295B63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54</w:t>
            </w:r>
          </w:p>
        </w:tc>
        <w:tc>
          <w:tcPr>
            <w:tcW w:w="631" w:type="pct"/>
            <w:vAlign w:val="center"/>
          </w:tcPr>
          <w:p w14:paraId="03BB7BC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178</w:t>
            </w:r>
          </w:p>
        </w:tc>
        <w:tc>
          <w:tcPr>
            <w:tcW w:w="620" w:type="pct"/>
            <w:vAlign w:val="center"/>
          </w:tcPr>
          <w:p w14:paraId="0959EBA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19:00</w:t>
            </w:r>
          </w:p>
        </w:tc>
        <w:tc>
          <w:tcPr>
            <w:tcW w:w="621" w:type="pct"/>
            <w:vAlign w:val="center"/>
          </w:tcPr>
          <w:p w14:paraId="36E96BE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49</w:t>
            </w:r>
          </w:p>
        </w:tc>
        <w:tc>
          <w:tcPr>
            <w:tcW w:w="638" w:type="pct"/>
            <w:vAlign w:val="center"/>
          </w:tcPr>
          <w:p w14:paraId="7A9F6F9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329</w:t>
            </w:r>
          </w:p>
        </w:tc>
      </w:tr>
      <w:tr w14:paraId="47551B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238CD648">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7CC834A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620" w:type="pct"/>
            <w:vAlign w:val="center"/>
          </w:tcPr>
          <w:p w14:paraId="6531779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5BFA552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54</w:t>
            </w:r>
          </w:p>
        </w:tc>
        <w:tc>
          <w:tcPr>
            <w:tcW w:w="631" w:type="pct"/>
            <w:vAlign w:val="center"/>
          </w:tcPr>
          <w:p w14:paraId="52A212D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191</w:t>
            </w:r>
          </w:p>
        </w:tc>
        <w:tc>
          <w:tcPr>
            <w:tcW w:w="620" w:type="pct"/>
            <w:vAlign w:val="center"/>
          </w:tcPr>
          <w:p w14:paraId="42A5847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19:00</w:t>
            </w:r>
          </w:p>
        </w:tc>
        <w:tc>
          <w:tcPr>
            <w:tcW w:w="621" w:type="pct"/>
            <w:vAlign w:val="center"/>
          </w:tcPr>
          <w:p w14:paraId="332B5F9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47</w:t>
            </w:r>
          </w:p>
        </w:tc>
        <w:tc>
          <w:tcPr>
            <w:tcW w:w="638" w:type="pct"/>
            <w:vAlign w:val="center"/>
          </w:tcPr>
          <w:p w14:paraId="3656138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325</w:t>
            </w:r>
          </w:p>
        </w:tc>
      </w:tr>
      <w:tr w14:paraId="3DBAA6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02DA3069">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2138E39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620" w:type="pct"/>
            <w:vAlign w:val="center"/>
          </w:tcPr>
          <w:p w14:paraId="15AEE2D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29C148D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46</w:t>
            </w:r>
          </w:p>
        </w:tc>
        <w:tc>
          <w:tcPr>
            <w:tcW w:w="631" w:type="pct"/>
            <w:vAlign w:val="center"/>
          </w:tcPr>
          <w:p w14:paraId="629EAD0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191</w:t>
            </w:r>
          </w:p>
        </w:tc>
        <w:tc>
          <w:tcPr>
            <w:tcW w:w="620" w:type="pct"/>
            <w:vAlign w:val="center"/>
          </w:tcPr>
          <w:p w14:paraId="7493B58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19:00</w:t>
            </w:r>
          </w:p>
        </w:tc>
        <w:tc>
          <w:tcPr>
            <w:tcW w:w="621" w:type="pct"/>
            <w:vAlign w:val="center"/>
          </w:tcPr>
          <w:p w14:paraId="64C6E1F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42</w:t>
            </w:r>
          </w:p>
        </w:tc>
        <w:tc>
          <w:tcPr>
            <w:tcW w:w="638" w:type="pct"/>
            <w:vAlign w:val="center"/>
          </w:tcPr>
          <w:p w14:paraId="607F8F2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340</w:t>
            </w:r>
          </w:p>
        </w:tc>
      </w:tr>
      <w:tr w14:paraId="6AD2FD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4F2FB39D">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302FF59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620" w:type="pct"/>
            <w:vAlign w:val="center"/>
          </w:tcPr>
          <w:p w14:paraId="0893C2F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624" w:type="pct"/>
            <w:vAlign w:val="center"/>
          </w:tcPr>
          <w:p w14:paraId="5501B8D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36</w:t>
            </w:r>
          </w:p>
        </w:tc>
        <w:tc>
          <w:tcPr>
            <w:tcW w:w="631" w:type="pct"/>
            <w:vAlign w:val="center"/>
          </w:tcPr>
          <w:p w14:paraId="0B84EA2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199</w:t>
            </w:r>
          </w:p>
        </w:tc>
        <w:tc>
          <w:tcPr>
            <w:tcW w:w="620" w:type="pct"/>
            <w:vAlign w:val="center"/>
          </w:tcPr>
          <w:p w14:paraId="3182E99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19:00</w:t>
            </w:r>
          </w:p>
        </w:tc>
        <w:tc>
          <w:tcPr>
            <w:tcW w:w="621" w:type="pct"/>
            <w:vAlign w:val="center"/>
          </w:tcPr>
          <w:p w14:paraId="2832B07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w:t>
            </w:r>
          </w:p>
        </w:tc>
        <w:tc>
          <w:tcPr>
            <w:tcW w:w="638" w:type="pct"/>
            <w:vAlign w:val="center"/>
          </w:tcPr>
          <w:p w14:paraId="1939628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301</w:t>
            </w:r>
          </w:p>
        </w:tc>
      </w:tr>
      <w:tr w14:paraId="723F67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77834C10">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022AB86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620" w:type="pct"/>
            <w:vAlign w:val="center"/>
          </w:tcPr>
          <w:p w14:paraId="6ACC5F3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5DCC069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47</w:t>
            </w:r>
          </w:p>
        </w:tc>
        <w:tc>
          <w:tcPr>
            <w:tcW w:w="631" w:type="pct"/>
            <w:vAlign w:val="center"/>
          </w:tcPr>
          <w:p w14:paraId="6E733D1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181</w:t>
            </w:r>
          </w:p>
        </w:tc>
        <w:tc>
          <w:tcPr>
            <w:tcW w:w="620" w:type="pct"/>
            <w:vAlign w:val="center"/>
          </w:tcPr>
          <w:p w14:paraId="674A5FA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19:00</w:t>
            </w:r>
          </w:p>
        </w:tc>
        <w:tc>
          <w:tcPr>
            <w:tcW w:w="621" w:type="pct"/>
            <w:vAlign w:val="center"/>
          </w:tcPr>
          <w:p w14:paraId="6B7F0F2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42</w:t>
            </w:r>
          </w:p>
        </w:tc>
        <w:tc>
          <w:tcPr>
            <w:tcW w:w="638" w:type="pct"/>
            <w:vAlign w:val="center"/>
          </w:tcPr>
          <w:p w14:paraId="564B8E1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325</w:t>
            </w:r>
          </w:p>
        </w:tc>
      </w:tr>
      <w:tr w14:paraId="36C77B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restart"/>
            <w:vAlign w:val="center"/>
          </w:tcPr>
          <w:p w14:paraId="4A5FF8D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V6</w:t>
            </w:r>
          </w:p>
        </w:tc>
        <w:tc>
          <w:tcPr>
            <w:tcW w:w="620" w:type="pct"/>
            <w:vAlign w:val="center"/>
          </w:tcPr>
          <w:p w14:paraId="635D877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620" w:type="pct"/>
            <w:vAlign w:val="center"/>
          </w:tcPr>
          <w:p w14:paraId="7461B6C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4D526BC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w:t>
            </w:r>
          </w:p>
        </w:tc>
        <w:tc>
          <w:tcPr>
            <w:tcW w:w="631" w:type="pct"/>
            <w:vAlign w:val="center"/>
          </w:tcPr>
          <w:p w14:paraId="4EAAC66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202</w:t>
            </w:r>
          </w:p>
        </w:tc>
        <w:tc>
          <w:tcPr>
            <w:tcW w:w="620" w:type="pct"/>
            <w:vAlign w:val="center"/>
          </w:tcPr>
          <w:p w14:paraId="1127009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17:00</w:t>
            </w:r>
          </w:p>
        </w:tc>
        <w:tc>
          <w:tcPr>
            <w:tcW w:w="621" w:type="pct"/>
            <w:vAlign w:val="center"/>
          </w:tcPr>
          <w:p w14:paraId="14E8D94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w:t>
            </w:r>
          </w:p>
        </w:tc>
        <w:tc>
          <w:tcPr>
            <w:tcW w:w="638" w:type="pct"/>
            <w:vAlign w:val="center"/>
          </w:tcPr>
          <w:p w14:paraId="1CEBB38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36</w:t>
            </w:r>
          </w:p>
        </w:tc>
      </w:tr>
      <w:tr w14:paraId="42B0E4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269D1EF5">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2E4188E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620" w:type="pct"/>
            <w:vAlign w:val="center"/>
          </w:tcPr>
          <w:p w14:paraId="2FD7011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20:00</w:t>
            </w:r>
          </w:p>
        </w:tc>
        <w:tc>
          <w:tcPr>
            <w:tcW w:w="624" w:type="pct"/>
            <w:vAlign w:val="center"/>
          </w:tcPr>
          <w:p w14:paraId="587A6BF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w:t>
            </w:r>
          </w:p>
        </w:tc>
        <w:tc>
          <w:tcPr>
            <w:tcW w:w="631" w:type="pct"/>
            <w:vAlign w:val="center"/>
          </w:tcPr>
          <w:p w14:paraId="5D4BC25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224</w:t>
            </w:r>
          </w:p>
        </w:tc>
        <w:tc>
          <w:tcPr>
            <w:tcW w:w="620" w:type="pct"/>
            <w:vAlign w:val="center"/>
          </w:tcPr>
          <w:p w14:paraId="79C4AB2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17:00</w:t>
            </w:r>
          </w:p>
        </w:tc>
        <w:tc>
          <w:tcPr>
            <w:tcW w:w="621" w:type="pct"/>
            <w:vAlign w:val="center"/>
          </w:tcPr>
          <w:p w14:paraId="3BF19BE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w:t>
            </w:r>
          </w:p>
        </w:tc>
        <w:tc>
          <w:tcPr>
            <w:tcW w:w="638" w:type="pct"/>
            <w:vAlign w:val="center"/>
          </w:tcPr>
          <w:p w14:paraId="1E71CF5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r>
      <w:tr w14:paraId="7CA4ED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124B8AC9">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362CDC6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620" w:type="pct"/>
            <w:vAlign w:val="center"/>
          </w:tcPr>
          <w:p w14:paraId="140EA0E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12:00</w:t>
            </w:r>
          </w:p>
        </w:tc>
        <w:tc>
          <w:tcPr>
            <w:tcW w:w="624" w:type="pct"/>
            <w:vAlign w:val="center"/>
          </w:tcPr>
          <w:p w14:paraId="0B6E0CF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w:t>
            </w:r>
          </w:p>
        </w:tc>
        <w:tc>
          <w:tcPr>
            <w:tcW w:w="631" w:type="pct"/>
            <w:vAlign w:val="center"/>
          </w:tcPr>
          <w:p w14:paraId="302CC61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142</w:t>
            </w:r>
          </w:p>
        </w:tc>
        <w:tc>
          <w:tcPr>
            <w:tcW w:w="620" w:type="pct"/>
            <w:vAlign w:val="center"/>
          </w:tcPr>
          <w:p w14:paraId="5BF342A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000146E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w:t>
            </w:r>
          </w:p>
        </w:tc>
        <w:tc>
          <w:tcPr>
            <w:tcW w:w="638" w:type="pct"/>
            <w:vAlign w:val="center"/>
          </w:tcPr>
          <w:p w14:paraId="6D6AD6E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176</w:t>
            </w:r>
          </w:p>
        </w:tc>
      </w:tr>
      <w:tr w14:paraId="6C8915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1DAFE35F">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4E2992D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620" w:type="pct"/>
            <w:vAlign w:val="center"/>
          </w:tcPr>
          <w:p w14:paraId="2BB3E65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4DCA545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28</w:t>
            </w:r>
          </w:p>
        </w:tc>
        <w:tc>
          <w:tcPr>
            <w:tcW w:w="631" w:type="pct"/>
            <w:vAlign w:val="center"/>
          </w:tcPr>
          <w:p w14:paraId="5F6C4C3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184</w:t>
            </w:r>
          </w:p>
        </w:tc>
        <w:tc>
          <w:tcPr>
            <w:tcW w:w="620" w:type="pct"/>
            <w:vAlign w:val="center"/>
          </w:tcPr>
          <w:p w14:paraId="6F327FC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19:00</w:t>
            </w:r>
          </w:p>
        </w:tc>
        <w:tc>
          <w:tcPr>
            <w:tcW w:w="621" w:type="pct"/>
            <w:vAlign w:val="center"/>
          </w:tcPr>
          <w:p w14:paraId="072371C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w:t>
            </w:r>
          </w:p>
        </w:tc>
        <w:tc>
          <w:tcPr>
            <w:tcW w:w="638" w:type="pct"/>
            <w:vAlign w:val="center"/>
          </w:tcPr>
          <w:p w14:paraId="551F963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w:t>
            </w:r>
          </w:p>
        </w:tc>
      </w:tr>
      <w:tr w14:paraId="70F61A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restart"/>
            <w:vAlign w:val="center"/>
          </w:tcPr>
          <w:p w14:paraId="2DAB53E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V7</w:t>
            </w:r>
          </w:p>
        </w:tc>
        <w:tc>
          <w:tcPr>
            <w:tcW w:w="620" w:type="pct"/>
            <w:vAlign w:val="center"/>
          </w:tcPr>
          <w:p w14:paraId="3AB7899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620" w:type="pct"/>
            <w:vAlign w:val="center"/>
          </w:tcPr>
          <w:p w14:paraId="674D1FA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28BFC45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w:t>
            </w:r>
          </w:p>
        </w:tc>
        <w:tc>
          <w:tcPr>
            <w:tcW w:w="631" w:type="pct"/>
            <w:vAlign w:val="center"/>
          </w:tcPr>
          <w:p w14:paraId="1716422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156</w:t>
            </w:r>
          </w:p>
        </w:tc>
        <w:tc>
          <w:tcPr>
            <w:tcW w:w="620" w:type="pct"/>
            <w:vAlign w:val="center"/>
          </w:tcPr>
          <w:p w14:paraId="3DF3D35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10:00</w:t>
            </w:r>
          </w:p>
        </w:tc>
        <w:tc>
          <w:tcPr>
            <w:tcW w:w="621" w:type="pct"/>
            <w:vAlign w:val="center"/>
          </w:tcPr>
          <w:p w14:paraId="529F902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62</w:t>
            </w:r>
          </w:p>
        </w:tc>
        <w:tc>
          <w:tcPr>
            <w:tcW w:w="638" w:type="pct"/>
            <w:vAlign w:val="center"/>
          </w:tcPr>
          <w:p w14:paraId="4B4B94F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117</w:t>
            </w:r>
          </w:p>
        </w:tc>
      </w:tr>
      <w:tr w14:paraId="67692D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3C69ADC4">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4A01536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620" w:type="pct"/>
            <w:vAlign w:val="center"/>
          </w:tcPr>
          <w:p w14:paraId="62ECAF3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4030B3E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64</w:t>
            </w:r>
          </w:p>
        </w:tc>
        <w:tc>
          <w:tcPr>
            <w:tcW w:w="631" w:type="pct"/>
            <w:vAlign w:val="center"/>
          </w:tcPr>
          <w:p w14:paraId="5B4BAC9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149</w:t>
            </w:r>
          </w:p>
        </w:tc>
        <w:tc>
          <w:tcPr>
            <w:tcW w:w="620" w:type="pct"/>
            <w:vAlign w:val="center"/>
          </w:tcPr>
          <w:p w14:paraId="0B4DBEB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12D76B1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59</w:t>
            </w:r>
          </w:p>
        </w:tc>
        <w:tc>
          <w:tcPr>
            <w:tcW w:w="638" w:type="pct"/>
            <w:vAlign w:val="center"/>
          </w:tcPr>
          <w:p w14:paraId="4371B8D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127</w:t>
            </w:r>
          </w:p>
        </w:tc>
      </w:tr>
      <w:tr w14:paraId="0714E4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398C12BF">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5E2C152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620" w:type="pct"/>
            <w:vAlign w:val="center"/>
          </w:tcPr>
          <w:p w14:paraId="616B78E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4F6BAEF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62</w:t>
            </w:r>
          </w:p>
        </w:tc>
        <w:tc>
          <w:tcPr>
            <w:tcW w:w="631" w:type="pct"/>
            <w:vAlign w:val="center"/>
          </w:tcPr>
          <w:p w14:paraId="31524B2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110</w:t>
            </w:r>
          </w:p>
        </w:tc>
        <w:tc>
          <w:tcPr>
            <w:tcW w:w="620" w:type="pct"/>
            <w:vAlign w:val="center"/>
          </w:tcPr>
          <w:p w14:paraId="25D98CA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702AB31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w:t>
            </w:r>
          </w:p>
        </w:tc>
        <w:tc>
          <w:tcPr>
            <w:tcW w:w="638" w:type="pct"/>
            <w:vAlign w:val="center"/>
          </w:tcPr>
          <w:p w14:paraId="28601DB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136</w:t>
            </w:r>
          </w:p>
        </w:tc>
      </w:tr>
      <w:tr w14:paraId="65EE60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10765550">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22CE646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620" w:type="pct"/>
            <w:vAlign w:val="center"/>
          </w:tcPr>
          <w:p w14:paraId="5C301C4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287B46E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65</w:t>
            </w:r>
          </w:p>
        </w:tc>
        <w:tc>
          <w:tcPr>
            <w:tcW w:w="631" w:type="pct"/>
            <w:vAlign w:val="center"/>
          </w:tcPr>
          <w:p w14:paraId="2D6ED5B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94</w:t>
            </w:r>
          </w:p>
        </w:tc>
        <w:tc>
          <w:tcPr>
            <w:tcW w:w="620" w:type="pct"/>
            <w:vAlign w:val="center"/>
          </w:tcPr>
          <w:p w14:paraId="55342E4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11C987C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55</w:t>
            </w:r>
          </w:p>
        </w:tc>
        <w:tc>
          <w:tcPr>
            <w:tcW w:w="638" w:type="pct"/>
            <w:vAlign w:val="center"/>
          </w:tcPr>
          <w:p w14:paraId="129A5DD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127</w:t>
            </w:r>
          </w:p>
        </w:tc>
      </w:tr>
      <w:tr w14:paraId="7F35F0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78B67414">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49A7925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620" w:type="pct"/>
            <w:vAlign w:val="center"/>
          </w:tcPr>
          <w:p w14:paraId="1AA863D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33BC38A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57</w:t>
            </w:r>
          </w:p>
        </w:tc>
        <w:tc>
          <w:tcPr>
            <w:tcW w:w="631" w:type="pct"/>
            <w:vAlign w:val="center"/>
          </w:tcPr>
          <w:p w14:paraId="73D8042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149</w:t>
            </w:r>
          </w:p>
        </w:tc>
        <w:tc>
          <w:tcPr>
            <w:tcW w:w="620" w:type="pct"/>
            <w:vAlign w:val="center"/>
          </w:tcPr>
          <w:p w14:paraId="7336C8B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5:00</w:t>
            </w:r>
          </w:p>
        </w:tc>
        <w:tc>
          <w:tcPr>
            <w:tcW w:w="621" w:type="pct"/>
            <w:vAlign w:val="center"/>
          </w:tcPr>
          <w:p w14:paraId="5C4F4D6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49</w:t>
            </w:r>
          </w:p>
        </w:tc>
        <w:tc>
          <w:tcPr>
            <w:tcW w:w="638" w:type="pct"/>
            <w:vAlign w:val="center"/>
          </w:tcPr>
          <w:p w14:paraId="2A13861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132</w:t>
            </w:r>
          </w:p>
        </w:tc>
      </w:tr>
      <w:tr w14:paraId="7124B1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6B4418AD">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3BE36CB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620" w:type="pct"/>
            <w:vAlign w:val="center"/>
          </w:tcPr>
          <w:p w14:paraId="0493A0D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5C8E0AB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54</w:t>
            </w:r>
          </w:p>
        </w:tc>
        <w:tc>
          <w:tcPr>
            <w:tcW w:w="631" w:type="pct"/>
            <w:vAlign w:val="center"/>
          </w:tcPr>
          <w:p w14:paraId="4E22151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148</w:t>
            </w:r>
          </w:p>
        </w:tc>
        <w:tc>
          <w:tcPr>
            <w:tcW w:w="620" w:type="pct"/>
            <w:vAlign w:val="center"/>
          </w:tcPr>
          <w:p w14:paraId="04CAAB4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34B7629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w:t>
            </w:r>
          </w:p>
        </w:tc>
        <w:tc>
          <w:tcPr>
            <w:tcW w:w="638" w:type="pct"/>
            <w:vAlign w:val="center"/>
          </w:tcPr>
          <w:p w14:paraId="037E9D1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138</w:t>
            </w:r>
          </w:p>
        </w:tc>
      </w:tr>
      <w:tr w14:paraId="6ADA76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677949DC">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25B477F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620" w:type="pct"/>
            <w:vAlign w:val="center"/>
          </w:tcPr>
          <w:p w14:paraId="4049A41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7EE0042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62</w:t>
            </w:r>
          </w:p>
        </w:tc>
        <w:tc>
          <w:tcPr>
            <w:tcW w:w="631" w:type="pct"/>
            <w:vAlign w:val="center"/>
          </w:tcPr>
          <w:p w14:paraId="312EFD1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143</w:t>
            </w:r>
          </w:p>
        </w:tc>
        <w:tc>
          <w:tcPr>
            <w:tcW w:w="620" w:type="pct"/>
            <w:vAlign w:val="center"/>
          </w:tcPr>
          <w:p w14:paraId="58903D7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28FF9A9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57</w:t>
            </w:r>
          </w:p>
        </w:tc>
        <w:tc>
          <w:tcPr>
            <w:tcW w:w="638" w:type="pct"/>
            <w:vAlign w:val="center"/>
          </w:tcPr>
          <w:p w14:paraId="63946C4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129</w:t>
            </w:r>
          </w:p>
        </w:tc>
      </w:tr>
      <w:tr w14:paraId="0035AA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restart"/>
            <w:vAlign w:val="center"/>
          </w:tcPr>
          <w:p w14:paraId="1C8E5F3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V8</w:t>
            </w:r>
          </w:p>
        </w:tc>
        <w:tc>
          <w:tcPr>
            <w:tcW w:w="620" w:type="pct"/>
            <w:vAlign w:val="center"/>
          </w:tcPr>
          <w:p w14:paraId="4834C09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620" w:type="pct"/>
            <w:vAlign w:val="center"/>
          </w:tcPr>
          <w:p w14:paraId="501F6A8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624" w:type="pct"/>
            <w:vAlign w:val="center"/>
          </w:tcPr>
          <w:p w14:paraId="1FDFC45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97</w:t>
            </w:r>
          </w:p>
        </w:tc>
        <w:tc>
          <w:tcPr>
            <w:tcW w:w="631" w:type="pct"/>
            <w:vAlign w:val="center"/>
          </w:tcPr>
          <w:p w14:paraId="63575AC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163</w:t>
            </w:r>
          </w:p>
        </w:tc>
        <w:tc>
          <w:tcPr>
            <w:tcW w:w="620" w:type="pct"/>
            <w:vAlign w:val="center"/>
          </w:tcPr>
          <w:p w14:paraId="7FC9834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4:00</w:t>
            </w:r>
          </w:p>
        </w:tc>
        <w:tc>
          <w:tcPr>
            <w:tcW w:w="621" w:type="pct"/>
            <w:vAlign w:val="center"/>
          </w:tcPr>
          <w:p w14:paraId="312A118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638" w:type="pct"/>
            <w:vAlign w:val="center"/>
          </w:tcPr>
          <w:p w14:paraId="6DEF42E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151</w:t>
            </w:r>
          </w:p>
        </w:tc>
      </w:tr>
      <w:tr w14:paraId="33EA80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51E2F1B8">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7FD436E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620" w:type="pct"/>
            <w:vAlign w:val="center"/>
          </w:tcPr>
          <w:p w14:paraId="4F78623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18003AD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89</w:t>
            </w:r>
          </w:p>
        </w:tc>
        <w:tc>
          <w:tcPr>
            <w:tcW w:w="631" w:type="pct"/>
            <w:vAlign w:val="center"/>
          </w:tcPr>
          <w:p w14:paraId="1162173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171</w:t>
            </w:r>
          </w:p>
        </w:tc>
        <w:tc>
          <w:tcPr>
            <w:tcW w:w="620" w:type="pct"/>
            <w:vAlign w:val="center"/>
          </w:tcPr>
          <w:p w14:paraId="7B36448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4:00</w:t>
            </w:r>
          </w:p>
        </w:tc>
        <w:tc>
          <w:tcPr>
            <w:tcW w:w="621" w:type="pct"/>
            <w:vAlign w:val="center"/>
          </w:tcPr>
          <w:p w14:paraId="2154787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96</w:t>
            </w:r>
          </w:p>
        </w:tc>
        <w:tc>
          <w:tcPr>
            <w:tcW w:w="638" w:type="pct"/>
            <w:vAlign w:val="center"/>
          </w:tcPr>
          <w:p w14:paraId="43E05E8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159</w:t>
            </w:r>
          </w:p>
        </w:tc>
      </w:tr>
      <w:tr w14:paraId="43CD14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2B960B1B">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5D572B1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620" w:type="pct"/>
            <w:vAlign w:val="center"/>
          </w:tcPr>
          <w:p w14:paraId="25EA779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624" w:type="pct"/>
            <w:vAlign w:val="center"/>
          </w:tcPr>
          <w:p w14:paraId="54A0255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83</w:t>
            </w:r>
          </w:p>
        </w:tc>
        <w:tc>
          <w:tcPr>
            <w:tcW w:w="631" w:type="pct"/>
            <w:vAlign w:val="center"/>
          </w:tcPr>
          <w:p w14:paraId="55E7356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166</w:t>
            </w:r>
          </w:p>
        </w:tc>
        <w:tc>
          <w:tcPr>
            <w:tcW w:w="620" w:type="pct"/>
            <w:vAlign w:val="center"/>
          </w:tcPr>
          <w:p w14:paraId="005916B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4:00</w:t>
            </w:r>
          </w:p>
        </w:tc>
        <w:tc>
          <w:tcPr>
            <w:tcW w:w="621" w:type="pct"/>
            <w:vAlign w:val="center"/>
          </w:tcPr>
          <w:p w14:paraId="6A92CB9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73</w:t>
            </w:r>
          </w:p>
        </w:tc>
        <w:tc>
          <w:tcPr>
            <w:tcW w:w="638" w:type="pct"/>
            <w:vAlign w:val="center"/>
          </w:tcPr>
          <w:p w14:paraId="25E88C5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179</w:t>
            </w:r>
          </w:p>
        </w:tc>
      </w:tr>
      <w:tr w14:paraId="7D4C07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60038220">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0D792EE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620" w:type="pct"/>
            <w:vAlign w:val="center"/>
          </w:tcPr>
          <w:p w14:paraId="287DF8F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1646130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81</w:t>
            </w:r>
          </w:p>
        </w:tc>
        <w:tc>
          <w:tcPr>
            <w:tcW w:w="631" w:type="pct"/>
            <w:vAlign w:val="center"/>
          </w:tcPr>
          <w:p w14:paraId="05AD1C1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171</w:t>
            </w:r>
          </w:p>
        </w:tc>
        <w:tc>
          <w:tcPr>
            <w:tcW w:w="620" w:type="pct"/>
            <w:vAlign w:val="center"/>
          </w:tcPr>
          <w:p w14:paraId="43C20B7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6B9A053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77</w:t>
            </w:r>
          </w:p>
        </w:tc>
        <w:tc>
          <w:tcPr>
            <w:tcW w:w="638" w:type="pct"/>
            <w:vAlign w:val="center"/>
          </w:tcPr>
          <w:p w14:paraId="555E40B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149</w:t>
            </w:r>
          </w:p>
        </w:tc>
      </w:tr>
      <w:tr w14:paraId="5F8B92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5DD05F05">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7FE3C4A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620" w:type="pct"/>
            <w:vAlign w:val="center"/>
          </w:tcPr>
          <w:p w14:paraId="0F2542B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082B218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76</w:t>
            </w:r>
          </w:p>
        </w:tc>
        <w:tc>
          <w:tcPr>
            <w:tcW w:w="631" w:type="pct"/>
            <w:vAlign w:val="center"/>
          </w:tcPr>
          <w:p w14:paraId="09D61BB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179</w:t>
            </w:r>
          </w:p>
        </w:tc>
        <w:tc>
          <w:tcPr>
            <w:tcW w:w="620" w:type="pct"/>
            <w:vAlign w:val="center"/>
          </w:tcPr>
          <w:p w14:paraId="74A2DB1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4:00</w:t>
            </w:r>
          </w:p>
        </w:tc>
        <w:tc>
          <w:tcPr>
            <w:tcW w:w="621" w:type="pct"/>
            <w:vAlign w:val="center"/>
          </w:tcPr>
          <w:p w14:paraId="6FEAB74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w:t>
            </w:r>
          </w:p>
        </w:tc>
        <w:tc>
          <w:tcPr>
            <w:tcW w:w="638" w:type="pct"/>
            <w:vAlign w:val="center"/>
          </w:tcPr>
          <w:p w14:paraId="7AE94ED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173</w:t>
            </w:r>
          </w:p>
        </w:tc>
      </w:tr>
      <w:tr w14:paraId="589B59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446C6DF8">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02120F3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620" w:type="pct"/>
            <w:vAlign w:val="center"/>
          </w:tcPr>
          <w:p w14:paraId="2346498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1981F93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66</w:t>
            </w:r>
          </w:p>
        </w:tc>
        <w:tc>
          <w:tcPr>
            <w:tcW w:w="631" w:type="pct"/>
            <w:vAlign w:val="center"/>
          </w:tcPr>
          <w:p w14:paraId="6BEBA09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177</w:t>
            </w:r>
          </w:p>
        </w:tc>
        <w:tc>
          <w:tcPr>
            <w:tcW w:w="620" w:type="pct"/>
            <w:vAlign w:val="center"/>
          </w:tcPr>
          <w:p w14:paraId="17B0FCD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4:00</w:t>
            </w:r>
          </w:p>
        </w:tc>
        <w:tc>
          <w:tcPr>
            <w:tcW w:w="621" w:type="pct"/>
            <w:vAlign w:val="center"/>
          </w:tcPr>
          <w:p w14:paraId="36E9D28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66</w:t>
            </w:r>
          </w:p>
        </w:tc>
        <w:tc>
          <w:tcPr>
            <w:tcW w:w="638" w:type="pct"/>
            <w:vAlign w:val="center"/>
          </w:tcPr>
          <w:p w14:paraId="33DF983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166</w:t>
            </w:r>
          </w:p>
        </w:tc>
      </w:tr>
      <w:tr w14:paraId="5445F6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35C01C49">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353E127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620" w:type="pct"/>
            <w:vAlign w:val="center"/>
          </w:tcPr>
          <w:p w14:paraId="253F760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7901F65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87</w:t>
            </w:r>
          </w:p>
        </w:tc>
        <w:tc>
          <w:tcPr>
            <w:tcW w:w="631" w:type="pct"/>
            <w:vAlign w:val="center"/>
          </w:tcPr>
          <w:p w14:paraId="20F7503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173</w:t>
            </w:r>
          </w:p>
        </w:tc>
        <w:tc>
          <w:tcPr>
            <w:tcW w:w="620" w:type="pct"/>
            <w:vAlign w:val="center"/>
          </w:tcPr>
          <w:p w14:paraId="78EA2F0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4:00</w:t>
            </w:r>
          </w:p>
        </w:tc>
        <w:tc>
          <w:tcPr>
            <w:tcW w:w="621" w:type="pct"/>
            <w:vAlign w:val="center"/>
          </w:tcPr>
          <w:p w14:paraId="71C34D7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84</w:t>
            </w:r>
          </w:p>
        </w:tc>
        <w:tc>
          <w:tcPr>
            <w:tcW w:w="638" w:type="pct"/>
            <w:vAlign w:val="center"/>
          </w:tcPr>
          <w:p w14:paraId="4A3EB87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168</w:t>
            </w:r>
          </w:p>
        </w:tc>
      </w:tr>
      <w:tr w14:paraId="03AAE4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restart"/>
            <w:vAlign w:val="center"/>
          </w:tcPr>
          <w:p w14:paraId="2ABB408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V9</w:t>
            </w:r>
          </w:p>
        </w:tc>
        <w:tc>
          <w:tcPr>
            <w:tcW w:w="620" w:type="pct"/>
            <w:vAlign w:val="center"/>
          </w:tcPr>
          <w:p w14:paraId="0613E05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620" w:type="pct"/>
            <w:vAlign w:val="center"/>
          </w:tcPr>
          <w:p w14:paraId="4B8C525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1633860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140</w:t>
            </w:r>
          </w:p>
        </w:tc>
        <w:tc>
          <w:tcPr>
            <w:tcW w:w="631" w:type="pct"/>
            <w:vAlign w:val="center"/>
          </w:tcPr>
          <w:p w14:paraId="0214F89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139</w:t>
            </w:r>
          </w:p>
        </w:tc>
        <w:tc>
          <w:tcPr>
            <w:tcW w:w="620" w:type="pct"/>
            <w:vAlign w:val="center"/>
          </w:tcPr>
          <w:p w14:paraId="3198A66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6:00</w:t>
            </w:r>
          </w:p>
        </w:tc>
        <w:tc>
          <w:tcPr>
            <w:tcW w:w="621" w:type="pct"/>
            <w:vAlign w:val="center"/>
          </w:tcPr>
          <w:p w14:paraId="62D1941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116</w:t>
            </w:r>
          </w:p>
        </w:tc>
        <w:tc>
          <w:tcPr>
            <w:tcW w:w="638" w:type="pct"/>
            <w:vAlign w:val="center"/>
          </w:tcPr>
          <w:p w14:paraId="0FDCD84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163</w:t>
            </w:r>
          </w:p>
        </w:tc>
      </w:tr>
      <w:tr w14:paraId="274001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7DAED2F4">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295026F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620" w:type="pct"/>
            <w:vAlign w:val="center"/>
          </w:tcPr>
          <w:p w14:paraId="74E2CBF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018E6E8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138</w:t>
            </w:r>
          </w:p>
        </w:tc>
        <w:tc>
          <w:tcPr>
            <w:tcW w:w="631" w:type="pct"/>
            <w:vAlign w:val="center"/>
          </w:tcPr>
          <w:p w14:paraId="076DD4F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144</w:t>
            </w:r>
          </w:p>
        </w:tc>
        <w:tc>
          <w:tcPr>
            <w:tcW w:w="620" w:type="pct"/>
            <w:vAlign w:val="center"/>
          </w:tcPr>
          <w:p w14:paraId="6FFE571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58AA13E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110</w:t>
            </w:r>
          </w:p>
        </w:tc>
        <w:tc>
          <w:tcPr>
            <w:tcW w:w="638" w:type="pct"/>
            <w:vAlign w:val="center"/>
          </w:tcPr>
          <w:p w14:paraId="2B1F9B6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167</w:t>
            </w:r>
          </w:p>
        </w:tc>
      </w:tr>
      <w:tr w14:paraId="25E44E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1FDD2C91">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4DEA1DB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620" w:type="pct"/>
            <w:vAlign w:val="center"/>
          </w:tcPr>
          <w:p w14:paraId="2FC5AD8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32F5117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124</w:t>
            </w:r>
          </w:p>
        </w:tc>
        <w:tc>
          <w:tcPr>
            <w:tcW w:w="631" w:type="pct"/>
            <w:vAlign w:val="center"/>
          </w:tcPr>
          <w:p w14:paraId="450480E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146</w:t>
            </w:r>
          </w:p>
        </w:tc>
        <w:tc>
          <w:tcPr>
            <w:tcW w:w="620" w:type="pct"/>
            <w:vAlign w:val="center"/>
          </w:tcPr>
          <w:p w14:paraId="19FCB87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229F962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116</w:t>
            </w:r>
          </w:p>
        </w:tc>
        <w:tc>
          <w:tcPr>
            <w:tcW w:w="638" w:type="pct"/>
            <w:vAlign w:val="center"/>
          </w:tcPr>
          <w:p w14:paraId="095D8B3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161</w:t>
            </w:r>
          </w:p>
        </w:tc>
      </w:tr>
      <w:tr w14:paraId="09CE02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0681A0E5">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5E7CD71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620" w:type="pct"/>
            <w:vAlign w:val="center"/>
          </w:tcPr>
          <w:p w14:paraId="1246388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624" w:type="pct"/>
            <w:vAlign w:val="center"/>
          </w:tcPr>
          <w:p w14:paraId="4B2A6CB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109</w:t>
            </w:r>
          </w:p>
        </w:tc>
        <w:tc>
          <w:tcPr>
            <w:tcW w:w="631" w:type="pct"/>
            <w:vAlign w:val="center"/>
          </w:tcPr>
          <w:p w14:paraId="0D70D00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166</w:t>
            </w:r>
          </w:p>
        </w:tc>
        <w:tc>
          <w:tcPr>
            <w:tcW w:w="620" w:type="pct"/>
            <w:vAlign w:val="center"/>
          </w:tcPr>
          <w:p w14:paraId="647DEE6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0972890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114</w:t>
            </w:r>
          </w:p>
        </w:tc>
        <w:tc>
          <w:tcPr>
            <w:tcW w:w="638" w:type="pct"/>
            <w:vAlign w:val="center"/>
          </w:tcPr>
          <w:p w14:paraId="3D3A794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159</w:t>
            </w:r>
          </w:p>
        </w:tc>
      </w:tr>
      <w:tr w14:paraId="4F15BA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67FE0E9E">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3D5CCBD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620" w:type="pct"/>
            <w:vAlign w:val="center"/>
          </w:tcPr>
          <w:p w14:paraId="65568A7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624" w:type="pct"/>
            <w:vAlign w:val="center"/>
          </w:tcPr>
          <w:p w14:paraId="3266EEA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125</w:t>
            </w:r>
          </w:p>
        </w:tc>
        <w:tc>
          <w:tcPr>
            <w:tcW w:w="631" w:type="pct"/>
            <w:vAlign w:val="center"/>
          </w:tcPr>
          <w:p w14:paraId="1704405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153</w:t>
            </w:r>
          </w:p>
        </w:tc>
        <w:tc>
          <w:tcPr>
            <w:tcW w:w="620" w:type="pct"/>
            <w:vAlign w:val="center"/>
          </w:tcPr>
          <w:p w14:paraId="38F7A7F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133D8B6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99</w:t>
            </w:r>
          </w:p>
        </w:tc>
        <w:tc>
          <w:tcPr>
            <w:tcW w:w="638" w:type="pct"/>
            <w:vAlign w:val="center"/>
          </w:tcPr>
          <w:p w14:paraId="3090A9D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151</w:t>
            </w:r>
          </w:p>
        </w:tc>
      </w:tr>
      <w:tr w14:paraId="2D321B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2E8965B8">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40A0AD5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620" w:type="pct"/>
            <w:vAlign w:val="center"/>
          </w:tcPr>
          <w:p w14:paraId="5B9DFE2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0D43414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86</w:t>
            </w:r>
          </w:p>
        </w:tc>
        <w:tc>
          <w:tcPr>
            <w:tcW w:w="631" w:type="pct"/>
            <w:vAlign w:val="center"/>
          </w:tcPr>
          <w:p w14:paraId="2ABC83D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144</w:t>
            </w:r>
          </w:p>
        </w:tc>
        <w:tc>
          <w:tcPr>
            <w:tcW w:w="620" w:type="pct"/>
            <w:vAlign w:val="center"/>
          </w:tcPr>
          <w:p w14:paraId="35CFECE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034DB18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95</w:t>
            </w:r>
          </w:p>
        </w:tc>
        <w:tc>
          <w:tcPr>
            <w:tcW w:w="638" w:type="pct"/>
            <w:vAlign w:val="center"/>
          </w:tcPr>
          <w:p w14:paraId="141FD12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185</w:t>
            </w:r>
          </w:p>
        </w:tc>
      </w:tr>
      <w:tr w14:paraId="06E231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31" w:hRule="atLeast"/>
          <w:jc w:val="center"/>
        </w:trPr>
        <w:tc>
          <w:tcPr>
            <w:tcW w:w="622" w:type="pct"/>
            <w:vMerge w:val="continue"/>
            <w:vAlign w:val="center"/>
          </w:tcPr>
          <w:p w14:paraId="15F3EF0B">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0438C1C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620" w:type="pct"/>
            <w:vAlign w:val="center"/>
          </w:tcPr>
          <w:p w14:paraId="09493E2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6D777EB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123</w:t>
            </w:r>
          </w:p>
        </w:tc>
        <w:tc>
          <w:tcPr>
            <w:tcW w:w="631" w:type="pct"/>
            <w:vAlign w:val="center"/>
          </w:tcPr>
          <w:p w14:paraId="1CA5F45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145</w:t>
            </w:r>
          </w:p>
        </w:tc>
        <w:tc>
          <w:tcPr>
            <w:tcW w:w="620" w:type="pct"/>
            <w:vAlign w:val="center"/>
          </w:tcPr>
          <w:p w14:paraId="58D143E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1C0BD7D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114</w:t>
            </w:r>
          </w:p>
        </w:tc>
        <w:tc>
          <w:tcPr>
            <w:tcW w:w="638" w:type="pct"/>
            <w:vAlign w:val="center"/>
          </w:tcPr>
          <w:p w14:paraId="44A0D8F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164</w:t>
            </w:r>
          </w:p>
        </w:tc>
      </w:tr>
    </w:tbl>
    <w:p w14:paraId="71136A59">
      <w:pPr>
        <w:ind w:firstLine="0" w:firstLineChars="0"/>
        <w:jc w:val="center"/>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drawing>
          <wp:inline distT="0" distB="0" distL="0" distR="0">
            <wp:extent cx="2819400" cy="25908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2819400" cy="2590800"/>
                    </a:xfrm>
                    <a:prstGeom prst="rect">
                      <a:avLst/>
                    </a:prstGeom>
                    <a:noFill/>
                    <a:ln>
                      <a:noFill/>
                    </a:ln>
                    <a:effectLst/>
                  </pic:spPr>
                </pic:pic>
              </a:graphicData>
            </a:graphic>
          </wp:inline>
        </w:drawing>
      </w:r>
      <w:r>
        <w:rPr>
          <w:color w:val="000000" w:themeColor="text1"/>
          <w:kern w:val="0"/>
          <w:szCs w:val="20"/>
          <w14:textFill>
            <w14:solidFill>
              <w14:schemeClr w14:val="tx1"/>
            </w14:solidFill>
          </w14:textFill>
        </w:rPr>
        <w:drawing>
          <wp:inline distT="0" distB="0" distL="0" distR="0">
            <wp:extent cx="2838450" cy="25908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2838450" cy="2590800"/>
                    </a:xfrm>
                    <a:prstGeom prst="rect">
                      <a:avLst/>
                    </a:prstGeom>
                    <a:noFill/>
                    <a:ln>
                      <a:noFill/>
                    </a:ln>
                  </pic:spPr>
                </pic:pic>
              </a:graphicData>
            </a:graphic>
          </wp:inline>
        </w:drawing>
      </w:r>
    </w:p>
    <w:p w14:paraId="63D2D0D7">
      <w:pPr>
        <w:spacing w:line="240" w:lineRule="auto"/>
        <w:ind w:firstLine="2160" w:firstLineChars="90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小潮                                 大潮</w:t>
      </w:r>
    </w:p>
    <w:p w14:paraId="0F6909A0">
      <w:pPr>
        <w:ind w:firstLine="0" w:firstLineChars="0"/>
        <w:jc w:val="center"/>
        <w:rPr>
          <w:b/>
          <w:bCs/>
          <w:color w:val="000000" w:themeColor="text1"/>
          <w:kern w:val="0"/>
          <w:szCs w:val="20"/>
          <w14:textFill>
            <w14:solidFill>
              <w14:schemeClr w14:val="tx1"/>
            </w14:solidFill>
          </w14:textFill>
        </w:rPr>
      </w:pPr>
      <w:r>
        <w:rPr>
          <w:b/>
          <w:bCs/>
          <w:color w:val="000000" w:themeColor="text1"/>
          <w:kern w:val="0"/>
          <w:szCs w:val="20"/>
          <w14:textFill>
            <w14:solidFill>
              <w14:schemeClr w14:val="tx1"/>
            </w14:solidFill>
          </w14:textFill>
        </w:rPr>
        <w:t>图3.</w:t>
      </w:r>
      <w:r>
        <w:rPr>
          <w:rFonts w:hint="eastAsia"/>
          <w:b/>
          <w:bCs/>
          <w:color w:val="000000" w:themeColor="text1"/>
          <w:kern w:val="0"/>
          <w:szCs w:val="20"/>
          <w14:textFill>
            <w14:solidFill>
              <w14:schemeClr w14:val="tx1"/>
            </w14:solidFill>
          </w14:textFill>
        </w:rPr>
        <w:t xml:space="preserve">7-5  </w:t>
      </w:r>
      <w:r>
        <w:rPr>
          <w:b/>
          <w:bCs/>
          <w:color w:val="000000" w:themeColor="text1"/>
          <w:kern w:val="0"/>
          <w:szCs w:val="20"/>
          <w14:textFill>
            <w14:solidFill>
              <w14:schemeClr w14:val="tx1"/>
            </w14:solidFill>
          </w14:textFill>
        </w:rPr>
        <w:t>各潮流站垂线平均潮流矢量图</w:t>
      </w:r>
    </w:p>
    <w:p w14:paraId="2DE198D6">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2、余流</w:t>
      </w:r>
    </w:p>
    <w:p w14:paraId="622D586A">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余流是指剔除周期性变化潮流之后的一种相对稳定的流动。然而由于受分析方法和计算资料序列的限制，本次水文观测各潮流站各层余流数据对比如下表所示。列出的余流值仍可能包含部分尚未被分离的潮流成分，但其结果仍可表征某些统计性的规律。由此可见：</w:t>
      </w:r>
    </w:p>
    <w:p w14:paraId="61B6747E">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w:t>
      </w:r>
      <w:r>
        <w:rPr>
          <w:color w:val="000000" w:themeColor="text1"/>
          <w:kern w:val="0"/>
          <w:szCs w:val="20"/>
          <w14:textFill>
            <w14:solidFill>
              <w14:schemeClr w14:val="tx1"/>
            </w14:solidFill>
          </w14:textFill>
        </w:rPr>
        <w:t>1）测区大潮余流相对较大，整个测验期间的大潮平均余流为5.78cm/s，对应流向226°；小潮平均余流为6.48cm/s，对应流向263°。</w:t>
      </w:r>
    </w:p>
    <w:p w14:paraId="7677032D">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w:t>
      </w:r>
      <w:r>
        <w:rPr>
          <w:color w:val="000000" w:themeColor="text1"/>
          <w:kern w:val="0"/>
          <w:szCs w:val="20"/>
          <w14:textFill>
            <w14:solidFill>
              <w14:schemeClr w14:val="tx1"/>
            </w14:solidFill>
          </w14:textFill>
        </w:rPr>
        <w:t>2）最大余流出现在大潮汛时V3测站表层，流速值为27.32cm/s，对应流向264º。最小余流出现在大潮汛时V6测站底层，流速值为0.74cm/s，对应流向191º。</w:t>
      </w:r>
    </w:p>
    <w:p w14:paraId="6C72C9E2">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w:t>
      </w:r>
      <w:r>
        <w:rPr>
          <w:color w:val="000000" w:themeColor="text1"/>
          <w:kern w:val="0"/>
          <w:szCs w:val="20"/>
          <w14:textFill>
            <w14:solidFill>
              <w14:schemeClr w14:val="tx1"/>
            </w14:solidFill>
          </w14:textFill>
        </w:rPr>
        <w:t>3）此次测验期间，测区9个测站的余流流向整体偏SW-S方向。</w:t>
      </w:r>
    </w:p>
    <w:p w14:paraId="6FCAEB86">
      <w:pPr>
        <w:pStyle w:val="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观测海域期间各潮流站各层余流对比表单位：流速（cm/s），流向（°）</w:t>
      </w:r>
    </w:p>
    <w:tbl>
      <w:tblPr>
        <w:tblStyle w:val="219"/>
        <w:tblW w:w="5003" w:type="pct"/>
        <w:tblInd w:w="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1060"/>
        <w:gridCol w:w="1038"/>
        <w:gridCol w:w="1805"/>
        <w:gridCol w:w="1477"/>
        <w:gridCol w:w="1473"/>
        <w:gridCol w:w="1488"/>
      </w:tblGrid>
      <w:tr w14:paraId="5D9697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4" w:hRule="atLeast"/>
          <w:tblHeader/>
        </w:trPr>
        <w:tc>
          <w:tcPr>
            <w:tcW w:w="635" w:type="pct"/>
            <w:vMerge w:val="restart"/>
            <w:vAlign w:val="center"/>
          </w:tcPr>
          <w:p w14:paraId="749C148B">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站位</w:t>
            </w:r>
          </w:p>
        </w:tc>
        <w:tc>
          <w:tcPr>
            <w:tcW w:w="622" w:type="pct"/>
            <w:vMerge w:val="restart"/>
            <w:vAlign w:val="center"/>
          </w:tcPr>
          <w:p w14:paraId="38FE4DAF">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层次</w:t>
            </w:r>
          </w:p>
        </w:tc>
        <w:tc>
          <w:tcPr>
            <w:tcW w:w="1967" w:type="pct"/>
            <w:gridSpan w:val="2"/>
            <w:vAlign w:val="center"/>
          </w:tcPr>
          <w:p w14:paraId="2F50DD02">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大潮</w:t>
            </w:r>
          </w:p>
        </w:tc>
        <w:tc>
          <w:tcPr>
            <w:tcW w:w="1775" w:type="pct"/>
            <w:gridSpan w:val="2"/>
            <w:vAlign w:val="center"/>
          </w:tcPr>
          <w:p w14:paraId="1513CAC7">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小潮</w:t>
            </w:r>
          </w:p>
        </w:tc>
      </w:tr>
      <w:tr w14:paraId="0A2E01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9" w:hRule="atLeast"/>
          <w:tblHeader/>
        </w:trPr>
        <w:tc>
          <w:tcPr>
            <w:tcW w:w="635" w:type="pct"/>
            <w:vMerge w:val="continue"/>
            <w:vAlign w:val="center"/>
          </w:tcPr>
          <w:p w14:paraId="7FB56AE9">
            <w:pPr>
              <w:spacing w:line="240" w:lineRule="auto"/>
              <w:ind w:firstLine="0" w:firstLineChars="0"/>
              <w:jc w:val="center"/>
              <w:rPr>
                <w:b/>
                <w:color w:val="000000" w:themeColor="text1"/>
                <w:kern w:val="0"/>
                <w:sz w:val="21"/>
                <w:szCs w:val="21"/>
                <w14:textFill>
                  <w14:solidFill>
                    <w14:schemeClr w14:val="tx1"/>
                  </w14:solidFill>
                </w14:textFill>
              </w:rPr>
            </w:pPr>
          </w:p>
        </w:tc>
        <w:tc>
          <w:tcPr>
            <w:tcW w:w="622" w:type="pct"/>
            <w:vMerge w:val="continue"/>
            <w:vAlign w:val="center"/>
          </w:tcPr>
          <w:p w14:paraId="4B99DE8C">
            <w:pPr>
              <w:spacing w:line="240" w:lineRule="auto"/>
              <w:ind w:firstLine="0" w:firstLineChars="0"/>
              <w:jc w:val="center"/>
              <w:rPr>
                <w:b/>
                <w:color w:val="000000" w:themeColor="text1"/>
                <w:kern w:val="0"/>
                <w:sz w:val="21"/>
                <w:szCs w:val="21"/>
                <w14:textFill>
                  <w14:solidFill>
                    <w14:schemeClr w14:val="tx1"/>
                  </w14:solidFill>
                </w14:textFill>
              </w:rPr>
            </w:pPr>
          </w:p>
        </w:tc>
        <w:tc>
          <w:tcPr>
            <w:tcW w:w="1082" w:type="pct"/>
            <w:vAlign w:val="center"/>
          </w:tcPr>
          <w:p w14:paraId="041147E7">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流速</w:t>
            </w:r>
          </w:p>
        </w:tc>
        <w:tc>
          <w:tcPr>
            <w:tcW w:w="885" w:type="pct"/>
            <w:vAlign w:val="center"/>
          </w:tcPr>
          <w:p w14:paraId="5D001BA7">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流向</w:t>
            </w:r>
          </w:p>
        </w:tc>
        <w:tc>
          <w:tcPr>
            <w:tcW w:w="883" w:type="pct"/>
            <w:vAlign w:val="center"/>
          </w:tcPr>
          <w:p w14:paraId="621DC889">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流速</w:t>
            </w:r>
          </w:p>
        </w:tc>
        <w:tc>
          <w:tcPr>
            <w:tcW w:w="891" w:type="pct"/>
            <w:vAlign w:val="center"/>
          </w:tcPr>
          <w:p w14:paraId="56EBAD4B">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流向</w:t>
            </w:r>
          </w:p>
        </w:tc>
      </w:tr>
      <w:tr w14:paraId="40C10F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9" w:hRule="atLeast"/>
        </w:trPr>
        <w:tc>
          <w:tcPr>
            <w:tcW w:w="635" w:type="pct"/>
            <w:vMerge w:val="restart"/>
            <w:vAlign w:val="center"/>
          </w:tcPr>
          <w:p w14:paraId="41B56FC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V1</w:t>
            </w:r>
          </w:p>
        </w:tc>
        <w:tc>
          <w:tcPr>
            <w:tcW w:w="622" w:type="pct"/>
            <w:vAlign w:val="center"/>
          </w:tcPr>
          <w:p w14:paraId="7F45D03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1082" w:type="pct"/>
            <w:vAlign w:val="center"/>
          </w:tcPr>
          <w:p w14:paraId="0B36FB7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24.01</w:t>
            </w:r>
          </w:p>
        </w:tc>
        <w:tc>
          <w:tcPr>
            <w:tcW w:w="885" w:type="pct"/>
            <w:vAlign w:val="center"/>
          </w:tcPr>
          <w:p w14:paraId="7B226A9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249</w:t>
            </w:r>
          </w:p>
        </w:tc>
        <w:tc>
          <w:tcPr>
            <w:tcW w:w="883" w:type="pct"/>
            <w:vAlign w:val="center"/>
          </w:tcPr>
          <w:p w14:paraId="75DC56C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23.63</w:t>
            </w:r>
          </w:p>
        </w:tc>
        <w:tc>
          <w:tcPr>
            <w:tcW w:w="891" w:type="pct"/>
            <w:vAlign w:val="center"/>
          </w:tcPr>
          <w:p w14:paraId="5A3C28E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258</w:t>
            </w:r>
          </w:p>
        </w:tc>
      </w:tr>
      <w:tr w14:paraId="1DBF73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568B9F0C">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18999BE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1082" w:type="pct"/>
            <w:vAlign w:val="center"/>
          </w:tcPr>
          <w:p w14:paraId="6431A5C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26.42</w:t>
            </w:r>
          </w:p>
        </w:tc>
        <w:tc>
          <w:tcPr>
            <w:tcW w:w="885" w:type="pct"/>
            <w:vAlign w:val="center"/>
          </w:tcPr>
          <w:p w14:paraId="21588A3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245</w:t>
            </w:r>
          </w:p>
        </w:tc>
        <w:tc>
          <w:tcPr>
            <w:tcW w:w="883" w:type="pct"/>
            <w:vAlign w:val="center"/>
          </w:tcPr>
          <w:p w14:paraId="0121EC2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23.32</w:t>
            </w:r>
          </w:p>
        </w:tc>
        <w:tc>
          <w:tcPr>
            <w:tcW w:w="891" w:type="pct"/>
            <w:vAlign w:val="center"/>
          </w:tcPr>
          <w:p w14:paraId="17145EC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247</w:t>
            </w:r>
          </w:p>
        </w:tc>
      </w:tr>
      <w:tr w14:paraId="3FB1A3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9" w:hRule="atLeast"/>
        </w:trPr>
        <w:tc>
          <w:tcPr>
            <w:tcW w:w="635" w:type="pct"/>
            <w:vMerge w:val="continue"/>
            <w:vAlign w:val="center"/>
          </w:tcPr>
          <w:p w14:paraId="045677EC">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7E7146F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1082" w:type="pct"/>
            <w:vAlign w:val="center"/>
          </w:tcPr>
          <w:p w14:paraId="61C6A6D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19.46</w:t>
            </w:r>
          </w:p>
        </w:tc>
        <w:tc>
          <w:tcPr>
            <w:tcW w:w="885" w:type="pct"/>
            <w:vAlign w:val="center"/>
          </w:tcPr>
          <w:p w14:paraId="15C3EA1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241</w:t>
            </w:r>
          </w:p>
        </w:tc>
        <w:tc>
          <w:tcPr>
            <w:tcW w:w="883" w:type="pct"/>
            <w:vAlign w:val="center"/>
          </w:tcPr>
          <w:p w14:paraId="47802FA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18.89</w:t>
            </w:r>
          </w:p>
        </w:tc>
        <w:tc>
          <w:tcPr>
            <w:tcW w:w="891" w:type="pct"/>
            <w:vAlign w:val="center"/>
          </w:tcPr>
          <w:p w14:paraId="600BB87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238</w:t>
            </w:r>
          </w:p>
        </w:tc>
      </w:tr>
      <w:tr w14:paraId="0EDB3E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9" w:hRule="atLeast"/>
        </w:trPr>
        <w:tc>
          <w:tcPr>
            <w:tcW w:w="635" w:type="pct"/>
            <w:vMerge w:val="continue"/>
            <w:vAlign w:val="center"/>
          </w:tcPr>
          <w:p w14:paraId="3FA2ADF7">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4938B58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1082" w:type="pct"/>
            <w:vAlign w:val="center"/>
          </w:tcPr>
          <w:p w14:paraId="7FC1CE5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17.68</w:t>
            </w:r>
          </w:p>
        </w:tc>
        <w:tc>
          <w:tcPr>
            <w:tcW w:w="885" w:type="pct"/>
            <w:vAlign w:val="center"/>
          </w:tcPr>
          <w:p w14:paraId="17B715E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246</w:t>
            </w:r>
          </w:p>
        </w:tc>
        <w:tc>
          <w:tcPr>
            <w:tcW w:w="883" w:type="pct"/>
            <w:vAlign w:val="center"/>
          </w:tcPr>
          <w:p w14:paraId="5699782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15.18</w:t>
            </w:r>
          </w:p>
        </w:tc>
        <w:tc>
          <w:tcPr>
            <w:tcW w:w="891" w:type="pct"/>
            <w:vAlign w:val="center"/>
          </w:tcPr>
          <w:p w14:paraId="124823D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238</w:t>
            </w:r>
          </w:p>
        </w:tc>
      </w:tr>
      <w:tr w14:paraId="4449F6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263D59E4">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7162814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1082" w:type="pct"/>
            <w:vAlign w:val="center"/>
          </w:tcPr>
          <w:p w14:paraId="3944076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15.86</w:t>
            </w:r>
          </w:p>
        </w:tc>
        <w:tc>
          <w:tcPr>
            <w:tcW w:w="885" w:type="pct"/>
            <w:vAlign w:val="center"/>
          </w:tcPr>
          <w:p w14:paraId="0B2BD7D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245</w:t>
            </w:r>
          </w:p>
        </w:tc>
        <w:tc>
          <w:tcPr>
            <w:tcW w:w="883" w:type="pct"/>
            <w:vAlign w:val="center"/>
          </w:tcPr>
          <w:p w14:paraId="2A0C4E1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12.59</w:t>
            </w:r>
          </w:p>
        </w:tc>
        <w:tc>
          <w:tcPr>
            <w:tcW w:w="891" w:type="pct"/>
            <w:vAlign w:val="center"/>
          </w:tcPr>
          <w:p w14:paraId="7EE3AE6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241</w:t>
            </w:r>
          </w:p>
        </w:tc>
      </w:tr>
      <w:tr w14:paraId="4F108F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0DD0B533">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47F1726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1082" w:type="pct"/>
            <w:vAlign w:val="center"/>
          </w:tcPr>
          <w:p w14:paraId="31E486B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10.15</w:t>
            </w:r>
          </w:p>
        </w:tc>
        <w:tc>
          <w:tcPr>
            <w:tcW w:w="885" w:type="pct"/>
            <w:vAlign w:val="center"/>
          </w:tcPr>
          <w:p w14:paraId="3B9757F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241</w:t>
            </w:r>
          </w:p>
        </w:tc>
        <w:tc>
          <w:tcPr>
            <w:tcW w:w="883" w:type="pct"/>
            <w:vAlign w:val="center"/>
          </w:tcPr>
          <w:p w14:paraId="3E0D97D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10.42</w:t>
            </w:r>
          </w:p>
        </w:tc>
        <w:tc>
          <w:tcPr>
            <w:tcW w:w="891" w:type="pct"/>
            <w:vAlign w:val="center"/>
          </w:tcPr>
          <w:p w14:paraId="42AFE28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246</w:t>
            </w:r>
          </w:p>
        </w:tc>
      </w:tr>
      <w:tr w14:paraId="030206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170127E3">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40A69CD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1082" w:type="pct"/>
            <w:vAlign w:val="center"/>
          </w:tcPr>
          <w:p w14:paraId="292EE9B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20.29</w:t>
            </w:r>
          </w:p>
        </w:tc>
        <w:tc>
          <w:tcPr>
            <w:tcW w:w="885" w:type="pct"/>
            <w:vAlign w:val="center"/>
          </w:tcPr>
          <w:p w14:paraId="78EBCCA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245</w:t>
            </w:r>
          </w:p>
        </w:tc>
        <w:tc>
          <w:tcPr>
            <w:tcW w:w="883" w:type="pct"/>
            <w:vAlign w:val="center"/>
          </w:tcPr>
          <w:p w14:paraId="1B9A229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18.33</w:t>
            </w:r>
          </w:p>
        </w:tc>
        <w:tc>
          <w:tcPr>
            <w:tcW w:w="891" w:type="pct"/>
            <w:vAlign w:val="center"/>
          </w:tcPr>
          <w:p w14:paraId="1951270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244</w:t>
            </w:r>
          </w:p>
        </w:tc>
      </w:tr>
      <w:tr w14:paraId="0C29765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9" w:hRule="atLeast"/>
        </w:trPr>
        <w:tc>
          <w:tcPr>
            <w:tcW w:w="635" w:type="pct"/>
            <w:vMerge w:val="restart"/>
            <w:vAlign w:val="center"/>
          </w:tcPr>
          <w:p w14:paraId="06014DE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V2</w:t>
            </w:r>
          </w:p>
        </w:tc>
        <w:tc>
          <w:tcPr>
            <w:tcW w:w="622" w:type="pct"/>
            <w:vAlign w:val="center"/>
          </w:tcPr>
          <w:p w14:paraId="69011F5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1082" w:type="pct"/>
            <w:vAlign w:val="center"/>
          </w:tcPr>
          <w:p w14:paraId="6744421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8.06</w:t>
            </w:r>
          </w:p>
        </w:tc>
        <w:tc>
          <w:tcPr>
            <w:tcW w:w="885" w:type="pct"/>
            <w:vAlign w:val="center"/>
          </w:tcPr>
          <w:p w14:paraId="611FFC7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297</w:t>
            </w:r>
          </w:p>
        </w:tc>
        <w:tc>
          <w:tcPr>
            <w:tcW w:w="883" w:type="pct"/>
            <w:vAlign w:val="center"/>
          </w:tcPr>
          <w:p w14:paraId="72DE933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12.55</w:t>
            </w:r>
          </w:p>
        </w:tc>
        <w:tc>
          <w:tcPr>
            <w:tcW w:w="891" w:type="pct"/>
            <w:vAlign w:val="center"/>
          </w:tcPr>
          <w:p w14:paraId="2EF01FC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270</w:t>
            </w:r>
          </w:p>
        </w:tc>
      </w:tr>
      <w:tr w14:paraId="6FBCE8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62" w:hRule="atLeast"/>
        </w:trPr>
        <w:tc>
          <w:tcPr>
            <w:tcW w:w="635" w:type="pct"/>
            <w:vMerge w:val="continue"/>
            <w:vAlign w:val="center"/>
          </w:tcPr>
          <w:p w14:paraId="4A608C8B">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39ACED9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1082" w:type="pct"/>
            <w:vAlign w:val="center"/>
          </w:tcPr>
          <w:p w14:paraId="3A4C181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8.67</w:t>
            </w:r>
          </w:p>
        </w:tc>
        <w:tc>
          <w:tcPr>
            <w:tcW w:w="885" w:type="pct"/>
            <w:vAlign w:val="center"/>
          </w:tcPr>
          <w:p w14:paraId="0F653BC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302</w:t>
            </w:r>
          </w:p>
        </w:tc>
        <w:tc>
          <w:tcPr>
            <w:tcW w:w="883" w:type="pct"/>
            <w:vAlign w:val="center"/>
          </w:tcPr>
          <w:p w14:paraId="06D01C5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12.58</w:t>
            </w:r>
          </w:p>
        </w:tc>
        <w:tc>
          <w:tcPr>
            <w:tcW w:w="891" w:type="pct"/>
            <w:vAlign w:val="center"/>
          </w:tcPr>
          <w:p w14:paraId="6A96209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261</w:t>
            </w:r>
          </w:p>
        </w:tc>
      </w:tr>
      <w:tr w14:paraId="01A6F5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324F46B2">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756E833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1082" w:type="pct"/>
            <w:vAlign w:val="center"/>
          </w:tcPr>
          <w:p w14:paraId="05E6B10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8.41</w:t>
            </w:r>
          </w:p>
        </w:tc>
        <w:tc>
          <w:tcPr>
            <w:tcW w:w="885" w:type="pct"/>
            <w:vAlign w:val="center"/>
          </w:tcPr>
          <w:p w14:paraId="0D62282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301</w:t>
            </w:r>
          </w:p>
        </w:tc>
        <w:tc>
          <w:tcPr>
            <w:tcW w:w="883" w:type="pct"/>
            <w:vAlign w:val="center"/>
          </w:tcPr>
          <w:p w14:paraId="42B309E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13.43</w:t>
            </w:r>
          </w:p>
        </w:tc>
        <w:tc>
          <w:tcPr>
            <w:tcW w:w="891" w:type="pct"/>
            <w:vAlign w:val="center"/>
          </w:tcPr>
          <w:p w14:paraId="72CCDF4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270</w:t>
            </w:r>
          </w:p>
        </w:tc>
      </w:tr>
      <w:tr w14:paraId="75ED72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3F28E951">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41945A4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1082" w:type="pct"/>
            <w:vAlign w:val="center"/>
          </w:tcPr>
          <w:p w14:paraId="5C9193E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5.64</w:t>
            </w:r>
          </w:p>
        </w:tc>
        <w:tc>
          <w:tcPr>
            <w:tcW w:w="885" w:type="pct"/>
            <w:vAlign w:val="center"/>
          </w:tcPr>
          <w:p w14:paraId="1D6F36B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328</w:t>
            </w:r>
          </w:p>
        </w:tc>
        <w:tc>
          <w:tcPr>
            <w:tcW w:w="883" w:type="pct"/>
            <w:vAlign w:val="center"/>
          </w:tcPr>
          <w:p w14:paraId="33A84D8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14.46</w:t>
            </w:r>
          </w:p>
        </w:tc>
        <w:tc>
          <w:tcPr>
            <w:tcW w:w="891" w:type="pct"/>
            <w:vAlign w:val="center"/>
          </w:tcPr>
          <w:p w14:paraId="05D1E8D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269</w:t>
            </w:r>
          </w:p>
        </w:tc>
      </w:tr>
      <w:tr w14:paraId="6F1B7C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6C16007F">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607FB8C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1082" w:type="pct"/>
            <w:vAlign w:val="center"/>
          </w:tcPr>
          <w:p w14:paraId="3596A0C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4.82</w:t>
            </w:r>
          </w:p>
        </w:tc>
        <w:tc>
          <w:tcPr>
            <w:tcW w:w="885" w:type="pct"/>
            <w:vAlign w:val="center"/>
          </w:tcPr>
          <w:p w14:paraId="73E4CA1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340</w:t>
            </w:r>
          </w:p>
        </w:tc>
        <w:tc>
          <w:tcPr>
            <w:tcW w:w="883" w:type="pct"/>
            <w:vAlign w:val="center"/>
          </w:tcPr>
          <w:p w14:paraId="56B82EA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14.32</w:t>
            </w:r>
          </w:p>
        </w:tc>
        <w:tc>
          <w:tcPr>
            <w:tcW w:w="891" w:type="pct"/>
            <w:vAlign w:val="center"/>
          </w:tcPr>
          <w:p w14:paraId="65C3223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268</w:t>
            </w:r>
          </w:p>
        </w:tc>
      </w:tr>
      <w:tr w14:paraId="57CCEC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258C5411">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525B114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1082" w:type="pct"/>
            <w:vAlign w:val="center"/>
          </w:tcPr>
          <w:p w14:paraId="3F873C9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5.34</w:t>
            </w:r>
          </w:p>
        </w:tc>
        <w:tc>
          <w:tcPr>
            <w:tcW w:w="885" w:type="pct"/>
            <w:vAlign w:val="center"/>
          </w:tcPr>
          <w:p w14:paraId="47381C6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883" w:type="pct"/>
            <w:vAlign w:val="center"/>
          </w:tcPr>
          <w:p w14:paraId="0F48540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14.25</w:t>
            </w:r>
          </w:p>
        </w:tc>
        <w:tc>
          <w:tcPr>
            <w:tcW w:w="891" w:type="pct"/>
            <w:vAlign w:val="center"/>
          </w:tcPr>
          <w:p w14:paraId="0A8BD87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263</w:t>
            </w:r>
          </w:p>
        </w:tc>
      </w:tr>
      <w:tr w14:paraId="67B94B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2183A4A7">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3F5D873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1082" w:type="pct"/>
            <w:vAlign w:val="center"/>
          </w:tcPr>
          <w:p w14:paraId="7709BA6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6.79</w:t>
            </w:r>
          </w:p>
        </w:tc>
        <w:tc>
          <w:tcPr>
            <w:tcW w:w="885" w:type="pct"/>
            <w:vAlign w:val="center"/>
          </w:tcPr>
          <w:p w14:paraId="270F980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319</w:t>
            </w:r>
          </w:p>
        </w:tc>
        <w:tc>
          <w:tcPr>
            <w:tcW w:w="883" w:type="pct"/>
            <w:vAlign w:val="center"/>
          </w:tcPr>
          <w:p w14:paraId="5E8CA53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15.03</w:t>
            </w:r>
          </w:p>
        </w:tc>
        <w:tc>
          <w:tcPr>
            <w:tcW w:w="891" w:type="pct"/>
            <w:vAlign w:val="center"/>
          </w:tcPr>
          <w:p w14:paraId="73E2DDC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267</w:t>
            </w:r>
          </w:p>
        </w:tc>
      </w:tr>
      <w:tr w14:paraId="6512EC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restart"/>
            <w:vAlign w:val="center"/>
          </w:tcPr>
          <w:p w14:paraId="75C9D71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V3</w:t>
            </w:r>
          </w:p>
        </w:tc>
        <w:tc>
          <w:tcPr>
            <w:tcW w:w="622" w:type="pct"/>
            <w:vAlign w:val="center"/>
          </w:tcPr>
          <w:p w14:paraId="10B9F09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1082" w:type="pct"/>
            <w:vAlign w:val="center"/>
          </w:tcPr>
          <w:p w14:paraId="3DD7450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27.32</w:t>
            </w:r>
          </w:p>
        </w:tc>
        <w:tc>
          <w:tcPr>
            <w:tcW w:w="885" w:type="pct"/>
            <w:vAlign w:val="center"/>
          </w:tcPr>
          <w:p w14:paraId="28063E3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264</w:t>
            </w:r>
          </w:p>
        </w:tc>
        <w:tc>
          <w:tcPr>
            <w:tcW w:w="883" w:type="pct"/>
            <w:vAlign w:val="center"/>
          </w:tcPr>
          <w:p w14:paraId="62EDFA1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21.29</w:t>
            </w:r>
          </w:p>
        </w:tc>
        <w:tc>
          <w:tcPr>
            <w:tcW w:w="891" w:type="pct"/>
            <w:vAlign w:val="center"/>
          </w:tcPr>
          <w:p w14:paraId="21E9AC4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261</w:t>
            </w:r>
          </w:p>
        </w:tc>
      </w:tr>
      <w:tr w14:paraId="28F158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6934FCC8">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64F7312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1082" w:type="pct"/>
            <w:vAlign w:val="center"/>
          </w:tcPr>
          <w:p w14:paraId="50AFEBE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24.34</w:t>
            </w:r>
          </w:p>
        </w:tc>
        <w:tc>
          <w:tcPr>
            <w:tcW w:w="885" w:type="pct"/>
            <w:vAlign w:val="center"/>
          </w:tcPr>
          <w:p w14:paraId="2486C82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257</w:t>
            </w:r>
          </w:p>
        </w:tc>
        <w:tc>
          <w:tcPr>
            <w:tcW w:w="883" w:type="pct"/>
            <w:vAlign w:val="center"/>
          </w:tcPr>
          <w:p w14:paraId="1031534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19.88</w:t>
            </w:r>
          </w:p>
        </w:tc>
        <w:tc>
          <w:tcPr>
            <w:tcW w:w="891" w:type="pct"/>
            <w:vAlign w:val="center"/>
          </w:tcPr>
          <w:p w14:paraId="15957A3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262</w:t>
            </w:r>
          </w:p>
        </w:tc>
      </w:tr>
      <w:tr w14:paraId="46111A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54D27A3D">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7C48D5F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1082" w:type="pct"/>
            <w:vAlign w:val="center"/>
          </w:tcPr>
          <w:p w14:paraId="6086646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22.08</w:t>
            </w:r>
          </w:p>
        </w:tc>
        <w:tc>
          <w:tcPr>
            <w:tcW w:w="885" w:type="pct"/>
            <w:vAlign w:val="center"/>
          </w:tcPr>
          <w:p w14:paraId="31BEBAD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260</w:t>
            </w:r>
          </w:p>
        </w:tc>
        <w:tc>
          <w:tcPr>
            <w:tcW w:w="883" w:type="pct"/>
            <w:vAlign w:val="center"/>
          </w:tcPr>
          <w:p w14:paraId="3EBD0A1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18.27</w:t>
            </w:r>
          </w:p>
        </w:tc>
        <w:tc>
          <w:tcPr>
            <w:tcW w:w="891" w:type="pct"/>
            <w:vAlign w:val="center"/>
          </w:tcPr>
          <w:p w14:paraId="5121479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266</w:t>
            </w:r>
          </w:p>
        </w:tc>
      </w:tr>
      <w:tr w14:paraId="4FA059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4FDAAC81">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21D1025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1082" w:type="pct"/>
            <w:vAlign w:val="center"/>
          </w:tcPr>
          <w:p w14:paraId="0CA2E55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18.68</w:t>
            </w:r>
          </w:p>
        </w:tc>
        <w:tc>
          <w:tcPr>
            <w:tcW w:w="885" w:type="pct"/>
            <w:vAlign w:val="center"/>
          </w:tcPr>
          <w:p w14:paraId="5E23100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256</w:t>
            </w:r>
          </w:p>
        </w:tc>
        <w:tc>
          <w:tcPr>
            <w:tcW w:w="883" w:type="pct"/>
            <w:vAlign w:val="center"/>
          </w:tcPr>
          <w:p w14:paraId="0EA7F46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15.11</w:t>
            </w:r>
          </w:p>
        </w:tc>
        <w:tc>
          <w:tcPr>
            <w:tcW w:w="891" w:type="pct"/>
            <w:vAlign w:val="center"/>
          </w:tcPr>
          <w:p w14:paraId="4B635E5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262</w:t>
            </w:r>
          </w:p>
        </w:tc>
      </w:tr>
      <w:tr w14:paraId="48912F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05D2D7C5">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5A6A215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1082" w:type="pct"/>
            <w:vAlign w:val="center"/>
          </w:tcPr>
          <w:p w14:paraId="48ABAE0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14.07</w:t>
            </w:r>
          </w:p>
        </w:tc>
        <w:tc>
          <w:tcPr>
            <w:tcW w:w="885" w:type="pct"/>
            <w:vAlign w:val="center"/>
          </w:tcPr>
          <w:p w14:paraId="13F4616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248</w:t>
            </w:r>
          </w:p>
        </w:tc>
        <w:tc>
          <w:tcPr>
            <w:tcW w:w="883" w:type="pct"/>
            <w:vAlign w:val="center"/>
          </w:tcPr>
          <w:p w14:paraId="6084339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11.81</w:t>
            </w:r>
          </w:p>
        </w:tc>
        <w:tc>
          <w:tcPr>
            <w:tcW w:w="891" w:type="pct"/>
            <w:vAlign w:val="center"/>
          </w:tcPr>
          <w:p w14:paraId="28FF864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261</w:t>
            </w:r>
          </w:p>
        </w:tc>
      </w:tr>
      <w:tr w14:paraId="4D696A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16888476">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02786A0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1082" w:type="pct"/>
            <w:vAlign w:val="center"/>
          </w:tcPr>
          <w:p w14:paraId="19D69E2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12.53</w:t>
            </w:r>
          </w:p>
        </w:tc>
        <w:tc>
          <w:tcPr>
            <w:tcW w:w="885" w:type="pct"/>
            <w:vAlign w:val="center"/>
          </w:tcPr>
          <w:p w14:paraId="6822036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253</w:t>
            </w:r>
          </w:p>
        </w:tc>
        <w:tc>
          <w:tcPr>
            <w:tcW w:w="883" w:type="pct"/>
            <w:vAlign w:val="center"/>
          </w:tcPr>
          <w:p w14:paraId="019C1AF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12.03</w:t>
            </w:r>
          </w:p>
        </w:tc>
        <w:tc>
          <w:tcPr>
            <w:tcW w:w="891" w:type="pct"/>
            <w:vAlign w:val="center"/>
          </w:tcPr>
          <w:p w14:paraId="7C40650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257</w:t>
            </w:r>
          </w:p>
        </w:tc>
      </w:tr>
      <w:tr w14:paraId="09A117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06910649">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5985CA9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1082" w:type="pct"/>
            <w:vAlign w:val="center"/>
          </w:tcPr>
          <w:p w14:paraId="4DC8A66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21.01</w:t>
            </w:r>
          </w:p>
        </w:tc>
        <w:tc>
          <w:tcPr>
            <w:tcW w:w="885" w:type="pct"/>
            <w:vAlign w:val="center"/>
          </w:tcPr>
          <w:p w14:paraId="186911F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257</w:t>
            </w:r>
          </w:p>
        </w:tc>
        <w:tc>
          <w:tcPr>
            <w:tcW w:w="883" w:type="pct"/>
            <w:vAlign w:val="center"/>
          </w:tcPr>
          <w:p w14:paraId="6319125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17.53</w:t>
            </w:r>
          </w:p>
        </w:tc>
        <w:tc>
          <w:tcPr>
            <w:tcW w:w="891" w:type="pct"/>
            <w:vAlign w:val="center"/>
          </w:tcPr>
          <w:p w14:paraId="1EDC9D7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262</w:t>
            </w:r>
          </w:p>
        </w:tc>
      </w:tr>
      <w:tr w14:paraId="1596FC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restart"/>
            <w:vAlign w:val="center"/>
          </w:tcPr>
          <w:p w14:paraId="4815874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V4</w:t>
            </w:r>
          </w:p>
        </w:tc>
        <w:tc>
          <w:tcPr>
            <w:tcW w:w="622" w:type="pct"/>
            <w:vAlign w:val="center"/>
          </w:tcPr>
          <w:p w14:paraId="72943D8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1082" w:type="pct"/>
            <w:vAlign w:val="center"/>
          </w:tcPr>
          <w:p w14:paraId="21A8B4A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17.02</w:t>
            </w:r>
          </w:p>
        </w:tc>
        <w:tc>
          <w:tcPr>
            <w:tcW w:w="885" w:type="pct"/>
            <w:vAlign w:val="center"/>
          </w:tcPr>
          <w:p w14:paraId="55CB701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242</w:t>
            </w:r>
          </w:p>
        </w:tc>
        <w:tc>
          <w:tcPr>
            <w:tcW w:w="883" w:type="pct"/>
            <w:vAlign w:val="center"/>
          </w:tcPr>
          <w:p w14:paraId="0FE3E87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10.48</w:t>
            </w:r>
          </w:p>
        </w:tc>
        <w:tc>
          <w:tcPr>
            <w:tcW w:w="891" w:type="pct"/>
            <w:vAlign w:val="center"/>
          </w:tcPr>
          <w:p w14:paraId="1BE29DC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310</w:t>
            </w:r>
          </w:p>
        </w:tc>
      </w:tr>
      <w:tr w14:paraId="6B7F4A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3AEED510">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704BC22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1082" w:type="pct"/>
            <w:vAlign w:val="center"/>
          </w:tcPr>
          <w:p w14:paraId="50C0522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16.14</w:t>
            </w:r>
          </w:p>
        </w:tc>
        <w:tc>
          <w:tcPr>
            <w:tcW w:w="885" w:type="pct"/>
            <w:vAlign w:val="center"/>
          </w:tcPr>
          <w:p w14:paraId="3514A65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228</w:t>
            </w:r>
          </w:p>
        </w:tc>
        <w:tc>
          <w:tcPr>
            <w:tcW w:w="883" w:type="pct"/>
            <w:vAlign w:val="center"/>
          </w:tcPr>
          <w:p w14:paraId="7E517E0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4.51</w:t>
            </w:r>
          </w:p>
        </w:tc>
        <w:tc>
          <w:tcPr>
            <w:tcW w:w="891" w:type="pct"/>
            <w:vAlign w:val="center"/>
          </w:tcPr>
          <w:p w14:paraId="08D13FE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281</w:t>
            </w:r>
          </w:p>
        </w:tc>
      </w:tr>
      <w:tr w14:paraId="35D172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32973DD4">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65D9E9B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1082" w:type="pct"/>
            <w:vAlign w:val="center"/>
          </w:tcPr>
          <w:p w14:paraId="0F34BFF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17.33</w:t>
            </w:r>
          </w:p>
        </w:tc>
        <w:tc>
          <w:tcPr>
            <w:tcW w:w="885" w:type="pct"/>
            <w:vAlign w:val="center"/>
          </w:tcPr>
          <w:p w14:paraId="38E2A5B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227</w:t>
            </w:r>
          </w:p>
        </w:tc>
        <w:tc>
          <w:tcPr>
            <w:tcW w:w="883" w:type="pct"/>
            <w:vAlign w:val="center"/>
          </w:tcPr>
          <w:p w14:paraId="574E450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3.74</w:t>
            </w:r>
          </w:p>
        </w:tc>
        <w:tc>
          <w:tcPr>
            <w:tcW w:w="891" w:type="pct"/>
            <w:vAlign w:val="center"/>
          </w:tcPr>
          <w:p w14:paraId="6D10BC7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270</w:t>
            </w:r>
          </w:p>
        </w:tc>
      </w:tr>
      <w:tr w14:paraId="32AD85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055CA83A">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575159D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1082" w:type="pct"/>
            <w:vAlign w:val="center"/>
          </w:tcPr>
          <w:p w14:paraId="5705FC7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16.70</w:t>
            </w:r>
          </w:p>
        </w:tc>
        <w:tc>
          <w:tcPr>
            <w:tcW w:w="885" w:type="pct"/>
            <w:vAlign w:val="center"/>
          </w:tcPr>
          <w:p w14:paraId="635D861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232</w:t>
            </w:r>
          </w:p>
        </w:tc>
        <w:tc>
          <w:tcPr>
            <w:tcW w:w="883" w:type="pct"/>
            <w:vAlign w:val="center"/>
          </w:tcPr>
          <w:p w14:paraId="281DBDD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5.96</w:t>
            </w:r>
          </w:p>
        </w:tc>
        <w:tc>
          <w:tcPr>
            <w:tcW w:w="891" w:type="pct"/>
            <w:vAlign w:val="center"/>
          </w:tcPr>
          <w:p w14:paraId="3565E16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295</w:t>
            </w:r>
          </w:p>
        </w:tc>
      </w:tr>
      <w:tr w14:paraId="6B63CC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restart"/>
            <w:vAlign w:val="center"/>
          </w:tcPr>
          <w:p w14:paraId="43066F2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V5</w:t>
            </w:r>
          </w:p>
        </w:tc>
        <w:tc>
          <w:tcPr>
            <w:tcW w:w="622" w:type="pct"/>
            <w:vAlign w:val="center"/>
          </w:tcPr>
          <w:p w14:paraId="763EF4C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1082" w:type="pct"/>
            <w:vAlign w:val="center"/>
          </w:tcPr>
          <w:p w14:paraId="52A0271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7.61</w:t>
            </w:r>
          </w:p>
        </w:tc>
        <w:tc>
          <w:tcPr>
            <w:tcW w:w="885" w:type="pct"/>
            <w:vAlign w:val="center"/>
          </w:tcPr>
          <w:p w14:paraId="7543955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111</w:t>
            </w:r>
          </w:p>
        </w:tc>
        <w:tc>
          <w:tcPr>
            <w:tcW w:w="883" w:type="pct"/>
            <w:vAlign w:val="center"/>
          </w:tcPr>
          <w:p w14:paraId="2CACEA1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w:t>
            </w:r>
          </w:p>
        </w:tc>
        <w:tc>
          <w:tcPr>
            <w:tcW w:w="891" w:type="pct"/>
            <w:vAlign w:val="center"/>
          </w:tcPr>
          <w:p w14:paraId="27FD0EA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253</w:t>
            </w:r>
          </w:p>
        </w:tc>
      </w:tr>
      <w:tr w14:paraId="5771C5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1C686789">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146F2FC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1082" w:type="pct"/>
            <w:vAlign w:val="center"/>
          </w:tcPr>
          <w:p w14:paraId="1D0DF50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6.88</w:t>
            </w:r>
          </w:p>
        </w:tc>
        <w:tc>
          <w:tcPr>
            <w:tcW w:w="885" w:type="pct"/>
            <w:vAlign w:val="center"/>
          </w:tcPr>
          <w:p w14:paraId="6BE24CF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65</w:t>
            </w:r>
          </w:p>
        </w:tc>
        <w:tc>
          <w:tcPr>
            <w:tcW w:w="883" w:type="pct"/>
            <w:vAlign w:val="center"/>
          </w:tcPr>
          <w:p w14:paraId="76E4F83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4.43</w:t>
            </w:r>
          </w:p>
        </w:tc>
        <w:tc>
          <w:tcPr>
            <w:tcW w:w="891" w:type="pct"/>
            <w:vAlign w:val="center"/>
          </w:tcPr>
          <w:p w14:paraId="5A214B1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260</w:t>
            </w:r>
          </w:p>
        </w:tc>
      </w:tr>
      <w:tr w14:paraId="346E38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51A9E03F">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191BE88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1082" w:type="pct"/>
            <w:vAlign w:val="center"/>
          </w:tcPr>
          <w:p w14:paraId="451520E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1.32</w:t>
            </w:r>
          </w:p>
        </w:tc>
        <w:tc>
          <w:tcPr>
            <w:tcW w:w="885" w:type="pct"/>
            <w:vAlign w:val="center"/>
          </w:tcPr>
          <w:p w14:paraId="29A44E0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77</w:t>
            </w:r>
          </w:p>
        </w:tc>
        <w:tc>
          <w:tcPr>
            <w:tcW w:w="883" w:type="pct"/>
            <w:vAlign w:val="center"/>
          </w:tcPr>
          <w:p w14:paraId="710534E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4.50</w:t>
            </w:r>
          </w:p>
        </w:tc>
        <w:tc>
          <w:tcPr>
            <w:tcW w:w="891" w:type="pct"/>
            <w:vAlign w:val="center"/>
          </w:tcPr>
          <w:p w14:paraId="6E8559A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271</w:t>
            </w:r>
          </w:p>
        </w:tc>
      </w:tr>
      <w:tr w14:paraId="67BFDD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11224782">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77E6D10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1082" w:type="pct"/>
            <w:vAlign w:val="center"/>
          </w:tcPr>
          <w:p w14:paraId="0DC5C06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1.75</w:t>
            </w:r>
          </w:p>
        </w:tc>
        <w:tc>
          <w:tcPr>
            <w:tcW w:w="885" w:type="pct"/>
            <w:vAlign w:val="center"/>
          </w:tcPr>
          <w:p w14:paraId="19254BC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87</w:t>
            </w:r>
          </w:p>
        </w:tc>
        <w:tc>
          <w:tcPr>
            <w:tcW w:w="883" w:type="pct"/>
            <w:vAlign w:val="center"/>
          </w:tcPr>
          <w:p w14:paraId="1849850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3.24</w:t>
            </w:r>
          </w:p>
        </w:tc>
        <w:tc>
          <w:tcPr>
            <w:tcW w:w="891" w:type="pct"/>
            <w:vAlign w:val="center"/>
          </w:tcPr>
          <w:p w14:paraId="3866F44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294</w:t>
            </w:r>
          </w:p>
        </w:tc>
      </w:tr>
      <w:tr w14:paraId="06F6BA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48EBB14E">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3A24B1E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1082" w:type="pct"/>
            <w:vAlign w:val="center"/>
          </w:tcPr>
          <w:p w14:paraId="344FD40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6.76</w:t>
            </w:r>
          </w:p>
        </w:tc>
        <w:tc>
          <w:tcPr>
            <w:tcW w:w="885" w:type="pct"/>
            <w:vAlign w:val="center"/>
          </w:tcPr>
          <w:p w14:paraId="79D02F5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129</w:t>
            </w:r>
          </w:p>
        </w:tc>
        <w:tc>
          <w:tcPr>
            <w:tcW w:w="883" w:type="pct"/>
            <w:vAlign w:val="center"/>
          </w:tcPr>
          <w:p w14:paraId="04EFDA7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3.41</w:t>
            </w:r>
          </w:p>
        </w:tc>
        <w:tc>
          <w:tcPr>
            <w:tcW w:w="891" w:type="pct"/>
            <w:vAlign w:val="center"/>
          </w:tcPr>
          <w:p w14:paraId="3AED347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332</w:t>
            </w:r>
          </w:p>
        </w:tc>
      </w:tr>
      <w:tr w14:paraId="1AD29F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00F200D9">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7F1BD48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1082" w:type="pct"/>
            <w:vAlign w:val="center"/>
          </w:tcPr>
          <w:p w14:paraId="29B01DA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2.48</w:t>
            </w:r>
          </w:p>
        </w:tc>
        <w:tc>
          <w:tcPr>
            <w:tcW w:w="885" w:type="pct"/>
            <w:vAlign w:val="center"/>
          </w:tcPr>
          <w:p w14:paraId="398D24E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47</w:t>
            </w:r>
          </w:p>
        </w:tc>
        <w:tc>
          <w:tcPr>
            <w:tcW w:w="883" w:type="pct"/>
            <w:vAlign w:val="center"/>
          </w:tcPr>
          <w:p w14:paraId="54E43B4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2.63</w:t>
            </w:r>
          </w:p>
        </w:tc>
        <w:tc>
          <w:tcPr>
            <w:tcW w:w="891" w:type="pct"/>
            <w:vAlign w:val="center"/>
          </w:tcPr>
          <w:p w14:paraId="33C601D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352</w:t>
            </w:r>
          </w:p>
        </w:tc>
      </w:tr>
      <w:tr w14:paraId="747E73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42F02F76">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5B7D131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1082" w:type="pct"/>
            <w:vAlign w:val="center"/>
          </w:tcPr>
          <w:p w14:paraId="03A4A5A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3.98</w:t>
            </w:r>
          </w:p>
        </w:tc>
        <w:tc>
          <w:tcPr>
            <w:tcW w:w="885" w:type="pct"/>
            <w:vAlign w:val="center"/>
          </w:tcPr>
          <w:p w14:paraId="09DDAB0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92</w:t>
            </w:r>
          </w:p>
        </w:tc>
        <w:tc>
          <w:tcPr>
            <w:tcW w:w="883" w:type="pct"/>
            <w:vAlign w:val="center"/>
          </w:tcPr>
          <w:p w14:paraId="4820ACB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3.19</w:t>
            </w:r>
          </w:p>
        </w:tc>
        <w:tc>
          <w:tcPr>
            <w:tcW w:w="891" w:type="pct"/>
            <w:vAlign w:val="center"/>
          </w:tcPr>
          <w:p w14:paraId="6673A68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292</w:t>
            </w:r>
          </w:p>
        </w:tc>
      </w:tr>
      <w:tr w14:paraId="01DB8F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restart"/>
            <w:vAlign w:val="center"/>
          </w:tcPr>
          <w:p w14:paraId="0C5DCD0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V6</w:t>
            </w:r>
          </w:p>
        </w:tc>
        <w:tc>
          <w:tcPr>
            <w:tcW w:w="622" w:type="pct"/>
            <w:vAlign w:val="center"/>
          </w:tcPr>
          <w:p w14:paraId="015D5AE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1082" w:type="pct"/>
            <w:vAlign w:val="center"/>
          </w:tcPr>
          <w:p w14:paraId="546CD5E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10.52</w:t>
            </w:r>
          </w:p>
        </w:tc>
        <w:tc>
          <w:tcPr>
            <w:tcW w:w="885" w:type="pct"/>
            <w:vAlign w:val="center"/>
          </w:tcPr>
          <w:p w14:paraId="026EF7B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224</w:t>
            </w:r>
          </w:p>
        </w:tc>
        <w:tc>
          <w:tcPr>
            <w:tcW w:w="883" w:type="pct"/>
            <w:vAlign w:val="center"/>
          </w:tcPr>
          <w:p w14:paraId="48470AE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3.98</w:t>
            </w:r>
          </w:p>
        </w:tc>
        <w:tc>
          <w:tcPr>
            <w:tcW w:w="891" w:type="pct"/>
            <w:vAlign w:val="center"/>
          </w:tcPr>
          <w:p w14:paraId="3DDD82F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305</w:t>
            </w:r>
          </w:p>
        </w:tc>
      </w:tr>
      <w:tr w14:paraId="6E43A8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301A9A37">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0205560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1082" w:type="pct"/>
            <w:vAlign w:val="center"/>
          </w:tcPr>
          <w:p w14:paraId="1AC9005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9.18</w:t>
            </w:r>
          </w:p>
        </w:tc>
        <w:tc>
          <w:tcPr>
            <w:tcW w:w="885" w:type="pct"/>
            <w:vAlign w:val="center"/>
          </w:tcPr>
          <w:p w14:paraId="6A62D54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171</w:t>
            </w:r>
          </w:p>
        </w:tc>
        <w:tc>
          <w:tcPr>
            <w:tcW w:w="883" w:type="pct"/>
            <w:vAlign w:val="center"/>
          </w:tcPr>
          <w:p w14:paraId="2145AF7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1.17</w:t>
            </w:r>
          </w:p>
        </w:tc>
        <w:tc>
          <w:tcPr>
            <w:tcW w:w="891" w:type="pct"/>
            <w:vAlign w:val="center"/>
          </w:tcPr>
          <w:p w14:paraId="1D07052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245</w:t>
            </w:r>
          </w:p>
        </w:tc>
      </w:tr>
      <w:tr w14:paraId="40B0CE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0676A186">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2F61F92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1082" w:type="pct"/>
            <w:vAlign w:val="center"/>
          </w:tcPr>
          <w:p w14:paraId="44125CA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7.25</w:t>
            </w:r>
          </w:p>
        </w:tc>
        <w:tc>
          <w:tcPr>
            <w:tcW w:w="885" w:type="pct"/>
            <w:vAlign w:val="center"/>
          </w:tcPr>
          <w:p w14:paraId="2F5F137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158</w:t>
            </w:r>
          </w:p>
        </w:tc>
        <w:tc>
          <w:tcPr>
            <w:tcW w:w="883" w:type="pct"/>
            <w:vAlign w:val="center"/>
          </w:tcPr>
          <w:p w14:paraId="6412E2A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0.74</w:t>
            </w:r>
          </w:p>
        </w:tc>
        <w:tc>
          <w:tcPr>
            <w:tcW w:w="891" w:type="pct"/>
            <w:vAlign w:val="center"/>
          </w:tcPr>
          <w:p w14:paraId="7D36E18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191</w:t>
            </w:r>
          </w:p>
        </w:tc>
      </w:tr>
      <w:tr w14:paraId="137E5B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4B053793">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432C725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1082" w:type="pct"/>
            <w:vAlign w:val="center"/>
          </w:tcPr>
          <w:p w14:paraId="1D07EB2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7.84</w:t>
            </w:r>
          </w:p>
        </w:tc>
        <w:tc>
          <w:tcPr>
            <w:tcW w:w="885" w:type="pct"/>
            <w:vAlign w:val="center"/>
          </w:tcPr>
          <w:p w14:paraId="19DFB9C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188</w:t>
            </w:r>
          </w:p>
        </w:tc>
        <w:tc>
          <w:tcPr>
            <w:tcW w:w="883" w:type="pct"/>
            <w:vAlign w:val="center"/>
          </w:tcPr>
          <w:p w14:paraId="33C34BC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1.52</w:t>
            </w:r>
          </w:p>
        </w:tc>
        <w:tc>
          <w:tcPr>
            <w:tcW w:w="891" w:type="pct"/>
            <w:vAlign w:val="center"/>
          </w:tcPr>
          <w:p w14:paraId="51D2F90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284</w:t>
            </w:r>
          </w:p>
        </w:tc>
      </w:tr>
      <w:tr w14:paraId="16B529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restart"/>
            <w:vAlign w:val="center"/>
          </w:tcPr>
          <w:p w14:paraId="2385CAF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V7</w:t>
            </w:r>
          </w:p>
        </w:tc>
        <w:tc>
          <w:tcPr>
            <w:tcW w:w="622" w:type="pct"/>
            <w:vAlign w:val="center"/>
          </w:tcPr>
          <w:p w14:paraId="765D659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1082" w:type="pct"/>
            <w:vAlign w:val="center"/>
          </w:tcPr>
          <w:p w14:paraId="39A13B6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11.84</w:t>
            </w:r>
          </w:p>
        </w:tc>
        <w:tc>
          <w:tcPr>
            <w:tcW w:w="885" w:type="pct"/>
            <w:vAlign w:val="center"/>
          </w:tcPr>
          <w:p w14:paraId="14ACDA1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61</w:t>
            </w:r>
          </w:p>
        </w:tc>
        <w:tc>
          <w:tcPr>
            <w:tcW w:w="883" w:type="pct"/>
            <w:vAlign w:val="center"/>
          </w:tcPr>
          <w:p w14:paraId="0E4A048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11.95</w:t>
            </w:r>
          </w:p>
        </w:tc>
        <w:tc>
          <w:tcPr>
            <w:tcW w:w="891" w:type="pct"/>
            <w:vAlign w:val="center"/>
          </w:tcPr>
          <w:p w14:paraId="0ECE4D7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126</w:t>
            </w:r>
          </w:p>
        </w:tc>
      </w:tr>
      <w:tr w14:paraId="1AE5BF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5BD55793">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66F1FD5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1082" w:type="pct"/>
            <w:vAlign w:val="center"/>
          </w:tcPr>
          <w:p w14:paraId="5D50AD4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12.64</w:t>
            </w:r>
          </w:p>
        </w:tc>
        <w:tc>
          <w:tcPr>
            <w:tcW w:w="885" w:type="pct"/>
            <w:vAlign w:val="center"/>
          </w:tcPr>
          <w:p w14:paraId="10000B6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71</w:t>
            </w:r>
          </w:p>
        </w:tc>
        <w:tc>
          <w:tcPr>
            <w:tcW w:w="883" w:type="pct"/>
            <w:vAlign w:val="center"/>
          </w:tcPr>
          <w:p w14:paraId="6F4207F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12.87</w:t>
            </w:r>
          </w:p>
        </w:tc>
        <w:tc>
          <w:tcPr>
            <w:tcW w:w="891" w:type="pct"/>
            <w:vAlign w:val="center"/>
          </w:tcPr>
          <w:p w14:paraId="4A60057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140</w:t>
            </w:r>
          </w:p>
        </w:tc>
      </w:tr>
      <w:tr w14:paraId="396284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1ED1CB0F">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287F334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1082" w:type="pct"/>
            <w:vAlign w:val="center"/>
          </w:tcPr>
          <w:p w14:paraId="58D83CD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9.18</w:t>
            </w:r>
          </w:p>
        </w:tc>
        <w:tc>
          <w:tcPr>
            <w:tcW w:w="885" w:type="pct"/>
            <w:vAlign w:val="center"/>
          </w:tcPr>
          <w:p w14:paraId="3C2F113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88</w:t>
            </w:r>
          </w:p>
        </w:tc>
        <w:tc>
          <w:tcPr>
            <w:tcW w:w="883" w:type="pct"/>
            <w:vAlign w:val="center"/>
          </w:tcPr>
          <w:p w14:paraId="17CDA08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11.41</w:t>
            </w:r>
          </w:p>
        </w:tc>
        <w:tc>
          <w:tcPr>
            <w:tcW w:w="891" w:type="pct"/>
            <w:vAlign w:val="center"/>
          </w:tcPr>
          <w:p w14:paraId="54DA38F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138</w:t>
            </w:r>
          </w:p>
        </w:tc>
      </w:tr>
      <w:tr w14:paraId="7BE423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22CF0381">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5377C2E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1082" w:type="pct"/>
            <w:vAlign w:val="center"/>
          </w:tcPr>
          <w:p w14:paraId="6678F09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8.19</w:t>
            </w:r>
          </w:p>
        </w:tc>
        <w:tc>
          <w:tcPr>
            <w:tcW w:w="885" w:type="pct"/>
            <w:vAlign w:val="center"/>
          </w:tcPr>
          <w:p w14:paraId="2D86EB2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107</w:t>
            </w:r>
          </w:p>
        </w:tc>
        <w:tc>
          <w:tcPr>
            <w:tcW w:w="883" w:type="pct"/>
            <w:vAlign w:val="center"/>
          </w:tcPr>
          <w:p w14:paraId="41229D1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7.84</w:t>
            </w:r>
          </w:p>
        </w:tc>
        <w:tc>
          <w:tcPr>
            <w:tcW w:w="891" w:type="pct"/>
            <w:vAlign w:val="center"/>
          </w:tcPr>
          <w:p w14:paraId="729CCD4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156</w:t>
            </w:r>
          </w:p>
        </w:tc>
      </w:tr>
      <w:tr w14:paraId="028A03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00F6483A">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3CEA53F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1082" w:type="pct"/>
            <w:vAlign w:val="center"/>
          </w:tcPr>
          <w:p w14:paraId="7F3ABB8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6.71</w:t>
            </w:r>
          </w:p>
        </w:tc>
        <w:tc>
          <w:tcPr>
            <w:tcW w:w="885" w:type="pct"/>
            <w:vAlign w:val="center"/>
          </w:tcPr>
          <w:p w14:paraId="094869F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112</w:t>
            </w:r>
          </w:p>
        </w:tc>
        <w:tc>
          <w:tcPr>
            <w:tcW w:w="883" w:type="pct"/>
            <w:vAlign w:val="center"/>
          </w:tcPr>
          <w:p w14:paraId="2B171BA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5.78</w:t>
            </w:r>
          </w:p>
        </w:tc>
        <w:tc>
          <w:tcPr>
            <w:tcW w:w="891" w:type="pct"/>
            <w:vAlign w:val="center"/>
          </w:tcPr>
          <w:p w14:paraId="6F3F9A4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151</w:t>
            </w:r>
          </w:p>
        </w:tc>
      </w:tr>
      <w:tr w14:paraId="154B84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5531F604">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5F35DB5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1082" w:type="pct"/>
            <w:vAlign w:val="center"/>
          </w:tcPr>
          <w:p w14:paraId="6DAB1B1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5.45</w:t>
            </w:r>
          </w:p>
        </w:tc>
        <w:tc>
          <w:tcPr>
            <w:tcW w:w="885" w:type="pct"/>
            <w:vAlign w:val="center"/>
          </w:tcPr>
          <w:p w14:paraId="48D6FDB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123</w:t>
            </w:r>
          </w:p>
        </w:tc>
        <w:tc>
          <w:tcPr>
            <w:tcW w:w="883" w:type="pct"/>
            <w:vAlign w:val="center"/>
          </w:tcPr>
          <w:p w14:paraId="76AE5EA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4.62</w:t>
            </w:r>
          </w:p>
        </w:tc>
        <w:tc>
          <w:tcPr>
            <w:tcW w:w="891" w:type="pct"/>
            <w:vAlign w:val="center"/>
          </w:tcPr>
          <w:p w14:paraId="0D6B048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153</w:t>
            </w:r>
          </w:p>
        </w:tc>
      </w:tr>
      <w:tr w14:paraId="51AF7C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02B28F82">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0510C10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1082" w:type="pct"/>
            <w:vAlign w:val="center"/>
          </w:tcPr>
          <w:p w14:paraId="3B571FB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8.99</w:t>
            </w:r>
          </w:p>
        </w:tc>
        <w:tc>
          <w:tcPr>
            <w:tcW w:w="885" w:type="pct"/>
            <w:vAlign w:val="center"/>
          </w:tcPr>
          <w:p w14:paraId="53AC2A3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90</w:t>
            </w:r>
          </w:p>
        </w:tc>
        <w:tc>
          <w:tcPr>
            <w:tcW w:w="883" w:type="pct"/>
            <w:vAlign w:val="center"/>
          </w:tcPr>
          <w:p w14:paraId="74F7EA7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9.57</w:t>
            </w:r>
          </w:p>
        </w:tc>
        <w:tc>
          <w:tcPr>
            <w:tcW w:w="891" w:type="pct"/>
            <w:vAlign w:val="center"/>
          </w:tcPr>
          <w:p w14:paraId="3DDB923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143</w:t>
            </w:r>
          </w:p>
        </w:tc>
      </w:tr>
      <w:tr w14:paraId="3CB352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restart"/>
            <w:vAlign w:val="center"/>
          </w:tcPr>
          <w:p w14:paraId="426CEBF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V8</w:t>
            </w:r>
          </w:p>
        </w:tc>
        <w:tc>
          <w:tcPr>
            <w:tcW w:w="622" w:type="pct"/>
            <w:vAlign w:val="center"/>
          </w:tcPr>
          <w:p w14:paraId="4282C96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1082" w:type="pct"/>
            <w:vAlign w:val="center"/>
          </w:tcPr>
          <w:p w14:paraId="5227949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16.23</w:t>
            </w:r>
          </w:p>
        </w:tc>
        <w:tc>
          <w:tcPr>
            <w:tcW w:w="885" w:type="pct"/>
            <w:vAlign w:val="center"/>
          </w:tcPr>
          <w:p w14:paraId="2C0A449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203</w:t>
            </w:r>
          </w:p>
        </w:tc>
        <w:tc>
          <w:tcPr>
            <w:tcW w:w="883" w:type="pct"/>
            <w:vAlign w:val="center"/>
          </w:tcPr>
          <w:p w14:paraId="2F1E146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14.19</w:t>
            </w:r>
          </w:p>
        </w:tc>
        <w:tc>
          <w:tcPr>
            <w:tcW w:w="891" w:type="pct"/>
            <w:vAlign w:val="center"/>
          </w:tcPr>
          <w:p w14:paraId="52366E2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222</w:t>
            </w:r>
          </w:p>
        </w:tc>
      </w:tr>
      <w:tr w14:paraId="21F26F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616A68EA">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721F77E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1082" w:type="pct"/>
            <w:vAlign w:val="center"/>
          </w:tcPr>
          <w:p w14:paraId="22A03A4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11.65</w:t>
            </w:r>
          </w:p>
        </w:tc>
        <w:tc>
          <w:tcPr>
            <w:tcW w:w="885" w:type="pct"/>
            <w:vAlign w:val="center"/>
          </w:tcPr>
          <w:p w14:paraId="716EE99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188</w:t>
            </w:r>
          </w:p>
        </w:tc>
        <w:tc>
          <w:tcPr>
            <w:tcW w:w="883" w:type="pct"/>
            <w:vAlign w:val="center"/>
          </w:tcPr>
          <w:p w14:paraId="5C3877F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11.69</w:t>
            </w:r>
          </w:p>
        </w:tc>
        <w:tc>
          <w:tcPr>
            <w:tcW w:w="891" w:type="pct"/>
            <w:vAlign w:val="center"/>
          </w:tcPr>
          <w:p w14:paraId="644092B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197</w:t>
            </w:r>
          </w:p>
        </w:tc>
      </w:tr>
      <w:tr w14:paraId="44698C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63" w:hRule="atLeast"/>
        </w:trPr>
        <w:tc>
          <w:tcPr>
            <w:tcW w:w="635" w:type="pct"/>
            <w:vMerge w:val="continue"/>
            <w:vAlign w:val="center"/>
          </w:tcPr>
          <w:p w14:paraId="2E025872">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371083C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1082" w:type="pct"/>
            <w:vAlign w:val="center"/>
          </w:tcPr>
          <w:p w14:paraId="6220CDF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3.96</w:t>
            </w:r>
          </w:p>
        </w:tc>
        <w:tc>
          <w:tcPr>
            <w:tcW w:w="885" w:type="pct"/>
            <w:vAlign w:val="center"/>
          </w:tcPr>
          <w:p w14:paraId="7C37538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185</w:t>
            </w:r>
          </w:p>
        </w:tc>
        <w:tc>
          <w:tcPr>
            <w:tcW w:w="883" w:type="pct"/>
            <w:vAlign w:val="center"/>
          </w:tcPr>
          <w:p w14:paraId="39A1BE2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5.35</w:t>
            </w:r>
          </w:p>
        </w:tc>
        <w:tc>
          <w:tcPr>
            <w:tcW w:w="891" w:type="pct"/>
            <w:vAlign w:val="center"/>
          </w:tcPr>
          <w:p w14:paraId="3C2984A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227</w:t>
            </w:r>
          </w:p>
        </w:tc>
      </w:tr>
      <w:tr w14:paraId="7E398E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1ED3C868">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162DD85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1082" w:type="pct"/>
            <w:vAlign w:val="center"/>
          </w:tcPr>
          <w:p w14:paraId="16BD3AB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2.08</w:t>
            </w:r>
          </w:p>
        </w:tc>
        <w:tc>
          <w:tcPr>
            <w:tcW w:w="885" w:type="pct"/>
            <w:vAlign w:val="center"/>
          </w:tcPr>
          <w:p w14:paraId="372BE3D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84</w:t>
            </w:r>
          </w:p>
        </w:tc>
        <w:tc>
          <w:tcPr>
            <w:tcW w:w="883" w:type="pct"/>
            <w:vAlign w:val="center"/>
          </w:tcPr>
          <w:p w14:paraId="3E90040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3.13</w:t>
            </w:r>
          </w:p>
        </w:tc>
        <w:tc>
          <w:tcPr>
            <w:tcW w:w="891" w:type="pct"/>
            <w:vAlign w:val="center"/>
          </w:tcPr>
          <w:p w14:paraId="5C7F2EF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316</w:t>
            </w:r>
          </w:p>
        </w:tc>
      </w:tr>
      <w:tr w14:paraId="61CBB6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2EC364A0">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33D044E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1082" w:type="pct"/>
            <w:vAlign w:val="center"/>
          </w:tcPr>
          <w:p w14:paraId="3C874BD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2.92</w:t>
            </w:r>
          </w:p>
        </w:tc>
        <w:tc>
          <w:tcPr>
            <w:tcW w:w="885" w:type="pct"/>
            <w:vAlign w:val="center"/>
          </w:tcPr>
          <w:p w14:paraId="5112262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w:t>
            </w:r>
          </w:p>
        </w:tc>
        <w:tc>
          <w:tcPr>
            <w:tcW w:w="883" w:type="pct"/>
            <w:vAlign w:val="center"/>
          </w:tcPr>
          <w:p w14:paraId="2938526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5.37</w:t>
            </w:r>
          </w:p>
        </w:tc>
        <w:tc>
          <w:tcPr>
            <w:tcW w:w="891" w:type="pct"/>
            <w:vAlign w:val="center"/>
          </w:tcPr>
          <w:p w14:paraId="713461B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347</w:t>
            </w:r>
          </w:p>
        </w:tc>
      </w:tr>
      <w:tr w14:paraId="68DE08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9" w:hRule="atLeast"/>
        </w:trPr>
        <w:tc>
          <w:tcPr>
            <w:tcW w:w="635" w:type="pct"/>
            <w:vMerge w:val="continue"/>
            <w:vAlign w:val="center"/>
          </w:tcPr>
          <w:p w14:paraId="0D2EBF5A">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5A2BF1D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1082" w:type="pct"/>
            <w:vAlign w:val="center"/>
          </w:tcPr>
          <w:p w14:paraId="4431B27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3.11</w:t>
            </w:r>
          </w:p>
        </w:tc>
        <w:tc>
          <w:tcPr>
            <w:tcW w:w="885" w:type="pct"/>
            <w:vAlign w:val="center"/>
          </w:tcPr>
          <w:p w14:paraId="1B57022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358</w:t>
            </w:r>
          </w:p>
        </w:tc>
        <w:tc>
          <w:tcPr>
            <w:tcW w:w="883" w:type="pct"/>
            <w:vAlign w:val="center"/>
          </w:tcPr>
          <w:p w14:paraId="583D6E8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5.10</w:t>
            </w:r>
          </w:p>
        </w:tc>
        <w:tc>
          <w:tcPr>
            <w:tcW w:w="891" w:type="pct"/>
            <w:vAlign w:val="center"/>
          </w:tcPr>
          <w:p w14:paraId="7055787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351</w:t>
            </w:r>
          </w:p>
        </w:tc>
      </w:tr>
      <w:tr w14:paraId="522F27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7CC44E61">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146F752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1082" w:type="pct"/>
            <w:vAlign w:val="center"/>
          </w:tcPr>
          <w:p w14:paraId="024B53F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3.42</w:t>
            </w:r>
          </w:p>
        </w:tc>
        <w:tc>
          <w:tcPr>
            <w:tcW w:w="885" w:type="pct"/>
            <w:vAlign w:val="center"/>
          </w:tcPr>
          <w:p w14:paraId="49EF652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187</w:t>
            </w:r>
          </w:p>
        </w:tc>
        <w:tc>
          <w:tcPr>
            <w:tcW w:w="883" w:type="pct"/>
            <w:vAlign w:val="center"/>
          </w:tcPr>
          <w:p w14:paraId="436D782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3.58</w:t>
            </w:r>
          </w:p>
        </w:tc>
        <w:tc>
          <w:tcPr>
            <w:tcW w:w="891" w:type="pct"/>
            <w:vAlign w:val="center"/>
          </w:tcPr>
          <w:p w14:paraId="669D641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245</w:t>
            </w:r>
          </w:p>
        </w:tc>
      </w:tr>
      <w:tr w14:paraId="6AE3EC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restart"/>
            <w:vAlign w:val="center"/>
          </w:tcPr>
          <w:p w14:paraId="153B52A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V9</w:t>
            </w:r>
          </w:p>
        </w:tc>
        <w:tc>
          <w:tcPr>
            <w:tcW w:w="622" w:type="pct"/>
            <w:vAlign w:val="center"/>
          </w:tcPr>
          <w:p w14:paraId="3F5D749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1082" w:type="pct"/>
            <w:vAlign w:val="center"/>
          </w:tcPr>
          <w:p w14:paraId="70C6629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20.43</w:t>
            </w:r>
          </w:p>
        </w:tc>
        <w:tc>
          <w:tcPr>
            <w:tcW w:w="885" w:type="pct"/>
            <w:vAlign w:val="center"/>
          </w:tcPr>
          <w:p w14:paraId="113544F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157</w:t>
            </w:r>
          </w:p>
        </w:tc>
        <w:tc>
          <w:tcPr>
            <w:tcW w:w="883" w:type="pct"/>
            <w:vAlign w:val="center"/>
          </w:tcPr>
          <w:p w14:paraId="1D8CDF6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13.35</w:t>
            </w:r>
          </w:p>
        </w:tc>
        <w:tc>
          <w:tcPr>
            <w:tcW w:w="891" w:type="pct"/>
            <w:vAlign w:val="center"/>
          </w:tcPr>
          <w:p w14:paraId="1CEBDE3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162</w:t>
            </w:r>
          </w:p>
        </w:tc>
      </w:tr>
      <w:tr w14:paraId="49E4EA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555FC813">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5C460B6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1082" w:type="pct"/>
            <w:vAlign w:val="center"/>
          </w:tcPr>
          <w:p w14:paraId="6F22C50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18.49</w:t>
            </w:r>
          </w:p>
        </w:tc>
        <w:tc>
          <w:tcPr>
            <w:tcW w:w="885" w:type="pct"/>
            <w:vAlign w:val="center"/>
          </w:tcPr>
          <w:p w14:paraId="0D02DE4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151</w:t>
            </w:r>
          </w:p>
        </w:tc>
        <w:tc>
          <w:tcPr>
            <w:tcW w:w="883" w:type="pct"/>
            <w:vAlign w:val="center"/>
          </w:tcPr>
          <w:p w14:paraId="49F8030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11.26</w:t>
            </w:r>
          </w:p>
        </w:tc>
        <w:tc>
          <w:tcPr>
            <w:tcW w:w="891" w:type="pct"/>
            <w:vAlign w:val="center"/>
          </w:tcPr>
          <w:p w14:paraId="478A055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152</w:t>
            </w:r>
          </w:p>
        </w:tc>
      </w:tr>
      <w:tr w14:paraId="7C237A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28541FDD">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14F6216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1082" w:type="pct"/>
            <w:vAlign w:val="center"/>
          </w:tcPr>
          <w:p w14:paraId="5CB47C2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11.50</w:t>
            </w:r>
          </w:p>
        </w:tc>
        <w:tc>
          <w:tcPr>
            <w:tcW w:w="885" w:type="pct"/>
            <w:vAlign w:val="center"/>
          </w:tcPr>
          <w:p w14:paraId="46558B6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176</w:t>
            </w:r>
          </w:p>
        </w:tc>
        <w:tc>
          <w:tcPr>
            <w:tcW w:w="883" w:type="pct"/>
            <w:vAlign w:val="center"/>
          </w:tcPr>
          <w:p w14:paraId="0C710D9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9.86</w:t>
            </w:r>
          </w:p>
        </w:tc>
        <w:tc>
          <w:tcPr>
            <w:tcW w:w="891" w:type="pct"/>
            <w:vAlign w:val="center"/>
          </w:tcPr>
          <w:p w14:paraId="196C420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146</w:t>
            </w:r>
          </w:p>
        </w:tc>
      </w:tr>
      <w:tr w14:paraId="180253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0CEFBD94">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1DBD3BE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1082" w:type="pct"/>
            <w:vAlign w:val="center"/>
          </w:tcPr>
          <w:p w14:paraId="576C057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8.91</w:t>
            </w:r>
          </w:p>
        </w:tc>
        <w:tc>
          <w:tcPr>
            <w:tcW w:w="885" w:type="pct"/>
            <w:vAlign w:val="center"/>
          </w:tcPr>
          <w:p w14:paraId="0983200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176</w:t>
            </w:r>
          </w:p>
        </w:tc>
        <w:tc>
          <w:tcPr>
            <w:tcW w:w="883" w:type="pct"/>
            <w:vAlign w:val="center"/>
          </w:tcPr>
          <w:p w14:paraId="182385B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6.00</w:t>
            </w:r>
          </w:p>
        </w:tc>
        <w:tc>
          <w:tcPr>
            <w:tcW w:w="891" w:type="pct"/>
            <w:vAlign w:val="center"/>
          </w:tcPr>
          <w:p w14:paraId="3FF0A33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105</w:t>
            </w:r>
          </w:p>
        </w:tc>
      </w:tr>
      <w:tr w14:paraId="33D9A6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36D6539F">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5F9079E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1082" w:type="pct"/>
            <w:vAlign w:val="center"/>
          </w:tcPr>
          <w:p w14:paraId="0B7BFA9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7.09</w:t>
            </w:r>
          </w:p>
        </w:tc>
        <w:tc>
          <w:tcPr>
            <w:tcW w:w="885" w:type="pct"/>
            <w:vAlign w:val="center"/>
          </w:tcPr>
          <w:p w14:paraId="572E239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147</w:t>
            </w:r>
          </w:p>
        </w:tc>
        <w:tc>
          <w:tcPr>
            <w:tcW w:w="883" w:type="pct"/>
            <w:vAlign w:val="center"/>
          </w:tcPr>
          <w:p w14:paraId="00AEDEA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5.56</w:t>
            </w:r>
          </w:p>
        </w:tc>
        <w:tc>
          <w:tcPr>
            <w:tcW w:w="891" w:type="pct"/>
            <w:vAlign w:val="center"/>
          </w:tcPr>
          <w:p w14:paraId="7E305ED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161</w:t>
            </w:r>
          </w:p>
        </w:tc>
      </w:tr>
      <w:tr w14:paraId="235310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178B2F13">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0F97920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1082" w:type="pct"/>
            <w:vAlign w:val="center"/>
          </w:tcPr>
          <w:p w14:paraId="4007E01E">
            <w:pPr>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4.18</w:t>
            </w:r>
          </w:p>
        </w:tc>
        <w:tc>
          <w:tcPr>
            <w:tcW w:w="885" w:type="pct"/>
            <w:vAlign w:val="center"/>
          </w:tcPr>
          <w:p w14:paraId="0A283C8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153</w:t>
            </w:r>
          </w:p>
        </w:tc>
        <w:tc>
          <w:tcPr>
            <w:tcW w:w="883" w:type="pct"/>
            <w:vAlign w:val="center"/>
          </w:tcPr>
          <w:p w14:paraId="6683C93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5.65</w:t>
            </w:r>
          </w:p>
        </w:tc>
        <w:tc>
          <w:tcPr>
            <w:tcW w:w="891" w:type="pct"/>
            <w:vAlign w:val="center"/>
          </w:tcPr>
          <w:p w14:paraId="2515734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206</w:t>
            </w:r>
          </w:p>
        </w:tc>
      </w:tr>
      <w:tr w14:paraId="3A425C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64" w:hRule="atLeast"/>
        </w:trPr>
        <w:tc>
          <w:tcPr>
            <w:tcW w:w="635" w:type="pct"/>
            <w:vMerge w:val="continue"/>
            <w:vAlign w:val="center"/>
          </w:tcPr>
          <w:p w14:paraId="3771E5FC">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0D1CB2D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1082" w:type="pct"/>
            <w:vAlign w:val="center"/>
          </w:tcPr>
          <w:p w14:paraId="164B6A6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11.83</w:t>
            </w:r>
          </w:p>
        </w:tc>
        <w:tc>
          <w:tcPr>
            <w:tcW w:w="885" w:type="pct"/>
            <w:vAlign w:val="center"/>
          </w:tcPr>
          <w:p w14:paraId="5EDD02E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160</w:t>
            </w:r>
          </w:p>
        </w:tc>
        <w:tc>
          <w:tcPr>
            <w:tcW w:w="883" w:type="pct"/>
            <w:vAlign w:val="center"/>
          </w:tcPr>
          <w:p w14:paraId="03E2CC9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8.13</w:t>
            </w:r>
          </w:p>
        </w:tc>
        <w:tc>
          <w:tcPr>
            <w:tcW w:w="891" w:type="pct"/>
            <w:vAlign w:val="center"/>
          </w:tcPr>
          <w:p w14:paraId="1103A5B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154</w:t>
            </w:r>
          </w:p>
        </w:tc>
      </w:tr>
    </w:tbl>
    <w:p w14:paraId="2A800431">
      <w:pPr>
        <w:spacing w:line="120" w:lineRule="exact"/>
        <w:ind w:firstLine="0" w:firstLineChars="0"/>
        <w:jc w:val="center"/>
        <w:rPr>
          <w:color w:val="000000" w:themeColor="text1"/>
          <w:kern w:val="0"/>
          <w:sz w:val="10"/>
          <w:szCs w:val="4"/>
          <w14:textFill>
            <w14:solidFill>
              <w14:schemeClr w14:val="tx1"/>
            </w14:solidFill>
          </w14:textFill>
        </w:rPr>
      </w:pPr>
    </w:p>
    <w:tbl>
      <w:tblPr>
        <w:tblStyle w:val="43"/>
        <w:tblW w:w="5000" w:type="pct"/>
        <w:tblInd w:w="0" w:type="dxa"/>
        <w:tblLayout w:type="autofit"/>
        <w:tblCellMar>
          <w:top w:w="0" w:type="dxa"/>
          <w:left w:w="108" w:type="dxa"/>
          <w:bottom w:w="0" w:type="dxa"/>
          <w:right w:w="108" w:type="dxa"/>
        </w:tblCellMar>
      </w:tblPr>
      <w:tblGrid>
        <w:gridCol w:w="4247"/>
        <w:gridCol w:w="4275"/>
      </w:tblGrid>
      <w:tr w14:paraId="71B42571">
        <w:tblPrEx>
          <w:tblCellMar>
            <w:top w:w="0" w:type="dxa"/>
            <w:left w:w="108" w:type="dxa"/>
            <w:bottom w:w="0" w:type="dxa"/>
            <w:right w:w="108" w:type="dxa"/>
          </w:tblCellMar>
        </w:tblPrEx>
        <w:tc>
          <w:tcPr>
            <w:tcW w:w="2500" w:type="pct"/>
            <w:vAlign w:val="center"/>
          </w:tcPr>
          <w:p w14:paraId="4F4F2536">
            <w:pPr>
              <w:ind w:firstLine="0" w:firstLineChars="0"/>
              <w:jc w:val="center"/>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drawing>
                <wp:inline distT="0" distB="0" distL="0" distR="0">
                  <wp:extent cx="2752725" cy="2533650"/>
                  <wp:effectExtent l="0" t="0" r="952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2752725" cy="2533650"/>
                          </a:xfrm>
                          <a:prstGeom prst="rect">
                            <a:avLst/>
                          </a:prstGeom>
                          <a:noFill/>
                          <a:ln>
                            <a:noFill/>
                          </a:ln>
                          <a:effectLst/>
                        </pic:spPr>
                      </pic:pic>
                    </a:graphicData>
                  </a:graphic>
                </wp:inline>
              </w:drawing>
            </w:r>
          </w:p>
        </w:tc>
        <w:tc>
          <w:tcPr>
            <w:tcW w:w="2500" w:type="pct"/>
            <w:vAlign w:val="center"/>
          </w:tcPr>
          <w:p w14:paraId="1C3BB8DF">
            <w:pPr>
              <w:ind w:firstLine="0" w:firstLineChars="0"/>
              <w:jc w:val="center"/>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drawing>
                <wp:inline distT="0" distB="0" distL="0" distR="0">
                  <wp:extent cx="2781300" cy="25336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2781300" cy="2533650"/>
                          </a:xfrm>
                          <a:prstGeom prst="rect">
                            <a:avLst/>
                          </a:prstGeom>
                          <a:noFill/>
                          <a:ln>
                            <a:noFill/>
                          </a:ln>
                        </pic:spPr>
                      </pic:pic>
                    </a:graphicData>
                  </a:graphic>
                </wp:inline>
              </w:drawing>
            </w:r>
          </w:p>
        </w:tc>
      </w:tr>
    </w:tbl>
    <w:p w14:paraId="61169373">
      <w:pPr>
        <w:spacing w:line="240" w:lineRule="auto"/>
        <w:ind w:firstLine="2160" w:firstLineChars="90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小潮</w:t>
      </w:r>
      <w:r>
        <w:rPr>
          <w:rFonts w:hint="eastAsia"/>
          <w:color w:val="000000" w:themeColor="text1"/>
          <w:kern w:val="0"/>
          <w:szCs w:val="20"/>
          <w14:textFill>
            <w14:solidFill>
              <w14:schemeClr w14:val="tx1"/>
            </w14:solidFill>
          </w14:textFill>
        </w:rPr>
        <w:t xml:space="preserve">                                  </w:t>
      </w:r>
      <w:r>
        <w:rPr>
          <w:color w:val="000000" w:themeColor="text1"/>
          <w:kern w:val="0"/>
          <w:szCs w:val="20"/>
          <w14:textFill>
            <w14:solidFill>
              <w14:schemeClr w14:val="tx1"/>
            </w14:solidFill>
          </w14:textFill>
        </w:rPr>
        <w:t>大潮</w:t>
      </w:r>
    </w:p>
    <w:p w14:paraId="5C6D86B2">
      <w:pPr>
        <w:ind w:firstLine="0" w:firstLineChars="0"/>
        <w:jc w:val="center"/>
        <w:rPr>
          <w:b/>
          <w:bCs/>
          <w:color w:val="000000" w:themeColor="text1"/>
          <w:kern w:val="0"/>
          <w:szCs w:val="20"/>
          <w14:textFill>
            <w14:solidFill>
              <w14:schemeClr w14:val="tx1"/>
            </w14:solidFill>
          </w14:textFill>
        </w:rPr>
      </w:pPr>
      <w:r>
        <w:rPr>
          <w:b/>
          <w:bCs/>
          <w:color w:val="000000" w:themeColor="text1"/>
          <w:kern w:val="0"/>
          <w:szCs w:val="20"/>
          <w14:textFill>
            <w14:solidFill>
              <w14:schemeClr w14:val="tx1"/>
            </w14:solidFill>
          </w14:textFill>
        </w:rPr>
        <w:t>图3.</w:t>
      </w:r>
      <w:r>
        <w:rPr>
          <w:rFonts w:hint="eastAsia"/>
          <w:b/>
          <w:bCs/>
          <w:color w:val="000000" w:themeColor="text1"/>
          <w:kern w:val="0"/>
          <w:szCs w:val="20"/>
          <w14:textFill>
            <w14:solidFill>
              <w14:schemeClr w14:val="tx1"/>
            </w14:solidFill>
          </w14:textFill>
        </w:rPr>
        <w:t xml:space="preserve">7-6 </w:t>
      </w:r>
      <w:r>
        <w:rPr>
          <w:b/>
          <w:bCs/>
          <w:color w:val="000000" w:themeColor="text1"/>
          <w:kern w:val="0"/>
          <w:szCs w:val="20"/>
          <w14:textFill>
            <w14:solidFill>
              <w14:schemeClr w14:val="tx1"/>
            </w14:solidFill>
          </w14:textFill>
        </w:rPr>
        <w:t>各潮流站垂线平均余流矢量图</w:t>
      </w:r>
    </w:p>
    <w:p w14:paraId="6FF1F803">
      <w:pPr>
        <w:ind w:firstLine="480"/>
        <w:rPr>
          <w:snapToGrid w:val="0"/>
          <w:color w:val="000000" w:themeColor="text1"/>
          <w14:textFill>
            <w14:solidFill>
              <w14:schemeClr w14:val="tx1"/>
            </w14:solidFill>
          </w14:textFill>
        </w:rPr>
        <w:sectPr>
          <w:headerReference r:id="rId29" w:type="default"/>
          <w:pgSz w:w="11906" w:h="16838"/>
          <w:pgMar w:top="1440" w:right="1800" w:bottom="1440" w:left="1800" w:header="851" w:footer="680" w:gutter="0"/>
          <w:pgBorders>
            <w:top w:val="none" w:sz="0" w:space="0"/>
            <w:left w:val="none" w:sz="0" w:space="0"/>
            <w:bottom w:val="none" w:sz="0" w:space="0"/>
            <w:right w:val="none" w:sz="0" w:space="0"/>
          </w:pgBorders>
          <w:pgNumType w:fmt="numberInDash"/>
          <w:cols w:space="720" w:num="1"/>
          <w:docGrid w:type="lines" w:linePitch="312" w:charSpace="0"/>
        </w:sectPr>
      </w:pPr>
    </w:p>
    <w:p w14:paraId="03B6B63D">
      <w:pPr>
        <w:pStyle w:val="3"/>
        <w:rPr>
          <w:color w:val="000000" w:themeColor="text1"/>
          <w14:textFill>
            <w14:solidFill>
              <w14:schemeClr w14:val="tx1"/>
            </w14:solidFill>
          </w14:textFill>
        </w:rPr>
      </w:pPr>
      <w:bookmarkStart w:id="641" w:name="_Toc216620565"/>
      <w:r>
        <w:rPr>
          <w:color w:val="000000" w:themeColor="text1"/>
          <w14:textFill>
            <w14:solidFill>
              <w14:schemeClr w14:val="tx1"/>
            </w14:solidFill>
          </w14:textFill>
        </w:rPr>
        <w:t>环境影响预测与评价</w:t>
      </w:r>
      <w:bookmarkEnd w:id="641"/>
    </w:p>
    <w:p w14:paraId="44FE3E76">
      <w:pPr>
        <w:pStyle w:val="5"/>
        <w:rPr>
          <w:color w:val="000000" w:themeColor="text1"/>
          <w14:textFill>
            <w14:solidFill>
              <w14:schemeClr w14:val="tx1"/>
            </w14:solidFill>
          </w14:textFill>
        </w:rPr>
      </w:pPr>
      <w:bookmarkStart w:id="642" w:name="_Toc216620566"/>
      <w:r>
        <w:rPr>
          <w:color w:val="000000" w:themeColor="text1"/>
          <w14:textFill>
            <w14:solidFill>
              <w14:schemeClr w14:val="tx1"/>
            </w14:solidFill>
          </w14:textFill>
        </w:rPr>
        <w:t>海洋环境影响分析</w:t>
      </w:r>
      <w:bookmarkEnd w:id="642"/>
    </w:p>
    <w:p w14:paraId="0B863C77">
      <w:pPr>
        <w:pStyle w:val="4"/>
        <w:rPr>
          <w:color w:val="000000" w:themeColor="text1"/>
          <w14:textFill>
            <w14:solidFill>
              <w14:schemeClr w14:val="tx1"/>
            </w14:solidFill>
          </w14:textFill>
        </w:rPr>
      </w:pPr>
      <w:bookmarkStart w:id="643" w:name="_Toc216620567"/>
      <w:bookmarkStart w:id="644" w:name="_Toc216103408"/>
      <w:r>
        <w:rPr>
          <w:rFonts w:hint="eastAsia"/>
          <w:color w:val="000000" w:themeColor="text1"/>
          <w14:textFill>
            <w14:solidFill>
              <w14:schemeClr w14:val="tx1"/>
            </w14:solidFill>
          </w14:textFill>
        </w:rPr>
        <w:t>施工期海洋生态环境影响</w:t>
      </w:r>
      <w:bookmarkEnd w:id="643"/>
      <w:bookmarkEnd w:id="644"/>
    </w:p>
    <w:p w14:paraId="1DD8DB51">
      <w:pPr>
        <w:ind w:firstLine="480"/>
        <w:rPr>
          <w:b/>
          <w:bCs/>
          <w:color w:val="000000" w:themeColor="text1"/>
          <w14:textFill>
            <w14:solidFill>
              <w14:schemeClr w14:val="tx1"/>
            </w14:solidFill>
          </w14:textFill>
        </w:rPr>
      </w:pPr>
      <w:r>
        <w:rPr>
          <w:rFonts w:hint="eastAsia"/>
          <w:color w:val="000000" w:themeColor="text1"/>
          <w14:textFill>
            <w14:solidFill>
              <w14:schemeClr w14:val="tx1"/>
            </w14:solidFill>
          </w14:textFill>
        </w:rPr>
        <w:t>船舶施工过程中只有装卸臂运输涉及在海洋中移船作业，此项工作会对局部区域海洋生物造成一定影响，这种影响只是暂时的、局部的；且本项目海洋施工时间较短，待施工结束后影响也随之消失。</w:t>
      </w:r>
    </w:p>
    <w:p w14:paraId="153069A4">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bookmarkStart w:id="645" w:name="_Toc216620568"/>
      <w:bookmarkStart w:id="646" w:name="_Toc216103409"/>
      <w:r>
        <w:rPr>
          <w:rFonts w:hint="eastAsia"/>
          <w:color w:val="000000" w:themeColor="text1"/>
          <w14:textFill>
            <w14:solidFill>
              <w14:schemeClr w14:val="tx1"/>
            </w14:solidFill>
          </w14:textFill>
        </w:rPr>
        <w:t>运营期海洋生态环境影响</w:t>
      </w:r>
      <w:bookmarkEnd w:id="645"/>
      <w:bookmarkEnd w:id="646"/>
    </w:p>
    <w:p w14:paraId="5FE405E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本项目不改变14号泊位涉及的建设标准、用海范围、水工结构，营运期不涉及海洋工程，正常状况下不会对海洋生态环境产生大的不利影响。</w:t>
      </w:r>
    </w:p>
    <w:p w14:paraId="5C56D19A">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bookmarkStart w:id="647" w:name="_Toc216620569"/>
      <w:bookmarkStart w:id="648" w:name="_Toc216103410"/>
      <w:r>
        <w:rPr>
          <w:rFonts w:hint="eastAsia"/>
          <w:color w:val="000000" w:themeColor="text1"/>
          <w14:textFill>
            <w14:solidFill>
              <w14:schemeClr w14:val="tx1"/>
            </w14:solidFill>
          </w14:textFill>
        </w:rPr>
        <w:t>环境敏感区影响分析</w:t>
      </w:r>
      <w:bookmarkEnd w:id="647"/>
      <w:bookmarkEnd w:id="648"/>
    </w:p>
    <w:p w14:paraId="6FF0B917">
      <w:pPr>
        <w:ind w:firstLine="480"/>
        <w:rPr>
          <w:b/>
          <w:bCs/>
          <w:color w:val="000000" w:themeColor="text1"/>
          <w14:textFill>
            <w14:solidFill>
              <w14:schemeClr w14:val="tx1"/>
            </w14:solidFill>
          </w14:textFill>
        </w:rPr>
      </w:pPr>
      <w:r>
        <w:rPr>
          <w:rFonts w:hint="eastAsia"/>
          <w:color w:val="000000" w:themeColor="text1"/>
          <w14:textFill>
            <w14:solidFill>
              <w14:schemeClr w14:val="tx1"/>
            </w14:solidFill>
          </w14:textFill>
        </w:rPr>
        <w:t>项目施工不会涉及生态敏感区的扰动。另外，本工程不在环境敏感区及其</w:t>
      </w:r>
      <w:r>
        <w:rPr>
          <w:rFonts w:hint="eastAsia"/>
          <w:color w:val="000000" w:themeColor="text1"/>
          <w:lang w:eastAsia="zh-CN"/>
          <w14:textFill>
            <w14:solidFill>
              <w14:schemeClr w14:val="tx1"/>
            </w14:solidFill>
          </w14:textFill>
        </w:rPr>
        <w:t>邻近</w:t>
      </w:r>
      <w:r>
        <w:rPr>
          <w:rFonts w:hint="eastAsia"/>
          <w:color w:val="000000" w:themeColor="text1"/>
          <w14:textFill>
            <w14:solidFill>
              <w14:schemeClr w14:val="tx1"/>
            </w14:solidFill>
          </w14:textFill>
        </w:rPr>
        <w:t>范围内设置临时用地，不存在施工活动，总体来看，施工期对环境敏感区无影响。正常工况下，本工程运营期对周围环境敏感区无影响；根据事故状态下预测结果，在钦州湾处发生化学品泄漏时，会对沿线生态敏感区产生一定不利影响，详见5风险预测与评价章节。</w:t>
      </w:r>
    </w:p>
    <w:p w14:paraId="21E6FA6C">
      <w:pPr>
        <w:pStyle w:val="5"/>
        <w:rPr>
          <w:color w:val="000000" w:themeColor="text1"/>
          <w14:textFill>
            <w14:solidFill>
              <w14:schemeClr w14:val="tx1"/>
            </w14:solidFill>
          </w14:textFill>
        </w:rPr>
      </w:pPr>
      <w:bookmarkStart w:id="649" w:name="_Toc216620570"/>
      <w:r>
        <w:rPr>
          <w:color w:val="000000" w:themeColor="text1"/>
          <w14:textFill>
            <w14:solidFill>
              <w14:schemeClr w14:val="tx1"/>
            </w14:solidFill>
          </w14:textFill>
        </w:rPr>
        <w:t>施工期环境影响分析</w:t>
      </w:r>
      <w:bookmarkEnd w:id="649"/>
    </w:p>
    <w:p w14:paraId="349E679A">
      <w:pPr>
        <w:pStyle w:val="4"/>
        <w:rPr>
          <w:color w:val="000000" w:themeColor="text1"/>
          <w14:textFill>
            <w14:solidFill>
              <w14:schemeClr w14:val="tx1"/>
            </w14:solidFill>
          </w14:textFill>
        </w:rPr>
      </w:pPr>
      <w:bookmarkStart w:id="650" w:name="_Toc29131844"/>
      <w:bookmarkStart w:id="651" w:name="_Toc216103412"/>
      <w:bookmarkStart w:id="652" w:name="_Toc26910031"/>
      <w:bookmarkStart w:id="653" w:name="_Toc135090242"/>
      <w:bookmarkStart w:id="654" w:name="_Toc136878508"/>
      <w:bookmarkStart w:id="655" w:name="_Toc216620571"/>
      <w:bookmarkStart w:id="656" w:name="_Toc25436981"/>
      <w:r>
        <w:rPr>
          <w:color w:val="000000" w:themeColor="text1"/>
          <w14:textFill>
            <w14:solidFill>
              <w14:schemeClr w14:val="tx1"/>
            </w14:solidFill>
          </w14:textFill>
        </w:rPr>
        <w:t>施工期大气影响分析</w:t>
      </w:r>
      <w:bookmarkEnd w:id="650"/>
      <w:bookmarkEnd w:id="651"/>
      <w:bookmarkEnd w:id="652"/>
      <w:bookmarkEnd w:id="653"/>
      <w:bookmarkEnd w:id="654"/>
      <w:bookmarkEnd w:id="655"/>
      <w:bookmarkEnd w:id="656"/>
    </w:p>
    <w:p w14:paraId="25419A8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施工期大气污染源主要有施工扬尘、施工机械废气、焊接烟尘等。这些污染物将对环境空气造成一定程度的污染，但这种污染是短期的，工程结束后将不复存在。</w:t>
      </w:r>
    </w:p>
    <w:p w14:paraId="45F2B414">
      <w:pPr>
        <w:pStyle w:val="6"/>
        <w:rPr>
          <w:color w:val="000000" w:themeColor="text1"/>
          <w14:textFill>
            <w14:solidFill>
              <w14:schemeClr w14:val="tx1"/>
            </w14:solidFill>
          </w14:textFill>
        </w:rPr>
      </w:pPr>
      <w:r>
        <w:rPr>
          <w:color w:val="000000" w:themeColor="text1"/>
          <w14:textFill>
            <w14:solidFill>
              <w14:schemeClr w14:val="tx1"/>
            </w14:solidFill>
          </w14:textFill>
        </w:rPr>
        <w:t>施工扬尘影响分析</w:t>
      </w:r>
    </w:p>
    <w:p w14:paraId="680EEFCE">
      <w:pPr>
        <w:ind w:firstLine="480"/>
        <w:rPr>
          <w:color w:val="000000" w:themeColor="text1"/>
          <w14:textFill>
            <w14:solidFill>
              <w14:schemeClr w14:val="tx1"/>
            </w14:solidFill>
          </w14:textFill>
        </w:rPr>
      </w:pPr>
      <w:r>
        <w:rPr>
          <w:color w:val="000000" w:themeColor="text1"/>
          <w14:textFill>
            <w14:solidFill>
              <w14:schemeClr w14:val="tx1"/>
            </w14:solidFill>
          </w14:textFill>
        </w:rPr>
        <w:t>项目施工扬尘主要为建筑施工和物料装卸与运输阶段产生的，大气污染因子主要是SO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、TSP、CO。扬尘的排放与土石方、建筑材料中的含水率成反比，与施工场地的面积和施工活动频率成正比，同时与当地期限条件如风速、湿度、日照等也有很大关系。</w:t>
      </w:r>
    </w:p>
    <w:p w14:paraId="1BE29793">
      <w:pPr>
        <w:ind w:firstLine="480"/>
        <w:rPr>
          <w:color w:val="000000" w:themeColor="text1"/>
          <w14:textFill>
            <w14:solidFill>
              <w14:schemeClr w14:val="tx1"/>
            </w14:solidFill>
          </w14:textFill>
        </w:rPr>
      </w:pPr>
      <w:r>
        <w:rPr>
          <w:color w:val="000000" w:themeColor="text1"/>
          <w14:textFill>
            <w14:solidFill>
              <w14:schemeClr w14:val="tx1"/>
            </w14:solidFill>
          </w14:textFill>
        </w:rPr>
        <w:t>正常情况下，施工作业的扬尘影响范围一般都在距离施工现场100m之内，根据对一些施工现场的监测结果，距离施工现场100m处，施工粉尘的浓度约在0.12~0.79mg/m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之间。施工及运输车辆引起的扬尘对路边30m范围内影响较大，而且呈线型污染，路边的TSP浓度可达10mg/m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以上。</w:t>
      </w:r>
    </w:p>
    <w:p w14:paraId="78F68BDB">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本项目周边100m范围内无敏感点，周边居民环境基本不受本项目施工影响。</w:t>
      </w:r>
    </w:p>
    <w:p w14:paraId="02A0136F">
      <w:pPr>
        <w:pStyle w:val="6"/>
        <w:rPr>
          <w:color w:val="000000" w:themeColor="text1"/>
          <w14:textFill>
            <w14:solidFill>
              <w14:schemeClr w14:val="tx1"/>
            </w14:solidFill>
          </w14:textFill>
        </w:rPr>
      </w:pPr>
      <w:r>
        <w:rPr>
          <w:color w:val="000000" w:themeColor="text1"/>
          <w14:textFill>
            <w14:solidFill>
              <w14:schemeClr w14:val="tx1"/>
            </w14:solidFill>
          </w14:textFill>
        </w:rPr>
        <w:t>施工机械废气、船舶废气影响分析</w:t>
      </w:r>
    </w:p>
    <w:p w14:paraId="0C0E4C7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期间，运输汽车、运输船舶等大型机械施工中，由于使用柴油机等设备，将产生燃烧烟气，主要污染物为SO2、NO2等。本项目所在区域地势开阔，有利于空气的扩散，同时空气污染源具有间歇性和流动性，因此对局部地区的环境影响较轻。</w:t>
      </w:r>
    </w:p>
    <w:p w14:paraId="0BB3C367">
      <w:pPr>
        <w:pStyle w:val="6"/>
        <w:rPr>
          <w:color w:val="000000" w:themeColor="text1"/>
          <w14:textFill>
            <w14:solidFill>
              <w14:schemeClr w14:val="tx1"/>
            </w14:solidFill>
          </w14:textFill>
        </w:rPr>
      </w:pPr>
      <w:r>
        <w:rPr>
          <w:color w:val="000000" w:themeColor="text1"/>
          <w14:textFill>
            <w14:solidFill>
              <w14:schemeClr w14:val="tx1"/>
            </w14:solidFill>
          </w14:textFill>
        </w:rPr>
        <w:t>焊接废气</w:t>
      </w:r>
    </w:p>
    <w:p w14:paraId="2F4ED59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设备、管道焊接过程中会产生少量焊接烟气。本项目所在区域地势开阔，空气扩散条件较好，经大气扩散后涂漆废气、焊接烟尘对周围环境空气影响较小。焊接烟尘、涂漆废气为短期产生，随着施工的结束，烟尘及涂漆废气的环境影响将消失。</w:t>
      </w:r>
    </w:p>
    <w:p w14:paraId="1E68F214">
      <w:pPr>
        <w:pStyle w:val="4"/>
        <w:rPr>
          <w:color w:val="000000" w:themeColor="text1"/>
          <w14:textFill>
            <w14:solidFill>
              <w14:schemeClr w14:val="tx1"/>
            </w14:solidFill>
          </w14:textFill>
        </w:rPr>
      </w:pPr>
      <w:bookmarkStart w:id="657" w:name="_Toc136878509"/>
      <w:bookmarkStart w:id="658" w:name="_Toc26910032"/>
      <w:bookmarkStart w:id="659" w:name="_Toc216620572"/>
      <w:bookmarkStart w:id="660" w:name="_Toc29131845"/>
      <w:bookmarkStart w:id="661" w:name="_Toc216103413"/>
      <w:bookmarkStart w:id="662" w:name="_Toc135090243"/>
      <w:bookmarkStart w:id="663" w:name="_Toc25436982"/>
      <w:r>
        <w:rPr>
          <w:color w:val="000000" w:themeColor="text1"/>
          <w14:textFill>
            <w14:solidFill>
              <w14:schemeClr w14:val="tx1"/>
            </w14:solidFill>
          </w14:textFill>
        </w:rPr>
        <w:t>施工期水影响分析</w:t>
      </w:r>
      <w:bookmarkEnd w:id="657"/>
      <w:bookmarkEnd w:id="658"/>
      <w:bookmarkEnd w:id="659"/>
      <w:bookmarkEnd w:id="660"/>
      <w:bookmarkEnd w:id="661"/>
      <w:bookmarkEnd w:id="662"/>
      <w:bookmarkEnd w:id="663"/>
    </w:p>
    <w:p w14:paraId="36449425">
      <w:pPr>
        <w:pStyle w:val="6"/>
        <w:rPr>
          <w:color w:val="000000" w:themeColor="text1"/>
          <w14:textFill>
            <w14:solidFill>
              <w14:schemeClr w14:val="tx1"/>
            </w14:solidFill>
          </w14:textFill>
        </w:rPr>
      </w:pPr>
      <w:r>
        <w:rPr>
          <w:color w:val="000000" w:themeColor="text1"/>
          <w14:textFill>
            <w14:solidFill>
              <w14:schemeClr w14:val="tx1"/>
            </w14:solidFill>
          </w14:textFill>
        </w:rPr>
        <w:t>施工船舶污水</w:t>
      </w:r>
    </w:p>
    <w:p w14:paraId="56ED1E7F">
      <w:pPr>
        <w:ind w:firstLine="480"/>
        <w:rPr>
          <w:color w:val="000000" w:themeColor="text1"/>
          <w14:textFill>
            <w14:solidFill>
              <w14:schemeClr w14:val="tx1"/>
            </w14:solidFill>
          </w14:textFill>
        </w:rPr>
      </w:pPr>
      <w:r>
        <w:rPr>
          <w:color w:val="000000" w:themeColor="text1"/>
          <w14:textFill>
            <w14:solidFill>
              <w14:schemeClr w14:val="tx1"/>
            </w14:solidFill>
          </w14:textFill>
        </w:rPr>
        <w:t>船工船舶污水包括船舶机舱含油污水和船舶生活污水。</w:t>
      </w:r>
    </w:p>
    <w:p w14:paraId="74136087">
      <w:pPr>
        <w:ind w:firstLine="48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施工船舶废水</w:t>
      </w:r>
    </w:p>
    <w:p w14:paraId="64D0DCC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施工船舶污水包括船舶机舱油污水和船舶生活污水。装卸臂吊装一般为3～5天，施工过程中会产生少量的船舶污水，本项目船舶污水严格按照船舶污染物监管“联单制</w:t>
      </w:r>
      <w:r>
        <w:rPr>
          <w:color w:val="000000" w:themeColor="text1"/>
          <w14:textFill>
            <w14:solidFill>
              <w14:schemeClr w14:val="tx1"/>
            </w14:solidFill>
          </w14:textFill>
        </w:rPr>
        <w:t>度</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进行管理，委托船舶污染物接收单位进行接收、转运及处置。</w:t>
      </w:r>
    </w:p>
    <w:p w14:paraId="0174C425">
      <w:pPr>
        <w:ind w:firstLine="480"/>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施工人员生活污水</w:t>
      </w:r>
    </w:p>
    <w:p w14:paraId="7A72510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陆域施工人员约20人/天，按每人每天使用150L生活污水，生活污水排放量按80%计算，生活污水中主要污染物为COD、BOD</w:t>
      </w:r>
      <w:r>
        <w:rPr>
          <w:rFonts w:hint="eastAsia"/>
          <w:color w:val="000000" w:themeColor="text1"/>
          <w:vertAlign w:val="subscript"/>
          <w14:textFill>
            <w14:solidFill>
              <w14:schemeClr w14:val="tx1"/>
            </w14:solidFill>
          </w14:textFill>
        </w:rPr>
        <w:t>5</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，浓度分别按300mg/L、150mg/L</w:t>
      </w:r>
      <w:r>
        <w:rPr>
          <w:color w:val="000000" w:themeColor="text1"/>
          <w14:textFill>
            <w14:solidFill>
              <w14:schemeClr w14:val="tx1"/>
            </w14:solidFill>
          </w14:textFill>
        </w:rPr>
        <w:t>、35mg/L</w:t>
      </w:r>
      <w:r>
        <w:rPr>
          <w:rFonts w:hint="eastAsia"/>
          <w:color w:val="000000" w:themeColor="text1"/>
          <w14:textFill>
            <w14:solidFill>
              <w14:schemeClr w14:val="tx1"/>
            </w14:solidFill>
          </w14:textFill>
        </w:rPr>
        <w:t>计算，则施工期间生活污水产生量为2.4m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/d，COD、BOD</w:t>
      </w:r>
      <w:r>
        <w:rPr>
          <w:rFonts w:hint="eastAsia"/>
          <w:color w:val="000000" w:themeColor="text1"/>
          <w:vertAlign w:val="subscript"/>
          <w14:textFill>
            <w14:solidFill>
              <w14:schemeClr w14:val="tx1"/>
            </w14:solidFill>
          </w14:textFill>
        </w:rPr>
        <w:t>5</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产生量分别为0.72kg/d、0.36kg/d、0.084kg/d。本项目施工期为5个月，则项目施工期间共产生废水360m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，污染物COD、BOD</w:t>
      </w:r>
      <w:r>
        <w:rPr>
          <w:rFonts w:hint="eastAsia"/>
          <w:color w:val="000000" w:themeColor="text1"/>
          <w:vertAlign w:val="subscript"/>
          <w14:textFill>
            <w14:solidFill>
              <w14:schemeClr w14:val="tx1"/>
            </w14:solidFill>
          </w14:textFill>
        </w:rPr>
        <w:t>5</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产生量分别约0.108t、0.054t、0.013t。根据以往施工经验，施工人员一般租住附近民房，产生的生活污水依托民房自设的化粪池进行处理。</w:t>
      </w:r>
    </w:p>
    <w:p w14:paraId="3931A44D">
      <w:pPr>
        <w:ind w:firstLine="480"/>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试压废水</w:t>
      </w:r>
    </w:p>
    <w:p w14:paraId="0698DD7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管道施工结束后进行清管和试压，试压前应采用清管器进行清管，并不少于2次。清管是试压前的重要步骤，它利用压缩空气推动清管器，完成清扫管道内杂物、砂石、尘土、积水和浮锈等，清管扫线应具备临时清管器收发设施。管道试压以清洁水作为试验介质，根据管线设计参数，本项目试压废水量约20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，试压废水依托经罐区废水池汇总后进入污水处理厂进行处理。</w:t>
      </w:r>
    </w:p>
    <w:p w14:paraId="2579CCBD">
      <w:pPr>
        <w:pStyle w:val="4"/>
        <w:rPr>
          <w:color w:val="000000" w:themeColor="text1"/>
          <w14:textFill>
            <w14:solidFill>
              <w14:schemeClr w14:val="tx1"/>
            </w14:solidFill>
          </w14:textFill>
        </w:rPr>
      </w:pPr>
      <w:bookmarkStart w:id="664" w:name="_Toc26910033"/>
      <w:bookmarkStart w:id="665" w:name="_Toc136878510"/>
      <w:bookmarkStart w:id="666" w:name="_Toc25436983"/>
      <w:bookmarkStart w:id="667" w:name="_Toc29131846"/>
      <w:bookmarkStart w:id="668" w:name="_Toc216620573"/>
      <w:bookmarkStart w:id="669" w:name="_Toc135090244"/>
      <w:bookmarkStart w:id="670" w:name="_Toc216103414"/>
      <w:r>
        <w:rPr>
          <w:color w:val="000000" w:themeColor="text1"/>
          <w14:textFill>
            <w14:solidFill>
              <w14:schemeClr w14:val="tx1"/>
            </w14:solidFill>
          </w14:textFill>
        </w:rPr>
        <w:t>施工期噪声影响分析</w:t>
      </w:r>
      <w:bookmarkEnd w:id="664"/>
      <w:bookmarkEnd w:id="665"/>
      <w:bookmarkEnd w:id="666"/>
      <w:bookmarkEnd w:id="667"/>
      <w:bookmarkEnd w:id="668"/>
      <w:bookmarkEnd w:id="669"/>
      <w:bookmarkEnd w:id="670"/>
    </w:p>
    <w:p w14:paraId="383EA42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本项目施工对声环境的影响主要是由施工机械和船舶造成。施工期噪声影响主要管线敷设施工。</w:t>
      </w:r>
    </w:p>
    <w:p w14:paraId="2473690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将采用不同的机械设备施工，如架设装卸臂时使用船舶，焊接时使用电焊机及发电机，这些施工均在白天作业，根据施工内容交替使用施工机械，并随着施工位置变化移动。根据类比调查和现场踏勘监测以及项目可研提供的主要设备选型等有关资料分析，设备高达85dB（A）以上的噪声源施工机械有：吊管机、电焊机、切割机、施工船舶。</w:t>
      </w:r>
    </w:p>
    <w:p w14:paraId="4656717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当声源的大小与预测距离相比小得多时，可以将此声源看作点源，声源噪声值随距离衰减的计算公式如下：</w:t>
      </w:r>
    </w:p>
    <w:p w14:paraId="4E3EF9C2">
      <w:pPr>
        <w:widowControl/>
        <w:kinsoku w:val="0"/>
        <w:autoSpaceDE w:val="0"/>
        <w:autoSpaceDN w:val="0"/>
        <w:adjustRightInd w:val="0"/>
        <w:snapToGrid w:val="0"/>
        <w:ind w:firstLine="480"/>
        <w:jc w:val="center"/>
        <w:textAlignment w:val="baseline"/>
        <w:rPr>
          <w:color w:val="000000" w:themeColor="text1"/>
          <w14:textFill>
            <w14:solidFill>
              <w14:schemeClr w14:val="tx1"/>
            </w14:solidFill>
          </w14:textFill>
        </w:rPr>
      </w:pPr>
      <w:r>
        <w:rPr>
          <w:i/>
          <w:iCs/>
          <w:color w:val="000000" w:themeColor="text1"/>
          <w14:textFill>
            <w14:solidFill>
              <w14:schemeClr w14:val="tx1"/>
            </w14:solidFill>
          </w14:textFill>
        </w:rPr>
        <w:t>L</w:t>
      </w:r>
      <w:r>
        <w:rPr>
          <w:color w:val="000000" w:themeColor="text1"/>
          <w:vertAlign w:val="subscript"/>
          <w14:textFill>
            <w14:solidFill>
              <w14:schemeClr w14:val="tx1"/>
            </w14:solidFill>
          </w14:textFill>
        </w:rPr>
        <w:t>i</w:t>
      </w:r>
      <w:r>
        <w:rPr>
          <w:color w:val="000000" w:themeColor="text1"/>
          <w14:textFill>
            <w14:solidFill>
              <w14:schemeClr w14:val="tx1"/>
            </w14:solidFill>
          </w14:textFill>
        </w:rPr>
        <w:t>=</w:t>
      </w:r>
      <w:r>
        <w:rPr>
          <w:i/>
          <w:iCs/>
          <w:color w:val="000000" w:themeColor="text1"/>
          <w14:textFill>
            <w14:solidFill>
              <w14:schemeClr w14:val="tx1"/>
            </w14:solidFill>
          </w14:textFill>
        </w:rPr>
        <w:t>L</w:t>
      </w:r>
      <w:r>
        <w:rPr>
          <w:i/>
          <w:iCs/>
          <w:color w:val="000000" w:themeColor="text1"/>
          <w:vertAlign w:val="subscript"/>
          <w14:textFill>
            <w14:solidFill>
              <w14:schemeClr w14:val="tx1"/>
            </w14:solidFill>
          </w14:textFill>
        </w:rPr>
        <w:t>0</w:t>
      </w:r>
      <w:r>
        <w:rPr>
          <w:color w:val="000000" w:themeColor="text1"/>
          <w14:textFill>
            <w14:solidFill>
              <w14:schemeClr w14:val="tx1"/>
            </w14:solidFill>
          </w14:textFill>
        </w:rPr>
        <w:t>-20lg（</w:t>
      </w:r>
      <w:r>
        <w:rPr>
          <w:rFonts w:hint="eastAsia"/>
          <w:color w:val="000000" w:themeColor="text1"/>
          <w14:textFill>
            <w14:solidFill>
              <w14:schemeClr w14:val="tx1"/>
            </w14:solidFill>
          </w14:textFill>
        </w:rPr>
        <w:t>r</w:t>
      </w:r>
      <w:r>
        <w:rPr>
          <w:color w:val="000000" w:themeColor="text1"/>
          <w:vertAlign w:val="subscript"/>
          <w14:textFill>
            <w14:solidFill>
              <w14:schemeClr w14:val="tx1"/>
            </w14:solidFill>
          </w14:textFill>
        </w:rPr>
        <w:t>i</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r</w:t>
      </w:r>
      <w:r>
        <w:rPr>
          <w:color w:val="000000" w:themeColor="text1"/>
          <w:vertAlign w:val="subscript"/>
          <w14:textFill>
            <w14:solidFill>
              <w14:schemeClr w14:val="tx1"/>
            </w14:solidFill>
          </w14:textFill>
        </w:rPr>
        <w:t>0</w:t>
      </w:r>
      <w:r>
        <w:rPr>
          <w:color w:val="000000" w:themeColor="text1"/>
          <w14:textFill>
            <w14:solidFill>
              <w14:schemeClr w14:val="tx1"/>
            </w14:solidFill>
          </w14:textFill>
        </w:rPr>
        <w:t>）-</w:t>
      </w:r>
      <w:r>
        <w:rPr>
          <w:i/>
          <w:iCs/>
          <w:color w:val="000000" w:themeColor="text1"/>
          <w14:textFill>
            <w14:solidFill>
              <w14:schemeClr w14:val="tx1"/>
            </w14:solidFill>
          </w14:textFill>
        </w:rPr>
        <w:t>∆L</w:t>
      </w:r>
    </w:p>
    <w:p w14:paraId="1DAB3310">
      <w:pPr>
        <w:ind w:firstLine="480"/>
        <w:rPr>
          <w:color w:val="000000" w:themeColor="text1"/>
          <w14:textFill>
            <w14:solidFill>
              <w14:schemeClr w14:val="tx1"/>
            </w14:solidFill>
          </w14:textFill>
        </w:rPr>
      </w:pPr>
      <w:r>
        <w:rPr>
          <w:rFonts w:hint="eastAsia"/>
          <w:i/>
          <w:iCs/>
          <w:color w:val="000000" w:themeColor="text1"/>
          <w14:textFill>
            <w14:solidFill>
              <w14:schemeClr w14:val="tx1"/>
            </w14:solidFill>
          </w14:textFill>
        </w:rPr>
        <w:t>L</w:t>
      </w:r>
      <w:r>
        <w:rPr>
          <w:rFonts w:hint="eastAsia"/>
          <w:i/>
          <w:iCs/>
          <w:color w:val="000000" w:themeColor="text1"/>
          <w:vertAlign w:val="subscript"/>
          <w14:textFill>
            <w14:solidFill>
              <w14:schemeClr w14:val="tx1"/>
            </w14:solidFill>
          </w14:textFill>
        </w:rPr>
        <w:t>i</w:t>
      </w:r>
      <w:r>
        <w:rPr>
          <w:rFonts w:hint="eastAsia"/>
          <w:color w:val="000000" w:themeColor="text1"/>
          <w14:textFill>
            <w14:solidFill>
              <w14:schemeClr w14:val="tx1"/>
            </w14:solidFill>
          </w14:textFill>
        </w:rPr>
        <w:t>——距声源r</w:t>
      </w:r>
      <w:r>
        <w:rPr>
          <w:color w:val="000000" w:themeColor="text1"/>
          <w:vertAlign w:val="subscript"/>
          <w14:textFill>
            <w14:solidFill>
              <w14:schemeClr w14:val="tx1"/>
            </w14:solidFill>
          </w14:textFill>
        </w:rPr>
        <w:t>i</w:t>
      </w:r>
      <w:r>
        <w:rPr>
          <w:rFonts w:hint="eastAsia"/>
          <w:color w:val="000000" w:themeColor="text1"/>
          <w14:textFill>
            <w14:solidFill>
              <w14:schemeClr w14:val="tx1"/>
            </w14:solidFill>
          </w14:textFill>
        </w:rPr>
        <w:t>处的声级dB(A)；</w:t>
      </w:r>
      <w:r>
        <w:rPr>
          <w:rFonts w:hint="eastAsia"/>
          <w:i/>
          <w:iCs/>
          <w:color w:val="000000" w:themeColor="text1"/>
          <w14:textFill>
            <w14:solidFill>
              <w14:schemeClr w14:val="tx1"/>
            </w14:solidFill>
          </w14:textFill>
        </w:rPr>
        <w:t>L</w:t>
      </w:r>
      <w:r>
        <w:rPr>
          <w:rFonts w:hint="eastAsia"/>
          <w:i/>
          <w:iCs/>
          <w:color w:val="000000" w:themeColor="text1"/>
          <w:vertAlign w:val="subscript"/>
          <w14:textFill>
            <w14:solidFill>
              <w14:schemeClr w14:val="tx1"/>
            </w14:solidFill>
          </w14:textFill>
        </w:rPr>
        <w:t>0</w:t>
      </w:r>
      <w:r>
        <w:rPr>
          <w:rFonts w:hint="eastAsia"/>
          <w:color w:val="000000" w:themeColor="text1"/>
          <w14:textFill>
            <w14:solidFill>
              <w14:schemeClr w14:val="tx1"/>
            </w14:solidFill>
          </w14:textFill>
        </w:rPr>
        <w:t>——距声源r</w:t>
      </w:r>
      <w:r>
        <w:rPr>
          <w:color w:val="000000" w:themeColor="text1"/>
          <w:vertAlign w:val="subscript"/>
          <w14:textFill>
            <w14:solidFill>
              <w14:schemeClr w14:val="tx1"/>
            </w14:solidFill>
          </w14:textFill>
        </w:rPr>
        <w:t>0</w:t>
      </w:r>
      <w:r>
        <w:rPr>
          <w:rFonts w:hint="eastAsia"/>
          <w:color w:val="000000" w:themeColor="text1"/>
          <w14:textFill>
            <w14:solidFill>
              <w14:schemeClr w14:val="tx1"/>
            </w14:solidFill>
          </w14:textFill>
        </w:rPr>
        <w:t>处的声级dB(A)；</w:t>
      </w:r>
      <w:r>
        <w:rPr>
          <w:rFonts w:hint="eastAsia"/>
          <w:i/>
          <w:iCs/>
          <w:color w:val="000000" w:themeColor="text1"/>
          <w14:textFill>
            <w14:solidFill>
              <w14:schemeClr w14:val="tx1"/>
            </w14:solidFill>
          </w14:textFill>
        </w:rPr>
        <w:t>∆L</w:t>
      </w:r>
      <w:r>
        <w:rPr>
          <w:rFonts w:hint="eastAsia"/>
          <w:color w:val="000000" w:themeColor="text1"/>
          <w14:textFill>
            <w14:solidFill>
              <w14:schemeClr w14:val="tx1"/>
            </w14:solidFill>
          </w14:textFill>
        </w:rPr>
        <w:t>——其它因素引起的噪声衰减量，保守取0。</w:t>
      </w:r>
    </w:p>
    <w:p w14:paraId="74D21508">
      <w:pPr>
        <w:ind w:firstLine="480"/>
        <w:rPr>
          <w:b/>
          <w:bCs/>
          <w:color w:val="000000" w:themeColor="text1"/>
          <w14:textFill>
            <w14:solidFill>
              <w14:schemeClr w14:val="tx1"/>
            </w14:solidFill>
          </w14:textFill>
        </w:rPr>
      </w:pPr>
      <w:r>
        <w:rPr>
          <w:rFonts w:hint="eastAsia"/>
          <w:color w:val="000000" w:themeColor="text1"/>
          <w14:textFill>
            <w14:solidFill>
              <w14:schemeClr w14:val="tx1"/>
            </w14:solidFill>
          </w14:textFill>
        </w:rPr>
        <w:t>计算得出施工噪声随距离衰减后的预测值见下表。</w:t>
      </w:r>
    </w:p>
    <w:p w14:paraId="76440328">
      <w:pPr>
        <w:pStyle w:val="7"/>
        <w:tabs>
          <w:tab w:val="left" w:pos="2127"/>
          <w:tab w:val="left" w:pos="2411"/>
        </w:tabs>
        <w:rPr>
          <w:color w:val="000000" w:themeColor="text1"/>
          <w14:textFill>
            <w14:solidFill>
              <w14:schemeClr w14:val="tx1"/>
            </w14:solidFill>
          </w14:textFill>
        </w:rPr>
      </w:pPr>
      <w:r>
        <w:rPr>
          <w:rFonts w:hint="eastAsia"/>
          <w:color w:val="000000" w:themeColor="text1"/>
          <w14:textFill>
            <w14:solidFill>
              <w14:schemeClr w14:val="tx1"/>
            </w14:solidFill>
          </w14:textFill>
        </w:rPr>
        <w:t>施工器械在不同距离的噪声预测值</w:t>
      </w:r>
    </w:p>
    <w:tbl>
      <w:tblPr>
        <w:tblStyle w:val="43"/>
        <w:tblW w:w="499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32"/>
        <w:gridCol w:w="1116"/>
        <w:gridCol w:w="990"/>
        <w:gridCol w:w="1467"/>
        <w:gridCol w:w="1075"/>
        <w:gridCol w:w="1079"/>
        <w:gridCol w:w="1076"/>
        <w:gridCol w:w="1080"/>
      </w:tblGrid>
      <w:tr w14:paraId="5AF0A1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71" w:type="pct"/>
            <w:vMerge w:val="restart"/>
            <w:vAlign w:val="center"/>
          </w:tcPr>
          <w:p w14:paraId="06152902">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655" w:type="pct"/>
            <w:vMerge w:val="restart"/>
            <w:vAlign w:val="center"/>
          </w:tcPr>
          <w:p w14:paraId="243B58D5">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噪声源</w:t>
            </w:r>
          </w:p>
        </w:tc>
        <w:tc>
          <w:tcPr>
            <w:tcW w:w="581" w:type="pct"/>
            <w:vMerge w:val="restart"/>
            <w:vAlign w:val="center"/>
          </w:tcPr>
          <w:p w14:paraId="5DF099AE">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距离（m）</w:t>
            </w:r>
          </w:p>
        </w:tc>
        <w:tc>
          <w:tcPr>
            <w:tcW w:w="861" w:type="pct"/>
            <w:vMerge w:val="restart"/>
            <w:vAlign w:val="center"/>
          </w:tcPr>
          <w:p w14:paraId="2D7120C0">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声级值dB(A)</w:t>
            </w:r>
          </w:p>
        </w:tc>
        <w:tc>
          <w:tcPr>
            <w:tcW w:w="1264" w:type="pct"/>
            <w:gridSpan w:val="2"/>
            <w:vAlign w:val="center"/>
          </w:tcPr>
          <w:p w14:paraId="0EEC8785">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限值标准dB(A)</w:t>
            </w:r>
          </w:p>
        </w:tc>
        <w:tc>
          <w:tcPr>
            <w:tcW w:w="1264" w:type="pct"/>
            <w:gridSpan w:val="2"/>
            <w:vAlign w:val="center"/>
          </w:tcPr>
          <w:p w14:paraId="036D678B">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达到标准时的距离（m）</w:t>
            </w:r>
          </w:p>
        </w:tc>
      </w:tr>
      <w:tr w14:paraId="4B2C91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71" w:type="pct"/>
            <w:vMerge w:val="continue"/>
            <w:vAlign w:val="center"/>
          </w:tcPr>
          <w:p w14:paraId="08043BB0">
            <w:pPr>
              <w:autoSpaceDE w:val="0"/>
              <w:autoSpaceDN w:val="0"/>
              <w:spacing w:line="240" w:lineRule="auto"/>
              <w:ind w:firstLine="420"/>
              <w:jc w:val="center"/>
              <w:rPr>
                <w:color w:val="000000" w:themeColor="text1"/>
                <w:sz w:val="21"/>
                <w:szCs w:val="21"/>
                <w14:textFill>
                  <w14:solidFill>
                    <w14:schemeClr w14:val="tx1"/>
                  </w14:solidFill>
                </w14:textFill>
              </w:rPr>
            </w:pPr>
          </w:p>
        </w:tc>
        <w:tc>
          <w:tcPr>
            <w:tcW w:w="655" w:type="pct"/>
            <w:vMerge w:val="continue"/>
            <w:vAlign w:val="center"/>
          </w:tcPr>
          <w:p w14:paraId="5E19A042">
            <w:pPr>
              <w:pStyle w:val="70"/>
              <w:autoSpaceDE w:val="0"/>
              <w:autoSpaceDN w:val="0"/>
              <w:rPr>
                <w:color w:val="000000" w:themeColor="text1"/>
                <w14:textFill>
                  <w14:solidFill>
                    <w14:schemeClr w14:val="tx1"/>
                  </w14:solidFill>
                </w14:textFill>
              </w:rPr>
            </w:pPr>
          </w:p>
        </w:tc>
        <w:tc>
          <w:tcPr>
            <w:tcW w:w="581" w:type="pct"/>
            <w:vMerge w:val="continue"/>
            <w:vAlign w:val="center"/>
          </w:tcPr>
          <w:p w14:paraId="0A890F57">
            <w:pPr>
              <w:pStyle w:val="70"/>
              <w:autoSpaceDE w:val="0"/>
              <w:autoSpaceDN w:val="0"/>
              <w:rPr>
                <w:color w:val="000000" w:themeColor="text1"/>
                <w14:textFill>
                  <w14:solidFill>
                    <w14:schemeClr w14:val="tx1"/>
                  </w14:solidFill>
                </w14:textFill>
              </w:rPr>
            </w:pPr>
          </w:p>
        </w:tc>
        <w:tc>
          <w:tcPr>
            <w:tcW w:w="861" w:type="pct"/>
            <w:vMerge w:val="continue"/>
            <w:vAlign w:val="center"/>
          </w:tcPr>
          <w:p w14:paraId="1D61421A">
            <w:pPr>
              <w:pStyle w:val="70"/>
              <w:autoSpaceDE w:val="0"/>
              <w:autoSpaceDN w:val="0"/>
              <w:rPr>
                <w:color w:val="000000" w:themeColor="text1"/>
                <w14:textFill>
                  <w14:solidFill>
                    <w14:schemeClr w14:val="tx1"/>
                  </w14:solidFill>
                </w14:textFill>
              </w:rPr>
            </w:pPr>
          </w:p>
        </w:tc>
        <w:tc>
          <w:tcPr>
            <w:tcW w:w="631" w:type="pct"/>
            <w:vAlign w:val="center"/>
          </w:tcPr>
          <w:p w14:paraId="09A29717">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昼间</w:t>
            </w:r>
          </w:p>
        </w:tc>
        <w:tc>
          <w:tcPr>
            <w:tcW w:w="633" w:type="pct"/>
            <w:vAlign w:val="center"/>
          </w:tcPr>
          <w:p w14:paraId="05A8D03D">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夜间</w:t>
            </w:r>
          </w:p>
        </w:tc>
        <w:tc>
          <w:tcPr>
            <w:tcW w:w="631" w:type="pct"/>
            <w:vAlign w:val="center"/>
          </w:tcPr>
          <w:p w14:paraId="50B1E49D">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昼间</w:t>
            </w:r>
          </w:p>
        </w:tc>
        <w:tc>
          <w:tcPr>
            <w:tcW w:w="633" w:type="pct"/>
            <w:vAlign w:val="center"/>
          </w:tcPr>
          <w:p w14:paraId="2393A0F6">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夜间</w:t>
            </w:r>
          </w:p>
        </w:tc>
      </w:tr>
      <w:tr w14:paraId="519B5D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1" w:type="pct"/>
            <w:vAlign w:val="center"/>
          </w:tcPr>
          <w:p w14:paraId="2FE0F088">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1</w:t>
            </w:r>
          </w:p>
        </w:tc>
        <w:tc>
          <w:tcPr>
            <w:tcW w:w="655" w:type="pct"/>
            <w:vAlign w:val="center"/>
          </w:tcPr>
          <w:p w14:paraId="59C97CA9">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吊机</w:t>
            </w:r>
          </w:p>
        </w:tc>
        <w:tc>
          <w:tcPr>
            <w:tcW w:w="581" w:type="pct"/>
            <w:vAlign w:val="center"/>
          </w:tcPr>
          <w:p w14:paraId="54102769">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5</w:t>
            </w:r>
          </w:p>
        </w:tc>
        <w:tc>
          <w:tcPr>
            <w:tcW w:w="861" w:type="pct"/>
            <w:vAlign w:val="center"/>
          </w:tcPr>
          <w:p w14:paraId="373E99B0">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88</w:t>
            </w:r>
          </w:p>
        </w:tc>
        <w:tc>
          <w:tcPr>
            <w:tcW w:w="631" w:type="pct"/>
            <w:vMerge w:val="restart"/>
            <w:vAlign w:val="center"/>
          </w:tcPr>
          <w:p w14:paraId="3DCB9997">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70</w:t>
            </w:r>
          </w:p>
        </w:tc>
        <w:tc>
          <w:tcPr>
            <w:tcW w:w="633" w:type="pct"/>
            <w:vMerge w:val="restart"/>
            <w:vAlign w:val="center"/>
          </w:tcPr>
          <w:p w14:paraId="1A73923D">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55</w:t>
            </w:r>
          </w:p>
        </w:tc>
        <w:tc>
          <w:tcPr>
            <w:tcW w:w="631" w:type="pct"/>
            <w:vAlign w:val="center"/>
          </w:tcPr>
          <w:p w14:paraId="19BD5F37">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c>
          <w:tcPr>
            <w:tcW w:w="633" w:type="pct"/>
            <w:vAlign w:val="center"/>
          </w:tcPr>
          <w:p w14:paraId="66F2F3F8">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223</w:t>
            </w:r>
          </w:p>
        </w:tc>
      </w:tr>
      <w:tr w14:paraId="2E5D0D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1" w:type="pct"/>
            <w:vAlign w:val="center"/>
          </w:tcPr>
          <w:p w14:paraId="2E108043">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2</w:t>
            </w:r>
          </w:p>
        </w:tc>
        <w:tc>
          <w:tcPr>
            <w:tcW w:w="655" w:type="pct"/>
            <w:vAlign w:val="center"/>
          </w:tcPr>
          <w:p w14:paraId="79CC3E4D">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切割机</w:t>
            </w:r>
          </w:p>
        </w:tc>
        <w:tc>
          <w:tcPr>
            <w:tcW w:w="581" w:type="pct"/>
            <w:vAlign w:val="center"/>
          </w:tcPr>
          <w:p w14:paraId="012942B3">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861" w:type="pct"/>
            <w:vAlign w:val="center"/>
          </w:tcPr>
          <w:p w14:paraId="23E75FCE">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95</w:t>
            </w:r>
          </w:p>
        </w:tc>
        <w:tc>
          <w:tcPr>
            <w:tcW w:w="631" w:type="pct"/>
            <w:vMerge w:val="continue"/>
            <w:vAlign w:val="center"/>
          </w:tcPr>
          <w:p w14:paraId="2D87BCBE">
            <w:pPr>
              <w:pStyle w:val="70"/>
              <w:autoSpaceDE w:val="0"/>
              <w:autoSpaceDN w:val="0"/>
              <w:rPr>
                <w:color w:val="000000" w:themeColor="text1"/>
                <w14:textFill>
                  <w14:solidFill>
                    <w14:schemeClr w14:val="tx1"/>
                  </w14:solidFill>
                </w14:textFill>
              </w:rPr>
            </w:pPr>
          </w:p>
        </w:tc>
        <w:tc>
          <w:tcPr>
            <w:tcW w:w="633" w:type="pct"/>
            <w:vMerge w:val="continue"/>
            <w:vAlign w:val="center"/>
          </w:tcPr>
          <w:p w14:paraId="1E9D5237">
            <w:pPr>
              <w:pStyle w:val="70"/>
              <w:autoSpaceDE w:val="0"/>
              <w:autoSpaceDN w:val="0"/>
              <w:rPr>
                <w:color w:val="000000" w:themeColor="text1"/>
                <w14:textFill>
                  <w14:solidFill>
                    <w14:schemeClr w14:val="tx1"/>
                  </w14:solidFill>
                </w14:textFill>
              </w:rPr>
            </w:pPr>
          </w:p>
        </w:tc>
        <w:tc>
          <w:tcPr>
            <w:tcW w:w="631" w:type="pct"/>
            <w:vAlign w:val="center"/>
          </w:tcPr>
          <w:p w14:paraId="6A8D0151">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89</w:t>
            </w:r>
          </w:p>
        </w:tc>
        <w:tc>
          <w:tcPr>
            <w:tcW w:w="633" w:type="pct"/>
            <w:vAlign w:val="center"/>
          </w:tcPr>
          <w:p w14:paraId="094F3F49">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498</w:t>
            </w:r>
          </w:p>
        </w:tc>
      </w:tr>
      <w:tr w14:paraId="1D0466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1" w:type="pct"/>
            <w:vAlign w:val="center"/>
          </w:tcPr>
          <w:p w14:paraId="027E7D9B">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3</w:t>
            </w:r>
          </w:p>
        </w:tc>
        <w:tc>
          <w:tcPr>
            <w:tcW w:w="655" w:type="pct"/>
            <w:vAlign w:val="center"/>
          </w:tcPr>
          <w:p w14:paraId="5B547061">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电焊机</w:t>
            </w:r>
          </w:p>
        </w:tc>
        <w:tc>
          <w:tcPr>
            <w:tcW w:w="581" w:type="pct"/>
            <w:vAlign w:val="center"/>
          </w:tcPr>
          <w:p w14:paraId="328A70F3">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861" w:type="pct"/>
            <w:vAlign w:val="center"/>
          </w:tcPr>
          <w:p w14:paraId="46F8D6E1">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85</w:t>
            </w:r>
          </w:p>
        </w:tc>
        <w:tc>
          <w:tcPr>
            <w:tcW w:w="631" w:type="pct"/>
            <w:vMerge w:val="continue"/>
            <w:vAlign w:val="center"/>
          </w:tcPr>
          <w:p w14:paraId="2776D177">
            <w:pPr>
              <w:pStyle w:val="70"/>
              <w:autoSpaceDE w:val="0"/>
              <w:autoSpaceDN w:val="0"/>
              <w:rPr>
                <w:color w:val="000000" w:themeColor="text1"/>
                <w14:textFill>
                  <w14:solidFill>
                    <w14:schemeClr w14:val="tx1"/>
                  </w14:solidFill>
                </w14:textFill>
              </w:rPr>
            </w:pPr>
          </w:p>
        </w:tc>
        <w:tc>
          <w:tcPr>
            <w:tcW w:w="633" w:type="pct"/>
            <w:vMerge w:val="continue"/>
            <w:vAlign w:val="center"/>
          </w:tcPr>
          <w:p w14:paraId="5BD712FA">
            <w:pPr>
              <w:pStyle w:val="70"/>
              <w:autoSpaceDE w:val="0"/>
              <w:autoSpaceDN w:val="0"/>
              <w:rPr>
                <w:color w:val="000000" w:themeColor="text1"/>
                <w14:textFill>
                  <w14:solidFill>
                    <w14:schemeClr w14:val="tx1"/>
                  </w14:solidFill>
                </w14:textFill>
              </w:rPr>
            </w:pPr>
          </w:p>
        </w:tc>
        <w:tc>
          <w:tcPr>
            <w:tcW w:w="631" w:type="pct"/>
            <w:vAlign w:val="center"/>
          </w:tcPr>
          <w:p w14:paraId="71C63021">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28</w:t>
            </w:r>
          </w:p>
        </w:tc>
        <w:tc>
          <w:tcPr>
            <w:tcW w:w="633" w:type="pct"/>
            <w:vAlign w:val="center"/>
          </w:tcPr>
          <w:p w14:paraId="3CF43A8A">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158</w:t>
            </w:r>
          </w:p>
        </w:tc>
      </w:tr>
      <w:tr w14:paraId="4975C5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Align w:val="center"/>
          </w:tcPr>
          <w:p w14:paraId="359AD84E">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0" w:type="auto"/>
            <w:vAlign w:val="center"/>
          </w:tcPr>
          <w:p w14:paraId="0D703177">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施工船舶</w:t>
            </w:r>
          </w:p>
        </w:tc>
        <w:tc>
          <w:tcPr>
            <w:tcW w:w="0" w:type="auto"/>
            <w:vAlign w:val="center"/>
          </w:tcPr>
          <w:p w14:paraId="5625003D">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5</w:t>
            </w:r>
          </w:p>
        </w:tc>
        <w:tc>
          <w:tcPr>
            <w:tcW w:w="0" w:type="auto"/>
            <w:vAlign w:val="center"/>
          </w:tcPr>
          <w:p w14:paraId="21139E30">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90</w:t>
            </w:r>
          </w:p>
        </w:tc>
        <w:tc>
          <w:tcPr>
            <w:tcW w:w="631" w:type="pct"/>
            <w:vMerge w:val="continue"/>
            <w:vAlign w:val="center"/>
          </w:tcPr>
          <w:p w14:paraId="2378462C">
            <w:pPr>
              <w:pStyle w:val="70"/>
              <w:autoSpaceDE w:val="0"/>
              <w:autoSpaceDN w:val="0"/>
              <w:rPr>
                <w:color w:val="000000" w:themeColor="text1"/>
                <w14:textFill>
                  <w14:solidFill>
                    <w14:schemeClr w14:val="tx1"/>
                  </w14:solidFill>
                </w14:textFill>
              </w:rPr>
            </w:pPr>
          </w:p>
        </w:tc>
        <w:tc>
          <w:tcPr>
            <w:tcW w:w="633" w:type="pct"/>
            <w:vMerge w:val="continue"/>
            <w:vAlign w:val="center"/>
          </w:tcPr>
          <w:p w14:paraId="7A109617">
            <w:pPr>
              <w:pStyle w:val="70"/>
              <w:autoSpaceDE w:val="0"/>
              <w:autoSpaceDN w:val="0"/>
              <w:rPr>
                <w:color w:val="000000" w:themeColor="text1"/>
                <w14:textFill>
                  <w14:solidFill>
                    <w14:schemeClr w14:val="tx1"/>
                  </w14:solidFill>
                </w14:textFill>
              </w:rPr>
            </w:pPr>
          </w:p>
        </w:tc>
        <w:tc>
          <w:tcPr>
            <w:tcW w:w="0" w:type="auto"/>
            <w:vAlign w:val="center"/>
          </w:tcPr>
          <w:p w14:paraId="773D9230">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0" w:type="auto"/>
            <w:vAlign w:val="center"/>
          </w:tcPr>
          <w:p w14:paraId="70FD8941">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280</w:t>
            </w:r>
          </w:p>
        </w:tc>
      </w:tr>
    </w:tbl>
    <w:p w14:paraId="484B61F0">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施工期声环境评价标准采用《建筑施工噪声排放标准》（GB 12523-20</w:t>
      </w:r>
      <w:r>
        <w:rPr>
          <w:rFonts w:hint="eastAsia"/>
          <w:color w:val="000000" w:themeColor="text1"/>
          <w:u w:val="single"/>
          <w14:textFill>
            <w14:solidFill>
              <w14:schemeClr w14:val="tx1"/>
            </w14:solidFill>
          </w14:textFill>
        </w:rPr>
        <w:t>25</w:t>
      </w:r>
      <w:r>
        <w:rPr>
          <w:color w:val="000000" w:themeColor="text1"/>
          <w:u w:val="single"/>
          <w14:textFill>
            <w14:solidFill>
              <w14:schemeClr w14:val="tx1"/>
            </w14:solidFill>
          </w14:textFill>
        </w:rPr>
        <w:t>）中的相应标准（昼间70dB、夜间55dB）。</w:t>
      </w:r>
    </w:p>
    <w:p w14:paraId="49FF5B5F">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根据预测结果，单机施工机械噪声值昼间辐射到大于89m距离时，施工噪声预测值可满足《建筑施工噪声排放标准》（GB 12523-20</w:t>
      </w:r>
      <w:r>
        <w:rPr>
          <w:rFonts w:hint="eastAsia"/>
          <w:color w:val="000000" w:themeColor="text1"/>
          <w:u w:val="single"/>
          <w14:textFill>
            <w14:solidFill>
              <w14:schemeClr w14:val="tx1"/>
            </w14:solidFill>
          </w14:textFill>
        </w:rPr>
        <w:t>25</w:t>
      </w:r>
      <w:r>
        <w:rPr>
          <w:color w:val="000000" w:themeColor="text1"/>
          <w:u w:val="single"/>
          <w14:textFill>
            <w14:solidFill>
              <w14:schemeClr w14:val="tx1"/>
            </w14:solidFill>
          </w14:textFill>
        </w:rPr>
        <w:t>）标准要求；对于夜间作业，施工机械噪声值辐射到大于498m处，可达到标准。</w:t>
      </w:r>
    </w:p>
    <w:p w14:paraId="59403684">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管道工程施工多在空旷地带进行，在评价范围内无敏感目标分布，不会对周围敏感造成大的不利影响。同时，管道属于线性工程，使用机械施工，在局部地段的施工周期一般较短，即使是在同一点施工也是断续操作，因此施工产生的噪声只短时对局部环境造成影响，并随施工活动结束消失。</w:t>
      </w:r>
    </w:p>
    <w:p w14:paraId="27890A12">
      <w:pPr>
        <w:pStyle w:val="4"/>
        <w:rPr>
          <w:color w:val="000000" w:themeColor="text1"/>
          <w14:textFill>
            <w14:solidFill>
              <w14:schemeClr w14:val="tx1"/>
            </w14:solidFill>
          </w14:textFill>
        </w:rPr>
      </w:pPr>
      <w:bookmarkStart w:id="671" w:name="_Toc135090245"/>
      <w:bookmarkStart w:id="672" w:name="_Toc25436984"/>
      <w:bookmarkStart w:id="673" w:name="_Toc26910034"/>
      <w:bookmarkStart w:id="674" w:name="_Toc216103415"/>
      <w:bookmarkStart w:id="675" w:name="_Toc29131847"/>
      <w:bookmarkStart w:id="676" w:name="_Toc136878511"/>
      <w:bookmarkStart w:id="677" w:name="_Toc216620574"/>
      <w:r>
        <w:rPr>
          <w:color w:val="000000" w:themeColor="text1"/>
          <w14:textFill>
            <w14:solidFill>
              <w14:schemeClr w14:val="tx1"/>
            </w14:solidFill>
          </w14:textFill>
        </w:rPr>
        <w:t>固体废弃物影响分析</w:t>
      </w:r>
      <w:bookmarkEnd w:id="671"/>
      <w:bookmarkEnd w:id="672"/>
      <w:bookmarkEnd w:id="673"/>
      <w:bookmarkEnd w:id="674"/>
      <w:bookmarkEnd w:id="675"/>
      <w:bookmarkEnd w:id="676"/>
      <w:bookmarkEnd w:id="677"/>
    </w:p>
    <w:p w14:paraId="1399A530">
      <w:pPr>
        <w:ind w:firstLine="480"/>
        <w:rPr>
          <w:color w:val="000000" w:themeColor="text1"/>
          <w14:textFill>
            <w14:solidFill>
              <w14:schemeClr w14:val="tx1"/>
            </w14:solidFill>
          </w14:textFill>
        </w:rPr>
      </w:pPr>
      <w:r>
        <w:rPr>
          <w:color w:val="000000" w:themeColor="text1"/>
          <w14:textFill>
            <w14:solidFill>
              <w14:schemeClr w14:val="tx1"/>
            </w14:solidFill>
          </w14:textFill>
        </w:rPr>
        <w:t>工程施工期间固体废物主要为施工船舶垃圾、施工人员生活垃圾、施工土石方。</w:t>
      </w:r>
    </w:p>
    <w:p w14:paraId="5A925737">
      <w:pPr>
        <w:ind w:firstLine="480"/>
        <w:rPr>
          <w:color w:val="000000" w:themeColor="text1"/>
          <w14:textFill>
            <w14:solidFill>
              <w14:schemeClr w14:val="tx1"/>
            </w14:solidFill>
          </w14:textFill>
        </w:rPr>
      </w:pPr>
      <w:r>
        <w:rPr>
          <w:color w:val="000000" w:themeColor="text1"/>
          <w14:textFill>
            <w14:solidFill>
              <w14:schemeClr w14:val="tx1"/>
            </w14:solidFill>
          </w14:textFill>
        </w:rPr>
        <w:t>1、施工人员生活垃圾</w:t>
      </w:r>
    </w:p>
    <w:p w14:paraId="4A893FC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人员按20人/天，每人每天生活垃圾产生量1kg，施工期按5个月计，则项目施工期间施工人员产生的生活垃圾3.0t，主要是瓜果皮、菜渣、食品包装袋、剩饭等。若生活垃圾处置不当，不仅影响施工区环境卫生，还将为传播疾病的鼠类、蚊、蝇等提供滋生条件，进而导致疾病流行，影响施工人员身体健康。</w:t>
      </w:r>
      <w:r>
        <w:rPr>
          <w:color w:val="000000" w:themeColor="text1"/>
          <w14:textFill>
            <w14:solidFill>
              <w14:schemeClr w14:val="tx1"/>
            </w14:solidFill>
          </w14:textFill>
        </w:rPr>
        <w:t>生活垃圾</w:t>
      </w:r>
      <w:r>
        <w:rPr>
          <w:rFonts w:hint="eastAsia"/>
          <w:color w:val="000000" w:themeColor="text1"/>
          <w14:textFill>
            <w14:solidFill>
              <w14:schemeClr w14:val="tx1"/>
            </w14:solidFill>
          </w14:textFill>
        </w:rPr>
        <w:t>依托当地的处理设施</w:t>
      </w:r>
      <w:r>
        <w:rPr>
          <w:color w:val="000000" w:themeColor="text1"/>
          <w14:textFill>
            <w14:solidFill>
              <w14:schemeClr w14:val="tx1"/>
            </w14:solidFill>
          </w14:textFill>
        </w:rPr>
        <w:t>定点收集后</w:t>
      </w:r>
      <w:r>
        <w:rPr>
          <w:rFonts w:hint="eastAsia"/>
          <w:color w:val="000000" w:themeColor="text1"/>
          <w14:textFill>
            <w14:solidFill>
              <w14:schemeClr w14:val="tx1"/>
            </w14:solidFill>
          </w14:textFill>
        </w:rPr>
        <w:t>，由环卫部门</w:t>
      </w:r>
      <w:r>
        <w:rPr>
          <w:color w:val="000000" w:themeColor="text1"/>
          <w14:textFill>
            <w14:solidFill>
              <w14:schemeClr w14:val="tx1"/>
            </w14:solidFill>
          </w14:textFill>
        </w:rPr>
        <w:t>统一</w:t>
      </w:r>
      <w:r>
        <w:rPr>
          <w:rFonts w:hint="eastAsia"/>
          <w:color w:val="000000" w:themeColor="text1"/>
          <w14:textFill>
            <w14:solidFill>
              <w14:schemeClr w14:val="tx1"/>
            </w14:solidFill>
          </w14:textFill>
        </w:rPr>
        <w:t>清运</w:t>
      </w:r>
      <w:r>
        <w:rPr>
          <w:color w:val="000000" w:themeColor="text1"/>
          <w14:textFill>
            <w14:solidFill>
              <w14:schemeClr w14:val="tx1"/>
            </w14:solidFill>
          </w14:textFill>
        </w:rPr>
        <w:t>处理。</w:t>
      </w:r>
    </w:p>
    <w:p w14:paraId="56B7A3F9">
      <w:pPr>
        <w:ind w:firstLine="480"/>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施工废料</w:t>
      </w:r>
    </w:p>
    <w:p w14:paraId="58051E0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施工废料主要包括防腐作业中产生的废防腐材料及废</w:t>
      </w:r>
      <w:r>
        <w:rPr>
          <w:rFonts w:hint="eastAsia"/>
          <w:bCs/>
          <w:color w:val="000000" w:themeColor="text1"/>
          <w14:textFill>
            <w14:solidFill>
              <w14:schemeClr w14:val="tx1"/>
            </w14:solidFill>
          </w14:textFill>
        </w:rPr>
        <w:t>硅酸钙保温材料</w:t>
      </w:r>
      <w:r>
        <w:rPr>
          <w:rFonts w:hint="eastAsia"/>
          <w:color w:val="000000" w:themeColor="text1"/>
          <w14:textFill>
            <w14:solidFill>
              <w14:schemeClr w14:val="tx1"/>
            </w14:solidFill>
          </w14:textFill>
        </w:rPr>
        <w:t>等。根据类比调查，施工废料的产生量按0.1t/km估算，本项目施工过程中产生的施工废料量约为0.12t。施工废料部分可回收利用，剩余废料集中收集后运往城建部门指定地点进行处置。</w:t>
      </w:r>
    </w:p>
    <w:p w14:paraId="1B09B06C">
      <w:pPr>
        <w:ind w:firstLine="480"/>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施工船舶垃圾</w:t>
      </w:r>
    </w:p>
    <w:p w14:paraId="29E9A02D">
      <w:pPr>
        <w:widowControl/>
        <w:ind w:firstLine="480"/>
        <w:rPr>
          <w:color w:val="000000" w:themeColor="text1"/>
          <w:u w:val="single"/>
          <w14:textFill>
            <w14:solidFill>
              <w14:schemeClr w14:val="tx1"/>
            </w14:solidFill>
          </w14:textFill>
        </w:rPr>
      </w:pPr>
      <w:r>
        <w:rPr>
          <w:color w:val="000000" w:themeColor="text1"/>
          <w14:textFill>
            <w14:solidFill>
              <w14:schemeClr w14:val="tx1"/>
            </w14:solidFill>
          </w14:textFill>
        </w:rPr>
        <w:t>施工船舶</w:t>
      </w:r>
      <w:r>
        <w:rPr>
          <w:rFonts w:hint="eastAsia"/>
          <w:color w:val="000000" w:themeColor="text1"/>
          <w14:textFill>
            <w14:solidFill>
              <w14:schemeClr w14:val="tx1"/>
            </w14:solidFill>
          </w14:textFill>
        </w:rPr>
        <w:t>垃圾主要为船舶人员生活垃圾</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装卸臂吊装一般为3～5天，施工过程中会产生少量的船舶垃圾，施工船舶垃圾</w:t>
      </w:r>
      <w:r>
        <w:rPr>
          <w:color w:val="000000" w:themeColor="text1"/>
          <w14:textFill>
            <w14:solidFill>
              <w14:schemeClr w14:val="tx1"/>
            </w14:solidFill>
          </w14:textFill>
        </w:rPr>
        <w:t>严格按照船舶污染物监管</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联单制度</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进行管理，委托船舶污染物接收单位进行接收、转运及处置。</w:t>
      </w:r>
    </w:p>
    <w:p w14:paraId="49212005">
      <w:pPr>
        <w:pStyle w:val="4"/>
        <w:rPr>
          <w:color w:val="000000" w:themeColor="text1"/>
          <w14:textFill>
            <w14:solidFill>
              <w14:schemeClr w14:val="tx1"/>
            </w14:solidFill>
          </w14:textFill>
        </w:rPr>
      </w:pPr>
      <w:bookmarkStart w:id="678" w:name="_Toc29131848"/>
      <w:bookmarkStart w:id="679" w:name="_Toc216103416"/>
      <w:bookmarkStart w:id="680" w:name="_Toc25436985"/>
      <w:bookmarkStart w:id="681" w:name="_Toc136878512"/>
      <w:bookmarkStart w:id="682" w:name="_Toc26910035"/>
      <w:bookmarkStart w:id="683" w:name="_Toc216620575"/>
      <w:bookmarkStart w:id="684" w:name="_Toc135090246"/>
      <w:r>
        <w:rPr>
          <w:color w:val="000000" w:themeColor="text1"/>
          <w14:textFill>
            <w14:solidFill>
              <w14:schemeClr w14:val="tx1"/>
            </w14:solidFill>
          </w14:textFill>
        </w:rPr>
        <w:t>施工期生态影响分析</w:t>
      </w:r>
      <w:bookmarkEnd w:id="678"/>
      <w:bookmarkEnd w:id="679"/>
      <w:bookmarkEnd w:id="680"/>
      <w:bookmarkEnd w:id="681"/>
      <w:bookmarkEnd w:id="682"/>
      <w:bookmarkEnd w:id="683"/>
      <w:bookmarkEnd w:id="684"/>
    </w:p>
    <w:p w14:paraId="64D1DD57">
      <w:pPr>
        <w:ind w:firstLine="480"/>
        <w:rPr>
          <w:color w:val="000000" w:themeColor="text1"/>
          <w14:textFill>
            <w14:solidFill>
              <w14:schemeClr w14:val="tx1"/>
            </w14:solidFill>
          </w14:textFill>
        </w:rPr>
      </w:pPr>
      <w:r>
        <w:rPr>
          <w:color w:val="000000" w:themeColor="text1"/>
          <w14:textFill>
            <w14:solidFill>
              <w14:schemeClr w14:val="tx1"/>
            </w14:solidFill>
          </w14:textFill>
        </w:rPr>
        <w:t>项目在现有泊位增加装卸臂和软管，不涉及水上施工及陆地施工，项目施工期对生态环境影响甚小。</w:t>
      </w:r>
    </w:p>
    <w:p w14:paraId="3E75B324">
      <w:pPr>
        <w:pStyle w:val="4"/>
        <w:rPr>
          <w:color w:val="000000" w:themeColor="text1"/>
          <w14:textFill>
            <w14:solidFill>
              <w14:schemeClr w14:val="tx1"/>
            </w14:solidFill>
          </w14:textFill>
        </w:rPr>
      </w:pPr>
      <w:bookmarkStart w:id="685" w:name="_Toc216103417"/>
      <w:bookmarkStart w:id="686" w:name="_Toc216620576"/>
      <w:r>
        <w:rPr>
          <w:color w:val="000000" w:themeColor="text1"/>
          <w14:textFill>
            <w14:solidFill>
              <w14:schemeClr w14:val="tx1"/>
            </w14:solidFill>
          </w14:textFill>
        </w:rPr>
        <w:t>施工期地下水环境影响分析</w:t>
      </w:r>
      <w:bookmarkEnd w:id="685"/>
      <w:bookmarkEnd w:id="686"/>
    </w:p>
    <w:p w14:paraId="5529297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施工营地一般租用当地民房；生活污水中的粪便污水经居民房自设的化粪池处理后用作有机肥。试压废水经罐区废水池汇总后进入污水处理厂进行处理。采取以上污水处理措施后，生活污水不会对地下水造成明显影响。</w:t>
      </w:r>
    </w:p>
    <w:p w14:paraId="68F3EAB9">
      <w:pPr>
        <w:pStyle w:val="5"/>
        <w:rPr>
          <w:color w:val="000000" w:themeColor="text1"/>
          <w14:textFill>
            <w14:solidFill>
              <w14:schemeClr w14:val="tx1"/>
            </w14:solidFill>
          </w14:textFill>
        </w:rPr>
      </w:pPr>
      <w:bookmarkStart w:id="687" w:name="_Toc216620577"/>
      <w:r>
        <w:rPr>
          <w:color w:val="000000" w:themeColor="text1"/>
          <w14:textFill>
            <w14:solidFill>
              <w14:schemeClr w14:val="tx1"/>
            </w14:solidFill>
          </w14:textFill>
        </w:rPr>
        <w:t>营运期环境影响分析</w:t>
      </w:r>
      <w:bookmarkEnd w:id="687"/>
    </w:p>
    <w:p w14:paraId="4A01B970">
      <w:pPr>
        <w:pStyle w:val="4"/>
        <w:rPr>
          <w:color w:val="000000" w:themeColor="text1"/>
          <w14:textFill>
            <w14:solidFill>
              <w14:schemeClr w14:val="tx1"/>
            </w14:solidFill>
          </w14:textFill>
        </w:rPr>
      </w:pPr>
      <w:bookmarkStart w:id="688" w:name="_Toc25436987"/>
      <w:bookmarkEnd w:id="688"/>
      <w:bookmarkStart w:id="689" w:name="_Toc29131850"/>
      <w:bookmarkStart w:id="690" w:name="_Toc135090248"/>
      <w:bookmarkStart w:id="691" w:name="_Toc216103419"/>
      <w:bookmarkStart w:id="692" w:name="_Toc136878514"/>
      <w:bookmarkStart w:id="693" w:name="_Toc216620578"/>
      <w:r>
        <w:rPr>
          <w:color w:val="000000" w:themeColor="text1"/>
          <w14:textFill>
            <w14:solidFill>
              <w14:schemeClr w14:val="tx1"/>
            </w14:solidFill>
          </w14:textFill>
        </w:rPr>
        <w:t>运营期大气影响分析</w:t>
      </w:r>
      <w:bookmarkEnd w:id="689"/>
      <w:bookmarkEnd w:id="690"/>
      <w:bookmarkEnd w:id="691"/>
      <w:bookmarkEnd w:id="692"/>
      <w:bookmarkEnd w:id="693"/>
      <w:r>
        <w:rPr>
          <w:color w:val="000000" w:themeColor="text1"/>
          <w14:textFill>
            <w14:solidFill>
              <w14:schemeClr w14:val="tx1"/>
            </w14:solidFill>
          </w14:textFill>
        </w:rPr>
        <w:t xml:space="preserve"> </w:t>
      </w:r>
    </w:p>
    <w:p w14:paraId="3EF855C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本扩建项目主要是</w:t>
      </w:r>
      <w:r>
        <w:rPr>
          <w:color w:val="000000" w:themeColor="text1"/>
          <w14:textFill>
            <w14:solidFill>
              <w14:schemeClr w14:val="tx1"/>
            </w14:solidFill>
          </w14:textFill>
        </w:rPr>
        <w:t>新增</w:t>
      </w:r>
      <w:r>
        <w:rPr>
          <w:rFonts w:hint="eastAsia"/>
          <w:color w:val="000000" w:themeColor="text1"/>
          <w14:textFill>
            <w14:solidFill>
              <w14:schemeClr w14:val="tx1"/>
            </w14:solidFill>
          </w14:textFill>
        </w:rPr>
        <w:t>苯乙烯、裂解C9、棕榈酸化油、脂肪酸混合物、工业级混合油、脂肪酸甲酯、纯生物柴油、航空煤油、液硫、碱液、发烟硫酸、硫酸装卸。</w:t>
      </w:r>
    </w:p>
    <w:p w14:paraId="5B98E177">
      <w:pPr>
        <w:autoSpaceDE w:val="0"/>
        <w:autoSpaceDN w:val="0"/>
        <w:ind w:firstLine="480"/>
        <w:jc w:val="left"/>
        <w:rPr>
          <w:rFonts w:ascii="宋体" w:hAnsi="宋体"/>
          <w:color w:val="000000" w:themeColor="text1"/>
          <w:u w:val="single"/>
          <w14:textFill>
            <w14:solidFill>
              <w14:schemeClr w14:val="tx1"/>
            </w14:solidFill>
          </w14:textFill>
        </w:rPr>
      </w:pPr>
      <w:r>
        <w:rPr>
          <w:rFonts w:hint="eastAsia"/>
          <w:color w:val="000000" w:themeColor="text1"/>
          <w:u w:val="single"/>
          <w:lang w:eastAsia="zh-CN"/>
          <w14:textFill>
            <w14:solidFill>
              <w14:schemeClr w14:val="tx1"/>
            </w14:solidFill>
          </w14:textFill>
        </w:rPr>
        <w:t>其中</w:t>
      </w:r>
      <w:r>
        <w:rPr>
          <w:rFonts w:hint="eastAsia" w:ascii="宋体" w:hAnsi="宋体"/>
          <w:color w:val="000000" w:themeColor="text1"/>
          <w:u w:val="single"/>
          <w14:textFill>
            <w14:solidFill>
              <w14:schemeClr w14:val="tx1"/>
            </w14:solidFill>
          </w14:textFill>
        </w:rPr>
        <w:t>新增苯乙烯利用现有装卸臂进行装卸，均为卸船后经管道至后方</w:t>
      </w:r>
      <w:r>
        <w:rPr>
          <w:rFonts w:hint="eastAsia"/>
          <w:color w:val="000000" w:themeColor="text1"/>
          <w:u w:val="single"/>
          <w14:textFill>
            <w14:solidFill>
              <w14:schemeClr w14:val="tx1"/>
            </w14:solidFill>
          </w14:textFill>
        </w:rPr>
        <w:t>台湾见龙钦州高端聚苯乙烯新材料项目</w:t>
      </w:r>
      <w:r>
        <w:rPr>
          <w:rFonts w:hint="eastAsia" w:ascii="宋体" w:hAnsi="宋体"/>
          <w:color w:val="000000" w:themeColor="text1"/>
          <w:u w:val="single"/>
          <w14:textFill>
            <w14:solidFill>
              <w14:schemeClr w14:val="tx1"/>
            </w14:solidFill>
          </w14:textFill>
        </w:rPr>
        <w:t>厂区。</w:t>
      </w:r>
    </w:p>
    <w:p w14:paraId="0C8106E0">
      <w:pPr>
        <w:autoSpaceDE w:val="0"/>
        <w:autoSpaceDN w:val="0"/>
        <w:ind w:firstLine="480"/>
        <w:jc w:val="left"/>
        <w:rPr>
          <w:rFonts w:ascii="宋体" w:hAnsi="宋体"/>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棕榈酸化油、脂肪酸混合物由</w:t>
      </w:r>
      <w:r>
        <w:rPr>
          <w:rFonts w:hint="eastAsia" w:ascii="宋体" w:hAnsi="宋体"/>
          <w:color w:val="000000" w:themeColor="text1"/>
          <w:u w:val="single"/>
          <w14:textFill>
            <w14:solidFill>
              <w14:schemeClr w14:val="tx1"/>
            </w14:solidFill>
          </w14:textFill>
        </w:rPr>
        <w:t>新建装卸臂</w:t>
      </w:r>
      <w:r>
        <w:rPr>
          <w:rFonts w:hint="eastAsia"/>
          <w:color w:val="000000" w:themeColor="text1"/>
          <w:u w:val="single"/>
          <w14:textFill>
            <w14:solidFill>
              <w14:schemeClr w14:val="tx1"/>
            </w14:solidFill>
          </w14:textFill>
        </w:rPr>
        <w:t>卸船至后方欧德年产 30 万吨生物柴油生产线项目厂区。</w:t>
      </w:r>
    </w:p>
    <w:p w14:paraId="1AB4F3B1">
      <w:pPr>
        <w:autoSpaceDE w:val="0"/>
        <w:autoSpaceDN w:val="0"/>
        <w:ind w:firstLine="480"/>
        <w:jc w:val="left"/>
        <w:rPr>
          <w:rFonts w:ascii="宋体" w:hAnsi="宋体"/>
          <w:color w:val="000000" w:themeColor="text1"/>
          <w:u w:val="single"/>
          <w14:textFill>
            <w14:solidFill>
              <w14:schemeClr w14:val="tx1"/>
            </w14:solidFill>
          </w14:textFill>
        </w:rPr>
      </w:pPr>
      <w:r>
        <w:rPr>
          <w:rFonts w:hint="eastAsia" w:ascii="宋体" w:hAnsi="宋体"/>
          <w:color w:val="000000" w:themeColor="text1"/>
          <w:u w:val="single"/>
          <w14:textFill>
            <w14:solidFill>
              <w14:schemeClr w14:val="tx1"/>
            </w14:solidFill>
          </w14:textFill>
        </w:rPr>
        <w:t>裂解C9、工业级混合油、脂肪酸甲酯、纯生物柴油、航空煤油由后方厂区及公共管廊至码头管廊后至新建装卸臂进行装船。</w:t>
      </w:r>
    </w:p>
    <w:p w14:paraId="6ADA926E">
      <w:pPr>
        <w:ind w:firstLine="480"/>
        <w:rPr>
          <w:color w:val="000000" w:themeColor="text1"/>
          <w:u w:val="single"/>
          <w14:textFill>
            <w14:solidFill>
              <w14:schemeClr w14:val="tx1"/>
            </w14:solidFill>
          </w14:textFill>
        </w:rPr>
      </w:pPr>
      <w:r>
        <w:rPr>
          <w:rFonts w:hint="eastAsia" w:ascii="宋体" w:hAnsi="宋体"/>
          <w:color w:val="000000" w:themeColor="text1"/>
          <w:u w:val="single"/>
          <w14:textFill>
            <w14:solidFill>
              <w14:schemeClr w14:val="tx1"/>
            </w14:solidFill>
          </w14:textFill>
        </w:rPr>
        <w:t>液硫、碱液、发烟硫酸、硫酸经卸船经管道至后方陆域罐区（新增罐区环境影响评价报告</w:t>
      </w:r>
      <w:r>
        <w:rPr>
          <w:rFonts w:hint="eastAsia" w:ascii="宋体" w:hAnsi="宋体"/>
          <w:color w:val="000000" w:themeColor="text1"/>
          <w:u w:val="single"/>
          <w:lang w:eastAsia="zh-CN"/>
          <w14:textFill>
            <w14:solidFill>
              <w14:schemeClr w14:val="tx1"/>
            </w14:solidFill>
          </w14:textFill>
        </w:rPr>
        <w:t>同步进行</w:t>
      </w:r>
      <w:r>
        <w:rPr>
          <w:rFonts w:hint="eastAsia" w:ascii="宋体" w:hAnsi="宋体"/>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属于独用管线，不涉及扫线。</w:t>
      </w:r>
    </w:p>
    <w:p w14:paraId="58E9F465">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项目主要产生废气来自管线密封点溢出废气。结合项目特点，项目选择具有大气挥发的物种苯乙烯、裂解C9、工业级混合油、 航空煤油、发烟硫酸（硫酸），其中苯乙烯、发烟硫酸及硫酸以硫酸雾计算具有标准，单独核算，其余货种以</w:t>
      </w:r>
      <w:r>
        <w:rPr>
          <w:color w:val="000000" w:themeColor="text1"/>
          <w:u w:val="single"/>
          <w14:textFill>
            <w14:solidFill>
              <w14:schemeClr w14:val="tx1"/>
            </w14:solidFill>
          </w14:textFill>
        </w:rPr>
        <w:t>VOCs进行表征综合统计。</w:t>
      </w:r>
    </w:p>
    <w:p w14:paraId="04BB7EA9">
      <w:pPr>
        <w:pStyle w:val="6"/>
        <w:rPr>
          <w:color w:val="000000" w:themeColor="text1"/>
          <w14:textFill>
            <w14:solidFill>
              <w14:schemeClr w14:val="tx1"/>
            </w14:solidFill>
          </w14:textFill>
        </w:rPr>
      </w:pPr>
      <w:r>
        <w:rPr>
          <w:color w:val="000000" w:themeColor="text1"/>
          <w14:textFill>
            <w14:solidFill>
              <w14:schemeClr w14:val="tx1"/>
            </w14:solidFill>
          </w14:textFill>
        </w:rPr>
        <w:t>污染气象条件分析</w:t>
      </w:r>
    </w:p>
    <w:p w14:paraId="0C276110">
      <w:pPr>
        <w:ind w:firstLine="480"/>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本次环评采用的气象资料为钦州气象站（编号59632）的资料；该气象站近20年的常规气象项目统计详见表</w:t>
      </w:r>
      <w:r>
        <w:rPr>
          <w:rFonts w:hint="eastAsia" w:ascii="Times New Roman" w:hAnsi="Times New Roman" w:eastAsia="宋体"/>
          <w:color w:val="000000" w:themeColor="text1"/>
          <w:spacing w:val="0"/>
          <w:w w:val="100"/>
          <w:position w:val="0"/>
          <w:u w:val="none" w:color="auto"/>
          <w:lang w:val="en-US" w:eastAsia="zh-CN"/>
          <w14:textFill>
            <w14:solidFill>
              <w14:schemeClr w14:val="tx1"/>
            </w14:solidFill>
          </w14:textFill>
        </w:rPr>
        <w:t>4.</w:t>
      </w:r>
      <w:r>
        <w:rPr>
          <w:rFonts w:hint="eastAsia" w:eastAsia="宋体"/>
          <w:color w:val="000000" w:themeColor="text1"/>
          <w:spacing w:val="0"/>
          <w:w w:val="100"/>
          <w:position w:val="0"/>
          <w:u w:val="none" w:color="auto"/>
          <w:lang w:val="en-US" w:eastAsia="zh-CN"/>
          <w14:textFill>
            <w14:solidFill>
              <w14:schemeClr w14:val="tx1"/>
            </w14:solidFill>
          </w14:textFill>
        </w:rPr>
        <w:t>3</w:t>
      </w:r>
      <w:r>
        <w:rPr>
          <w:rFonts w:ascii="Times New Roman" w:hAnsi="Times New Roman" w:eastAsia="宋体"/>
          <w:color w:val="000000" w:themeColor="text1"/>
          <w:spacing w:val="0"/>
          <w:w w:val="100"/>
          <w:position w:val="0"/>
          <w:u w:val="none" w:color="auto"/>
          <w14:textFill>
            <w14:solidFill>
              <w14:schemeClr w14:val="tx1"/>
            </w14:solidFill>
          </w14:textFill>
        </w:rPr>
        <w:t>-1。</w:t>
      </w:r>
    </w:p>
    <w:p w14:paraId="69961972">
      <w:pPr>
        <w:pStyle w:val="7"/>
        <w:tabs>
          <w:tab w:val="left" w:pos="2127"/>
          <w:tab w:val="left" w:pos="2411"/>
        </w:tabs>
        <w:rPr>
          <w:rFonts w:hint="eastAsia"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钦州市气象站近20年常规气象数据统计一览表</w:t>
      </w:r>
    </w:p>
    <w:tbl>
      <w:tblPr>
        <w:tblStyle w:val="43"/>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75"/>
        <w:gridCol w:w="1667"/>
        <w:gridCol w:w="1672"/>
        <w:gridCol w:w="2095"/>
        <w:gridCol w:w="2125"/>
      </w:tblGrid>
      <w:tr w14:paraId="4A354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tblHeader/>
          <w:jc w:val="center"/>
        </w:trPr>
        <w:tc>
          <w:tcPr>
            <w:tcW w:w="465" w:type="pct"/>
            <w:tcBorders>
              <w:top w:val="single" w:color="auto" w:sz="12" w:space="0"/>
              <w:left w:val="single" w:color="auto" w:sz="12" w:space="0"/>
            </w:tcBorders>
            <w:noWrap w:val="0"/>
            <w:vAlign w:val="center"/>
          </w:tcPr>
          <w:p w14:paraId="1BE5EAF8">
            <w:pPr>
              <w:pStyle w:val="70"/>
              <w:autoSpaceDE w:val="0"/>
              <w:autoSpaceDN w:val="0"/>
              <w:rPr>
                <w:rFonts w:hint="default" w:eastAsia="宋体"/>
                <w:b/>
                <w:bCs/>
                <w:color w:val="000000" w:themeColor="text1"/>
                <w14:textFill>
                  <w14:solidFill>
                    <w14:schemeClr w14:val="tx1"/>
                  </w14:solidFill>
                </w14:textFill>
              </w:rPr>
            </w:pPr>
            <w:r>
              <w:rPr>
                <w:rFonts w:hint="default" w:eastAsia="宋体"/>
                <w:b/>
                <w:bCs/>
                <w:color w:val="000000" w:themeColor="text1"/>
                <w14:textFill>
                  <w14:solidFill>
                    <w14:schemeClr w14:val="tx1"/>
                  </w14:solidFill>
                </w14:textFill>
              </w:rPr>
              <w:t>序号</w:t>
            </w:r>
          </w:p>
        </w:tc>
        <w:tc>
          <w:tcPr>
            <w:tcW w:w="2003" w:type="pct"/>
            <w:gridSpan w:val="2"/>
            <w:tcBorders>
              <w:top w:val="single" w:color="auto" w:sz="12" w:space="0"/>
            </w:tcBorders>
            <w:noWrap w:val="0"/>
            <w:vAlign w:val="center"/>
          </w:tcPr>
          <w:p w14:paraId="0B97AF92">
            <w:pPr>
              <w:pStyle w:val="70"/>
              <w:autoSpaceDE w:val="0"/>
              <w:autoSpaceDN w:val="0"/>
              <w:rPr>
                <w:rFonts w:hint="default" w:eastAsia="宋体"/>
                <w:b/>
                <w:bCs/>
                <w:color w:val="000000" w:themeColor="text1"/>
                <w14:textFill>
                  <w14:solidFill>
                    <w14:schemeClr w14:val="tx1"/>
                  </w14:solidFill>
                </w14:textFill>
              </w:rPr>
            </w:pPr>
            <w:r>
              <w:rPr>
                <w:rFonts w:hint="default" w:eastAsia="宋体"/>
                <w:b/>
                <w:bCs/>
                <w:color w:val="000000" w:themeColor="text1"/>
                <w14:textFill>
                  <w14:solidFill>
                    <w14:schemeClr w14:val="tx1"/>
                  </w14:solidFill>
                </w14:textFill>
              </w:rPr>
              <w:t>统计项目</w:t>
            </w:r>
          </w:p>
        </w:tc>
        <w:tc>
          <w:tcPr>
            <w:tcW w:w="1256" w:type="pct"/>
            <w:tcBorders>
              <w:top w:val="single" w:color="auto" w:sz="12" w:space="0"/>
            </w:tcBorders>
            <w:noWrap w:val="0"/>
            <w:vAlign w:val="center"/>
          </w:tcPr>
          <w:p w14:paraId="32103036">
            <w:pPr>
              <w:pStyle w:val="70"/>
              <w:autoSpaceDE w:val="0"/>
              <w:autoSpaceDN w:val="0"/>
              <w:rPr>
                <w:rFonts w:hint="default" w:eastAsia="宋体"/>
                <w:b/>
                <w:bCs/>
                <w:color w:val="000000" w:themeColor="text1"/>
                <w14:textFill>
                  <w14:solidFill>
                    <w14:schemeClr w14:val="tx1"/>
                  </w14:solidFill>
                </w14:textFill>
              </w:rPr>
            </w:pPr>
            <w:r>
              <w:rPr>
                <w:rFonts w:hint="default" w:eastAsia="宋体"/>
                <w:b/>
                <w:bCs/>
                <w:color w:val="000000" w:themeColor="text1"/>
                <w14:textFill>
                  <w14:solidFill>
                    <w14:schemeClr w14:val="tx1"/>
                  </w14:solidFill>
                </w14:textFill>
              </w:rPr>
              <w:t>统计值</w:t>
            </w:r>
          </w:p>
        </w:tc>
        <w:tc>
          <w:tcPr>
            <w:tcW w:w="1274" w:type="pct"/>
            <w:tcBorders>
              <w:top w:val="single" w:color="auto" w:sz="12" w:space="0"/>
              <w:right w:val="single" w:color="auto" w:sz="12" w:space="0"/>
            </w:tcBorders>
            <w:noWrap w:val="0"/>
            <w:vAlign w:val="center"/>
          </w:tcPr>
          <w:p w14:paraId="33CEAA8C">
            <w:pPr>
              <w:pStyle w:val="70"/>
              <w:autoSpaceDE w:val="0"/>
              <w:autoSpaceDN w:val="0"/>
              <w:rPr>
                <w:rFonts w:hint="default" w:eastAsia="宋体"/>
                <w:b/>
                <w:bCs/>
                <w:color w:val="000000" w:themeColor="text1"/>
                <w14:textFill>
                  <w14:solidFill>
                    <w14:schemeClr w14:val="tx1"/>
                  </w14:solidFill>
                </w14:textFill>
              </w:rPr>
            </w:pPr>
            <w:r>
              <w:rPr>
                <w:rFonts w:hint="default" w:eastAsia="宋体"/>
                <w:b/>
                <w:bCs/>
                <w:color w:val="000000" w:themeColor="text1"/>
                <w14:textFill>
                  <w14:solidFill>
                    <w14:schemeClr w14:val="tx1"/>
                  </w14:solidFill>
                </w14:textFill>
              </w:rPr>
              <w:t>出现时间</w:t>
            </w:r>
          </w:p>
        </w:tc>
      </w:tr>
      <w:tr w14:paraId="5F449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002FEB9C">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1</w:t>
            </w:r>
          </w:p>
        </w:tc>
        <w:tc>
          <w:tcPr>
            <w:tcW w:w="2003" w:type="pct"/>
            <w:gridSpan w:val="2"/>
            <w:noWrap w:val="0"/>
            <w:vAlign w:val="center"/>
          </w:tcPr>
          <w:p w14:paraId="4733283B">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多年平均气温（℃）</w:t>
            </w:r>
          </w:p>
        </w:tc>
        <w:tc>
          <w:tcPr>
            <w:tcW w:w="1256" w:type="pct"/>
            <w:noWrap w:val="0"/>
            <w:vAlign w:val="center"/>
          </w:tcPr>
          <w:p w14:paraId="32E11FBB">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22.9</w:t>
            </w:r>
          </w:p>
        </w:tc>
        <w:tc>
          <w:tcPr>
            <w:tcW w:w="1274" w:type="pct"/>
            <w:tcBorders>
              <w:right w:val="single" w:color="auto" w:sz="12" w:space="0"/>
            </w:tcBorders>
            <w:noWrap w:val="0"/>
            <w:vAlign w:val="center"/>
          </w:tcPr>
          <w:p w14:paraId="445C8377">
            <w:pPr>
              <w:pStyle w:val="70"/>
              <w:autoSpaceDE w:val="0"/>
              <w:autoSpaceDN w:val="0"/>
              <w:rPr>
                <w:rFonts w:hint="default" w:eastAsia="宋体"/>
                <w:color w:val="000000" w:themeColor="text1"/>
                <w14:textFill>
                  <w14:solidFill>
                    <w14:schemeClr w14:val="tx1"/>
                  </w14:solidFill>
                </w14:textFill>
              </w:rPr>
            </w:pPr>
          </w:p>
        </w:tc>
      </w:tr>
      <w:tr w14:paraId="73259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29F8DA7C">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2</w:t>
            </w:r>
          </w:p>
        </w:tc>
        <w:tc>
          <w:tcPr>
            <w:tcW w:w="2003" w:type="pct"/>
            <w:gridSpan w:val="2"/>
            <w:noWrap w:val="0"/>
            <w:vAlign w:val="center"/>
          </w:tcPr>
          <w:p w14:paraId="31FFAFD6">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累年极端最高气温（℃）</w:t>
            </w:r>
          </w:p>
        </w:tc>
        <w:tc>
          <w:tcPr>
            <w:tcW w:w="1256" w:type="pct"/>
            <w:noWrap w:val="0"/>
            <w:vAlign w:val="center"/>
          </w:tcPr>
          <w:p w14:paraId="40F69737">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37.9</w:t>
            </w:r>
          </w:p>
        </w:tc>
        <w:tc>
          <w:tcPr>
            <w:tcW w:w="1274" w:type="pct"/>
            <w:tcBorders>
              <w:right w:val="single" w:color="auto" w:sz="12" w:space="0"/>
            </w:tcBorders>
            <w:noWrap w:val="0"/>
            <w:vAlign w:val="center"/>
          </w:tcPr>
          <w:p w14:paraId="49DF28F8">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2005.7.9</w:t>
            </w:r>
          </w:p>
        </w:tc>
      </w:tr>
      <w:tr w14:paraId="2FBEC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428F4D57">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3</w:t>
            </w:r>
          </w:p>
        </w:tc>
        <w:tc>
          <w:tcPr>
            <w:tcW w:w="2003" w:type="pct"/>
            <w:gridSpan w:val="2"/>
            <w:noWrap w:val="0"/>
            <w:vAlign w:val="center"/>
          </w:tcPr>
          <w:p w14:paraId="429990D1">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累年极端最低气温（℃）</w:t>
            </w:r>
          </w:p>
        </w:tc>
        <w:tc>
          <w:tcPr>
            <w:tcW w:w="1256" w:type="pct"/>
            <w:noWrap w:val="0"/>
            <w:vAlign w:val="center"/>
          </w:tcPr>
          <w:p w14:paraId="2F5509B6">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1.6</w:t>
            </w:r>
          </w:p>
        </w:tc>
        <w:tc>
          <w:tcPr>
            <w:tcW w:w="1274" w:type="pct"/>
            <w:tcBorders>
              <w:right w:val="single" w:color="auto" w:sz="12" w:space="0"/>
            </w:tcBorders>
            <w:noWrap w:val="0"/>
            <w:vAlign w:val="center"/>
          </w:tcPr>
          <w:p w14:paraId="60CCEDF3">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2016.1.24</w:t>
            </w:r>
          </w:p>
        </w:tc>
      </w:tr>
      <w:tr w14:paraId="72B33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3CA1238F">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4</w:t>
            </w:r>
          </w:p>
        </w:tc>
        <w:tc>
          <w:tcPr>
            <w:tcW w:w="2003" w:type="pct"/>
            <w:gridSpan w:val="2"/>
            <w:noWrap w:val="0"/>
            <w:vAlign w:val="center"/>
          </w:tcPr>
          <w:p w14:paraId="2497986A">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多年平均气压（hpa）</w:t>
            </w:r>
          </w:p>
        </w:tc>
        <w:tc>
          <w:tcPr>
            <w:tcW w:w="1256" w:type="pct"/>
            <w:noWrap w:val="0"/>
            <w:vAlign w:val="center"/>
          </w:tcPr>
          <w:p w14:paraId="41EFA65F">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1010.1</w:t>
            </w:r>
          </w:p>
        </w:tc>
        <w:tc>
          <w:tcPr>
            <w:tcW w:w="1274" w:type="pct"/>
            <w:tcBorders>
              <w:right w:val="single" w:color="auto" w:sz="12" w:space="0"/>
            </w:tcBorders>
            <w:noWrap w:val="0"/>
            <w:vAlign w:val="center"/>
          </w:tcPr>
          <w:p w14:paraId="27C738D0">
            <w:pPr>
              <w:pStyle w:val="70"/>
              <w:autoSpaceDE w:val="0"/>
              <w:autoSpaceDN w:val="0"/>
              <w:rPr>
                <w:rFonts w:hint="default" w:eastAsia="宋体"/>
                <w:color w:val="000000" w:themeColor="text1"/>
                <w14:textFill>
                  <w14:solidFill>
                    <w14:schemeClr w14:val="tx1"/>
                  </w14:solidFill>
                </w14:textFill>
              </w:rPr>
            </w:pPr>
          </w:p>
        </w:tc>
      </w:tr>
      <w:tr w14:paraId="59630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34472C31">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5</w:t>
            </w:r>
          </w:p>
        </w:tc>
        <w:tc>
          <w:tcPr>
            <w:tcW w:w="2003" w:type="pct"/>
            <w:gridSpan w:val="2"/>
            <w:noWrap w:val="0"/>
            <w:vAlign w:val="center"/>
          </w:tcPr>
          <w:p w14:paraId="3720AD52">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多年平均相对湿度（%）</w:t>
            </w:r>
          </w:p>
        </w:tc>
        <w:tc>
          <w:tcPr>
            <w:tcW w:w="1256" w:type="pct"/>
            <w:noWrap w:val="0"/>
            <w:vAlign w:val="center"/>
          </w:tcPr>
          <w:p w14:paraId="33610C6D">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78.3</w:t>
            </w:r>
          </w:p>
        </w:tc>
        <w:tc>
          <w:tcPr>
            <w:tcW w:w="1274" w:type="pct"/>
            <w:tcBorders>
              <w:right w:val="single" w:color="auto" w:sz="12" w:space="0"/>
            </w:tcBorders>
            <w:noWrap w:val="0"/>
            <w:vAlign w:val="center"/>
          </w:tcPr>
          <w:p w14:paraId="14BCE329">
            <w:pPr>
              <w:pStyle w:val="70"/>
              <w:autoSpaceDE w:val="0"/>
              <w:autoSpaceDN w:val="0"/>
              <w:rPr>
                <w:rFonts w:hint="default" w:eastAsia="宋体"/>
                <w:color w:val="000000" w:themeColor="text1"/>
                <w14:textFill>
                  <w14:solidFill>
                    <w14:schemeClr w14:val="tx1"/>
                  </w14:solidFill>
                </w14:textFill>
              </w:rPr>
            </w:pPr>
          </w:p>
        </w:tc>
      </w:tr>
      <w:tr w14:paraId="2FF97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0AA39DCF">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6</w:t>
            </w:r>
          </w:p>
        </w:tc>
        <w:tc>
          <w:tcPr>
            <w:tcW w:w="2003" w:type="pct"/>
            <w:gridSpan w:val="2"/>
            <w:noWrap w:val="0"/>
            <w:vAlign w:val="center"/>
          </w:tcPr>
          <w:p w14:paraId="121DED3B">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多年平均降雨量（mm）</w:t>
            </w:r>
          </w:p>
        </w:tc>
        <w:tc>
          <w:tcPr>
            <w:tcW w:w="1256" w:type="pct"/>
            <w:noWrap w:val="0"/>
            <w:vAlign w:val="center"/>
          </w:tcPr>
          <w:p w14:paraId="2C747978">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2197.7</w:t>
            </w:r>
          </w:p>
        </w:tc>
        <w:tc>
          <w:tcPr>
            <w:tcW w:w="1274" w:type="pct"/>
            <w:tcBorders>
              <w:right w:val="single" w:color="auto" w:sz="12" w:space="0"/>
            </w:tcBorders>
            <w:noWrap w:val="0"/>
            <w:vAlign w:val="center"/>
          </w:tcPr>
          <w:p w14:paraId="10A65CDA">
            <w:pPr>
              <w:pStyle w:val="70"/>
              <w:autoSpaceDE w:val="0"/>
              <w:autoSpaceDN w:val="0"/>
              <w:rPr>
                <w:rFonts w:hint="default" w:eastAsia="宋体"/>
                <w:color w:val="000000" w:themeColor="text1"/>
                <w14:textFill>
                  <w14:solidFill>
                    <w14:schemeClr w14:val="tx1"/>
                  </w14:solidFill>
                </w14:textFill>
              </w:rPr>
            </w:pPr>
          </w:p>
        </w:tc>
      </w:tr>
      <w:tr w14:paraId="1EEF0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406CEB04">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7</w:t>
            </w:r>
          </w:p>
        </w:tc>
        <w:tc>
          <w:tcPr>
            <w:tcW w:w="2003" w:type="pct"/>
            <w:gridSpan w:val="2"/>
            <w:noWrap w:val="0"/>
            <w:vAlign w:val="center"/>
          </w:tcPr>
          <w:p w14:paraId="51328C4A">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最大日降水量（mm）</w:t>
            </w:r>
          </w:p>
        </w:tc>
        <w:tc>
          <w:tcPr>
            <w:tcW w:w="1256" w:type="pct"/>
            <w:noWrap w:val="0"/>
            <w:vAlign w:val="center"/>
          </w:tcPr>
          <w:p w14:paraId="49619620">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380.5</w:t>
            </w:r>
          </w:p>
        </w:tc>
        <w:tc>
          <w:tcPr>
            <w:tcW w:w="1274" w:type="pct"/>
            <w:tcBorders>
              <w:right w:val="single" w:color="auto" w:sz="12" w:space="0"/>
            </w:tcBorders>
            <w:noWrap w:val="0"/>
            <w:vAlign w:val="center"/>
          </w:tcPr>
          <w:p w14:paraId="161BFC46">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2014.6.11</w:t>
            </w:r>
          </w:p>
        </w:tc>
      </w:tr>
      <w:tr w14:paraId="67CB0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552F3EA7">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8</w:t>
            </w:r>
          </w:p>
        </w:tc>
        <w:tc>
          <w:tcPr>
            <w:tcW w:w="2003" w:type="pct"/>
            <w:gridSpan w:val="2"/>
            <w:noWrap w:val="0"/>
            <w:vAlign w:val="center"/>
          </w:tcPr>
          <w:p w14:paraId="572A4033">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最小年降水量（mm）</w:t>
            </w:r>
          </w:p>
        </w:tc>
        <w:tc>
          <w:tcPr>
            <w:tcW w:w="1256" w:type="pct"/>
            <w:noWrap w:val="0"/>
            <w:vAlign w:val="center"/>
          </w:tcPr>
          <w:p w14:paraId="591B6BDB">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1634.8</w:t>
            </w:r>
          </w:p>
        </w:tc>
        <w:tc>
          <w:tcPr>
            <w:tcW w:w="1274" w:type="pct"/>
            <w:tcBorders>
              <w:right w:val="single" w:color="auto" w:sz="12" w:space="0"/>
            </w:tcBorders>
            <w:noWrap w:val="0"/>
            <w:vAlign w:val="center"/>
          </w:tcPr>
          <w:p w14:paraId="11901142">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2010</w:t>
            </w:r>
          </w:p>
        </w:tc>
      </w:tr>
      <w:tr w14:paraId="713AA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4EE62F1B">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9</w:t>
            </w:r>
          </w:p>
        </w:tc>
        <w:tc>
          <w:tcPr>
            <w:tcW w:w="1000" w:type="pct"/>
            <w:vMerge w:val="restart"/>
            <w:noWrap w:val="0"/>
            <w:vAlign w:val="center"/>
          </w:tcPr>
          <w:p w14:paraId="16048D8D">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灾害天气统计</w:t>
            </w:r>
          </w:p>
        </w:tc>
        <w:tc>
          <w:tcPr>
            <w:tcW w:w="1002" w:type="pct"/>
            <w:noWrap w:val="0"/>
            <w:vAlign w:val="center"/>
          </w:tcPr>
          <w:p w14:paraId="4DD7DAE2">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雷暴日数</w:t>
            </w:r>
          </w:p>
        </w:tc>
        <w:tc>
          <w:tcPr>
            <w:tcW w:w="1256" w:type="pct"/>
            <w:noWrap w:val="0"/>
            <w:vAlign w:val="center"/>
          </w:tcPr>
          <w:p w14:paraId="57EA5140">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70.1</w:t>
            </w:r>
          </w:p>
        </w:tc>
        <w:tc>
          <w:tcPr>
            <w:tcW w:w="1274" w:type="pct"/>
            <w:tcBorders>
              <w:right w:val="single" w:color="auto" w:sz="12" w:space="0"/>
            </w:tcBorders>
            <w:noWrap w:val="0"/>
            <w:vAlign w:val="center"/>
          </w:tcPr>
          <w:p w14:paraId="5F12535D">
            <w:pPr>
              <w:pStyle w:val="70"/>
              <w:autoSpaceDE w:val="0"/>
              <w:autoSpaceDN w:val="0"/>
              <w:rPr>
                <w:rFonts w:hint="default" w:eastAsia="宋体"/>
                <w:color w:val="000000" w:themeColor="text1"/>
                <w14:textFill>
                  <w14:solidFill>
                    <w14:schemeClr w14:val="tx1"/>
                  </w14:solidFill>
                </w14:textFill>
              </w:rPr>
            </w:pPr>
          </w:p>
        </w:tc>
      </w:tr>
      <w:tr w14:paraId="6E52A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430A9EFA">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10</w:t>
            </w:r>
          </w:p>
        </w:tc>
        <w:tc>
          <w:tcPr>
            <w:tcW w:w="1000" w:type="pct"/>
            <w:vMerge w:val="continue"/>
            <w:noWrap w:val="0"/>
            <w:vAlign w:val="center"/>
          </w:tcPr>
          <w:p w14:paraId="15A7E3AC">
            <w:pPr>
              <w:pStyle w:val="70"/>
              <w:autoSpaceDE w:val="0"/>
              <w:autoSpaceDN w:val="0"/>
              <w:rPr>
                <w:rFonts w:hint="default" w:eastAsia="宋体"/>
                <w:color w:val="000000" w:themeColor="text1"/>
                <w14:textFill>
                  <w14:solidFill>
                    <w14:schemeClr w14:val="tx1"/>
                  </w14:solidFill>
                </w14:textFill>
              </w:rPr>
            </w:pPr>
          </w:p>
        </w:tc>
        <w:tc>
          <w:tcPr>
            <w:tcW w:w="1002" w:type="pct"/>
            <w:noWrap w:val="0"/>
            <w:vAlign w:val="center"/>
          </w:tcPr>
          <w:p w14:paraId="4561B339">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大风日数</w:t>
            </w:r>
          </w:p>
        </w:tc>
        <w:tc>
          <w:tcPr>
            <w:tcW w:w="1256" w:type="pct"/>
            <w:noWrap w:val="0"/>
            <w:vAlign w:val="center"/>
          </w:tcPr>
          <w:p w14:paraId="3ED75A60">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2.5</w:t>
            </w:r>
          </w:p>
        </w:tc>
        <w:tc>
          <w:tcPr>
            <w:tcW w:w="1274" w:type="pct"/>
            <w:tcBorders>
              <w:right w:val="single" w:color="auto" w:sz="12" w:space="0"/>
            </w:tcBorders>
            <w:noWrap w:val="0"/>
            <w:vAlign w:val="center"/>
          </w:tcPr>
          <w:p w14:paraId="6AFB5226">
            <w:pPr>
              <w:pStyle w:val="70"/>
              <w:autoSpaceDE w:val="0"/>
              <w:autoSpaceDN w:val="0"/>
              <w:rPr>
                <w:rFonts w:hint="default" w:eastAsia="宋体"/>
                <w:color w:val="000000" w:themeColor="text1"/>
                <w14:textFill>
                  <w14:solidFill>
                    <w14:schemeClr w14:val="tx1"/>
                  </w14:solidFill>
                </w14:textFill>
              </w:rPr>
            </w:pPr>
          </w:p>
        </w:tc>
      </w:tr>
      <w:tr w14:paraId="1BD61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6956D483">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11</w:t>
            </w:r>
          </w:p>
        </w:tc>
        <w:tc>
          <w:tcPr>
            <w:tcW w:w="1000" w:type="pct"/>
            <w:vMerge w:val="continue"/>
            <w:noWrap w:val="0"/>
            <w:vAlign w:val="center"/>
          </w:tcPr>
          <w:p w14:paraId="7ACFAD47">
            <w:pPr>
              <w:pStyle w:val="70"/>
              <w:autoSpaceDE w:val="0"/>
              <w:autoSpaceDN w:val="0"/>
              <w:rPr>
                <w:rFonts w:hint="default" w:eastAsia="宋体"/>
                <w:color w:val="000000" w:themeColor="text1"/>
                <w14:textFill>
                  <w14:solidFill>
                    <w14:schemeClr w14:val="tx1"/>
                  </w14:solidFill>
                </w14:textFill>
              </w:rPr>
            </w:pPr>
          </w:p>
        </w:tc>
        <w:tc>
          <w:tcPr>
            <w:tcW w:w="1002" w:type="pct"/>
            <w:noWrap w:val="0"/>
            <w:vAlign w:val="center"/>
          </w:tcPr>
          <w:p w14:paraId="57781849">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冰雹日数</w:t>
            </w:r>
          </w:p>
        </w:tc>
        <w:tc>
          <w:tcPr>
            <w:tcW w:w="1256" w:type="pct"/>
            <w:noWrap w:val="0"/>
            <w:vAlign w:val="center"/>
          </w:tcPr>
          <w:p w14:paraId="74A336B3">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0.1</w:t>
            </w:r>
          </w:p>
        </w:tc>
        <w:tc>
          <w:tcPr>
            <w:tcW w:w="1274" w:type="pct"/>
            <w:tcBorders>
              <w:right w:val="single" w:color="auto" w:sz="12" w:space="0"/>
            </w:tcBorders>
            <w:noWrap w:val="0"/>
            <w:vAlign w:val="center"/>
          </w:tcPr>
          <w:p w14:paraId="3C2E89B0">
            <w:pPr>
              <w:pStyle w:val="70"/>
              <w:autoSpaceDE w:val="0"/>
              <w:autoSpaceDN w:val="0"/>
              <w:rPr>
                <w:rFonts w:hint="default" w:eastAsia="宋体"/>
                <w:color w:val="000000" w:themeColor="text1"/>
                <w14:textFill>
                  <w14:solidFill>
                    <w14:schemeClr w14:val="tx1"/>
                  </w14:solidFill>
                </w14:textFill>
              </w:rPr>
            </w:pPr>
          </w:p>
        </w:tc>
      </w:tr>
      <w:tr w14:paraId="35A9A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603C64F6">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12</w:t>
            </w:r>
          </w:p>
        </w:tc>
        <w:tc>
          <w:tcPr>
            <w:tcW w:w="2003" w:type="pct"/>
            <w:gridSpan w:val="2"/>
            <w:noWrap w:val="0"/>
            <w:vAlign w:val="center"/>
          </w:tcPr>
          <w:p w14:paraId="40055667">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静风频率（%）</w:t>
            </w:r>
          </w:p>
        </w:tc>
        <w:tc>
          <w:tcPr>
            <w:tcW w:w="1256" w:type="pct"/>
            <w:noWrap w:val="0"/>
            <w:vAlign w:val="center"/>
          </w:tcPr>
          <w:p w14:paraId="28298FB1">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4.7</w:t>
            </w:r>
          </w:p>
        </w:tc>
        <w:tc>
          <w:tcPr>
            <w:tcW w:w="1274" w:type="pct"/>
            <w:tcBorders>
              <w:right w:val="single" w:color="auto" w:sz="12" w:space="0"/>
            </w:tcBorders>
            <w:noWrap w:val="0"/>
            <w:vAlign w:val="center"/>
          </w:tcPr>
          <w:p w14:paraId="53A3B62F">
            <w:pPr>
              <w:pStyle w:val="70"/>
              <w:autoSpaceDE w:val="0"/>
              <w:autoSpaceDN w:val="0"/>
              <w:rPr>
                <w:rFonts w:hint="default" w:eastAsia="宋体"/>
                <w:color w:val="000000" w:themeColor="text1"/>
                <w14:textFill>
                  <w14:solidFill>
                    <w14:schemeClr w14:val="tx1"/>
                  </w14:solidFill>
                </w14:textFill>
              </w:rPr>
            </w:pPr>
          </w:p>
        </w:tc>
      </w:tr>
      <w:tr w14:paraId="23455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09722ECD">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13</w:t>
            </w:r>
          </w:p>
        </w:tc>
        <w:tc>
          <w:tcPr>
            <w:tcW w:w="2003" w:type="pct"/>
            <w:gridSpan w:val="2"/>
            <w:noWrap w:val="0"/>
            <w:vAlign w:val="center"/>
          </w:tcPr>
          <w:p w14:paraId="3E5FF9EC">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多年实测极大风速（m/s）、相应风向</w:t>
            </w:r>
          </w:p>
        </w:tc>
        <w:tc>
          <w:tcPr>
            <w:tcW w:w="1256" w:type="pct"/>
            <w:noWrap w:val="0"/>
            <w:vAlign w:val="center"/>
          </w:tcPr>
          <w:p w14:paraId="4F03E38D">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24.6/59.0（NE）</w:t>
            </w:r>
          </w:p>
        </w:tc>
        <w:tc>
          <w:tcPr>
            <w:tcW w:w="1274" w:type="pct"/>
            <w:tcBorders>
              <w:right w:val="single" w:color="auto" w:sz="12" w:space="0"/>
            </w:tcBorders>
            <w:noWrap w:val="0"/>
            <w:vAlign w:val="center"/>
          </w:tcPr>
          <w:p w14:paraId="52E7C8A8">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2019.9.14</w:t>
            </w:r>
          </w:p>
        </w:tc>
      </w:tr>
      <w:tr w14:paraId="32BF7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bottom w:val="single" w:color="auto" w:sz="12" w:space="0"/>
            </w:tcBorders>
            <w:noWrap w:val="0"/>
            <w:vAlign w:val="center"/>
          </w:tcPr>
          <w:p w14:paraId="152D215D">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14</w:t>
            </w:r>
          </w:p>
        </w:tc>
        <w:tc>
          <w:tcPr>
            <w:tcW w:w="2003" w:type="pct"/>
            <w:gridSpan w:val="2"/>
            <w:tcBorders>
              <w:bottom w:val="single" w:color="auto" w:sz="12" w:space="0"/>
            </w:tcBorders>
            <w:noWrap w:val="0"/>
            <w:vAlign w:val="center"/>
          </w:tcPr>
          <w:p w14:paraId="5AD620F1">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多年平均风速（m/s）</w:t>
            </w:r>
          </w:p>
        </w:tc>
        <w:tc>
          <w:tcPr>
            <w:tcW w:w="1256" w:type="pct"/>
            <w:tcBorders>
              <w:bottom w:val="single" w:color="auto" w:sz="12" w:space="0"/>
            </w:tcBorders>
            <w:noWrap w:val="0"/>
            <w:vAlign w:val="center"/>
          </w:tcPr>
          <w:p w14:paraId="054D2845">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2.3</w:t>
            </w:r>
          </w:p>
        </w:tc>
        <w:tc>
          <w:tcPr>
            <w:tcW w:w="1274" w:type="pct"/>
            <w:tcBorders>
              <w:bottom w:val="single" w:color="auto" w:sz="12" w:space="0"/>
              <w:right w:val="single" w:color="auto" w:sz="12" w:space="0"/>
            </w:tcBorders>
            <w:noWrap w:val="0"/>
            <w:vAlign w:val="center"/>
          </w:tcPr>
          <w:p w14:paraId="5378C70E">
            <w:pPr>
              <w:pStyle w:val="70"/>
              <w:autoSpaceDE w:val="0"/>
              <w:autoSpaceDN w:val="0"/>
              <w:rPr>
                <w:rFonts w:hint="default" w:eastAsia="宋体"/>
                <w:color w:val="000000" w:themeColor="text1"/>
                <w14:textFill>
                  <w14:solidFill>
                    <w14:schemeClr w14:val="tx1"/>
                  </w14:solidFill>
                </w14:textFill>
              </w:rPr>
            </w:pPr>
          </w:p>
        </w:tc>
      </w:tr>
    </w:tbl>
    <w:p w14:paraId="0F72771B">
      <w:pPr>
        <w:ind w:firstLine="480"/>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（1）多年月平均气温与极端气温</w:t>
      </w:r>
    </w:p>
    <w:p w14:paraId="05590EC1">
      <w:pPr>
        <w:ind w:firstLine="480"/>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钦州气象站多年月平均气温统计中7月气温最高（28.9℃），1月气温最低（14.1℃），近20年极端最高气温出现在2005-7-9（37.9℃），近20年极端最低气温出现在2016-1-24（1.6℃），其变化趋势详见图</w:t>
      </w:r>
      <w:r>
        <w:rPr>
          <w:rFonts w:hint="eastAsia" w:ascii="Times New Roman" w:hAnsi="Times New Roman" w:eastAsia="宋体"/>
          <w:color w:val="000000" w:themeColor="text1"/>
          <w:spacing w:val="0"/>
          <w:w w:val="100"/>
          <w:position w:val="0"/>
          <w:u w:val="none" w:color="auto"/>
          <w:lang w:val="en-US" w:eastAsia="zh-CN"/>
          <w14:textFill>
            <w14:solidFill>
              <w14:schemeClr w14:val="tx1"/>
            </w14:solidFill>
          </w14:textFill>
        </w:rPr>
        <w:t>4</w:t>
      </w:r>
      <w:r>
        <w:rPr>
          <w:rFonts w:ascii="Times New Roman" w:hAnsi="Times New Roman" w:eastAsia="宋体"/>
          <w:color w:val="000000" w:themeColor="text1"/>
          <w:spacing w:val="0"/>
          <w:w w:val="100"/>
          <w:position w:val="0"/>
          <w:u w:val="none" w:color="auto"/>
          <w14:textFill>
            <w14:solidFill>
              <w14:schemeClr w14:val="tx1"/>
            </w14:solidFill>
          </w14:textFill>
        </w:rPr>
        <w:t>.</w:t>
      </w:r>
      <w:r>
        <w:rPr>
          <w:rFonts w:hint="eastAsia" w:eastAsia="宋体"/>
          <w:color w:val="000000" w:themeColor="text1"/>
          <w:spacing w:val="0"/>
          <w:w w:val="100"/>
          <w:position w:val="0"/>
          <w:u w:val="none" w:color="auto"/>
          <w:lang w:val="en-US" w:eastAsia="zh-CN"/>
          <w14:textFill>
            <w14:solidFill>
              <w14:schemeClr w14:val="tx1"/>
            </w14:solidFill>
          </w14:textFill>
        </w:rPr>
        <w:t>3</w:t>
      </w:r>
      <w:r>
        <w:rPr>
          <w:rFonts w:ascii="Times New Roman" w:hAnsi="Times New Roman" w:eastAsia="宋体"/>
          <w:color w:val="000000" w:themeColor="text1"/>
          <w:spacing w:val="0"/>
          <w:w w:val="100"/>
          <w:position w:val="0"/>
          <w:u w:val="none" w:color="auto"/>
          <w14:textFill>
            <w14:solidFill>
              <w14:schemeClr w14:val="tx1"/>
            </w14:solidFill>
          </w14:textFill>
        </w:rPr>
        <w:t>-1。</w:t>
      </w:r>
    </w:p>
    <w:p w14:paraId="3BC3140A">
      <w:pPr>
        <w:keepNext w:val="0"/>
        <w:keepLines w:val="0"/>
        <w:pageBreakBefore w:val="0"/>
        <w:widowControl w:val="0"/>
        <w:kinsoku/>
        <w:wordWrap/>
        <w:overflowPunct/>
        <w:topLinePunct w:val="0"/>
        <w:autoSpaceDE/>
        <w:autoSpaceDN/>
        <w:bidi w:val="0"/>
        <w:adjustRightInd w:val="0"/>
        <w:snapToGrid/>
        <w:ind w:firstLine="0"/>
        <w:jc w:val="center"/>
        <w:textAlignment w:val="auto"/>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drawing>
          <wp:inline distT="0" distB="0" distL="114300" distR="114300">
            <wp:extent cx="4785995" cy="3282315"/>
            <wp:effectExtent l="0" t="0" r="14605" b="9525"/>
            <wp:docPr id="2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7"/>
                    <pic:cNvPicPr>
                      <a:picLocks noChangeAspect="1"/>
                    </pic:cNvPicPr>
                  </pic:nvPicPr>
                  <pic:blipFill>
                    <a:blip r:embed="rId78"/>
                    <a:stretch>
                      <a:fillRect/>
                    </a:stretch>
                  </pic:blipFill>
                  <pic:spPr>
                    <a:xfrm>
                      <a:off x="0" y="0"/>
                      <a:ext cx="4785995" cy="3282315"/>
                    </a:xfrm>
                    <a:prstGeom prst="rect">
                      <a:avLst/>
                    </a:prstGeom>
                    <a:noFill/>
                    <a:ln>
                      <a:noFill/>
                    </a:ln>
                  </pic:spPr>
                </pic:pic>
              </a:graphicData>
            </a:graphic>
          </wp:inline>
        </w:drawing>
      </w:r>
    </w:p>
    <w:p w14:paraId="76F468F6">
      <w:pPr>
        <w:pStyle w:val="8"/>
        <w:rPr>
          <w:rFonts w:hint="eastAsia"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钦州市多年月平均气温变化情况（2001~2020，单位：℃）</w:t>
      </w:r>
    </w:p>
    <w:p w14:paraId="6F418F59">
      <w:pPr>
        <w:keepNext w:val="0"/>
        <w:keepLines w:val="0"/>
        <w:pageBreakBefore w:val="0"/>
        <w:widowControl w:val="0"/>
        <w:kinsoku/>
        <w:wordWrap/>
        <w:overflowPunct/>
        <w:topLinePunct w:val="0"/>
        <w:autoSpaceDE/>
        <w:autoSpaceDN/>
        <w:bidi w:val="0"/>
        <w:adjustRightInd/>
        <w:snapToGrid/>
        <w:ind w:firstLine="482" w:firstLineChars="200"/>
        <w:jc w:val="left"/>
        <w:textAlignment w:val="auto"/>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b/>
          <w:bCs/>
          <w:color w:val="000000" w:themeColor="text1"/>
          <w:spacing w:val="0"/>
          <w:w w:val="100"/>
          <w:position w:val="0"/>
          <w:u w:val="none" w:color="auto"/>
          <w14:textFill>
            <w14:solidFill>
              <w14:schemeClr w14:val="tx1"/>
            </w14:solidFill>
          </w14:textFill>
        </w:rPr>
        <w:br w:type="page"/>
      </w:r>
      <w:r>
        <w:rPr>
          <w:rFonts w:ascii="Times New Roman" w:hAnsi="Times New Roman" w:eastAsia="宋体"/>
          <w:color w:val="000000" w:themeColor="text1"/>
          <w:spacing w:val="0"/>
          <w:w w:val="100"/>
          <w:position w:val="0"/>
          <w:u w:val="none" w:color="auto"/>
          <w14:textFill>
            <w14:solidFill>
              <w14:schemeClr w14:val="tx1"/>
            </w14:solidFill>
          </w14:textFill>
        </w:rPr>
        <w:t>（2）温度年际变化趋势与周期分析</w:t>
      </w:r>
    </w:p>
    <w:p w14:paraId="6F0B18CA">
      <w:pPr>
        <w:ind w:firstLine="480"/>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钦州市气象站近20年气温无明显变化趋势，2015年年平均气温最高（23.8℃），2011年年平均气温最低（22.2℃），其变化趋势详见图</w:t>
      </w:r>
      <w:r>
        <w:rPr>
          <w:rFonts w:hint="eastAsia" w:ascii="Times New Roman" w:hAnsi="Times New Roman" w:eastAsia="宋体"/>
          <w:color w:val="000000" w:themeColor="text1"/>
          <w:spacing w:val="0"/>
          <w:w w:val="100"/>
          <w:position w:val="0"/>
          <w:u w:val="none" w:color="auto"/>
          <w:lang w:val="en-US" w:eastAsia="zh-CN"/>
          <w14:textFill>
            <w14:solidFill>
              <w14:schemeClr w14:val="tx1"/>
            </w14:solidFill>
          </w14:textFill>
        </w:rPr>
        <w:t>4</w:t>
      </w:r>
      <w:r>
        <w:rPr>
          <w:rFonts w:ascii="Times New Roman" w:hAnsi="Times New Roman" w:eastAsia="宋体"/>
          <w:color w:val="000000" w:themeColor="text1"/>
          <w:spacing w:val="0"/>
          <w:w w:val="100"/>
          <w:position w:val="0"/>
          <w:u w:val="none" w:color="auto"/>
          <w14:textFill>
            <w14:solidFill>
              <w14:schemeClr w14:val="tx1"/>
            </w14:solidFill>
          </w14:textFill>
        </w:rPr>
        <w:t>.</w:t>
      </w:r>
      <w:r>
        <w:rPr>
          <w:rFonts w:hint="eastAsia" w:eastAsia="宋体"/>
          <w:color w:val="000000" w:themeColor="text1"/>
          <w:spacing w:val="0"/>
          <w:w w:val="100"/>
          <w:position w:val="0"/>
          <w:u w:val="none" w:color="auto"/>
          <w:lang w:val="en-US" w:eastAsia="zh-CN"/>
          <w14:textFill>
            <w14:solidFill>
              <w14:schemeClr w14:val="tx1"/>
            </w14:solidFill>
          </w14:textFill>
        </w:rPr>
        <w:t>3</w:t>
      </w:r>
      <w:r>
        <w:rPr>
          <w:rFonts w:ascii="Times New Roman" w:hAnsi="Times New Roman" w:eastAsia="宋体"/>
          <w:color w:val="000000" w:themeColor="text1"/>
          <w:spacing w:val="0"/>
          <w:w w:val="100"/>
          <w:position w:val="0"/>
          <w:u w:val="none" w:color="auto"/>
          <w14:textFill>
            <w14:solidFill>
              <w14:schemeClr w14:val="tx1"/>
            </w14:solidFill>
          </w14:textFill>
        </w:rPr>
        <w:t>-2。</w:t>
      </w:r>
    </w:p>
    <w:p w14:paraId="7B78C8F3">
      <w:pPr>
        <w:ind w:firstLine="0" w:firstLineChars="0"/>
        <w:jc w:val="center"/>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drawing>
          <wp:inline distT="0" distB="0" distL="114300" distR="114300">
            <wp:extent cx="5279390" cy="3462655"/>
            <wp:effectExtent l="0" t="0" r="8890" b="12065"/>
            <wp:docPr id="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8"/>
                    <pic:cNvPicPr>
                      <a:picLocks noChangeAspect="1"/>
                    </pic:cNvPicPr>
                  </pic:nvPicPr>
                  <pic:blipFill>
                    <a:blip r:embed="rId79"/>
                    <a:stretch>
                      <a:fillRect/>
                    </a:stretch>
                  </pic:blipFill>
                  <pic:spPr>
                    <a:xfrm>
                      <a:off x="0" y="0"/>
                      <a:ext cx="5279390" cy="3462655"/>
                    </a:xfrm>
                    <a:prstGeom prst="rect">
                      <a:avLst/>
                    </a:prstGeom>
                    <a:noFill/>
                    <a:ln>
                      <a:noFill/>
                    </a:ln>
                  </pic:spPr>
                </pic:pic>
              </a:graphicData>
            </a:graphic>
          </wp:inline>
        </w:drawing>
      </w:r>
    </w:p>
    <w:p w14:paraId="40D39B8C">
      <w:pPr>
        <w:pStyle w:val="8"/>
        <w:rPr>
          <w:rFonts w:hint="eastAsia"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钦州市多年年平均气温变化情况（2001~2020，单位：℃）</w:t>
      </w:r>
    </w:p>
    <w:p w14:paraId="2D7F14E9">
      <w:pPr>
        <w:ind w:firstLine="480"/>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（3）多年月平均风速</w:t>
      </w:r>
    </w:p>
    <w:p w14:paraId="383D57E0">
      <w:pPr>
        <w:ind w:firstLine="480"/>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钦州市多年月平均风速如表5.3-2所示；从表中可知多年来钦州12月平均风速最大（2.5米/秒），8月风速最小（1.9米/秒）</w:t>
      </w:r>
    </w:p>
    <w:p w14:paraId="2D4EFEFD">
      <w:pPr>
        <w:pStyle w:val="7"/>
        <w:tabs>
          <w:tab w:val="left" w:pos="2127"/>
          <w:tab w:val="left" w:pos="2411"/>
        </w:tabs>
        <w:rPr>
          <w:rFonts w:hint="eastAsia"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钦州市多年月平均风速一览 （单位：m/s）</w:t>
      </w:r>
    </w:p>
    <w:tbl>
      <w:tblPr>
        <w:tblStyle w:val="43"/>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1"/>
        <w:gridCol w:w="617"/>
        <w:gridCol w:w="617"/>
        <w:gridCol w:w="619"/>
        <w:gridCol w:w="619"/>
        <w:gridCol w:w="619"/>
        <w:gridCol w:w="619"/>
        <w:gridCol w:w="619"/>
        <w:gridCol w:w="619"/>
        <w:gridCol w:w="619"/>
        <w:gridCol w:w="619"/>
        <w:gridCol w:w="619"/>
        <w:gridCol w:w="616"/>
      </w:tblGrid>
      <w:tr w14:paraId="57E99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40" w:type="pct"/>
            <w:tcBorders>
              <w:top w:val="single" w:color="auto" w:sz="12" w:space="0"/>
              <w:left w:val="single" w:color="auto" w:sz="12" w:space="0"/>
            </w:tcBorders>
            <w:noWrap w:val="0"/>
            <w:vAlign w:val="center"/>
          </w:tcPr>
          <w:p w14:paraId="69C8D67F">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月份</w:t>
            </w:r>
          </w:p>
        </w:tc>
        <w:tc>
          <w:tcPr>
            <w:tcW w:w="362" w:type="pct"/>
            <w:tcBorders>
              <w:top w:val="single" w:color="auto" w:sz="12" w:space="0"/>
            </w:tcBorders>
            <w:noWrap w:val="0"/>
            <w:vAlign w:val="center"/>
          </w:tcPr>
          <w:p w14:paraId="5C1A108A">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1</w:t>
            </w:r>
          </w:p>
        </w:tc>
        <w:tc>
          <w:tcPr>
            <w:tcW w:w="362" w:type="pct"/>
            <w:tcBorders>
              <w:top w:val="single" w:color="auto" w:sz="12" w:space="0"/>
            </w:tcBorders>
            <w:noWrap w:val="0"/>
            <w:vAlign w:val="center"/>
          </w:tcPr>
          <w:p w14:paraId="4AE0449F">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2</w:t>
            </w:r>
          </w:p>
        </w:tc>
        <w:tc>
          <w:tcPr>
            <w:tcW w:w="363" w:type="pct"/>
            <w:tcBorders>
              <w:top w:val="single" w:color="auto" w:sz="12" w:space="0"/>
            </w:tcBorders>
            <w:noWrap w:val="0"/>
            <w:vAlign w:val="center"/>
          </w:tcPr>
          <w:p w14:paraId="415E246A">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3</w:t>
            </w:r>
          </w:p>
        </w:tc>
        <w:tc>
          <w:tcPr>
            <w:tcW w:w="363" w:type="pct"/>
            <w:tcBorders>
              <w:top w:val="single" w:color="auto" w:sz="12" w:space="0"/>
            </w:tcBorders>
            <w:noWrap w:val="0"/>
            <w:vAlign w:val="center"/>
          </w:tcPr>
          <w:p w14:paraId="4126F1F3">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4</w:t>
            </w:r>
          </w:p>
        </w:tc>
        <w:tc>
          <w:tcPr>
            <w:tcW w:w="363" w:type="pct"/>
            <w:tcBorders>
              <w:top w:val="single" w:color="auto" w:sz="12" w:space="0"/>
            </w:tcBorders>
            <w:noWrap w:val="0"/>
            <w:vAlign w:val="center"/>
          </w:tcPr>
          <w:p w14:paraId="250186AB">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5</w:t>
            </w:r>
          </w:p>
        </w:tc>
        <w:tc>
          <w:tcPr>
            <w:tcW w:w="363" w:type="pct"/>
            <w:tcBorders>
              <w:top w:val="single" w:color="auto" w:sz="12" w:space="0"/>
            </w:tcBorders>
            <w:noWrap w:val="0"/>
            <w:vAlign w:val="center"/>
          </w:tcPr>
          <w:p w14:paraId="05E69B2D">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6</w:t>
            </w:r>
          </w:p>
        </w:tc>
        <w:tc>
          <w:tcPr>
            <w:tcW w:w="363" w:type="pct"/>
            <w:tcBorders>
              <w:top w:val="single" w:color="auto" w:sz="12" w:space="0"/>
            </w:tcBorders>
            <w:noWrap w:val="0"/>
            <w:vAlign w:val="center"/>
          </w:tcPr>
          <w:p w14:paraId="3199C4E0">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7</w:t>
            </w:r>
          </w:p>
        </w:tc>
        <w:tc>
          <w:tcPr>
            <w:tcW w:w="363" w:type="pct"/>
            <w:tcBorders>
              <w:top w:val="single" w:color="auto" w:sz="12" w:space="0"/>
            </w:tcBorders>
            <w:noWrap w:val="0"/>
            <w:vAlign w:val="center"/>
          </w:tcPr>
          <w:p w14:paraId="17125BD8">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8</w:t>
            </w:r>
          </w:p>
        </w:tc>
        <w:tc>
          <w:tcPr>
            <w:tcW w:w="363" w:type="pct"/>
            <w:tcBorders>
              <w:top w:val="single" w:color="auto" w:sz="12" w:space="0"/>
            </w:tcBorders>
            <w:noWrap w:val="0"/>
            <w:vAlign w:val="center"/>
          </w:tcPr>
          <w:p w14:paraId="23C1059D">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9</w:t>
            </w:r>
          </w:p>
        </w:tc>
        <w:tc>
          <w:tcPr>
            <w:tcW w:w="363" w:type="pct"/>
            <w:tcBorders>
              <w:top w:val="single" w:color="auto" w:sz="12" w:space="0"/>
            </w:tcBorders>
            <w:noWrap w:val="0"/>
            <w:vAlign w:val="center"/>
          </w:tcPr>
          <w:p w14:paraId="5DAA9C65">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10</w:t>
            </w:r>
          </w:p>
        </w:tc>
        <w:tc>
          <w:tcPr>
            <w:tcW w:w="363" w:type="pct"/>
            <w:tcBorders>
              <w:top w:val="single" w:color="auto" w:sz="12" w:space="0"/>
            </w:tcBorders>
            <w:noWrap w:val="0"/>
            <w:vAlign w:val="center"/>
          </w:tcPr>
          <w:p w14:paraId="4BDF2589">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11</w:t>
            </w:r>
          </w:p>
        </w:tc>
        <w:tc>
          <w:tcPr>
            <w:tcW w:w="361" w:type="pct"/>
            <w:tcBorders>
              <w:top w:val="single" w:color="auto" w:sz="12" w:space="0"/>
              <w:right w:val="single" w:color="auto" w:sz="12" w:space="0"/>
            </w:tcBorders>
            <w:noWrap w:val="0"/>
            <w:vAlign w:val="center"/>
          </w:tcPr>
          <w:p w14:paraId="05C62852">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12</w:t>
            </w:r>
          </w:p>
        </w:tc>
      </w:tr>
      <w:tr w14:paraId="65549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40" w:type="pct"/>
            <w:tcBorders>
              <w:left w:val="single" w:color="auto" w:sz="12" w:space="0"/>
              <w:bottom w:val="single" w:color="auto" w:sz="12" w:space="0"/>
            </w:tcBorders>
            <w:noWrap w:val="0"/>
            <w:vAlign w:val="center"/>
          </w:tcPr>
          <w:p w14:paraId="40888AD5">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平均风速</w:t>
            </w:r>
          </w:p>
        </w:tc>
        <w:tc>
          <w:tcPr>
            <w:tcW w:w="362" w:type="pct"/>
            <w:tcBorders>
              <w:bottom w:val="single" w:color="auto" w:sz="12" w:space="0"/>
            </w:tcBorders>
            <w:noWrap w:val="0"/>
            <w:vAlign w:val="center"/>
          </w:tcPr>
          <w:p w14:paraId="6A659705">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2.4</w:t>
            </w:r>
          </w:p>
        </w:tc>
        <w:tc>
          <w:tcPr>
            <w:tcW w:w="362" w:type="pct"/>
            <w:tcBorders>
              <w:bottom w:val="single" w:color="auto" w:sz="12" w:space="0"/>
            </w:tcBorders>
            <w:noWrap w:val="0"/>
            <w:vAlign w:val="center"/>
          </w:tcPr>
          <w:p w14:paraId="316A10DD">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2.3</w:t>
            </w:r>
          </w:p>
        </w:tc>
        <w:tc>
          <w:tcPr>
            <w:tcW w:w="363" w:type="pct"/>
            <w:tcBorders>
              <w:bottom w:val="single" w:color="auto" w:sz="12" w:space="0"/>
            </w:tcBorders>
            <w:noWrap w:val="0"/>
            <w:vAlign w:val="center"/>
          </w:tcPr>
          <w:p w14:paraId="3B66E1E8">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2.2</w:t>
            </w:r>
          </w:p>
        </w:tc>
        <w:tc>
          <w:tcPr>
            <w:tcW w:w="363" w:type="pct"/>
            <w:tcBorders>
              <w:bottom w:val="single" w:color="auto" w:sz="12" w:space="0"/>
            </w:tcBorders>
            <w:noWrap w:val="0"/>
            <w:vAlign w:val="center"/>
          </w:tcPr>
          <w:p w14:paraId="6D9A8127">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2.3</w:t>
            </w:r>
          </w:p>
        </w:tc>
        <w:tc>
          <w:tcPr>
            <w:tcW w:w="363" w:type="pct"/>
            <w:tcBorders>
              <w:bottom w:val="single" w:color="auto" w:sz="12" w:space="0"/>
            </w:tcBorders>
            <w:noWrap w:val="0"/>
            <w:vAlign w:val="center"/>
          </w:tcPr>
          <w:p w14:paraId="4669F18E">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2.4</w:t>
            </w:r>
          </w:p>
        </w:tc>
        <w:tc>
          <w:tcPr>
            <w:tcW w:w="363" w:type="pct"/>
            <w:tcBorders>
              <w:bottom w:val="single" w:color="auto" w:sz="12" w:space="0"/>
            </w:tcBorders>
            <w:noWrap w:val="0"/>
            <w:vAlign w:val="center"/>
          </w:tcPr>
          <w:p w14:paraId="75B873BC">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2.2</w:t>
            </w:r>
          </w:p>
        </w:tc>
        <w:tc>
          <w:tcPr>
            <w:tcW w:w="363" w:type="pct"/>
            <w:tcBorders>
              <w:bottom w:val="single" w:color="auto" w:sz="12" w:space="0"/>
            </w:tcBorders>
            <w:noWrap w:val="0"/>
            <w:vAlign w:val="center"/>
          </w:tcPr>
          <w:p w14:paraId="64F564A7">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2.2</w:t>
            </w:r>
          </w:p>
        </w:tc>
        <w:tc>
          <w:tcPr>
            <w:tcW w:w="363" w:type="pct"/>
            <w:tcBorders>
              <w:bottom w:val="single" w:color="auto" w:sz="12" w:space="0"/>
            </w:tcBorders>
            <w:noWrap w:val="0"/>
            <w:vAlign w:val="center"/>
          </w:tcPr>
          <w:p w14:paraId="7A885252">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1.9</w:t>
            </w:r>
          </w:p>
        </w:tc>
        <w:tc>
          <w:tcPr>
            <w:tcW w:w="363" w:type="pct"/>
            <w:tcBorders>
              <w:bottom w:val="single" w:color="auto" w:sz="12" w:space="0"/>
            </w:tcBorders>
            <w:noWrap w:val="0"/>
            <w:vAlign w:val="center"/>
          </w:tcPr>
          <w:p w14:paraId="09D667C7">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2.1</w:t>
            </w:r>
          </w:p>
        </w:tc>
        <w:tc>
          <w:tcPr>
            <w:tcW w:w="363" w:type="pct"/>
            <w:tcBorders>
              <w:bottom w:val="single" w:color="auto" w:sz="12" w:space="0"/>
            </w:tcBorders>
            <w:noWrap w:val="0"/>
            <w:vAlign w:val="center"/>
          </w:tcPr>
          <w:p w14:paraId="2DAC4292">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2.3</w:t>
            </w:r>
          </w:p>
        </w:tc>
        <w:tc>
          <w:tcPr>
            <w:tcW w:w="363" w:type="pct"/>
            <w:tcBorders>
              <w:bottom w:val="single" w:color="auto" w:sz="12" w:space="0"/>
            </w:tcBorders>
            <w:noWrap w:val="0"/>
            <w:vAlign w:val="center"/>
          </w:tcPr>
          <w:p w14:paraId="1ED85F65">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2.3</w:t>
            </w:r>
          </w:p>
        </w:tc>
        <w:tc>
          <w:tcPr>
            <w:tcW w:w="361" w:type="pct"/>
            <w:tcBorders>
              <w:bottom w:val="single" w:color="auto" w:sz="12" w:space="0"/>
              <w:right w:val="single" w:color="auto" w:sz="12" w:space="0"/>
            </w:tcBorders>
            <w:noWrap w:val="0"/>
            <w:vAlign w:val="center"/>
          </w:tcPr>
          <w:p w14:paraId="6703ACB0">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2.5</w:t>
            </w:r>
          </w:p>
        </w:tc>
      </w:tr>
    </w:tbl>
    <w:p w14:paraId="208C1658">
      <w:pPr>
        <w:ind w:firstLine="480"/>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（4）多年风向特征</w:t>
      </w:r>
    </w:p>
    <w:p w14:paraId="0893E909">
      <w:pPr>
        <w:ind w:firstLine="480"/>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钦州市近20年资料分析的风向玫瑰图如图</w:t>
      </w:r>
      <w:r>
        <w:rPr>
          <w:rFonts w:hint="eastAsia" w:ascii="Times New Roman" w:hAnsi="Times New Roman" w:eastAsia="宋体"/>
          <w:color w:val="000000" w:themeColor="text1"/>
          <w:spacing w:val="0"/>
          <w:w w:val="100"/>
          <w:position w:val="0"/>
          <w:u w:val="none" w:color="auto"/>
          <w:lang w:val="en-US" w:eastAsia="zh-CN"/>
          <w14:textFill>
            <w14:solidFill>
              <w14:schemeClr w14:val="tx1"/>
            </w14:solidFill>
          </w14:textFill>
        </w:rPr>
        <w:t>4</w:t>
      </w:r>
      <w:r>
        <w:rPr>
          <w:rFonts w:ascii="Times New Roman" w:hAnsi="Times New Roman" w:eastAsia="宋体"/>
          <w:color w:val="000000" w:themeColor="text1"/>
          <w:spacing w:val="0"/>
          <w:w w:val="100"/>
          <w:position w:val="0"/>
          <w:u w:val="none" w:color="auto"/>
          <w14:textFill>
            <w14:solidFill>
              <w14:schemeClr w14:val="tx1"/>
            </w14:solidFill>
          </w14:textFill>
        </w:rPr>
        <w:t>.</w:t>
      </w:r>
      <w:r>
        <w:rPr>
          <w:rFonts w:hint="eastAsia" w:ascii="Times New Roman" w:hAnsi="Times New Roman" w:eastAsia="宋体"/>
          <w:color w:val="000000" w:themeColor="text1"/>
          <w:spacing w:val="0"/>
          <w:w w:val="100"/>
          <w:position w:val="0"/>
          <w:u w:val="none" w:color="auto"/>
          <w:lang w:val="en-US" w:eastAsia="zh-CN"/>
          <w14:textFill>
            <w14:solidFill>
              <w14:schemeClr w14:val="tx1"/>
            </w14:solidFill>
          </w14:textFill>
        </w:rPr>
        <w:t>7-</w:t>
      </w:r>
      <w:r>
        <w:rPr>
          <w:rFonts w:ascii="Times New Roman" w:hAnsi="Times New Roman" w:eastAsia="宋体"/>
          <w:color w:val="000000" w:themeColor="text1"/>
          <w:spacing w:val="0"/>
          <w:w w:val="100"/>
          <w:position w:val="0"/>
          <w:u w:val="none" w:color="auto"/>
          <w14:textFill>
            <w14:solidFill>
              <w14:schemeClr w14:val="tx1"/>
            </w14:solidFill>
          </w14:textFill>
        </w:rPr>
        <w:t>3所示，钦州市主要风向为N、NNE、NNW，共占38.0%；详细多年风向频率统计见表</w:t>
      </w:r>
      <w:r>
        <w:rPr>
          <w:rFonts w:hint="eastAsia" w:ascii="Times New Roman" w:hAnsi="Times New Roman" w:eastAsia="宋体"/>
          <w:color w:val="000000" w:themeColor="text1"/>
          <w:spacing w:val="0"/>
          <w:w w:val="100"/>
          <w:position w:val="0"/>
          <w:u w:val="none" w:color="auto"/>
          <w:lang w:val="en-US" w:eastAsia="zh-CN"/>
          <w14:textFill>
            <w14:solidFill>
              <w14:schemeClr w14:val="tx1"/>
            </w14:solidFill>
          </w14:textFill>
        </w:rPr>
        <w:t>4</w:t>
      </w:r>
      <w:r>
        <w:rPr>
          <w:rFonts w:ascii="Times New Roman" w:hAnsi="Times New Roman" w:eastAsia="宋体"/>
          <w:color w:val="000000" w:themeColor="text1"/>
          <w:spacing w:val="0"/>
          <w:w w:val="100"/>
          <w:position w:val="0"/>
          <w:u w:val="none" w:color="auto"/>
          <w14:textFill>
            <w14:solidFill>
              <w14:schemeClr w14:val="tx1"/>
            </w14:solidFill>
          </w14:textFill>
        </w:rPr>
        <w:t>.</w:t>
      </w:r>
      <w:r>
        <w:rPr>
          <w:rFonts w:hint="eastAsia" w:eastAsia="宋体"/>
          <w:color w:val="000000" w:themeColor="text1"/>
          <w:spacing w:val="0"/>
          <w:w w:val="100"/>
          <w:position w:val="0"/>
          <w:u w:val="none" w:color="auto"/>
          <w:lang w:val="en-US" w:eastAsia="zh-CN"/>
          <w14:textFill>
            <w14:solidFill>
              <w14:schemeClr w14:val="tx1"/>
            </w14:solidFill>
          </w14:textFill>
        </w:rPr>
        <w:t>3</w:t>
      </w:r>
      <w:r>
        <w:rPr>
          <w:rFonts w:hint="eastAsia" w:ascii="Times New Roman" w:hAnsi="Times New Roman" w:eastAsia="宋体"/>
          <w:color w:val="000000" w:themeColor="text1"/>
          <w:spacing w:val="0"/>
          <w:w w:val="100"/>
          <w:position w:val="0"/>
          <w:u w:val="none" w:color="auto"/>
          <w:lang w:val="en-US" w:eastAsia="zh-CN"/>
          <w14:textFill>
            <w14:solidFill>
              <w14:schemeClr w14:val="tx1"/>
            </w14:solidFill>
          </w14:textFill>
        </w:rPr>
        <w:t>-3</w:t>
      </w:r>
      <w:r>
        <w:rPr>
          <w:rFonts w:ascii="Times New Roman" w:hAnsi="Times New Roman" w:eastAsia="宋体"/>
          <w:color w:val="000000" w:themeColor="text1"/>
          <w:spacing w:val="0"/>
          <w:w w:val="100"/>
          <w:position w:val="0"/>
          <w:u w:val="none" w:color="auto"/>
          <w14:textFill>
            <w14:solidFill>
              <w14:schemeClr w14:val="tx1"/>
            </w14:solidFill>
          </w14:textFill>
        </w:rPr>
        <w:t>。</w:t>
      </w:r>
    </w:p>
    <w:p w14:paraId="2A082F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drawing>
          <wp:inline distT="0" distB="0" distL="114300" distR="114300">
            <wp:extent cx="4055745" cy="3712845"/>
            <wp:effectExtent l="0" t="0" r="13335" b="5715"/>
            <wp:docPr id="1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9"/>
                    <pic:cNvPicPr>
                      <a:picLocks noChangeAspect="1"/>
                    </pic:cNvPicPr>
                  </pic:nvPicPr>
                  <pic:blipFill>
                    <a:blip r:embed="rId80"/>
                    <a:stretch>
                      <a:fillRect/>
                    </a:stretch>
                  </pic:blipFill>
                  <pic:spPr>
                    <a:xfrm>
                      <a:off x="0" y="0"/>
                      <a:ext cx="4055745" cy="3712845"/>
                    </a:xfrm>
                    <a:prstGeom prst="rect">
                      <a:avLst/>
                    </a:prstGeom>
                    <a:noFill/>
                    <a:ln>
                      <a:noFill/>
                    </a:ln>
                  </pic:spPr>
                </pic:pic>
              </a:graphicData>
            </a:graphic>
          </wp:inline>
        </w:drawing>
      </w:r>
    </w:p>
    <w:p w14:paraId="71DB6728">
      <w:pPr>
        <w:pStyle w:val="8"/>
        <w:rPr>
          <w:rFonts w:hint="eastAsia"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钦州市多年风向频率统计图（2001~2020）</w:t>
      </w:r>
    </w:p>
    <w:p w14:paraId="2A854547">
      <w:pPr>
        <w:pStyle w:val="7"/>
        <w:tabs>
          <w:tab w:val="left" w:pos="2127"/>
          <w:tab w:val="left" w:pos="2411"/>
        </w:tabs>
        <w:rPr>
          <w:rFonts w:hint="eastAsia"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钦州市气象站多年风向频率统计一览表 （单位：m/s）</w:t>
      </w:r>
    </w:p>
    <w:tbl>
      <w:tblPr>
        <w:tblStyle w:val="4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44"/>
        <w:gridCol w:w="483"/>
        <w:gridCol w:w="588"/>
        <w:gridCol w:w="378"/>
        <w:gridCol w:w="419"/>
        <w:gridCol w:w="483"/>
        <w:gridCol w:w="483"/>
        <w:gridCol w:w="483"/>
        <w:gridCol w:w="378"/>
        <w:gridCol w:w="483"/>
        <w:gridCol w:w="483"/>
        <w:gridCol w:w="483"/>
        <w:gridCol w:w="524"/>
        <w:gridCol w:w="483"/>
        <w:gridCol w:w="559"/>
        <w:gridCol w:w="378"/>
        <w:gridCol w:w="512"/>
        <w:gridCol w:w="493"/>
      </w:tblGrid>
      <w:tr w14:paraId="1CA94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2" w:type="pct"/>
            <w:tcBorders>
              <w:top w:val="single" w:color="auto" w:sz="12" w:space="0"/>
              <w:left w:val="single" w:color="auto" w:sz="12" w:space="0"/>
            </w:tcBorders>
            <w:noWrap w:val="0"/>
            <w:vAlign w:val="center"/>
          </w:tcPr>
          <w:p w14:paraId="57ED11A4">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风向</w:t>
            </w:r>
          </w:p>
        </w:tc>
        <w:tc>
          <w:tcPr>
            <w:tcW w:w="288" w:type="pct"/>
            <w:tcBorders>
              <w:top w:val="single" w:color="auto" w:sz="12" w:space="0"/>
            </w:tcBorders>
            <w:noWrap w:val="0"/>
            <w:vAlign w:val="center"/>
          </w:tcPr>
          <w:p w14:paraId="610E0011">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NNE</w:t>
            </w:r>
          </w:p>
        </w:tc>
        <w:tc>
          <w:tcPr>
            <w:tcW w:w="326" w:type="pct"/>
            <w:tcBorders>
              <w:top w:val="single" w:color="auto" w:sz="12" w:space="0"/>
            </w:tcBorders>
            <w:noWrap w:val="0"/>
            <w:vAlign w:val="center"/>
          </w:tcPr>
          <w:p w14:paraId="35F2FAFB">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N</w:t>
            </w:r>
          </w:p>
        </w:tc>
        <w:tc>
          <w:tcPr>
            <w:tcW w:w="250" w:type="pct"/>
            <w:tcBorders>
              <w:top w:val="single" w:color="auto" w:sz="12" w:space="0"/>
            </w:tcBorders>
            <w:noWrap w:val="0"/>
            <w:vAlign w:val="center"/>
          </w:tcPr>
          <w:p w14:paraId="1C67ACB1">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NE</w:t>
            </w:r>
          </w:p>
        </w:tc>
        <w:tc>
          <w:tcPr>
            <w:tcW w:w="265" w:type="pct"/>
            <w:tcBorders>
              <w:top w:val="single" w:color="auto" w:sz="12" w:space="0"/>
            </w:tcBorders>
            <w:noWrap w:val="0"/>
            <w:vAlign w:val="center"/>
          </w:tcPr>
          <w:p w14:paraId="3B9683BE">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ENE</w:t>
            </w:r>
          </w:p>
        </w:tc>
        <w:tc>
          <w:tcPr>
            <w:tcW w:w="288" w:type="pct"/>
            <w:tcBorders>
              <w:top w:val="single" w:color="auto" w:sz="12" w:space="0"/>
            </w:tcBorders>
            <w:noWrap w:val="0"/>
            <w:vAlign w:val="center"/>
          </w:tcPr>
          <w:p w14:paraId="484EECD1">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E</w:t>
            </w:r>
          </w:p>
        </w:tc>
        <w:tc>
          <w:tcPr>
            <w:tcW w:w="288" w:type="pct"/>
            <w:tcBorders>
              <w:top w:val="single" w:color="auto" w:sz="12" w:space="0"/>
            </w:tcBorders>
            <w:noWrap w:val="0"/>
            <w:vAlign w:val="center"/>
          </w:tcPr>
          <w:p w14:paraId="5CD68AD3">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ESE</w:t>
            </w:r>
          </w:p>
        </w:tc>
        <w:tc>
          <w:tcPr>
            <w:tcW w:w="288" w:type="pct"/>
            <w:tcBorders>
              <w:top w:val="single" w:color="auto" w:sz="12" w:space="0"/>
            </w:tcBorders>
            <w:noWrap w:val="0"/>
            <w:vAlign w:val="center"/>
          </w:tcPr>
          <w:p w14:paraId="42FAF86D">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SE</w:t>
            </w:r>
          </w:p>
        </w:tc>
        <w:tc>
          <w:tcPr>
            <w:tcW w:w="250" w:type="pct"/>
            <w:tcBorders>
              <w:top w:val="single" w:color="auto" w:sz="12" w:space="0"/>
            </w:tcBorders>
            <w:noWrap w:val="0"/>
            <w:vAlign w:val="center"/>
          </w:tcPr>
          <w:p w14:paraId="4C12B5CA">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SSE</w:t>
            </w:r>
          </w:p>
        </w:tc>
        <w:tc>
          <w:tcPr>
            <w:tcW w:w="288" w:type="pct"/>
            <w:tcBorders>
              <w:top w:val="single" w:color="auto" w:sz="12" w:space="0"/>
            </w:tcBorders>
            <w:noWrap w:val="0"/>
            <w:vAlign w:val="center"/>
          </w:tcPr>
          <w:p w14:paraId="46A4AA2A">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S</w:t>
            </w:r>
          </w:p>
        </w:tc>
        <w:tc>
          <w:tcPr>
            <w:tcW w:w="288" w:type="pct"/>
            <w:tcBorders>
              <w:top w:val="single" w:color="auto" w:sz="12" w:space="0"/>
            </w:tcBorders>
            <w:noWrap w:val="0"/>
            <w:vAlign w:val="center"/>
          </w:tcPr>
          <w:p w14:paraId="576DC5E0">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SSW</w:t>
            </w:r>
          </w:p>
        </w:tc>
        <w:tc>
          <w:tcPr>
            <w:tcW w:w="288" w:type="pct"/>
            <w:tcBorders>
              <w:top w:val="single" w:color="auto" w:sz="12" w:space="0"/>
            </w:tcBorders>
            <w:noWrap w:val="0"/>
            <w:vAlign w:val="center"/>
          </w:tcPr>
          <w:p w14:paraId="6243EADB">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SW</w:t>
            </w:r>
          </w:p>
        </w:tc>
        <w:tc>
          <w:tcPr>
            <w:tcW w:w="288" w:type="pct"/>
            <w:tcBorders>
              <w:top w:val="single" w:color="auto" w:sz="12" w:space="0"/>
            </w:tcBorders>
            <w:noWrap w:val="0"/>
            <w:vAlign w:val="center"/>
          </w:tcPr>
          <w:p w14:paraId="78661BE5">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WSW</w:t>
            </w:r>
          </w:p>
        </w:tc>
        <w:tc>
          <w:tcPr>
            <w:tcW w:w="288" w:type="pct"/>
            <w:tcBorders>
              <w:top w:val="single" w:color="auto" w:sz="12" w:space="0"/>
            </w:tcBorders>
            <w:noWrap w:val="0"/>
            <w:vAlign w:val="center"/>
          </w:tcPr>
          <w:p w14:paraId="74968DC2">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W</w:t>
            </w:r>
          </w:p>
        </w:tc>
        <w:tc>
          <w:tcPr>
            <w:tcW w:w="288" w:type="pct"/>
            <w:tcBorders>
              <w:top w:val="single" w:color="auto" w:sz="12" w:space="0"/>
            </w:tcBorders>
            <w:noWrap w:val="0"/>
            <w:vAlign w:val="center"/>
          </w:tcPr>
          <w:p w14:paraId="351FF7D5">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WNW</w:t>
            </w:r>
          </w:p>
        </w:tc>
        <w:tc>
          <w:tcPr>
            <w:tcW w:w="250" w:type="pct"/>
            <w:tcBorders>
              <w:top w:val="single" w:color="auto" w:sz="12" w:space="0"/>
            </w:tcBorders>
            <w:noWrap w:val="0"/>
            <w:vAlign w:val="center"/>
          </w:tcPr>
          <w:p w14:paraId="3B3DD93D">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NW</w:t>
            </w:r>
          </w:p>
        </w:tc>
        <w:tc>
          <w:tcPr>
            <w:tcW w:w="289" w:type="pct"/>
            <w:tcBorders>
              <w:top w:val="single" w:color="auto" w:sz="12" w:space="0"/>
            </w:tcBorders>
            <w:noWrap w:val="0"/>
            <w:vAlign w:val="center"/>
          </w:tcPr>
          <w:p w14:paraId="45616A72">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NNW</w:t>
            </w:r>
          </w:p>
        </w:tc>
        <w:tc>
          <w:tcPr>
            <w:tcW w:w="289" w:type="pct"/>
            <w:tcBorders>
              <w:top w:val="single" w:color="auto" w:sz="12" w:space="0"/>
              <w:right w:val="single" w:color="auto" w:sz="12" w:space="0"/>
            </w:tcBorders>
            <w:noWrap w:val="0"/>
            <w:vAlign w:val="center"/>
          </w:tcPr>
          <w:p w14:paraId="31929268">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C</w:t>
            </w:r>
          </w:p>
        </w:tc>
      </w:tr>
      <w:tr w14:paraId="650FA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2" w:type="pct"/>
            <w:tcBorders>
              <w:left w:val="single" w:color="auto" w:sz="12" w:space="0"/>
              <w:bottom w:val="single" w:color="auto" w:sz="12" w:space="0"/>
            </w:tcBorders>
            <w:noWrap w:val="0"/>
            <w:vAlign w:val="center"/>
          </w:tcPr>
          <w:p w14:paraId="04588402">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频率</w:t>
            </w:r>
          </w:p>
        </w:tc>
        <w:tc>
          <w:tcPr>
            <w:tcW w:w="288" w:type="pct"/>
            <w:tcBorders>
              <w:bottom w:val="single" w:color="auto" w:sz="12" w:space="0"/>
            </w:tcBorders>
            <w:noWrap w:val="0"/>
            <w:vAlign w:val="center"/>
          </w:tcPr>
          <w:p w14:paraId="1C11697F">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16.47</w:t>
            </w:r>
          </w:p>
        </w:tc>
        <w:tc>
          <w:tcPr>
            <w:tcW w:w="326" w:type="pct"/>
            <w:tcBorders>
              <w:bottom w:val="single" w:color="auto" w:sz="12" w:space="0"/>
            </w:tcBorders>
            <w:noWrap w:val="0"/>
            <w:vAlign w:val="center"/>
          </w:tcPr>
          <w:p w14:paraId="4BBDA781">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10.475</w:t>
            </w:r>
          </w:p>
        </w:tc>
        <w:tc>
          <w:tcPr>
            <w:tcW w:w="250" w:type="pct"/>
            <w:tcBorders>
              <w:bottom w:val="single" w:color="auto" w:sz="12" w:space="0"/>
            </w:tcBorders>
            <w:noWrap w:val="0"/>
            <w:vAlign w:val="center"/>
          </w:tcPr>
          <w:p w14:paraId="28AC0698">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6.19</w:t>
            </w:r>
          </w:p>
        </w:tc>
        <w:tc>
          <w:tcPr>
            <w:tcW w:w="265" w:type="pct"/>
            <w:tcBorders>
              <w:bottom w:val="single" w:color="auto" w:sz="12" w:space="0"/>
            </w:tcBorders>
            <w:noWrap w:val="0"/>
            <w:vAlign w:val="center"/>
          </w:tcPr>
          <w:p w14:paraId="05ABD64D">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3.61</w:t>
            </w:r>
          </w:p>
        </w:tc>
        <w:tc>
          <w:tcPr>
            <w:tcW w:w="288" w:type="pct"/>
            <w:tcBorders>
              <w:bottom w:val="single" w:color="auto" w:sz="12" w:space="0"/>
            </w:tcBorders>
            <w:noWrap w:val="0"/>
            <w:vAlign w:val="center"/>
          </w:tcPr>
          <w:p w14:paraId="2DF63D32">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3.695</w:t>
            </w:r>
          </w:p>
        </w:tc>
        <w:tc>
          <w:tcPr>
            <w:tcW w:w="288" w:type="pct"/>
            <w:tcBorders>
              <w:bottom w:val="single" w:color="auto" w:sz="12" w:space="0"/>
            </w:tcBorders>
            <w:noWrap w:val="0"/>
            <w:vAlign w:val="center"/>
          </w:tcPr>
          <w:p w14:paraId="7A116830">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4.735</w:t>
            </w:r>
          </w:p>
        </w:tc>
        <w:tc>
          <w:tcPr>
            <w:tcW w:w="288" w:type="pct"/>
            <w:tcBorders>
              <w:bottom w:val="single" w:color="auto" w:sz="12" w:space="0"/>
            </w:tcBorders>
            <w:noWrap w:val="0"/>
            <w:vAlign w:val="center"/>
          </w:tcPr>
          <w:p w14:paraId="0690AA71">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4.585</w:t>
            </w:r>
          </w:p>
        </w:tc>
        <w:tc>
          <w:tcPr>
            <w:tcW w:w="250" w:type="pct"/>
            <w:tcBorders>
              <w:bottom w:val="single" w:color="auto" w:sz="12" w:space="0"/>
            </w:tcBorders>
            <w:noWrap w:val="0"/>
            <w:vAlign w:val="center"/>
          </w:tcPr>
          <w:p w14:paraId="3E212C39">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6.22</w:t>
            </w:r>
          </w:p>
        </w:tc>
        <w:tc>
          <w:tcPr>
            <w:tcW w:w="288" w:type="pct"/>
            <w:tcBorders>
              <w:bottom w:val="single" w:color="auto" w:sz="12" w:space="0"/>
            </w:tcBorders>
            <w:noWrap w:val="0"/>
            <w:vAlign w:val="center"/>
          </w:tcPr>
          <w:p w14:paraId="45CE7542">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7.895</w:t>
            </w:r>
          </w:p>
        </w:tc>
        <w:tc>
          <w:tcPr>
            <w:tcW w:w="288" w:type="pct"/>
            <w:tcBorders>
              <w:bottom w:val="single" w:color="auto" w:sz="12" w:space="0"/>
            </w:tcBorders>
            <w:noWrap w:val="0"/>
            <w:vAlign w:val="center"/>
          </w:tcPr>
          <w:p w14:paraId="69345306">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8.965</w:t>
            </w:r>
          </w:p>
        </w:tc>
        <w:tc>
          <w:tcPr>
            <w:tcW w:w="288" w:type="pct"/>
            <w:tcBorders>
              <w:bottom w:val="single" w:color="auto" w:sz="12" w:space="0"/>
            </w:tcBorders>
            <w:noWrap w:val="0"/>
            <w:vAlign w:val="center"/>
          </w:tcPr>
          <w:p w14:paraId="0C94C2B1">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3.125</w:t>
            </w:r>
          </w:p>
        </w:tc>
        <w:tc>
          <w:tcPr>
            <w:tcW w:w="288" w:type="pct"/>
            <w:tcBorders>
              <w:bottom w:val="single" w:color="auto" w:sz="12" w:space="0"/>
            </w:tcBorders>
            <w:noWrap w:val="0"/>
            <w:vAlign w:val="center"/>
          </w:tcPr>
          <w:p w14:paraId="56A59295">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1.825</w:t>
            </w:r>
          </w:p>
        </w:tc>
        <w:tc>
          <w:tcPr>
            <w:tcW w:w="288" w:type="pct"/>
            <w:tcBorders>
              <w:bottom w:val="single" w:color="auto" w:sz="12" w:space="0"/>
            </w:tcBorders>
            <w:noWrap w:val="0"/>
            <w:vAlign w:val="center"/>
          </w:tcPr>
          <w:p w14:paraId="04142164">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1.045</w:t>
            </w:r>
          </w:p>
        </w:tc>
        <w:tc>
          <w:tcPr>
            <w:tcW w:w="288" w:type="pct"/>
            <w:tcBorders>
              <w:bottom w:val="single" w:color="auto" w:sz="12" w:space="0"/>
            </w:tcBorders>
            <w:noWrap w:val="0"/>
            <w:vAlign w:val="center"/>
          </w:tcPr>
          <w:p w14:paraId="56A44B8C">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1.705</w:t>
            </w:r>
          </w:p>
        </w:tc>
        <w:tc>
          <w:tcPr>
            <w:tcW w:w="250" w:type="pct"/>
            <w:tcBorders>
              <w:bottom w:val="single" w:color="auto" w:sz="12" w:space="0"/>
            </w:tcBorders>
            <w:noWrap w:val="0"/>
            <w:vAlign w:val="center"/>
          </w:tcPr>
          <w:p w14:paraId="72584D5D">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3.22</w:t>
            </w:r>
          </w:p>
        </w:tc>
        <w:tc>
          <w:tcPr>
            <w:tcW w:w="289" w:type="pct"/>
            <w:tcBorders>
              <w:bottom w:val="single" w:color="auto" w:sz="12" w:space="0"/>
            </w:tcBorders>
            <w:noWrap w:val="0"/>
            <w:vAlign w:val="center"/>
          </w:tcPr>
          <w:p w14:paraId="28DECBFF">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11.05</w:t>
            </w:r>
          </w:p>
        </w:tc>
        <w:tc>
          <w:tcPr>
            <w:tcW w:w="289" w:type="pct"/>
            <w:tcBorders>
              <w:bottom w:val="single" w:color="auto" w:sz="12" w:space="0"/>
              <w:right w:val="single" w:color="auto" w:sz="12" w:space="0"/>
            </w:tcBorders>
            <w:noWrap w:val="0"/>
            <w:vAlign w:val="center"/>
          </w:tcPr>
          <w:p w14:paraId="6B0B9743">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4.705</w:t>
            </w:r>
          </w:p>
        </w:tc>
      </w:tr>
    </w:tbl>
    <w:p w14:paraId="1F703AB2">
      <w:pPr>
        <w:ind w:firstLine="480"/>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（5）风速年际变化特征与周期分析</w:t>
      </w:r>
    </w:p>
    <w:p w14:paraId="042E9ACD">
      <w:pPr>
        <w:ind w:firstLine="480"/>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根据近20年资料分析，钦州市气象站风速呈现上升趋势，2016</w:t>
      </w:r>
      <w:r>
        <w:rPr>
          <w:rFonts w:hint="eastAsia" w:ascii="Times New Roman" w:hAnsi="Times New Roman" w:eastAsia="宋体"/>
          <w:color w:val="000000" w:themeColor="text1"/>
          <w:spacing w:val="0"/>
          <w:w w:val="100"/>
          <w:position w:val="0"/>
          <w:u w:val="none" w:color="auto"/>
          <w:lang w:val="en-US" w:eastAsia="zh-CN"/>
          <w14:textFill>
            <w14:solidFill>
              <w14:schemeClr w14:val="tx1"/>
            </w14:solidFill>
          </w14:textFill>
        </w:rPr>
        <w:t>年</w:t>
      </w:r>
      <w:r>
        <w:rPr>
          <w:rFonts w:ascii="Times New Roman" w:hAnsi="Times New Roman" w:eastAsia="宋体"/>
          <w:color w:val="000000" w:themeColor="text1"/>
          <w:spacing w:val="0"/>
          <w:w w:val="100"/>
          <w:position w:val="0"/>
          <w:u w:val="none" w:color="auto"/>
          <w14:textFill>
            <w14:solidFill>
              <w14:schemeClr w14:val="tx1"/>
            </w14:solidFill>
          </w14:textFill>
        </w:rPr>
        <w:t>及2020年年平均风速最大（3.1米/秒），2014年年平均风速最小（1.8米/秒）；其变化趋势详见图</w:t>
      </w:r>
      <w:r>
        <w:rPr>
          <w:rFonts w:hint="eastAsia" w:ascii="Times New Roman" w:hAnsi="Times New Roman" w:eastAsia="宋体"/>
          <w:color w:val="000000" w:themeColor="text1"/>
          <w:spacing w:val="0"/>
          <w:w w:val="100"/>
          <w:position w:val="0"/>
          <w:u w:val="none" w:color="auto"/>
          <w:lang w:val="en-US" w:eastAsia="zh-CN"/>
          <w14:textFill>
            <w14:solidFill>
              <w14:schemeClr w14:val="tx1"/>
            </w14:solidFill>
          </w14:textFill>
        </w:rPr>
        <w:t>4</w:t>
      </w:r>
      <w:r>
        <w:rPr>
          <w:rFonts w:ascii="Times New Roman" w:hAnsi="Times New Roman" w:eastAsia="宋体"/>
          <w:color w:val="000000" w:themeColor="text1"/>
          <w:spacing w:val="0"/>
          <w:w w:val="100"/>
          <w:position w:val="0"/>
          <w:u w:val="none" w:color="auto"/>
          <w14:textFill>
            <w14:solidFill>
              <w14:schemeClr w14:val="tx1"/>
            </w14:solidFill>
          </w14:textFill>
        </w:rPr>
        <w:t>.</w:t>
      </w:r>
      <w:r>
        <w:rPr>
          <w:rFonts w:hint="eastAsia" w:eastAsia="宋体"/>
          <w:color w:val="000000" w:themeColor="text1"/>
          <w:spacing w:val="0"/>
          <w:w w:val="100"/>
          <w:position w:val="0"/>
          <w:u w:val="none" w:color="auto"/>
          <w:lang w:val="en-US" w:eastAsia="zh-CN"/>
          <w14:textFill>
            <w14:solidFill>
              <w14:schemeClr w14:val="tx1"/>
            </w14:solidFill>
          </w14:textFill>
        </w:rPr>
        <w:t>3</w:t>
      </w:r>
      <w:r>
        <w:rPr>
          <w:rFonts w:ascii="Times New Roman" w:hAnsi="Times New Roman" w:eastAsia="宋体"/>
          <w:color w:val="000000" w:themeColor="text1"/>
          <w:spacing w:val="0"/>
          <w:w w:val="100"/>
          <w:position w:val="0"/>
          <w:u w:val="none" w:color="auto"/>
          <w14:textFill>
            <w14:solidFill>
              <w14:schemeClr w14:val="tx1"/>
            </w14:solidFill>
          </w14:textFill>
        </w:rPr>
        <w:t>-4。</w:t>
      </w:r>
    </w:p>
    <w:p w14:paraId="52439F41">
      <w:pPr>
        <w:ind w:firstLine="0" w:firstLineChars="0"/>
        <w:jc w:val="center"/>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drawing>
          <wp:inline distT="0" distB="0" distL="114300" distR="114300">
            <wp:extent cx="5279390" cy="3535680"/>
            <wp:effectExtent l="0" t="0" r="8890" b="0"/>
            <wp:docPr id="2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0"/>
                    <pic:cNvPicPr>
                      <a:picLocks noChangeAspect="1"/>
                    </pic:cNvPicPr>
                  </pic:nvPicPr>
                  <pic:blipFill>
                    <a:blip r:embed="rId81"/>
                    <a:stretch>
                      <a:fillRect/>
                    </a:stretch>
                  </pic:blipFill>
                  <pic:spPr>
                    <a:xfrm>
                      <a:off x="0" y="0"/>
                      <a:ext cx="5279390" cy="3535680"/>
                    </a:xfrm>
                    <a:prstGeom prst="rect">
                      <a:avLst/>
                    </a:prstGeom>
                    <a:noFill/>
                    <a:ln>
                      <a:noFill/>
                    </a:ln>
                  </pic:spPr>
                </pic:pic>
              </a:graphicData>
            </a:graphic>
          </wp:inline>
        </w:drawing>
      </w:r>
    </w:p>
    <w:p w14:paraId="0ABE03EB">
      <w:pPr>
        <w:pStyle w:val="8"/>
        <w:rPr>
          <w:rFonts w:hint="eastAsia"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钦州市多年年平均风速图（2001~2020，单位：m/s，虚线为趋势线）</w:t>
      </w:r>
    </w:p>
    <w:p w14:paraId="353CA0D9">
      <w:pPr>
        <w:pStyle w:val="74"/>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6</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常规高空气象探测资料</w:t>
      </w:r>
    </w:p>
    <w:p w14:paraId="1FD0F8AC">
      <w:pPr>
        <w:ind w:firstLine="480"/>
        <w:rPr>
          <w:color w:val="000000" w:themeColor="text1"/>
          <w14:textFill>
            <w14:solidFill>
              <w14:schemeClr w14:val="tx1"/>
            </w14:solidFill>
          </w14:textFill>
        </w:rPr>
      </w:pPr>
      <w:r>
        <w:rPr>
          <w:color w:val="000000" w:themeColor="text1"/>
          <w14:textFill>
            <w14:solidFill>
              <w14:schemeClr w14:val="tx1"/>
            </w14:solidFill>
          </w14:textFill>
        </w:rPr>
        <w:t>高空数据是采用大气环境影响评价数值模式WRF模拟生成。模式计算过程中把全国共划分为189×159个网格，分辨率为27km×27km。模式采用的原始数据有地形高度、土地利用、陆地-水体标志、植被组成等数据，数据源主要为美国的USGS数据。模式采用美国国家环境预报中心（NCEP)的再分析数据作为模型输入场和边界场。</w:t>
      </w:r>
    </w:p>
    <w:p w14:paraId="2D7B62B8">
      <w:pPr>
        <w:pStyle w:val="74"/>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7</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地表参数</w:t>
      </w:r>
    </w:p>
    <w:p w14:paraId="3B687748">
      <w:pPr>
        <w:ind w:firstLine="480"/>
        <w:rPr>
          <w:color w:val="000000" w:themeColor="text1"/>
          <w14:textFill>
            <w14:solidFill>
              <w14:schemeClr w14:val="tx1"/>
            </w14:solidFill>
          </w14:textFill>
        </w:rPr>
      </w:pPr>
      <w:r>
        <w:rPr>
          <w:color w:val="000000" w:themeColor="text1"/>
          <w14:textFill>
            <w14:solidFill>
              <w14:schemeClr w14:val="tx1"/>
            </w14:solidFill>
          </w14:textFill>
        </w:rPr>
        <w:t>地面分扇区数及度数</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项目周边主要以工业区</w:t>
      </w:r>
      <w:r>
        <w:rPr>
          <w:rFonts w:hint="eastAsia"/>
          <w:color w:val="000000" w:themeColor="text1"/>
          <w14:textFill>
            <w14:solidFill>
              <w14:schemeClr w14:val="tx1"/>
            </w14:solidFill>
          </w14:textFill>
        </w:rPr>
        <w:t>及海域</w:t>
      </w:r>
      <w:r>
        <w:rPr>
          <w:color w:val="000000" w:themeColor="text1"/>
          <w14:textFill>
            <w14:solidFill>
              <w14:schemeClr w14:val="tx1"/>
            </w14:solidFill>
          </w14:textFill>
        </w:rPr>
        <w:t>为主，以南北向为轴向项目周边0°</w:t>
      </w:r>
      <w:r>
        <w:rPr>
          <w:rFonts w:hint="eastAsia"/>
          <w:color w:val="000000" w:themeColor="text1"/>
          <w14:textFill>
            <w14:solidFill>
              <w14:schemeClr w14:val="tx1"/>
            </w14:solidFill>
          </w14:textFill>
        </w:rPr>
        <w:t>～18</w:t>
      </w:r>
      <w:r>
        <w:rPr>
          <w:color w:val="000000" w:themeColor="text1"/>
          <w14:textFill>
            <w14:solidFill>
              <w14:schemeClr w14:val="tx1"/>
            </w14:solidFill>
          </w14:textFill>
        </w:rPr>
        <w:t>0°为</w:t>
      </w:r>
      <w:r>
        <w:rPr>
          <w:rFonts w:hint="eastAsia"/>
          <w:color w:val="000000" w:themeColor="text1"/>
          <w14:textFill>
            <w14:solidFill>
              <w14:schemeClr w14:val="tx1"/>
            </w14:solidFill>
          </w14:textFill>
        </w:rPr>
        <w:t>海域，18</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～36</w:t>
      </w:r>
      <w:r>
        <w:rPr>
          <w:color w:val="000000" w:themeColor="text1"/>
          <w14:textFill>
            <w14:solidFill>
              <w14:schemeClr w14:val="tx1"/>
            </w14:solidFill>
          </w14:textFill>
        </w:rPr>
        <w:t>0°。</w:t>
      </w:r>
    </w:p>
    <w:p w14:paraId="21200BC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AERMET通用地表类型：根据项目所处地理环境，项目周边主要以工业区及海域为主，评价区土地利用类型主要为城市、水面。</w:t>
      </w:r>
    </w:p>
    <w:p w14:paraId="23AAD93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AERMET通用地表湿度：根据中国干湿状况划分图，钦州属于湿润区，通用地表湿度为潮湿气候。</w:t>
      </w:r>
    </w:p>
    <w:p w14:paraId="1563AEA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地面时间周期：根据《AERMET USER GUIDE》（EPA-454/B-03-002，2004/11）及AERMOD中地表参数推荐取值，地面时间周期按月或按季不是对应于特定的月份，而应更加对应于该地区的纬度和年植物生成周期，春季对应于植物开始出现或部分绿化时期，夏季对应于植物茂盛的时期，秋季为常出现霜冻、落叶、草已发黄但尚无雪的时期，冬季应用于雪地表面和零度以下气温，所以这些信息应由用户决定如何使用。本项目位于广西钦州市，地处低纬度、北回归线附近，属亚热带季风气候区，根据钦州市植被发育情况，春季（3、4、5月份）植物为部分绿化时期；夏季（6、7、8月份）对应于植物茂盛的时期；而秋季和冬季（8～3月份）基本相同，无雪地表面和零度以下气温，处于草已落叶、草发黄时期，本次预测对地面时间周期月或季节进行了调整。</w:t>
      </w:r>
    </w:p>
    <w:p w14:paraId="0E222DAF">
      <w:pPr>
        <w:ind w:firstLine="480"/>
        <w:rPr>
          <w:color w:val="000000" w:themeColor="text1"/>
          <w14:textFill>
            <w14:solidFill>
              <w14:schemeClr w14:val="tx1"/>
            </w14:solidFill>
          </w14:textFill>
        </w:rPr>
      </w:pPr>
      <w:r>
        <w:rPr>
          <w:color w:val="000000" w:themeColor="text1"/>
          <w14:textFill>
            <w14:solidFill>
              <w14:schemeClr w14:val="tx1"/>
            </w14:solidFill>
          </w14:textFill>
        </w:rPr>
        <w:t>地表参数选取汇总详见表</w:t>
      </w:r>
      <w:r>
        <w:rPr>
          <w:rFonts w:hint="eastAsia"/>
          <w:color w:val="000000" w:themeColor="text1"/>
          <w14:textFill>
            <w14:solidFill>
              <w14:schemeClr w14:val="tx1"/>
            </w14:solidFill>
          </w14:textFill>
        </w:rPr>
        <w:t>4.2-9</w:t>
      </w:r>
      <w:r>
        <w:rPr>
          <w:color w:val="000000" w:themeColor="text1"/>
          <w14:textFill>
            <w14:solidFill>
              <w14:schemeClr w14:val="tx1"/>
            </w14:solidFill>
          </w14:textFill>
        </w:rPr>
        <w:t>。</w:t>
      </w:r>
    </w:p>
    <w:p w14:paraId="0F80A04B">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地表参数选取汇总表</w:t>
      </w:r>
    </w:p>
    <w:tbl>
      <w:tblPr>
        <w:tblStyle w:val="43"/>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62"/>
        <w:gridCol w:w="1260"/>
        <w:gridCol w:w="1686"/>
        <w:gridCol w:w="1748"/>
        <w:gridCol w:w="1846"/>
        <w:gridCol w:w="1269"/>
      </w:tblGrid>
      <w:tr w14:paraId="323EA5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695" w:type="pct"/>
            <w:vAlign w:val="center"/>
          </w:tcPr>
          <w:p w14:paraId="572C440D">
            <w:pPr>
              <w:pStyle w:val="121"/>
              <w:spacing w:before="0" w:beforeAutospacing="0" w:after="0" w:afterAutospacing="0" w:line="240" w:lineRule="auto"/>
              <w:ind w:left="0" w:leftChars="0" w:right="0" w:rightChars="0"/>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序号</w:t>
            </w:r>
          </w:p>
        </w:tc>
        <w:tc>
          <w:tcPr>
            <w:tcW w:w="694" w:type="pct"/>
            <w:vAlign w:val="center"/>
          </w:tcPr>
          <w:p w14:paraId="0A559425">
            <w:pPr>
              <w:pStyle w:val="121"/>
              <w:spacing w:before="0" w:beforeAutospacing="0" w:after="0" w:afterAutospacing="0" w:line="240" w:lineRule="auto"/>
              <w:ind w:left="0" w:leftChars="0" w:right="0" w:rightChars="0"/>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扇区</w:t>
            </w:r>
          </w:p>
        </w:tc>
        <w:tc>
          <w:tcPr>
            <w:tcW w:w="929" w:type="pct"/>
            <w:vAlign w:val="center"/>
          </w:tcPr>
          <w:p w14:paraId="63800165">
            <w:pPr>
              <w:pStyle w:val="121"/>
              <w:spacing w:before="0" w:beforeAutospacing="0" w:after="0" w:afterAutospacing="0" w:line="240" w:lineRule="auto"/>
              <w:ind w:left="0" w:leftChars="0" w:right="0" w:rightChars="0"/>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时段</w:t>
            </w:r>
          </w:p>
        </w:tc>
        <w:tc>
          <w:tcPr>
            <w:tcW w:w="963" w:type="pct"/>
            <w:vAlign w:val="center"/>
          </w:tcPr>
          <w:p w14:paraId="4F45242E">
            <w:pPr>
              <w:pStyle w:val="121"/>
              <w:spacing w:before="0" w:beforeAutospacing="0" w:after="0" w:afterAutospacing="0" w:line="240" w:lineRule="auto"/>
              <w:ind w:left="0" w:leftChars="0" w:right="0" w:rightChars="0"/>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正午反照率</w:t>
            </w:r>
          </w:p>
        </w:tc>
        <w:tc>
          <w:tcPr>
            <w:tcW w:w="1017" w:type="pct"/>
            <w:vAlign w:val="center"/>
          </w:tcPr>
          <w:p w14:paraId="724BFBCD">
            <w:pPr>
              <w:pStyle w:val="121"/>
              <w:spacing w:before="0" w:beforeAutospacing="0" w:after="0" w:afterAutospacing="0" w:line="240" w:lineRule="auto"/>
              <w:ind w:left="0" w:leftChars="0" w:right="0" w:rightChars="0"/>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BOWEN</w:t>
            </w:r>
          </w:p>
        </w:tc>
        <w:tc>
          <w:tcPr>
            <w:tcW w:w="699" w:type="pct"/>
            <w:vAlign w:val="center"/>
          </w:tcPr>
          <w:p w14:paraId="797C1F32">
            <w:pPr>
              <w:pStyle w:val="121"/>
              <w:spacing w:before="0" w:beforeAutospacing="0" w:after="0" w:afterAutospacing="0" w:line="240" w:lineRule="auto"/>
              <w:ind w:left="0" w:leftChars="0" w:right="0" w:rightChars="0"/>
              <w:rPr>
                <w:rFonts w:ascii="Times New Roman" w:hAnsi="Times New Roman"/>
                <w:b/>
                <w:bCs/>
                <w:color w:val="000000" w:themeColor="text1"/>
                <w:sz w:val="21"/>
                <w:szCs w:val="21"/>
                <w14:textFill>
                  <w14:solidFill>
                    <w14:schemeClr w14:val="tx1"/>
                  </w14:solidFill>
                </w14:textFill>
              </w:rPr>
            </w:pPr>
            <w:r>
              <w:rPr>
                <w:rFonts w:hint="eastAsia" w:ascii="Times New Roman" w:hAnsi="Times New Roman"/>
                <w:b/>
                <w:bCs/>
                <w:color w:val="000000" w:themeColor="text1"/>
                <w:sz w:val="21"/>
                <w:szCs w:val="21"/>
                <w14:textFill>
                  <w14:solidFill>
                    <w14:schemeClr w14:val="tx1"/>
                  </w14:solidFill>
                </w14:textFill>
              </w:rPr>
              <w:t>粗糙度</w:t>
            </w:r>
          </w:p>
        </w:tc>
      </w:tr>
      <w:tr w14:paraId="7E627E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0E580282">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c>
          <w:tcPr>
            <w:tcW w:w="694" w:type="pct"/>
            <w:vMerge w:val="restart"/>
            <w:vAlign w:val="center"/>
          </w:tcPr>
          <w:p w14:paraId="4574A426">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0</w:t>
            </w:r>
            <w:r>
              <w:rPr>
                <w:rFonts w:ascii="Times New Roman" w:hAnsi="Times New Roman"/>
                <w:color w:val="000000" w:themeColor="text1"/>
                <w:sz w:val="21"/>
                <w:szCs w:val="21"/>
                <w14:textFill>
                  <w14:solidFill>
                    <w14:schemeClr w14:val="tx1"/>
                  </w14:solidFill>
                </w14:textFill>
              </w:rPr>
              <w:t>°</w:t>
            </w:r>
            <w:r>
              <w:rPr>
                <w:rFonts w:hint="eastAsia" w:ascii="Times New Roman" w:hAnsi="Times New Roman"/>
                <w:color w:val="000000" w:themeColor="text1"/>
                <w:sz w:val="21"/>
                <w:szCs w:val="21"/>
                <w14:textFill>
                  <w14:solidFill>
                    <w14:schemeClr w14:val="tx1"/>
                  </w14:solidFill>
                </w14:textFill>
              </w:rPr>
              <w:t>~180</w:t>
            </w:r>
            <w:r>
              <w:rPr>
                <w:rFonts w:ascii="Times New Roman" w:hAnsi="Times New Roman"/>
                <w:color w:val="000000" w:themeColor="text1"/>
                <w:sz w:val="21"/>
                <w:szCs w:val="21"/>
                <w14:textFill>
                  <w14:solidFill>
                    <w14:schemeClr w14:val="tx1"/>
                  </w14:solidFill>
                </w14:textFill>
              </w:rPr>
              <w:t>°</w:t>
            </w:r>
          </w:p>
          <w:p w14:paraId="4270A0D8">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（水面）</w:t>
            </w:r>
          </w:p>
        </w:tc>
        <w:tc>
          <w:tcPr>
            <w:tcW w:w="1726" w:type="dxa"/>
            <w:vAlign w:val="center"/>
          </w:tcPr>
          <w:p w14:paraId="57874F3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一月</w:t>
            </w:r>
          </w:p>
        </w:tc>
        <w:tc>
          <w:tcPr>
            <w:tcW w:w="963" w:type="pct"/>
            <w:vAlign w:val="center"/>
          </w:tcPr>
          <w:p w14:paraId="56189784">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0.2</w:t>
            </w:r>
          </w:p>
        </w:tc>
        <w:tc>
          <w:tcPr>
            <w:tcW w:w="1017" w:type="pct"/>
            <w:vAlign w:val="center"/>
          </w:tcPr>
          <w:p w14:paraId="6489919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0.3</w:t>
            </w:r>
          </w:p>
        </w:tc>
        <w:tc>
          <w:tcPr>
            <w:tcW w:w="699" w:type="pct"/>
            <w:vAlign w:val="center"/>
          </w:tcPr>
          <w:p w14:paraId="54D1831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0.0001</w:t>
            </w:r>
          </w:p>
        </w:tc>
      </w:tr>
      <w:tr w14:paraId="2F88D8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22FA3AF4">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w:t>
            </w:r>
          </w:p>
        </w:tc>
        <w:tc>
          <w:tcPr>
            <w:tcW w:w="694" w:type="pct"/>
            <w:vMerge w:val="continue"/>
            <w:vAlign w:val="center"/>
          </w:tcPr>
          <w:p w14:paraId="2C14FB0D">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60D303DD">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二月</w:t>
            </w:r>
          </w:p>
        </w:tc>
        <w:tc>
          <w:tcPr>
            <w:tcW w:w="963" w:type="pct"/>
            <w:vAlign w:val="center"/>
          </w:tcPr>
          <w:p w14:paraId="3ED178D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0.2</w:t>
            </w:r>
          </w:p>
        </w:tc>
        <w:tc>
          <w:tcPr>
            <w:tcW w:w="1017" w:type="pct"/>
            <w:vAlign w:val="center"/>
          </w:tcPr>
          <w:p w14:paraId="7B8F744A">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0.3</w:t>
            </w:r>
          </w:p>
        </w:tc>
        <w:tc>
          <w:tcPr>
            <w:tcW w:w="699" w:type="pct"/>
            <w:vAlign w:val="center"/>
          </w:tcPr>
          <w:p w14:paraId="37436B16">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0.0001</w:t>
            </w:r>
          </w:p>
        </w:tc>
      </w:tr>
      <w:tr w14:paraId="76464F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24920406">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w:t>
            </w:r>
          </w:p>
        </w:tc>
        <w:tc>
          <w:tcPr>
            <w:tcW w:w="694" w:type="pct"/>
            <w:vMerge w:val="continue"/>
            <w:vAlign w:val="center"/>
          </w:tcPr>
          <w:p w14:paraId="4439A4E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27E0664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三月</w:t>
            </w:r>
          </w:p>
        </w:tc>
        <w:tc>
          <w:tcPr>
            <w:tcW w:w="963" w:type="pct"/>
            <w:vAlign w:val="center"/>
          </w:tcPr>
          <w:p w14:paraId="36A56641">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0.12</w:t>
            </w:r>
          </w:p>
        </w:tc>
        <w:tc>
          <w:tcPr>
            <w:tcW w:w="1017" w:type="pct"/>
            <w:vAlign w:val="center"/>
          </w:tcPr>
          <w:p w14:paraId="50D0E01F">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w:t>
            </w:r>
          </w:p>
        </w:tc>
        <w:tc>
          <w:tcPr>
            <w:tcW w:w="699" w:type="pct"/>
            <w:vAlign w:val="center"/>
          </w:tcPr>
          <w:p w14:paraId="7C9B5B2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0.0001</w:t>
            </w:r>
          </w:p>
        </w:tc>
      </w:tr>
      <w:tr w14:paraId="53508B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45AC889A">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4</w:t>
            </w:r>
          </w:p>
        </w:tc>
        <w:tc>
          <w:tcPr>
            <w:tcW w:w="694" w:type="pct"/>
            <w:vMerge w:val="continue"/>
            <w:vAlign w:val="center"/>
          </w:tcPr>
          <w:p w14:paraId="2D5C4EEF">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5675F42B">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四月</w:t>
            </w:r>
          </w:p>
        </w:tc>
        <w:tc>
          <w:tcPr>
            <w:tcW w:w="963" w:type="pct"/>
            <w:vAlign w:val="center"/>
          </w:tcPr>
          <w:p w14:paraId="16E33EE0">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0.12</w:t>
            </w:r>
          </w:p>
        </w:tc>
        <w:tc>
          <w:tcPr>
            <w:tcW w:w="1017" w:type="pct"/>
            <w:vAlign w:val="center"/>
          </w:tcPr>
          <w:p w14:paraId="3E1F038D">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w:t>
            </w:r>
          </w:p>
        </w:tc>
        <w:tc>
          <w:tcPr>
            <w:tcW w:w="699" w:type="pct"/>
            <w:vAlign w:val="center"/>
          </w:tcPr>
          <w:p w14:paraId="6EE5597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0.0001</w:t>
            </w:r>
          </w:p>
        </w:tc>
      </w:tr>
      <w:tr w14:paraId="6D9405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3C83C616">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5</w:t>
            </w:r>
          </w:p>
        </w:tc>
        <w:tc>
          <w:tcPr>
            <w:tcW w:w="694" w:type="pct"/>
            <w:vMerge w:val="continue"/>
            <w:vAlign w:val="center"/>
          </w:tcPr>
          <w:p w14:paraId="29EF4C8D">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5F7D24A4">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五月</w:t>
            </w:r>
          </w:p>
        </w:tc>
        <w:tc>
          <w:tcPr>
            <w:tcW w:w="963" w:type="pct"/>
            <w:vAlign w:val="center"/>
          </w:tcPr>
          <w:p w14:paraId="117D32B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0.12</w:t>
            </w:r>
          </w:p>
        </w:tc>
        <w:tc>
          <w:tcPr>
            <w:tcW w:w="1017" w:type="pct"/>
            <w:vAlign w:val="center"/>
          </w:tcPr>
          <w:p w14:paraId="198C3460">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w:t>
            </w:r>
          </w:p>
        </w:tc>
        <w:tc>
          <w:tcPr>
            <w:tcW w:w="699" w:type="pct"/>
            <w:vAlign w:val="center"/>
          </w:tcPr>
          <w:p w14:paraId="64D86420">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0.0001</w:t>
            </w:r>
          </w:p>
        </w:tc>
      </w:tr>
      <w:tr w14:paraId="17139C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27C35512">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6</w:t>
            </w:r>
          </w:p>
        </w:tc>
        <w:tc>
          <w:tcPr>
            <w:tcW w:w="694" w:type="pct"/>
            <w:vMerge w:val="continue"/>
            <w:vAlign w:val="center"/>
          </w:tcPr>
          <w:p w14:paraId="4EE3AA7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302694C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六月</w:t>
            </w:r>
          </w:p>
        </w:tc>
        <w:tc>
          <w:tcPr>
            <w:tcW w:w="963" w:type="pct"/>
            <w:vAlign w:val="center"/>
          </w:tcPr>
          <w:p w14:paraId="6F6AA55D">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w:t>
            </w:r>
          </w:p>
        </w:tc>
        <w:tc>
          <w:tcPr>
            <w:tcW w:w="1017" w:type="pct"/>
            <w:vAlign w:val="center"/>
          </w:tcPr>
          <w:p w14:paraId="40094C6D">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w:t>
            </w:r>
          </w:p>
        </w:tc>
        <w:tc>
          <w:tcPr>
            <w:tcW w:w="699" w:type="pct"/>
            <w:vAlign w:val="center"/>
          </w:tcPr>
          <w:p w14:paraId="6B0AC3E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0.0001</w:t>
            </w:r>
          </w:p>
        </w:tc>
      </w:tr>
      <w:tr w14:paraId="498E7D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167BA81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7</w:t>
            </w:r>
          </w:p>
        </w:tc>
        <w:tc>
          <w:tcPr>
            <w:tcW w:w="694" w:type="pct"/>
            <w:vMerge w:val="continue"/>
            <w:vAlign w:val="center"/>
          </w:tcPr>
          <w:p w14:paraId="40E3D34D">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3F886622">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七月</w:t>
            </w:r>
          </w:p>
        </w:tc>
        <w:tc>
          <w:tcPr>
            <w:tcW w:w="963" w:type="pct"/>
            <w:vAlign w:val="center"/>
          </w:tcPr>
          <w:p w14:paraId="01D1C68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w:t>
            </w:r>
          </w:p>
        </w:tc>
        <w:tc>
          <w:tcPr>
            <w:tcW w:w="1017" w:type="pct"/>
            <w:vAlign w:val="center"/>
          </w:tcPr>
          <w:p w14:paraId="58CA72C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w:t>
            </w:r>
          </w:p>
        </w:tc>
        <w:tc>
          <w:tcPr>
            <w:tcW w:w="699" w:type="pct"/>
            <w:vAlign w:val="center"/>
          </w:tcPr>
          <w:p w14:paraId="7A12B8A9">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0.0001</w:t>
            </w:r>
          </w:p>
        </w:tc>
      </w:tr>
      <w:tr w14:paraId="5983F6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409530F4">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8</w:t>
            </w:r>
          </w:p>
        </w:tc>
        <w:tc>
          <w:tcPr>
            <w:tcW w:w="694" w:type="pct"/>
            <w:vMerge w:val="continue"/>
            <w:vAlign w:val="center"/>
          </w:tcPr>
          <w:p w14:paraId="76B9BA43">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7E141088">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八月</w:t>
            </w:r>
          </w:p>
        </w:tc>
        <w:tc>
          <w:tcPr>
            <w:tcW w:w="963" w:type="pct"/>
            <w:vAlign w:val="center"/>
          </w:tcPr>
          <w:p w14:paraId="3AB95826">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w:t>
            </w:r>
          </w:p>
        </w:tc>
        <w:tc>
          <w:tcPr>
            <w:tcW w:w="1017" w:type="pct"/>
            <w:vAlign w:val="center"/>
          </w:tcPr>
          <w:p w14:paraId="55AA4F1A">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w:t>
            </w:r>
          </w:p>
        </w:tc>
        <w:tc>
          <w:tcPr>
            <w:tcW w:w="699" w:type="pct"/>
            <w:vAlign w:val="center"/>
          </w:tcPr>
          <w:p w14:paraId="27F5BD69">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0.0001</w:t>
            </w:r>
          </w:p>
        </w:tc>
      </w:tr>
      <w:tr w14:paraId="2A2F91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09066682">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9</w:t>
            </w:r>
          </w:p>
        </w:tc>
        <w:tc>
          <w:tcPr>
            <w:tcW w:w="694" w:type="pct"/>
            <w:vMerge w:val="continue"/>
            <w:vAlign w:val="center"/>
          </w:tcPr>
          <w:p w14:paraId="2ADB2A1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5D2A7E3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九月</w:t>
            </w:r>
          </w:p>
        </w:tc>
        <w:tc>
          <w:tcPr>
            <w:tcW w:w="963" w:type="pct"/>
            <w:vAlign w:val="center"/>
          </w:tcPr>
          <w:p w14:paraId="3EF17B7F">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0.14</w:t>
            </w:r>
          </w:p>
        </w:tc>
        <w:tc>
          <w:tcPr>
            <w:tcW w:w="1017" w:type="pct"/>
            <w:vAlign w:val="center"/>
          </w:tcPr>
          <w:p w14:paraId="6C02B45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w:t>
            </w:r>
          </w:p>
        </w:tc>
        <w:tc>
          <w:tcPr>
            <w:tcW w:w="699" w:type="pct"/>
            <w:vAlign w:val="center"/>
          </w:tcPr>
          <w:p w14:paraId="1EBB2123">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0.0001</w:t>
            </w:r>
          </w:p>
        </w:tc>
      </w:tr>
      <w:tr w14:paraId="44D278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797F4F14">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10</w:t>
            </w:r>
          </w:p>
        </w:tc>
        <w:tc>
          <w:tcPr>
            <w:tcW w:w="694" w:type="pct"/>
            <w:vMerge w:val="continue"/>
            <w:vAlign w:val="center"/>
          </w:tcPr>
          <w:p w14:paraId="46007569">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5C028039">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十月</w:t>
            </w:r>
          </w:p>
        </w:tc>
        <w:tc>
          <w:tcPr>
            <w:tcW w:w="963" w:type="pct"/>
            <w:vAlign w:val="center"/>
          </w:tcPr>
          <w:p w14:paraId="593A79DD">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0.14</w:t>
            </w:r>
          </w:p>
        </w:tc>
        <w:tc>
          <w:tcPr>
            <w:tcW w:w="1017" w:type="pct"/>
            <w:vAlign w:val="center"/>
          </w:tcPr>
          <w:p w14:paraId="5D442BB6">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w:t>
            </w:r>
          </w:p>
        </w:tc>
        <w:tc>
          <w:tcPr>
            <w:tcW w:w="699" w:type="pct"/>
            <w:vAlign w:val="center"/>
          </w:tcPr>
          <w:p w14:paraId="02059EEB">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0.0001</w:t>
            </w:r>
          </w:p>
        </w:tc>
      </w:tr>
      <w:tr w14:paraId="221C13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127AA3C4">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11</w:t>
            </w:r>
          </w:p>
        </w:tc>
        <w:tc>
          <w:tcPr>
            <w:tcW w:w="694" w:type="pct"/>
            <w:vMerge w:val="continue"/>
            <w:vAlign w:val="center"/>
          </w:tcPr>
          <w:p w14:paraId="3E4FB05B">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7342B0A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十一月</w:t>
            </w:r>
          </w:p>
        </w:tc>
        <w:tc>
          <w:tcPr>
            <w:tcW w:w="963" w:type="pct"/>
            <w:vAlign w:val="center"/>
          </w:tcPr>
          <w:p w14:paraId="0B04D21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0.14</w:t>
            </w:r>
          </w:p>
        </w:tc>
        <w:tc>
          <w:tcPr>
            <w:tcW w:w="1017" w:type="pct"/>
            <w:vAlign w:val="center"/>
          </w:tcPr>
          <w:p w14:paraId="3C7A6CC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w:t>
            </w:r>
          </w:p>
        </w:tc>
        <w:tc>
          <w:tcPr>
            <w:tcW w:w="699" w:type="pct"/>
            <w:vAlign w:val="center"/>
          </w:tcPr>
          <w:p w14:paraId="68AD357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0.0001</w:t>
            </w:r>
          </w:p>
        </w:tc>
      </w:tr>
      <w:tr w14:paraId="35C153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04253A3F">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12</w:t>
            </w:r>
          </w:p>
        </w:tc>
        <w:tc>
          <w:tcPr>
            <w:tcW w:w="694" w:type="pct"/>
            <w:vMerge w:val="continue"/>
            <w:vAlign w:val="center"/>
          </w:tcPr>
          <w:p w14:paraId="350D4218">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5940250F">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十二月</w:t>
            </w:r>
          </w:p>
        </w:tc>
        <w:tc>
          <w:tcPr>
            <w:tcW w:w="963" w:type="pct"/>
            <w:vAlign w:val="center"/>
          </w:tcPr>
          <w:p w14:paraId="5244CA88">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0.2</w:t>
            </w:r>
          </w:p>
        </w:tc>
        <w:tc>
          <w:tcPr>
            <w:tcW w:w="1017" w:type="pct"/>
            <w:vAlign w:val="center"/>
          </w:tcPr>
          <w:p w14:paraId="32FF9B28">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0.3</w:t>
            </w:r>
          </w:p>
        </w:tc>
        <w:tc>
          <w:tcPr>
            <w:tcW w:w="699" w:type="pct"/>
            <w:vAlign w:val="center"/>
          </w:tcPr>
          <w:p w14:paraId="6C83BFA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0.0001</w:t>
            </w:r>
          </w:p>
        </w:tc>
      </w:tr>
      <w:tr w14:paraId="145778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7A61FF8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13</w:t>
            </w:r>
          </w:p>
        </w:tc>
        <w:tc>
          <w:tcPr>
            <w:tcW w:w="694" w:type="pct"/>
            <w:vMerge w:val="restart"/>
            <w:vAlign w:val="center"/>
          </w:tcPr>
          <w:p w14:paraId="3A04D58B">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180</w:t>
            </w:r>
            <w:r>
              <w:rPr>
                <w:rFonts w:ascii="Times New Roman" w:hAnsi="Times New Roman"/>
                <w:color w:val="000000" w:themeColor="text1"/>
                <w:sz w:val="21"/>
                <w:szCs w:val="21"/>
                <w14:textFill>
                  <w14:solidFill>
                    <w14:schemeClr w14:val="tx1"/>
                  </w14:solidFill>
                </w14:textFill>
              </w:rPr>
              <w:t>°</w:t>
            </w:r>
            <w:r>
              <w:rPr>
                <w:rFonts w:hint="eastAsia" w:ascii="Times New Roman" w:hAnsi="Times New Roman"/>
                <w:color w:val="000000" w:themeColor="text1"/>
                <w:sz w:val="21"/>
                <w:szCs w:val="21"/>
                <w14:textFill>
                  <w14:solidFill>
                    <w14:schemeClr w14:val="tx1"/>
                  </w14:solidFill>
                </w14:textFill>
              </w:rPr>
              <w:t>~360</w:t>
            </w:r>
            <w:r>
              <w:rPr>
                <w:rFonts w:ascii="Times New Roman" w:hAnsi="Times New Roman"/>
                <w:color w:val="000000" w:themeColor="text1"/>
                <w:sz w:val="21"/>
                <w:szCs w:val="21"/>
                <w14:textFill>
                  <w14:solidFill>
                    <w14:schemeClr w14:val="tx1"/>
                  </w14:solidFill>
                </w14:textFill>
              </w:rPr>
              <w:t>°</w:t>
            </w:r>
          </w:p>
          <w:p w14:paraId="1F47E13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（城市）</w:t>
            </w:r>
          </w:p>
        </w:tc>
        <w:tc>
          <w:tcPr>
            <w:tcW w:w="1726" w:type="dxa"/>
            <w:vAlign w:val="center"/>
          </w:tcPr>
          <w:p w14:paraId="5B925B4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一月</w:t>
            </w:r>
          </w:p>
        </w:tc>
        <w:tc>
          <w:tcPr>
            <w:tcW w:w="963" w:type="pct"/>
            <w:vAlign w:val="center"/>
          </w:tcPr>
          <w:p w14:paraId="5B6442C9">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0.35</w:t>
            </w:r>
          </w:p>
        </w:tc>
        <w:tc>
          <w:tcPr>
            <w:tcW w:w="1017" w:type="pct"/>
            <w:vAlign w:val="center"/>
          </w:tcPr>
          <w:p w14:paraId="1FB810D0">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0.5</w:t>
            </w:r>
          </w:p>
        </w:tc>
        <w:tc>
          <w:tcPr>
            <w:tcW w:w="699" w:type="pct"/>
            <w:vAlign w:val="center"/>
          </w:tcPr>
          <w:p w14:paraId="6EA06B64">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r>
      <w:tr w14:paraId="0430B5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5628F9BD">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14</w:t>
            </w:r>
          </w:p>
        </w:tc>
        <w:tc>
          <w:tcPr>
            <w:tcW w:w="694" w:type="pct"/>
            <w:vMerge w:val="continue"/>
            <w:vAlign w:val="center"/>
          </w:tcPr>
          <w:p w14:paraId="242755F4">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3E6D97B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二月</w:t>
            </w:r>
          </w:p>
        </w:tc>
        <w:tc>
          <w:tcPr>
            <w:tcW w:w="963" w:type="pct"/>
            <w:vAlign w:val="center"/>
          </w:tcPr>
          <w:p w14:paraId="63BE3FA3">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0.35</w:t>
            </w:r>
          </w:p>
        </w:tc>
        <w:tc>
          <w:tcPr>
            <w:tcW w:w="1017" w:type="pct"/>
            <w:vAlign w:val="center"/>
          </w:tcPr>
          <w:p w14:paraId="77810D18">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0.5</w:t>
            </w:r>
          </w:p>
        </w:tc>
        <w:tc>
          <w:tcPr>
            <w:tcW w:w="699" w:type="pct"/>
            <w:vAlign w:val="center"/>
          </w:tcPr>
          <w:p w14:paraId="152A34C3">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r>
      <w:tr w14:paraId="6AC80A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51963C9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15</w:t>
            </w:r>
          </w:p>
        </w:tc>
        <w:tc>
          <w:tcPr>
            <w:tcW w:w="694" w:type="pct"/>
            <w:vMerge w:val="continue"/>
            <w:vAlign w:val="center"/>
          </w:tcPr>
          <w:p w14:paraId="4CA67499">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49DDB189">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三月</w:t>
            </w:r>
          </w:p>
        </w:tc>
        <w:tc>
          <w:tcPr>
            <w:tcW w:w="963" w:type="pct"/>
            <w:vAlign w:val="center"/>
          </w:tcPr>
          <w:p w14:paraId="5305A7E0">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0.14</w:t>
            </w:r>
          </w:p>
        </w:tc>
        <w:tc>
          <w:tcPr>
            <w:tcW w:w="1017" w:type="pct"/>
            <w:vAlign w:val="center"/>
          </w:tcPr>
          <w:p w14:paraId="2815AE72">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0.5</w:t>
            </w:r>
          </w:p>
        </w:tc>
        <w:tc>
          <w:tcPr>
            <w:tcW w:w="699" w:type="pct"/>
            <w:vAlign w:val="center"/>
          </w:tcPr>
          <w:p w14:paraId="762E83B4">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r>
      <w:tr w14:paraId="21CC6C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764DB228">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16</w:t>
            </w:r>
          </w:p>
        </w:tc>
        <w:tc>
          <w:tcPr>
            <w:tcW w:w="694" w:type="pct"/>
            <w:vMerge w:val="continue"/>
            <w:vAlign w:val="center"/>
          </w:tcPr>
          <w:p w14:paraId="735485E9">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66824121">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四月</w:t>
            </w:r>
          </w:p>
        </w:tc>
        <w:tc>
          <w:tcPr>
            <w:tcW w:w="963" w:type="pct"/>
            <w:vAlign w:val="center"/>
          </w:tcPr>
          <w:p w14:paraId="3282A294">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0.14</w:t>
            </w:r>
          </w:p>
        </w:tc>
        <w:tc>
          <w:tcPr>
            <w:tcW w:w="1017" w:type="pct"/>
            <w:vAlign w:val="center"/>
          </w:tcPr>
          <w:p w14:paraId="468A0600">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0.5</w:t>
            </w:r>
          </w:p>
        </w:tc>
        <w:tc>
          <w:tcPr>
            <w:tcW w:w="699" w:type="pct"/>
            <w:vAlign w:val="center"/>
          </w:tcPr>
          <w:p w14:paraId="065A9C6A">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r>
      <w:tr w14:paraId="069E37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4D2CDA23">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17</w:t>
            </w:r>
          </w:p>
        </w:tc>
        <w:tc>
          <w:tcPr>
            <w:tcW w:w="694" w:type="pct"/>
            <w:vMerge w:val="continue"/>
            <w:vAlign w:val="center"/>
          </w:tcPr>
          <w:p w14:paraId="0723C781">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328972E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五月</w:t>
            </w:r>
          </w:p>
        </w:tc>
        <w:tc>
          <w:tcPr>
            <w:tcW w:w="963" w:type="pct"/>
            <w:vAlign w:val="center"/>
          </w:tcPr>
          <w:p w14:paraId="7149991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0.14</w:t>
            </w:r>
          </w:p>
        </w:tc>
        <w:tc>
          <w:tcPr>
            <w:tcW w:w="1017" w:type="pct"/>
            <w:vAlign w:val="center"/>
          </w:tcPr>
          <w:p w14:paraId="4D47561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0.5</w:t>
            </w:r>
          </w:p>
        </w:tc>
        <w:tc>
          <w:tcPr>
            <w:tcW w:w="699" w:type="pct"/>
            <w:vAlign w:val="center"/>
          </w:tcPr>
          <w:p w14:paraId="753C74B8">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r>
      <w:tr w14:paraId="19C4C4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062781E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18</w:t>
            </w:r>
          </w:p>
        </w:tc>
        <w:tc>
          <w:tcPr>
            <w:tcW w:w="694" w:type="pct"/>
            <w:vMerge w:val="continue"/>
            <w:vAlign w:val="center"/>
          </w:tcPr>
          <w:p w14:paraId="2F8418A3">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032870B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六月</w:t>
            </w:r>
          </w:p>
        </w:tc>
        <w:tc>
          <w:tcPr>
            <w:tcW w:w="963" w:type="pct"/>
            <w:vAlign w:val="center"/>
          </w:tcPr>
          <w:p w14:paraId="065BB338">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0.16</w:t>
            </w:r>
          </w:p>
        </w:tc>
        <w:tc>
          <w:tcPr>
            <w:tcW w:w="1017" w:type="pct"/>
            <w:vAlign w:val="center"/>
          </w:tcPr>
          <w:p w14:paraId="06D54FE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c>
          <w:tcPr>
            <w:tcW w:w="699" w:type="pct"/>
            <w:vAlign w:val="center"/>
          </w:tcPr>
          <w:p w14:paraId="5B6AC3E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r>
      <w:tr w14:paraId="1C886D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5E554522">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19</w:t>
            </w:r>
          </w:p>
        </w:tc>
        <w:tc>
          <w:tcPr>
            <w:tcW w:w="694" w:type="pct"/>
            <w:vMerge w:val="continue"/>
            <w:vAlign w:val="center"/>
          </w:tcPr>
          <w:p w14:paraId="3BADCC50">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1660BD58">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七月</w:t>
            </w:r>
          </w:p>
        </w:tc>
        <w:tc>
          <w:tcPr>
            <w:tcW w:w="963" w:type="pct"/>
            <w:vAlign w:val="center"/>
          </w:tcPr>
          <w:p w14:paraId="09FAB172">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0.16</w:t>
            </w:r>
          </w:p>
        </w:tc>
        <w:tc>
          <w:tcPr>
            <w:tcW w:w="1017" w:type="pct"/>
            <w:vAlign w:val="center"/>
          </w:tcPr>
          <w:p w14:paraId="7A93303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c>
          <w:tcPr>
            <w:tcW w:w="699" w:type="pct"/>
            <w:vAlign w:val="center"/>
          </w:tcPr>
          <w:p w14:paraId="453D4347">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r>
      <w:tr w14:paraId="18D639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573FDC0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20</w:t>
            </w:r>
          </w:p>
        </w:tc>
        <w:tc>
          <w:tcPr>
            <w:tcW w:w="694" w:type="pct"/>
            <w:vMerge w:val="continue"/>
            <w:vAlign w:val="center"/>
          </w:tcPr>
          <w:p w14:paraId="7DF12271">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30272F10">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八月</w:t>
            </w:r>
          </w:p>
        </w:tc>
        <w:tc>
          <w:tcPr>
            <w:tcW w:w="963" w:type="pct"/>
            <w:vAlign w:val="center"/>
          </w:tcPr>
          <w:p w14:paraId="5E21154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0.16</w:t>
            </w:r>
          </w:p>
        </w:tc>
        <w:tc>
          <w:tcPr>
            <w:tcW w:w="1017" w:type="pct"/>
            <w:vAlign w:val="center"/>
          </w:tcPr>
          <w:p w14:paraId="78BCD13D">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c>
          <w:tcPr>
            <w:tcW w:w="699" w:type="pct"/>
            <w:vAlign w:val="center"/>
          </w:tcPr>
          <w:p w14:paraId="05DDFDA3">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r>
      <w:tr w14:paraId="434213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37DBB9E1">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21</w:t>
            </w:r>
          </w:p>
        </w:tc>
        <w:tc>
          <w:tcPr>
            <w:tcW w:w="694" w:type="pct"/>
            <w:vMerge w:val="continue"/>
            <w:vAlign w:val="center"/>
          </w:tcPr>
          <w:p w14:paraId="7BC10812">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6ACD5D3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九月</w:t>
            </w:r>
          </w:p>
        </w:tc>
        <w:tc>
          <w:tcPr>
            <w:tcW w:w="963" w:type="pct"/>
            <w:vAlign w:val="center"/>
          </w:tcPr>
          <w:p w14:paraId="072A3338">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0.18</w:t>
            </w:r>
          </w:p>
        </w:tc>
        <w:tc>
          <w:tcPr>
            <w:tcW w:w="1017" w:type="pct"/>
            <w:vAlign w:val="center"/>
          </w:tcPr>
          <w:p w14:paraId="78425562">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c>
          <w:tcPr>
            <w:tcW w:w="699" w:type="pct"/>
            <w:vAlign w:val="center"/>
          </w:tcPr>
          <w:p w14:paraId="09931287">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r>
      <w:tr w14:paraId="06F759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0ADC3E2A">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22</w:t>
            </w:r>
          </w:p>
        </w:tc>
        <w:tc>
          <w:tcPr>
            <w:tcW w:w="694" w:type="pct"/>
            <w:vMerge w:val="continue"/>
            <w:vAlign w:val="center"/>
          </w:tcPr>
          <w:p w14:paraId="65ADCB87">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4F506D69">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十月</w:t>
            </w:r>
          </w:p>
        </w:tc>
        <w:tc>
          <w:tcPr>
            <w:tcW w:w="963" w:type="pct"/>
            <w:vAlign w:val="center"/>
          </w:tcPr>
          <w:p w14:paraId="357484A9">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0.18</w:t>
            </w:r>
          </w:p>
        </w:tc>
        <w:tc>
          <w:tcPr>
            <w:tcW w:w="1017" w:type="pct"/>
            <w:vAlign w:val="center"/>
          </w:tcPr>
          <w:p w14:paraId="194E2BF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c>
          <w:tcPr>
            <w:tcW w:w="699" w:type="pct"/>
            <w:vAlign w:val="center"/>
          </w:tcPr>
          <w:p w14:paraId="163824A1">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r>
      <w:tr w14:paraId="5B740B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706E7E2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23</w:t>
            </w:r>
          </w:p>
        </w:tc>
        <w:tc>
          <w:tcPr>
            <w:tcW w:w="694" w:type="pct"/>
            <w:vMerge w:val="continue"/>
            <w:vAlign w:val="center"/>
          </w:tcPr>
          <w:p w14:paraId="6C73E136">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38F3356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十一月</w:t>
            </w:r>
          </w:p>
        </w:tc>
        <w:tc>
          <w:tcPr>
            <w:tcW w:w="963" w:type="pct"/>
            <w:vAlign w:val="center"/>
          </w:tcPr>
          <w:p w14:paraId="7A282344">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0.18</w:t>
            </w:r>
          </w:p>
        </w:tc>
        <w:tc>
          <w:tcPr>
            <w:tcW w:w="1017" w:type="pct"/>
            <w:vAlign w:val="center"/>
          </w:tcPr>
          <w:p w14:paraId="6991A013">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c>
          <w:tcPr>
            <w:tcW w:w="699" w:type="pct"/>
            <w:vAlign w:val="center"/>
          </w:tcPr>
          <w:p w14:paraId="4B110C3A">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r>
      <w:tr w14:paraId="101231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5876AC3D">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24</w:t>
            </w:r>
          </w:p>
        </w:tc>
        <w:tc>
          <w:tcPr>
            <w:tcW w:w="694" w:type="pct"/>
            <w:vMerge w:val="continue"/>
            <w:vAlign w:val="center"/>
          </w:tcPr>
          <w:p w14:paraId="452E38A7">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57751AF2">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十二月</w:t>
            </w:r>
          </w:p>
        </w:tc>
        <w:tc>
          <w:tcPr>
            <w:tcW w:w="963" w:type="pct"/>
            <w:vAlign w:val="center"/>
          </w:tcPr>
          <w:p w14:paraId="539C7B5A">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0.35</w:t>
            </w:r>
          </w:p>
        </w:tc>
        <w:tc>
          <w:tcPr>
            <w:tcW w:w="1017" w:type="pct"/>
            <w:vAlign w:val="center"/>
          </w:tcPr>
          <w:p w14:paraId="0A7FD8B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0.5</w:t>
            </w:r>
          </w:p>
        </w:tc>
        <w:tc>
          <w:tcPr>
            <w:tcW w:w="699" w:type="pct"/>
            <w:vAlign w:val="center"/>
          </w:tcPr>
          <w:p w14:paraId="6D179A18">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r>
    </w:tbl>
    <w:p w14:paraId="347444CC">
      <w:pPr>
        <w:pStyle w:val="6"/>
        <w:rPr>
          <w:color w:val="000000" w:themeColor="text1"/>
          <w14:textFill>
            <w14:solidFill>
              <w14:schemeClr w14:val="tx1"/>
            </w14:solidFill>
          </w14:textFill>
        </w:rPr>
      </w:pPr>
      <w:r>
        <w:rPr>
          <w:color w:val="000000" w:themeColor="text1"/>
          <w14:textFill>
            <w14:solidFill>
              <w14:schemeClr w14:val="tx1"/>
            </w14:solidFill>
          </w14:textFill>
        </w:rPr>
        <w:t>地形数据</w:t>
      </w:r>
    </w:p>
    <w:p w14:paraId="5A567E12">
      <w:pPr>
        <w:ind w:firstLine="480"/>
        <w:rPr>
          <w:color w:val="000000" w:themeColor="text1"/>
          <w14:textFill>
            <w14:solidFill>
              <w14:schemeClr w14:val="tx1"/>
            </w14:solidFill>
          </w14:textFill>
        </w:rPr>
      </w:pPr>
      <w:r>
        <w:rPr>
          <w:color w:val="000000" w:themeColor="text1"/>
          <w14:textFill>
            <w14:solidFill>
              <w14:schemeClr w14:val="tx1"/>
            </w14:solidFill>
          </w14:textFill>
        </w:rPr>
        <w:t>评价范围内的地形数据采用外部DEM文件，并采用AERMAP运行计算得出评价范围内各网格及敏感点的地形数据。构建评价范围的预测网格时，采用直角坐标的方式，即坐标形式为（x，y）。采取等间距设置预测网格，间距按50m进行设置。</w:t>
      </w:r>
    </w:p>
    <w:p w14:paraId="02666CE8">
      <w:pPr>
        <w:ind w:firstLine="480"/>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703296" behindDoc="0" locked="0" layoutInCell="1" allowOverlap="1">
                <wp:simplePos x="0" y="0"/>
                <wp:positionH relativeFrom="column">
                  <wp:posOffset>2360295</wp:posOffset>
                </wp:positionH>
                <wp:positionV relativeFrom="paragraph">
                  <wp:posOffset>1619250</wp:posOffset>
                </wp:positionV>
                <wp:extent cx="315595" cy="311785"/>
                <wp:effectExtent l="38100" t="38100" r="0" b="50165"/>
                <wp:wrapNone/>
                <wp:docPr id="141" name="十字星 141"/>
                <wp:cNvGraphicFramePr/>
                <a:graphic xmlns:a="http://schemas.openxmlformats.org/drawingml/2006/main">
                  <a:graphicData uri="http://schemas.microsoft.com/office/word/2010/wordprocessingShape">
                    <wps:wsp>
                      <wps:cNvSpPr/>
                      <wps:spPr>
                        <a:xfrm>
                          <a:off x="0" y="0"/>
                          <a:ext cx="315595" cy="311785"/>
                        </a:xfrm>
                        <a:prstGeom prst="star4">
                          <a:avLst/>
                        </a:prstGeom>
                        <a:solidFill>
                          <a:srgbClr val="FF0000"/>
                        </a:solidFill>
                        <a:ln w="12700"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85.85pt;margin-top:127.5pt;height:24.55pt;width:24.85pt;z-index:251703296;v-text-anchor:middle;mso-width-relative:page;mso-height-relative:page;" fillcolor="#FF0000" filled="t" stroked="t" coordsize="21600,21600" o:gfxdata="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7f99O2gAAAAsBAAAPAAAAAAAAAAEAIAAAACIAAABkcnMv&#10;ZG93bnJldi54bWxQSwECFAAUAAAACACHTuJAqMtUwXMCAAD7BAAADgAAAAAAAAABACAAAAApAQAA&#10;ZHJzL2Uyb0RvYy54bWxQSwUGAAAAAAYABgBZAQAADgYAAAAA&#10;" adj="8100">
                <v:fill on="t" focussize="0,0"/>
                <v:stroke weight="1pt" color="#FF0000" miterlimit="8" joinstyle="miter"/>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4320" behindDoc="0" locked="0" layoutInCell="1" allowOverlap="1">
                <wp:simplePos x="0" y="0"/>
                <wp:positionH relativeFrom="column">
                  <wp:posOffset>2454910</wp:posOffset>
                </wp:positionH>
                <wp:positionV relativeFrom="paragraph">
                  <wp:posOffset>2151380</wp:posOffset>
                </wp:positionV>
                <wp:extent cx="762635" cy="290830"/>
                <wp:effectExtent l="0" t="323850" r="18415" b="13970"/>
                <wp:wrapNone/>
                <wp:docPr id="142" name="矩形标注 142"/>
                <wp:cNvGraphicFramePr/>
                <a:graphic xmlns:a="http://schemas.openxmlformats.org/drawingml/2006/main">
                  <a:graphicData uri="http://schemas.microsoft.com/office/word/2010/wordprocessingShape">
                    <wps:wsp>
                      <wps:cNvSpPr/>
                      <wps:spPr>
                        <a:xfrm>
                          <a:off x="0" y="0"/>
                          <a:ext cx="762635" cy="290830"/>
                        </a:xfrm>
                        <a:prstGeom prst="wedgeRectCallout">
                          <a:avLst>
                            <a:gd name="adj1" fmla="val -37281"/>
                            <a:gd name="adj2" fmla="val -150444"/>
                          </a:avLst>
                        </a:prstGeom>
                        <a:solidFill>
                          <a:srgbClr val="C7EDCC"/>
                        </a:solidFill>
                        <a:ln w="12700" cap="flat" cmpd="sng" algn="ctr">
                          <a:gradFill>
                            <a:gsLst>
                              <a:gs pos="50410">
                                <a:srgbClr val="1F1F1F"/>
                              </a:gs>
                              <a:gs pos="0">
                                <a:srgbClr val="020202"/>
                              </a:gs>
                              <a:gs pos="100000">
                                <a:srgbClr val="424242"/>
                              </a:gs>
                            </a:gsLst>
                            <a:lin ang="5400000" scaled="0"/>
                          </a:gradFill>
                          <a:prstDash val="solid"/>
                          <a:miter lim="800000"/>
                        </a:ln>
                      </wps:spPr>
                      <wps:txbx>
                        <w:txbxContent>
                          <w:p w14:paraId="17DAEF77">
                            <w:pPr>
                              <w:spacing w:line="300" w:lineRule="exact"/>
                              <w:ind w:firstLine="0" w:firstLineChars="0"/>
                              <w:jc w:val="center"/>
                              <w:rPr>
                                <w:color w:val="000000"/>
                                <w:sz w:val="18"/>
                                <w:szCs w:val="18"/>
                              </w:rPr>
                            </w:pPr>
                            <w:r>
                              <w:rPr>
                                <w:rFonts w:hint="eastAsia"/>
                                <w:color w:val="000000"/>
                                <w:sz w:val="18"/>
                                <w:szCs w:val="18"/>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93.3pt;margin-top:169.4pt;height:22.9pt;width:60.05pt;z-index:251704320;v-text-anchor:middle;mso-width-relative:page;mso-height-relative:page;" fillcolor="#C7EDCC" filled="t" stroked="t" coordsize="21600,21600" o:gfxdata="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" adj="2747,-21696">
                <v:fill on="t" focussize="0,0"/>
                <v:stroke weight="1pt" color="#000000" miterlimit="8" joinstyle="miter"/>
                <v:imagedata o:title=""/>
                <o:lock v:ext="edit" aspectratio="f"/>
                <v:textbox>
                  <w:txbxContent>
                    <w:p w14:paraId="17DAEF77">
                      <w:pPr>
                        <w:spacing w:line="300" w:lineRule="exact"/>
                        <w:ind w:firstLine="0" w:firstLineChars="0"/>
                        <w:jc w:val="center"/>
                        <w:rPr>
                          <w:color w:val="000000"/>
                          <w:sz w:val="18"/>
                          <w:szCs w:val="18"/>
                        </w:rPr>
                      </w:pPr>
                      <w:r>
                        <w:rPr>
                          <w:rFonts w:hint="eastAsia"/>
                          <w:color w:val="000000"/>
                          <w:sz w:val="18"/>
                          <w:szCs w:val="18"/>
                        </w:rPr>
                        <w:t>本项目</w:t>
                      </w:r>
                    </w:p>
                  </w:txbxContent>
                </v:textbox>
              </v:shape>
            </w:pict>
          </mc:Fallback>
        </mc:AlternateContent>
      </w:r>
      <w:r>
        <w:rPr>
          <w:color w:val="000000" w:themeColor="text1"/>
          <w14:textFill>
            <w14:solidFill>
              <w14:schemeClr w14:val="tx1"/>
            </w14:solidFill>
          </w14:textFill>
        </w:rPr>
        <w:drawing>
          <wp:inline distT="0" distB="0" distL="0" distR="0">
            <wp:extent cx="5274310" cy="3722370"/>
            <wp:effectExtent l="0" t="0" r="254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5274310" cy="3722530"/>
                    </a:xfrm>
                    <a:prstGeom prst="rect">
                      <a:avLst/>
                    </a:prstGeom>
                    <a:noFill/>
                    <a:ln>
                      <a:noFill/>
                    </a:ln>
                    <a:effectLst/>
                  </pic:spPr>
                </pic:pic>
              </a:graphicData>
            </a:graphic>
          </wp:inline>
        </w:drawing>
      </w:r>
    </w:p>
    <w:p w14:paraId="117C17EB">
      <w:pPr>
        <w:pStyle w:val="8"/>
        <w:rPr>
          <w:color w:val="000000" w:themeColor="text1"/>
          <w14:textFill>
            <w14:solidFill>
              <w14:schemeClr w14:val="tx1"/>
            </w14:solidFill>
          </w14:textFill>
        </w:rPr>
      </w:pPr>
      <w:r>
        <w:rPr>
          <w:rFonts w:hint="eastAsia"/>
          <w:color w:val="000000" w:themeColor="text1"/>
          <w14:textFill>
            <w14:solidFill>
              <w14:schemeClr w14:val="tx1"/>
            </w14:solidFill>
          </w14:textFill>
        </w:rPr>
        <w:t>预测地形高程图</w:t>
      </w:r>
    </w:p>
    <w:p w14:paraId="592DFAE7">
      <w:pPr>
        <w:pStyle w:val="6"/>
        <w:rPr>
          <w:color w:val="000000" w:themeColor="text1"/>
          <w14:textFill>
            <w14:solidFill>
              <w14:schemeClr w14:val="tx1"/>
            </w14:solidFill>
          </w14:textFill>
        </w:rPr>
      </w:pPr>
      <w:r>
        <w:rPr>
          <w:color w:val="000000" w:themeColor="text1"/>
          <w14:textFill>
            <w14:solidFill>
              <w14:schemeClr w14:val="tx1"/>
            </w14:solidFill>
          </w14:textFill>
        </w:rPr>
        <w:t>预测模型</w:t>
      </w:r>
    </w:p>
    <w:p w14:paraId="77293D4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本项目按国家标准《环境影响评价技术导则 大气环境》（HJ 2.2-2018）中环境保护部环境工程评估中心环境质量模拟重点实验室网站推荐的大气估算模式进行，采用AERSCREEN软件进行预测计算。</w:t>
      </w:r>
    </w:p>
    <w:p w14:paraId="6517BFD3">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无组织大气</w:t>
      </w:r>
      <w:r>
        <w:rPr>
          <w:color w:val="000000" w:themeColor="text1"/>
          <w14:textFill>
            <w14:solidFill>
              <w14:schemeClr w14:val="tx1"/>
            </w14:solidFill>
          </w14:textFill>
        </w:rPr>
        <w:t>预测及结果分析</w:t>
      </w:r>
    </w:p>
    <w:p w14:paraId="037DE3A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（1）正常工况下无组织废气</w:t>
      </w:r>
    </w:p>
    <w:p w14:paraId="11AEB2A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设备动静密封点泄漏涉及VOCs流经或接触的设备或管道，主要包括泵、压缩机、搅拌机、阀门、泄压设备、取样连接系统、开口阀或开口管线、法兰、连接件和其他等十大类。</w:t>
      </w:r>
    </w:p>
    <w:p w14:paraId="4D41175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本项目排放无组织废气的主要装置管件数量根据设计资料统计，装卸作业时相关动静密封点无组织废气排放速率见表4.2-10。</w:t>
      </w:r>
    </w:p>
    <w:p w14:paraId="66D46C2E">
      <w:pPr>
        <w:pStyle w:val="7"/>
        <w:rPr>
          <w:color w:val="000000" w:themeColor="text1"/>
          <w14:textFill>
            <w14:solidFill>
              <w14:schemeClr w14:val="tx1"/>
            </w14:solidFill>
          </w14:textFill>
        </w:rPr>
      </w:pPr>
      <w:r>
        <w:rPr>
          <w:color w:val="000000" w:themeColor="text1"/>
          <w14:textFill>
            <w14:solidFill>
              <w14:schemeClr w14:val="tx1"/>
            </w14:solidFill>
          </w14:textFill>
        </w:rPr>
        <w:t>项目各区域动静密封点</w:t>
      </w:r>
      <w:r>
        <w:rPr>
          <w:rFonts w:hint="eastAsia"/>
          <w:color w:val="000000" w:themeColor="text1"/>
          <w14:textFill>
            <w14:solidFill>
              <w14:schemeClr w14:val="tx1"/>
            </w14:solidFill>
          </w14:textFill>
        </w:rPr>
        <w:t>无组织排放量</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94"/>
        <w:gridCol w:w="2410"/>
        <w:gridCol w:w="2515"/>
        <w:gridCol w:w="2657"/>
      </w:tblGrid>
      <w:tr w14:paraId="4446E4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9" w:hRule="atLeast"/>
          <w:tblHeader/>
          <w:jc w:val="center"/>
        </w:trPr>
        <w:tc>
          <w:tcPr>
            <w:tcW w:w="3104" w:type="dxa"/>
            <w:gridSpan w:val="2"/>
            <w:tcMar>
              <w:left w:w="0" w:type="dxa"/>
              <w:right w:w="0" w:type="dxa"/>
            </w:tcMar>
            <w:vAlign w:val="center"/>
          </w:tcPr>
          <w:p w14:paraId="74714FDB">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污染物</w:t>
            </w:r>
          </w:p>
        </w:tc>
        <w:tc>
          <w:tcPr>
            <w:tcW w:w="2515" w:type="dxa"/>
            <w:tcMar>
              <w:left w:w="0" w:type="dxa"/>
              <w:right w:w="0" w:type="dxa"/>
            </w:tcMar>
            <w:vAlign w:val="center"/>
          </w:tcPr>
          <w:p w14:paraId="02CC77AE">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码头装卸区排放速率kg/h</w:t>
            </w:r>
          </w:p>
        </w:tc>
        <w:tc>
          <w:tcPr>
            <w:tcW w:w="2657" w:type="dxa"/>
            <w:tcMar>
              <w:left w:w="0" w:type="dxa"/>
              <w:right w:w="0" w:type="dxa"/>
            </w:tcMar>
            <w:vAlign w:val="center"/>
          </w:tcPr>
          <w:p w14:paraId="114C6350">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码头装卸区排放量t/a</w:t>
            </w:r>
          </w:p>
        </w:tc>
      </w:tr>
      <w:tr w14:paraId="74A06E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8" w:hRule="atLeast"/>
          <w:jc w:val="center"/>
        </w:trPr>
        <w:tc>
          <w:tcPr>
            <w:tcW w:w="694" w:type="dxa"/>
            <w:vMerge w:val="restart"/>
            <w:tcMar>
              <w:left w:w="0" w:type="dxa"/>
              <w:right w:w="0" w:type="dxa"/>
            </w:tcMar>
            <w:vAlign w:val="center"/>
          </w:tcPr>
          <w:p w14:paraId="1E777640">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14#泊位</w:t>
            </w:r>
          </w:p>
        </w:tc>
        <w:tc>
          <w:tcPr>
            <w:tcW w:w="2410" w:type="dxa"/>
            <w:tcMar>
              <w:left w:w="0" w:type="dxa"/>
              <w:right w:w="0" w:type="dxa"/>
            </w:tcMar>
            <w:vAlign w:val="center"/>
          </w:tcPr>
          <w:p w14:paraId="4C02E529">
            <w:pPr>
              <w:spacing w:line="240" w:lineRule="exact"/>
              <w:ind w:firstLine="0" w:firstLineChars="0"/>
              <w:jc w:val="center"/>
              <w:rPr>
                <w:color w:val="000000" w:themeColor="text1"/>
                <w:sz w:val="21"/>
                <w:szCs w:val="16"/>
                <w14:textFill>
                  <w14:solidFill>
                    <w14:schemeClr w14:val="tx1"/>
                  </w14:solidFill>
                </w14:textFill>
              </w:rPr>
            </w:pPr>
            <w:r>
              <w:rPr>
                <w:rFonts w:hint="eastAsia"/>
                <w:color w:val="000000" w:themeColor="text1"/>
                <w:sz w:val="21"/>
                <w:szCs w:val="16"/>
                <w14:textFill>
                  <w14:solidFill>
                    <w14:schemeClr w14:val="tx1"/>
                  </w14:solidFill>
                </w14:textFill>
              </w:rPr>
              <w:t>苯乙烯</w:t>
            </w:r>
          </w:p>
        </w:tc>
        <w:tc>
          <w:tcPr>
            <w:tcW w:w="2515" w:type="dxa"/>
            <w:tcMar>
              <w:left w:w="0" w:type="dxa"/>
              <w:right w:w="0" w:type="dxa"/>
            </w:tcMar>
            <w:vAlign w:val="center"/>
          </w:tcPr>
          <w:p w14:paraId="06F877E3">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0.0023</w:t>
            </w:r>
          </w:p>
        </w:tc>
        <w:tc>
          <w:tcPr>
            <w:tcW w:w="2657" w:type="dxa"/>
            <w:tcMar>
              <w:left w:w="0" w:type="dxa"/>
              <w:right w:w="0" w:type="dxa"/>
            </w:tcMar>
            <w:vAlign w:val="center"/>
          </w:tcPr>
          <w:p w14:paraId="523FB9A9">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0.00024</w:t>
            </w:r>
          </w:p>
        </w:tc>
      </w:tr>
      <w:tr w14:paraId="349876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0" w:hRule="atLeast"/>
          <w:jc w:val="center"/>
        </w:trPr>
        <w:tc>
          <w:tcPr>
            <w:tcW w:w="694" w:type="dxa"/>
            <w:vMerge w:val="continue"/>
            <w:tcMar>
              <w:left w:w="0" w:type="dxa"/>
              <w:right w:w="0" w:type="dxa"/>
            </w:tcMar>
            <w:vAlign w:val="center"/>
          </w:tcPr>
          <w:p w14:paraId="350014F9">
            <w:pPr>
              <w:spacing w:line="240" w:lineRule="exact"/>
              <w:ind w:firstLine="0" w:firstLineChars="0"/>
              <w:jc w:val="center"/>
              <w:rPr>
                <w:color w:val="000000" w:themeColor="text1"/>
                <w:sz w:val="21"/>
                <w:szCs w:val="21"/>
                <w14:textFill>
                  <w14:solidFill>
                    <w14:schemeClr w14:val="tx1"/>
                  </w14:solidFill>
                </w14:textFill>
              </w:rPr>
            </w:pPr>
          </w:p>
        </w:tc>
        <w:tc>
          <w:tcPr>
            <w:tcW w:w="2410" w:type="dxa"/>
            <w:tcMar>
              <w:left w:w="0" w:type="dxa"/>
              <w:right w:w="0" w:type="dxa"/>
            </w:tcMar>
            <w:vAlign w:val="center"/>
          </w:tcPr>
          <w:p w14:paraId="25EE2989">
            <w:pPr>
              <w:spacing w:line="240" w:lineRule="exact"/>
              <w:ind w:firstLine="0" w:firstLineChars="0"/>
              <w:jc w:val="center"/>
              <w:rPr>
                <w:color w:val="000000" w:themeColor="text1"/>
                <w:sz w:val="21"/>
                <w:szCs w:val="16"/>
                <w14:textFill>
                  <w14:solidFill>
                    <w14:schemeClr w14:val="tx1"/>
                  </w14:solidFill>
                </w14:textFill>
              </w:rPr>
            </w:pPr>
            <w:r>
              <w:rPr>
                <w:rFonts w:hint="eastAsia"/>
                <w:color w:val="000000" w:themeColor="text1"/>
                <w:sz w:val="21"/>
                <w:szCs w:val="16"/>
                <w14:textFill>
                  <w14:solidFill>
                    <w14:schemeClr w14:val="tx1"/>
                  </w14:solidFill>
                </w14:textFill>
              </w:rPr>
              <w:t>硫酸雾</w:t>
            </w:r>
          </w:p>
        </w:tc>
        <w:tc>
          <w:tcPr>
            <w:tcW w:w="2515" w:type="dxa"/>
            <w:tcMar>
              <w:left w:w="0" w:type="dxa"/>
              <w:right w:w="0" w:type="dxa"/>
            </w:tcMar>
            <w:vAlign w:val="center"/>
          </w:tcPr>
          <w:p w14:paraId="48C920B9">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.0311</w:t>
            </w:r>
          </w:p>
        </w:tc>
        <w:tc>
          <w:tcPr>
            <w:tcW w:w="2657" w:type="dxa"/>
            <w:tcMar>
              <w:left w:w="0" w:type="dxa"/>
              <w:right w:w="0" w:type="dxa"/>
            </w:tcMar>
            <w:vAlign w:val="center"/>
          </w:tcPr>
          <w:p w14:paraId="69DCD41D">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.0011</w:t>
            </w:r>
          </w:p>
        </w:tc>
      </w:tr>
      <w:tr w14:paraId="0E1F97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85" w:hRule="atLeast"/>
          <w:jc w:val="center"/>
        </w:trPr>
        <w:tc>
          <w:tcPr>
            <w:tcW w:w="694" w:type="dxa"/>
            <w:vMerge w:val="continue"/>
            <w:tcMar>
              <w:left w:w="0" w:type="dxa"/>
              <w:right w:w="0" w:type="dxa"/>
            </w:tcMar>
            <w:vAlign w:val="center"/>
          </w:tcPr>
          <w:p w14:paraId="1B574C7A">
            <w:pPr>
              <w:spacing w:line="240" w:lineRule="exact"/>
              <w:ind w:firstLine="0" w:firstLineChars="0"/>
              <w:jc w:val="center"/>
              <w:rPr>
                <w:color w:val="000000" w:themeColor="text1"/>
                <w:sz w:val="21"/>
                <w:szCs w:val="21"/>
                <w14:textFill>
                  <w14:solidFill>
                    <w14:schemeClr w14:val="tx1"/>
                  </w14:solidFill>
                </w14:textFill>
              </w:rPr>
            </w:pPr>
          </w:p>
        </w:tc>
        <w:tc>
          <w:tcPr>
            <w:tcW w:w="2410" w:type="dxa"/>
            <w:tcMar>
              <w:left w:w="0" w:type="dxa"/>
              <w:right w:w="0" w:type="dxa"/>
            </w:tcMar>
            <w:vAlign w:val="center"/>
          </w:tcPr>
          <w:p w14:paraId="03D5CDA6">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VOCs</w:t>
            </w:r>
          </w:p>
          <w:p w14:paraId="77C1BF80">
            <w:pPr>
              <w:spacing w:line="240" w:lineRule="exact"/>
              <w:ind w:firstLine="0" w:firstLineChars="0"/>
              <w:jc w:val="center"/>
              <w:rPr>
                <w:color w:val="000000" w:themeColor="text1"/>
                <w:w w:val="99"/>
                <w:sz w:val="21"/>
                <w:szCs w:val="21"/>
                <w14:textFill>
                  <w14:solidFill>
                    <w14:schemeClr w14:val="tx1"/>
                  </w14:solidFill>
                </w14:textFill>
              </w:rPr>
            </w:pPr>
            <w:r>
              <w:rPr>
                <w:rFonts w:hint="eastAsia"/>
                <w:color w:val="000000" w:themeColor="text1"/>
                <w:sz w:val="21"/>
                <w:szCs w:val="21"/>
                <w14:textFill>
                  <w14:solidFill>
                    <w14:schemeClr w14:val="tx1"/>
                  </w14:solidFill>
                </w14:textFill>
              </w:rPr>
              <w:t>（根据货种及标准统计）</w:t>
            </w:r>
          </w:p>
        </w:tc>
        <w:tc>
          <w:tcPr>
            <w:tcW w:w="2515" w:type="dxa"/>
            <w:tcMar>
              <w:left w:w="0" w:type="dxa"/>
              <w:right w:w="0" w:type="dxa"/>
            </w:tcMar>
            <w:vAlign w:val="center"/>
          </w:tcPr>
          <w:p w14:paraId="7FA882DF">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.0293</w:t>
            </w:r>
          </w:p>
        </w:tc>
        <w:tc>
          <w:tcPr>
            <w:tcW w:w="2657" w:type="dxa"/>
            <w:tcMar>
              <w:left w:w="0" w:type="dxa"/>
              <w:right w:w="0" w:type="dxa"/>
            </w:tcMar>
            <w:vAlign w:val="center"/>
          </w:tcPr>
          <w:p w14:paraId="711B036C">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.0141</w:t>
            </w:r>
          </w:p>
        </w:tc>
      </w:tr>
    </w:tbl>
    <w:p w14:paraId="635A001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项目主要污染源估算模型计算结果详见表4.3-11。</w:t>
      </w:r>
    </w:p>
    <w:p w14:paraId="51C54550">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项目无组织面源估算模式参数表</w:t>
      </w:r>
    </w:p>
    <w:tbl>
      <w:tblPr>
        <w:tblStyle w:val="43"/>
        <w:tblW w:w="909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6" w:type="dxa"/>
          <w:bottom w:w="0" w:type="dxa"/>
          <w:right w:w="6" w:type="dxa"/>
        </w:tblCellMar>
      </w:tblPr>
      <w:tblGrid>
        <w:gridCol w:w="411"/>
        <w:gridCol w:w="1175"/>
        <w:gridCol w:w="464"/>
        <w:gridCol w:w="435"/>
        <w:gridCol w:w="825"/>
        <w:gridCol w:w="703"/>
        <w:gridCol w:w="684"/>
        <w:gridCol w:w="835"/>
        <w:gridCol w:w="909"/>
        <w:gridCol w:w="695"/>
        <w:gridCol w:w="996"/>
        <w:gridCol w:w="960"/>
      </w:tblGrid>
      <w:tr w14:paraId="503928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Merge w:val="restart"/>
            <w:vAlign w:val="center"/>
          </w:tcPr>
          <w:p w14:paraId="56A053F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序</w:t>
            </w:r>
          </w:p>
          <w:p w14:paraId="7C74EE4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号</w:t>
            </w:r>
          </w:p>
        </w:tc>
        <w:tc>
          <w:tcPr>
            <w:tcW w:w="1175" w:type="dxa"/>
            <w:vMerge w:val="restart"/>
            <w:vAlign w:val="center"/>
          </w:tcPr>
          <w:p w14:paraId="7246C38A">
            <w:pPr>
              <w:adjustRightInd w:val="0"/>
              <w:snapToGrid w:val="0"/>
              <w:spacing w:line="240" w:lineRule="auto"/>
              <w:ind w:firstLine="0" w:firstLineChars="0"/>
              <w:jc w:val="center"/>
              <w:rPr>
                <w:color w:val="000000" w:themeColor="text1"/>
                <w:sz w:val="21"/>
                <w:szCs w:val="20"/>
                <w14:textFill>
                  <w14:solidFill>
                    <w14:schemeClr w14:val="tx1"/>
                  </w14:solidFill>
                </w14:textFill>
              </w:rPr>
            </w:pPr>
            <w:r>
              <w:rPr>
                <w:rFonts w:hint="eastAsia"/>
                <w:color w:val="000000" w:themeColor="text1"/>
                <w:sz w:val="21"/>
                <w:szCs w:val="21"/>
                <w14:textFill>
                  <w14:solidFill>
                    <w14:schemeClr w14:val="tx1"/>
                  </w14:solidFill>
                </w14:textFill>
              </w:rPr>
              <w:t>名称</w:t>
            </w:r>
          </w:p>
        </w:tc>
        <w:tc>
          <w:tcPr>
            <w:tcW w:w="899" w:type="dxa"/>
            <w:gridSpan w:val="2"/>
            <w:vAlign w:val="center"/>
          </w:tcPr>
          <w:p w14:paraId="727E448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面源中点坐标/m</w:t>
            </w:r>
          </w:p>
        </w:tc>
        <w:tc>
          <w:tcPr>
            <w:tcW w:w="825" w:type="dxa"/>
            <w:vMerge w:val="restart"/>
            <w:vAlign w:val="center"/>
          </w:tcPr>
          <w:p w14:paraId="7A62A7C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面源海拔高度/m</w:t>
            </w:r>
          </w:p>
        </w:tc>
        <w:tc>
          <w:tcPr>
            <w:tcW w:w="703" w:type="dxa"/>
            <w:vMerge w:val="restart"/>
            <w:vAlign w:val="center"/>
          </w:tcPr>
          <w:p w14:paraId="5854F80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面源长度/m</w:t>
            </w:r>
          </w:p>
        </w:tc>
        <w:tc>
          <w:tcPr>
            <w:tcW w:w="684" w:type="dxa"/>
            <w:vMerge w:val="restart"/>
            <w:vAlign w:val="center"/>
          </w:tcPr>
          <w:p w14:paraId="6F4E2BD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面源宽度/m</w:t>
            </w:r>
          </w:p>
        </w:tc>
        <w:tc>
          <w:tcPr>
            <w:tcW w:w="835" w:type="dxa"/>
            <w:vMerge w:val="restart"/>
            <w:vAlign w:val="center"/>
          </w:tcPr>
          <w:p w14:paraId="18B12EA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与正北方向夹角/°</w:t>
            </w:r>
          </w:p>
        </w:tc>
        <w:tc>
          <w:tcPr>
            <w:tcW w:w="909" w:type="dxa"/>
            <w:vMerge w:val="restart"/>
            <w:vAlign w:val="center"/>
          </w:tcPr>
          <w:p w14:paraId="2FD2B84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面源有效排放高度/m</w:t>
            </w:r>
          </w:p>
        </w:tc>
        <w:tc>
          <w:tcPr>
            <w:tcW w:w="695" w:type="dxa"/>
            <w:vMerge w:val="restart"/>
            <w:vAlign w:val="center"/>
          </w:tcPr>
          <w:p w14:paraId="149F0ED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年排放小时数/h</w:t>
            </w:r>
          </w:p>
        </w:tc>
        <w:tc>
          <w:tcPr>
            <w:tcW w:w="996" w:type="dxa"/>
            <w:vMerge w:val="restart"/>
            <w:vAlign w:val="center"/>
          </w:tcPr>
          <w:p w14:paraId="5B65C5A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排放工况</w:t>
            </w:r>
          </w:p>
        </w:tc>
        <w:tc>
          <w:tcPr>
            <w:tcW w:w="960" w:type="dxa"/>
            <w:vMerge w:val="restart"/>
            <w:vAlign w:val="center"/>
          </w:tcPr>
          <w:p w14:paraId="10B0B20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污染物排放速率/（kg/h）</w:t>
            </w:r>
          </w:p>
        </w:tc>
      </w:tr>
      <w:tr w14:paraId="66E100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Merge w:val="continue"/>
            <w:vAlign w:val="center"/>
          </w:tcPr>
          <w:p w14:paraId="38598E29">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1175" w:type="dxa"/>
            <w:vMerge w:val="continue"/>
            <w:vAlign w:val="center"/>
          </w:tcPr>
          <w:p w14:paraId="1B33DA97">
            <w:pPr>
              <w:adjustRightInd w:val="0"/>
              <w:snapToGrid w:val="0"/>
              <w:spacing w:line="240" w:lineRule="auto"/>
              <w:ind w:firstLine="420"/>
              <w:jc w:val="center"/>
              <w:rPr>
                <w:color w:val="000000" w:themeColor="text1"/>
                <w:sz w:val="21"/>
                <w:szCs w:val="20"/>
                <w14:textFill>
                  <w14:solidFill>
                    <w14:schemeClr w14:val="tx1"/>
                  </w14:solidFill>
                </w14:textFill>
              </w:rPr>
            </w:pPr>
          </w:p>
        </w:tc>
        <w:tc>
          <w:tcPr>
            <w:tcW w:w="464" w:type="dxa"/>
            <w:vAlign w:val="center"/>
          </w:tcPr>
          <w:p w14:paraId="6FFD4A3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X</w:t>
            </w:r>
          </w:p>
        </w:tc>
        <w:tc>
          <w:tcPr>
            <w:tcW w:w="435" w:type="dxa"/>
            <w:vAlign w:val="center"/>
          </w:tcPr>
          <w:p w14:paraId="65D5EB4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Y</w:t>
            </w:r>
          </w:p>
        </w:tc>
        <w:tc>
          <w:tcPr>
            <w:tcW w:w="825" w:type="dxa"/>
            <w:vMerge w:val="continue"/>
            <w:vAlign w:val="center"/>
          </w:tcPr>
          <w:p w14:paraId="4F030B16">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3" w:type="dxa"/>
            <w:vMerge w:val="continue"/>
            <w:vAlign w:val="center"/>
          </w:tcPr>
          <w:p w14:paraId="35DB9101">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4" w:type="dxa"/>
            <w:vMerge w:val="continue"/>
            <w:vAlign w:val="center"/>
          </w:tcPr>
          <w:p w14:paraId="377731D5">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835" w:type="dxa"/>
            <w:vMerge w:val="continue"/>
            <w:vAlign w:val="center"/>
          </w:tcPr>
          <w:p w14:paraId="58A70B89">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909" w:type="dxa"/>
            <w:vMerge w:val="continue"/>
            <w:vAlign w:val="center"/>
          </w:tcPr>
          <w:p w14:paraId="05A6D8CE">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95" w:type="dxa"/>
            <w:vMerge w:val="continue"/>
            <w:vAlign w:val="center"/>
          </w:tcPr>
          <w:p w14:paraId="077E6AB7">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996" w:type="dxa"/>
            <w:vMerge w:val="continue"/>
            <w:vAlign w:val="center"/>
          </w:tcPr>
          <w:p w14:paraId="634F450D">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960" w:type="dxa"/>
            <w:vMerge w:val="continue"/>
            <w:vAlign w:val="center"/>
          </w:tcPr>
          <w:p w14:paraId="1704F2F5">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r>
      <w:tr w14:paraId="3EFA7D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Align w:val="center"/>
          </w:tcPr>
          <w:p w14:paraId="5AE755C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175" w:type="dxa"/>
            <w:vAlign w:val="center"/>
          </w:tcPr>
          <w:p w14:paraId="0C9AA053">
            <w:pPr>
              <w:spacing w:line="240" w:lineRule="exact"/>
              <w:ind w:firstLine="0" w:firstLineChars="0"/>
              <w:jc w:val="center"/>
              <w:rPr>
                <w:color w:val="000000" w:themeColor="text1"/>
                <w:sz w:val="21"/>
                <w:szCs w:val="16"/>
                <w14:textFill>
                  <w14:solidFill>
                    <w14:schemeClr w14:val="tx1"/>
                  </w14:solidFill>
                </w14:textFill>
              </w:rPr>
            </w:pPr>
            <w:r>
              <w:rPr>
                <w:rFonts w:hint="eastAsia"/>
                <w:color w:val="000000" w:themeColor="text1"/>
                <w:sz w:val="21"/>
                <w:szCs w:val="16"/>
                <w14:textFill>
                  <w14:solidFill>
                    <w14:schemeClr w14:val="tx1"/>
                  </w14:solidFill>
                </w14:textFill>
              </w:rPr>
              <w:t>苯乙烯</w:t>
            </w:r>
          </w:p>
        </w:tc>
        <w:tc>
          <w:tcPr>
            <w:tcW w:w="464" w:type="dxa"/>
            <w:vAlign w:val="center"/>
          </w:tcPr>
          <w:p w14:paraId="38D9F06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p>
        </w:tc>
        <w:tc>
          <w:tcPr>
            <w:tcW w:w="435" w:type="dxa"/>
            <w:vAlign w:val="center"/>
          </w:tcPr>
          <w:p w14:paraId="2717F06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w:t>
            </w:r>
          </w:p>
        </w:tc>
        <w:tc>
          <w:tcPr>
            <w:tcW w:w="825" w:type="dxa"/>
            <w:vAlign w:val="center"/>
          </w:tcPr>
          <w:p w14:paraId="2155818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03" w:type="dxa"/>
            <w:vAlign w:val="center"/>
          </w:tcPr>
          <w:p w14:paraId="03F47D5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276.5</w:t>
            </w:r>
          </w:p>
        </w:tc>
        <w:tc>
          <w:tcPr>
            <w:tcW w:w="684" w:type="dxa"/>
            <w:vAlign w:val="center"/>
          </w:tcPr>
          <w:p w14:paraId="2C02E01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80</w:t>
            </w:r>
          </w:p>
        </w:tc>
        <w:tc>
          <w:tcPr>
            <w:tcW w:w="835" w:type="dxa"/>
            <w:vAlign w:val="center"/>
          </w:tcPr>
          <w:p w14:paraId="0908E3A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909" w:type="dxa"/>
            <w:vAlign w:val="center"/>
          </w:tcPr>
          <w:p w14:paraId="764687C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695" w:type="dxa"/>
            <w:vAlign w:val="center"/>
          </w:tcPr>
          <w:p w14:paraId="2AEB16E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3168</w:t>
            </w:r>
          </w:p>
        </w:tc>
        <w:tc>
          <w:tcPr>
            <w:tcW w:w="996" w:type="dxa"/>
            <w:vAlign w:val="center"/>
          </w:tcPr>
          <w:p w14:paraId="1105C8B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正常排放</w:t>
            </w:r>
          </w:p>
        </w:tc>
        <w:tc>
          <w:tcPr>
            <w:tcW w:w="960" w:type="dxa"/>
            <w:vAlign w:val="center"/>
          </w:tcPr>
          <w:p w14:paraId="20E1A95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0.0023</w:t>
            </w:r>
          </w:p>
        </w:tc>
      </w:tr>
      <w:tr w14:paraId="2301FC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Align w:val="center"/>
          </w:tcPr>
          <w:p w14:paraId="60DC93D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175" w:type="dxa"/>
            <w:vAlign w:val="center"/>
          </w:tcPr>
          <w:p w14:paraId="0FBD5A18">
            <w:pPr>
              <w:spacing w:line="240" w:lineRule="exact"/>
              <w:ind w:firstLine="0" w:firstLineChars="0"/>
              <w:jc w:val="center"/>
              <w:rPr>
                <w:color w:val="000000" w:themeColor="text1"/>
                <w:sz w:val="21"/>
                <w:szCs w:val="16"/>
                <w14:textFill>
                  <w14:solidFill>
                    <w14:schemeClr w14:val="tx1"/>
                  </w14:solidFill>
                </w14:textFill>
              </w:rPr>
            </w:pPr>
            <w:r>
              <w:rPr>
                <w:rFonts w:hint="eastAsia"/>
                <w:color w:val="000000" w:themeColor="text1"/>
                <w:sz w:val="21"/>
                <w:szCs w:val="16"/>
                <w14:textFill>
                  <w14:solidFill>
                    <w14:schemeClr w14:val="tx1"/>
                  </w14:solidFill>
                </w14:textFill>
              </w:rPr>
              <w:t>硫酸雾</w:t>
            </w:r>
          </w:p>
        </w:tc>
        <w:tc>
          <w:tcPr>
            <w:tcW w:w="464" w:type="dxa"/>
            <w:vAlign w:val="center"/>
          </w:tcPr>
          <w:p w14:paraId="0F2BFBD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p>
        </w:tc>
        <w:tc>
          <w:tcPr>
            <w:tcW w:w="435" w:type="dxa"/>
            <w:vAlign w:val="center"/>
          </w:tcPr>
          <w:p w14:paraId="293957C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w:t>
            </w:r>
          </w:p>
        </w:tc>
        <w:tc>
          <w:tcPr>
            <w:tcW w:w="825" w:type="dxa"/>
            <w:vAlign w:val="center"/>
          </w:tcPr>
          <w:p w14:paraId="7FA0FB2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03" w:type="dxa"/>
            <w:vAlign w:val="center"/>
          </w:tcPr>
          <w:p w14:paraId="7BAE157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276.5</w:t>
            </w:r>
          </w:p>
        </w:tc>
        <w:tc>
          <w:tcPr>
            <w:tcW w:w="684" w:type="dxa"/>
            <w:vAlign w:val="center"/>
          </w:tcPr>
          <w:p w14:paraId="32A5133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80</w:t>
            </w:r>
          </w:p>
        </w:tc>
        <w:tc>
          <w:tcPr>
            <w:tcW w:w="835" w:type="dxa"/>
            <w:vAlign w:val="center"/>
          </w:tcPr>
          <w:p w14:paraId="7BF4272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909" w:type="dxa"/>
            <w:vAlign w:val="center"/>
          </w:tcPr>
          <w:p w14:paraId="35540D1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695" w:type="dxa"/>
            <w:vAlign w:val="center"/>
          </w:tcPr>
          <w:p w14:paraId="5ABBC42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3168</w:t>
            </w:r>
          </w:p>
        </w:tc>
        <w:tc>
          <w:tcPr>
            <w:tcW w:w="996" w:type="dxa"/>
            <w:vAlign w:val="center"/>
          </w:tcPr>
          <w:p w14:paraId="051E384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正常排放</w:t>
            </w:r>
          </w:p>
        </w:tc>
        <w:tc>
          <w:tcPr>
            <w:tcW w:w="960" w:type="dxa"/>
            <w:vAlign w:val="center"/>
          </w:tcPr>
          <w:p w14:paraId="2A0B294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0.0311</w:t>
            </w:r>
          </w:p>
        </w:tc>
      </w:tr>
      <w:tr w14:paraId="48AF76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Align w:val="center"/>
          </w:tcPr>
          <w:p w14:paraId="761BA1A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1175" w:type="dxa"/>
            <w:vAlign w:val="center"/>
          </w:tcPr>
          <w:p w14:paraId="6FF79E00">
            <w:pPr>
              <w:adjustRightInd w:val="0"/>
              <w:snapToGrid w:val="0"/>
              <w:spacing w:line="240" w:lineRule="auto"/>
              <w:ind w:firstLine="0" w:firstLineChars="0"/>
              <w:jc w:val="center"/>
              <w:rPr>
                <w:color w:val="000000" w:themeColor="text1"/>
                <w:sz w:val="21"/>
                <w:szCs w:val="16"/>
                <w14:textFill>
                  <w14:solidFill>
                    <w14:schemeClr w14:val="tx1"/>
                  </w14:solidFill>
                </w14:textFill>
              </w:rPr>
            </w:pPr>
            <w:r>
              <w:rPr>
                <w:color w:val="000000" w:themeColor="text1"/>
                <w:sz w:val="21"/>
                <w:szCs w:val="16"/>
                <w14:textFill>
                  <w14:solidFill>
                    <w14:schemeClr w14:val="tx1"/>
                  </w14:solidFill>
                </w14:textFill>
              </w:rPr>
              <w:t>VOCs</w:t>
            </w:r>
          </w:p>
        </w:tc>
        <w:tc>
          <w:tcPr>
            <w:tcW w:w="464" w:type="dxa"/>
            <w:vAlign w:val="center"/>
          </w:tcPr>
          <w:p w14:paraId="1811EB5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p>
        </w:tc>
        <w:tc>
          <w:tcPr>
            <w:tcW w:w="435" w:type="dxa"/>
            <w:vAlign w:val="center"/>
          </w:tcPr>
          <w:p w14:paraId="4768E1B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w:t>
            </w:r>
          </w:p>
        </w:tc>
        <w:tc>
          <w:tcPr>
            <w:tcW w:w="825" w:type="dxa"/>
            <w:vAlign w:val="center"/>
          </w:tcPr>
          <w:p w14:paraId="7278F4B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03" w:type="dxa"/>
            <w:vAlign w:val="center"/>
          </w:tcPr>
          <w:p w14:paraId="55AD598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453</w:t>
            </w:r>
          </w:p>
        </w:tc>
        <w:tc>
          <w:tcPr>
            <w:tcW w:w="684" w:type="dxa"/>
            <w:vAlign w:val="center"/>
          </w:tcPr>
          <w:p w14:paraId="41FADC7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w:t>
            </w:r>
          </w:p>
        </w:tc>
        <w:tc>
          <w:tcPr>
            <w:tcW w:w="835" w:type="dxa"/>
            <w:vAlign w:val="center"/>
          </w:tcPr>
          <w:p w14:paraId="2C49C66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909" w:type="dxa"/>
            <w:vAlign w:val="center"/>
          </w:tcPr>
          <w:p w14:paraId="42DE62E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695" w:type="dxa"/>
            <w:vAlign w:val="center"/>
          </w:tcPr>
          <w:p w14:paraId="7334E58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3168</w:t>
            </w:r>
          </w:p>
        </w:tc>
        <w:tc>
          <w:tcPr>
            <w:tcW w:w="996" w:type="dxa"/>
            <w:vAlign w:val="center"/>
          </w:tcPr>
          <w:p w14:paraId="3B4D96B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正常排放</w:t>
            </w:r>
          </w:p>
        </w:tc>
        <w:tc>
          <w:tcPr>
            <w:tcW w:w="960" w:type="dxa"/>
            <w:vAlign w:val="center"/>
          </w:tcPr>
          <w:p w14:paraId="3011130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0.0293</w:t>
            </w:r>
          </w:p>
        </w:tc>
      </w:tr>
    </w:tbl>
    <w:p w14:paraId="31321A39">
      <w:pPr>
        <w:pStyle w:val="7"/>
        <w:rPr>
          <w:color w:val="000000" w:themeColor="text1"/>
          <w:u w:val="single"/>
          <w14:textFill>
            <w14:solidFill>
              <w14:schemeClr w14:val="tx1"/>
            </w14:solidFill>
          </w14:textFill>
        </w:rPr>
      </w:pPr>
      <w:r>
        <w:rPr>
          <w:rFonts w:hint="eastAsia"/>
          <w:color w:val="000000" w:themeColor="text1"/>
          <w14:textFill>
            <w14:solidFill>
              <w14:schemeClr w14:val="tx1"/>
            </w14:solidFill>
          </w14:textFill>
        </w:rPr>
        <w:t xml:space="preserve"> </w:t>
      </w:r>
      <w:r>
        <w:rPr>
          <w:rFonts w:hint="eastAsia"/>
          <w:color w:val="000000" w:themeColor="text1"/>
          <w:u w:val="single"/>
          <w14:textFill>
            <w14:solidFill>
              <w14:schemeClr w14:val="tx1"/>
            </w14:solidFill>
          </w14:textFill>
        </w:rPr>
        <w:t>大气污染源无组织计算结果</w:t>
      </w:r>
    </w:p>
    <w:tbl>
      <w:tblPr>
        <w:tblStyle w:val="43"/>
        <w:tblW w:w="533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2552"/>
        <w:gridCol w:w="1057"/>
        <w:gridCol w:w="1057"/>
        <w:gridCol w:w="1058"/>
        <w:gridCol w:w="1057"/>
        <w:gridCol w:w="1057"/>
        <w:gridCol w:w="1058"/>
      </w:tblGrid>
      <w:tr w14:paraId="77635B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2552" w:type="dxa"/>
            <w:vMerge w:val="restart"/>
            <w:vAlign w:val="center"/>
          </w:tcPr>
          <w:p w14:paraId="3672068E">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下风向距离/m</w:t>
            </w:r>
          </w:p>
        </w:tc>
        <w:tc>
          <w:tcPr>
            <w:tcW w:w="2114" w:type="dxa"/>
            <w:gridSpan w:val="2"/>
            <w:vAlign w:val="center"/>
          </w:tcPr>
          <w:p w14:paraId="543DDA0B">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苯乙烯</w:t>
            </w:r>
          </w:p>
        </w:tc>
        <w:tc>
          <w:tcPr>
            <w:tcW w:w="2115" w:type="dxa"/>
            <w:gridSpan w:val="2"/>
            <w:vAlign w:val="center"/>
          </w:tcPr>
          <w:p w14:paraId="16881786">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硫酸雾</w:t>
            </w:r>
          </w:p>
        </w:tc>
        <w:tc>
          <w:tcPr>
            <w:tcW w:w="2115" w:type="dxa"/>
            <w:gridSpan w:val="2"/>
            <w:vAlign w:val="center"/>
          </w:tcPr>
          <w:p w14:paraId="53AF3E1C">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16"/>
                <w:u w:val="single"/>
                <w14:textFill>
                  <w14:solidFill>
                    <w14:schemeClr w14:val="tx1"/>
                  </w14:solidFill>
                </w14:textFill>
              </w:rPr>
              <w:t>VOCs</w:t>
            </w:r>
          </w:p>
        </w:tc>
      </w:tr>
      <w:tr w14:paraId="6D8EA9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2552" w:type="dxa"/>
            <w:vMerge w:val="continue"/>
            <w:vAlign w:val="center"/>
          </w:tcPr>
          <w:p w14:paraId="20B3FB2F">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p>
        </w:tc>
        <w:tc>
          <w:tcPr>
            <w:tcW w:w="1057" w:type="dxa"/>
            <w:vAlign w:val="center"/>
          </w:tcPr>
          <w:p w14:paraId="763FFE0F">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预测浓度（ug/m</w:t>
            </w:r>
            <w:r>
              <w:rPr>
                <w:rFonts w:hint="eastAsia"/>
                <w:color w:val="000000" w:themeColor="text1"/>
                <w:sz w:val="21"/>
                <w:szCs w:val="21"/>
                <w:u w:val="single"/>
                <w:vertAlign w:val="superscript"/>
                <w14:textFill>
                  <w14:solidFill>
                    <w14:schemeClr w14:val="tx1"/>
                  </w14:solidFill>
                </w14:textFill>
              </w:rPr>
              <w:t>3</w:t>
            </w:r>
            <w:r>
              <w:rPr>
                <w:rFonts w:hint="eastAsia"/>
                <w:color w:val="000000" w:themeColor="text1"/>
                <w:sz w:val="21"/>
                <w:szCs w:val="21"/>
                <w:u w:val="single"/>
                <w14:textFill>
                  <w14:solidFill>
                    <w14:schemeClr w14:val="tx1"/>
                  </w14:solidFill>
                </w14:textFill>
              </w:rPr>
              <w:t>）</w:t>
            </w:r>
          </w:p>
        </w:tc>
        <w:tc>
          <w:tcPr>
            <w:tcW w:w="1057" w:type="dxa"/>
            <w:vAlign w:val="center"/>
          </w:tcPr>
          <w:p w14:paraId="57A7EB98">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占标率%</w:t>
            </w:r>
          </w:p>
        </w:tc>
        <w:tc>
          <w:tcPr>
            <w:tcW w:w="1058" w:type="dxa"/>
            <w:vAlign w:val="center"/>
          </w:tcPr>
          <w:p w14:paraId="55325850">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预测浓度（ug/m</w:t>
            </w:r>
            <w:r>
              <w:rPr>
                <w:rFonts w:hint="eastAsia"/>
                <w:color w:val="000000" w:themeColor="text1"/>
                <w:sz w:val="21"/>
                <w:szCs w:val="21"/>
                <w:u w:val="single"/>
                <w:vertAlign w:val="superscript"/>
                <w14:textFill>
                  <w14:solidFill>
                    <w14:schemeClr w14:val="tx1"/>
                  </w14:solidFill>
                </w14:textFill>
              </w:rPr>
              <w:t>3</w:t>
            </w:r>
            <w:r>
              <w:rPr>
                <w:rFonts w:hint="eastAsia"/>
                <w:color w:val="000000" w:themeColor="text1"/>
                <w:sz w:val="21"/>
                <w:szCs w:val="21"/>
                <w:u w:val="single"/>
                <w14:textFill>
                  <w14:solidFill>
                    <w14:schemeClr w14:val="tx1"/>
                  </w14:solidFill>
                </w14:textFill>
              </w:rPr>
              <w:t>）</w:t>
            </w:r>
          </w:p>
        </w:tc>
        <w:tc>
          <w:tcPr>
            <w:tcW w:w="1057" w:type="dxa"/>
            <w:vAlign w:val="center"/>
          </w:tcPr>
          <w:p w14:paraId="3D2D7AC7">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占标率%</w:t>
            </w:r>
          </w:p>
        </w:tc>
        <w:tc>
          <w:tcPr>
            <w:tcW w:w="1057" w:type="dxa"/>
            <w:vAlign w:val="center"/>
          </w:tcPr>
          <w:p w14:paraId="355A178E">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预测浓度（ug/m</w:t>
            </w:r>
            <w:r>
              <w:rPr>
                <w:rFonts w:hint="eastAsia"/>
                <w:color w:val="000000" w:themeColor="text1"/>
                <w:sz w:val="21"/>
                <w:szCs w:val="21"/>
                <w:u w:val="single"/>
                <w:vertAlign w:val="superscript"/>
                <w14:textFill>
                  <w14:solidFill>
                    <w14:schemeClr w14:val="tx1"/>
                  </w14:solidFill>
                </w14:textFill>
              </w:rPr>
              <w:t>3</w:t>
            </w:r>
            <w:r>
              <w:rPr>
                <w:rFonts w:hint="eastAsia"/>
                <w:color w:val="000000" w:themeColor="text1"/>
                <w:sz w:val="21"/>
                <w:szCs w:val="21"/>
                <w:u w:val="single"/>
                <w14:textFill>
                  <w14:solidFill>
                    <w14:schemeClr w14:val="tx1"/>
                  </w14:solidFill>
                </w14:textFill>
              </w:rPr>
              <w:t>）</w:t>
            </w:r>
          </w:p>
        </w:tc>
        <w:tc>
          <w:tcPr>
            <w:tcW w:w="1058" w:type="dxa"/>
            <w:vAlign w:val="center"/>
          </w:tcPr>
          <w:p w14:paraId="34CC0716">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占标率%</w:t>
            </w:r>
          </w:p>
        </w:tc>
      </w:tr>
      <w:tr w14:paraId="3C29CC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7FE50930">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10</w:t>
            </w:r>
          </w:p>
        </w:tc>
        <w:tc>
          <w:tcPr>
            <w:tcW w:w="1057" w:type="dxa"/>
            <w:vAlign w:val="center"/>
          </w:tcPr>
          <w:p w14:paraId="0EDB6E7C">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0.071</w:t>
            </w:r>
          </w:p>
        </w:tc>
        <w:tc>
          <w:tcPr>
            <w:tcW w:w="1057" w:type="dxa"/>
            <w:vAlign w:val="center"/>
          </w:tcPr>
          <w:p w14:paraId="22B2BA1D">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0.71</w:t>
            </w:r>
          </w:p>
        </w:tc>
        <w:tc>
          <w:tcPr>
            <w:tcW w:w="1058" w:type="dxa"/>
            <w:vAlign w:val="center"/>
          </w:tcPr>
          <w:p w14:paraId="54467D82">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0.96</w:t>
            </w:r>
          </w:p>
        </w:tc>
        <w:tc>
          <w:tcPr>
            <w:tcW w:w="1057" w:type="dxa"/>
            <w:vAlign w:val="center"/>
          </w:tcPr>
          <w:p w14:paraId="759F5E04">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0.32</w:t>
            </w:r>
          </w:p>
        </w:tc>
        <w:tc>
          <w:tcPr>
            <w:tcW w:w="1057" w:type="dxa"/>
            <w:vAlign w:val="center"/>
          </w:tcPr>
          <w:p w14:paraId="78B51A83">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1.15</w:t>
            </w:r>
          </w:p>
        </w:tc>
        <w:tc>
          <w:tcPr>
            <w:tcW w:w="1058" w:type="dxa"/>
            <w:vAlign w:val="center"/>
          </w:tcPr>
          <w:p w14:paraId="733FC719">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0.1</w:t>
            </w:r>
            <w:r>
              <w:rPr>
                <w:rFonts w:hint="eastAsia"/>
                <w:color w:val="000000" w:themeColor="text1"/>
                <w:sz w:val="21"/>
                <w:szCs w:val="21"/>
                <w:u w:val="single"/>
                <w14:textFill>
                  <w14:solidFill>
                    <w14:schemeClr w14:val="tx1"/>
                  </w14:solidFill>
                </w14:textFill>
              </w:rPr>
              <w:t>0</w:t>
            </w:r>
          </w:p>
        </w:tc>
      </w:tr>
      <w:tr w14:paraId="66ADA7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435C7C70">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25</w:t>
            </w:r>
          </w:p>
        </w:tc>
        <w:tc>
          <w:tcPr>
            <w:tcW w:w="1057" w:type="dxa"/>
            <w:vAlign w:val="center"/>
          </w:tcPr>
          <w:p w14:paraId="30DD2647">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0.166</w:t>
            </w:r>
          </w:p>
        </w:tc>
        <w:tc>
          <w:tcPr>
            <w:tcW w:w="1057" w:type="dxa"/>
            <w:vAlign w:val="center"/>
          </w:tcPr>
          <w:p w14:paraId="69073B9D">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1.66</w:t>
            </w:r>
          </w:p>
        </w:tc>
        <w:tc>
          <w:tcPr>
            <w:tcW w:w="1058" w:type="dxa"/>
            <w:vAlign w:val="center"/>
          </w:tcPr>
          <w:p w14:paraId="7196592E">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2.25</w:t>
            </w:r>
          </w:p>
        </w:tc>
        <w:tc>
          <w:tcPr>
            <w:tcW w:w="1057" w:type="dxa"/>
            <w:vAlign w:val="center"/>
          </w:tcPr>
          <w:p w14:paraId="01F8A5AC">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0.75</w:t>
            </w:r>
          </w:p>
        </w:tc>
        <w:tc>
          <w:tcPr>
            <w:tcW w:w="1057" w:type="dxa"/>
            <w:vAlign w:val="center"/>
          </w:tcPr>
          <w:p w14:paraId="187117DB">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2.68</w:t>
            </w:r>
          </w:p>
        </w:tc>
        <w:tc>
          <w:tcPr>
            <w:tcW w:w="1058" w:type="dxa"/>
            <w:vAlign w:val="center"/>
          </w:tcPr>
          <w:p w14:paraId="392333F5">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0.22</w:t>
            </w:r>
          </w:p>
        </w:tc>
      </w:tr>
      <w:tr w14:paraId="2081DE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302B45D8">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50</w:t>
            </w:r>
          </w:p>
        </w:tc>
        <w:tc>
          <w:tcPr>
            <w:tcW w:w="1057" w:type="dxa"/>
            <w:vAlign w:val="center"/>
          </w:tcPr>
          <w:p w14:paraId="16FBEB41">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0.273</w:t>
            </w:r>
          </w:p>
        </w:tc>
        <w:tc>
          <w:tcPr>
            <w:tcW w:w="1057" w:type="dxa"/>
            <w:vAlign w:val="center"/>
          </w:tcPr>
          <w:p w14:paraId="2A86A29E">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2.73</w:t>
            </w:r>
          </w:p>
        </w:tc>
        <w:tc>
          <w:tcPr>
            <w:tcW w:w="1058" w:type="dxa"/>
            <w:vAlign w:val="center"/>
          </w:tcPr>
          <w:p w14:paraId="72DC0AB6">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3.69</w:t>
            </w:r>
          </w:p>
        </w:tc>
        <w:tc>
          <w:tcPr>
            <w:tcW w:w="1057" w:type="dxa"/>
            <w:vAlign w:val="center"/>
          </w:tcPr>
          <w:p w14:paraId="51F4A153">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1.23</w:t>
            </w:r>
          </w:p>
        </w:tc>
        <w:tc>
          <w:tcPr>
            <w:tcW w:w="1057" w:type="dxa"/>
            <w:vAlign w:val="center"/>
          </w:tcPr>
          <w:p w14:paraId="3BCFC638">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4.4</w:t>
            </w:r>
          </w:p>
        </w:tc>
        <w:tc>
          <w:tcPr>
            <w:tcW w:w="1058" w:type="dxa"/>
            <w:vAlign w:val="center"/>
          </w:tcPr>
          <w:p w14:paraId="04A4B00F">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0.37</w:t>
            </w:r>
          </w:p>
        </w:tc>
      </w:tr>
      <w:tr w14:paraId="46714E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4A5975EF">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75</w:t>
            </w:r>
          </w:p>
        </w:tc>
        <w:tc>
          <w:tcPr>
            <w:tcW w:w="1057" w:type="dxa"/>
            <w:vAlign w:val="center"/>
          </w:tcPr>
          <w:p w14:paraId="1E111388">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0.312</w:t>
            </w:r>
          </w:p>
        </w:tc>
        <w:tc>
          <w:tcPr>
            <w:tcW w:w="1057" w:type="dxa"/>
            <w:vAlign w:val="center"/>
          </w:tcPr>
          <w:p w14:paraId="5ACCBC74">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3.12</w:t>
            </w:r>
          </w:p>
        </w:tc>
        <w:tc>
          <w:tcPr>
            <w:tcW w:w="1058" w:type="dxa"/>
            <w:vAlign w:val="center"/>
          </w:tcPr>
          <w:p w14:paraId="550AE010">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4.22</w:t>
            </w:r>
          </w:p>
        </w:tc>
        <w:tc>
          <w:tcPr>
            <w:tcW w:w="1057" w:type="dxa"/>
            <w:vAlign w:val="center"/>
          </w:tcPr>
          <w:p w14:paraId="0F14B7D0">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1.41</w:t>
            </w:r>
          </w:p>
        </w:tc>
        <w:tc>
          <w:tcPr>
            <w:tcW w:w="1057" w:type="dxa"/>
            <w:vAlign w:val="center"/>
          </w:tcPr>
          <w:p w14:paraId="345592E6">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5.04</w:t>
            </w:r>
          </w:p>
        </w:tc>
        <w:tc>
          <w:tcPr>
            <w:tcW w:w="1058" w:type="dxa"/>
            <w:vAlign w:val="center"/>
          </w:tcPr>
          <w:p w14:paraId="03E01A63">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0.42</w:t>
            </w:r>
          </w:p>
        </w:tc>
      </w:tr>
      <w:tr w14:paraId="1ADE38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452BE4D9">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100</w:t>
            </w:r>
          </w:p>
        </w:tc>
        <w:tc>
          <w:tcPr>
            <w:tcW w:w="1057" w:type="dxa"/>
            <w:vAlign w:val="center"/>
          </w:tcPr>
          <w:p w14:paraId="56E6089F">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0.323</w:t>
            </w:r>
          </w:p>
        </w:tc>
        <w:tc>
          <w:tcPr>
            <w:tcW w:w="1057" w:type="dxa"/>
            <w:vAlign w:val="center"/>
          </w:tcPr>
          <w:p w14:paraId="6D2D0E8D">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3.23</w:t>
            </w:r>
          </w:p>
        </w:tc>
        <w:tc>
          <w:tcPr>
            <w:tcW w:w="1058" w:type="dxa"/>
            <w:vAlign w:val="center"/>
          </w:tcPr>
          <w:p w14:paraId="2078C840">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4.37</w:t>
            </w:r>
          </w:p>
        </w:tc>
        <w:tc>
          <w:tcPr>
            <w:tcW w:w="1057" w:type="dxa"/>
            <w:vAlign w:val="center"/>
          </w:tcPr>
          <w:p w14:paraId="31DD1B4D">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1.46</w:t>
            </w:r>
          </w:p>
        </w:tc>
        <w:tc>
          <w:tcPr>
            <w:tcW w:w="1057" w:type="dxa"/>
            <w:vAlign w:val="center"/>
          </w:tcPr>
          <w:p w14:paraId="47DB4E05">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5.22</w:t>
            </w:r>
          </w:p>
        </w:tc>
        <w:tc>
          <w:tcPr>
            <w:tcW w:w="1058" w:type="dxa"/>
            <w:vAlign w:val="center"/>
          </w:tcPr>
          <w:p w14:paraId="121D254F">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0.44</w:t>
            </w:r>
          </w:p>
        </w:tc>
      </w:tr>
      <w:tr w14:paraId="7807F9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54054E0F">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200</w:t>
            </w:r>
          </w:p>
        </w:tc>
        <w:tc>
          <w:tcPr>
            <w:tcW w:w="1057" w:type="dxa"/>
            <w:vAlign w:val="center"/>
          </w:tcPr>
          <w:p w14:paraId="20C586D7">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0.262</w:t>
            </w:r>
          </w:p>
        </w:tc>
        <w:tc>
          <w:tcPr>
            <w:tcW w:w="1057" w:type="dxa"/>
            <w:vAlign w:val="center"/>
          </w:tcPr>
          <w:p w14:paraId="742237DD">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2.62</w:t>
            </w:r>
          </w:p>
        </w:tc>
        <w:tc>
          <w:tcPr>
            <w:tcW w:w="1058" w:type="dxa"/>
            <w:vAlign w:val="center"/>
          </w:tcPr>
          <w:p w14:paraId="54B22332">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3.54</w:t>
            </w:r>
          </w:p>
        </w:tc>
        <w:tc>
          <w:tcPr>
            <w:tcW w:w="1057" w:type="dxa"/>
            <w:vAlign w:val="center"/>
          </w:tcPr>
          <w:p w14:paraId="213BD064">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1.18</w:t>
            </w:r>
          </w:p>
        </w:tc>
        <w:tc>
          <w:tcPr>
            <w:tcW w:w="1057" w:type="dxa"/>
            <w:vAlign w:val="center"/>
          </w:tcPr>
          <w:p w14:paraId="52C08500">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4.23</w:t>
            </w:r>
          </w:p>
        </w:tc>
        <w:tc>
          <w:tcPr>
            <w:tcW w:w="1058" w:type="dxa"/>
            <w:vAlign w:val="center"/>
          </w:tcPr>
          <w:p w14:paraId="69498177">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0.35</w:t>
            </w:r>
          </w:p>
        </w:tc>
      </w:tr>
      <w:tr w14:paraId="27C18F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5728DBCA">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300</w:t>
            </w:r>
          </w:p>
        </w:tc>
        <w:tc>
          <w:tcPr>
            <w:tcW w:w="1057" w:type="dxa"/>
            <w:vAlign w:val="center"/>
          </w:tcPr>
          <w:p w14:paraId="7BAC7423">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0.189</w:t>
            </w:r>
          </w:p>
        </w:tc>
        <w:tc>
          <w:tcPr>
            <w:tcW w:w="1057" w:type="dxa"/>
            <w:vAlign w:val="center"/>
          </w:tcPr>
          <w:p w14:paraId="2BED2B23">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1.89</w:t>
            </w:r>
          </w:p>
        </w:tc>
        <w:tc>
          <w:tcPr>
            <w:tcW w:w="1058" w:type="dxa"/>
            <w:vAlign w:val="center"/>
          </w:tcPr>
          <w:p w14:paraId="6DE35725">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2.55</w:t>
            </w:r>
          </w:p>
        </w:tc>
        <w:tc>
          <w:tcPr>
            <w:tcW w:w="1057" w:type="dxa"/>
            <w:vAlign w:val="center"/>
          </w:tcPr>
          <w:p w14:paraId="3E77679B">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0.85</w:t>
            </w:r>
          </w:p>
        </w:tc>
        <w:tc>
          <w:tcPr>
            <w:tcW w:w="1057" w:type="dxa"/>
            <w:vAlign w:val="center"/>
          </w:tcPr>
          <w:p w14:paraId="47076E16">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3.05</w:t>
            </w:r>
          </w:p>
        </w:tc>
        <w:tc>
          <w:tcPr>
            <w:tcW w:w="1058" w:type="dxa"/>
            <w:vAlign w:val="center"/>
          </w:tcPr>
          <w:p w14:paraId="37529CBD">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0.25</w:t>
            </w:r>
          </w:p>
        </w:tc>
      </w:tr>
      <w:tr w14:paraId="50BDB45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5470D5F0">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500</w:t>
            </w:r>
          </w:p>
        </w:tc>
        <w:tc>
          <w:tcPr>
            <w:tcW w:w="1057" w:type="dxa"/>
            <w:vAlign w:val="center"/>
          </w:tcPr>
          <w:p w14:paraId="32DE16D7">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0.116</w:t>
            </w:r>
          </w:p>
        </w:tc>
        <w:tc>
          <w:tcPr>
            <w:tcW w:w="1057" w:type="dxa"/>
            <w:vAlign w:val="center"/>
          </w:tcPr>
          <w:p w14:paraId="19D26B63">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1.16</w:t>
            </w:r>
          </w:p>
        </w:tc>
        <w:tc>
          <w:tcPr>
            <w:tcW w:w="1058" w:type="dxa"/>
            <w:vAlign w:val="center"/>
          </w:tcPr>
          <w:p w14:paraId="445C35B0">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1.57</w:t>
            </w:r>
          </w:p>
        </w:tc>
        <w:tc>
          <w:tcPr>
            <w:tcW w:w="1057" w:type="dxa"/>
            <w:vAlign w:val="center"/>
          </w:tcPr>
          <w:p w14:paraId="6FDDFC9D">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0.52</w:t>
            </w:r>
          </w:p>
        </w:tc>
        <w:tc>
          <w:tcPr>
            <w:tcW w:w="1057" w:type="dxa"/>
            <w:vAlign w:val="center"/>
          </w:tcPr>
          <w:p w14:paraId="0A04C722">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1.87</w:t>
            </w:r>
          </w:p>
        </w:tc>
        <w:tc>
          <w:tcPr>
            <w:tcW w:w="1058" w:type="dxa"/>
            <w:vAlign w:val="center"/>
          </w:tcPr>
          <w:p w14:paraId="5084FE65">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0.16</w:t>
            </w:r>
          </w:p>
        </w:tc>
      </w:tr>
      <w:tr w14:paraId="6D2A29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4CB1F05E">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700</w:t>
            </w:r>
          </w:p>
        </w:tc>
        <w:tc>
          <w:tcPr>
            <w:tcW w:w="1057" w:type="dxa"/>
            <w:vAlign w:val="center"/>
          </w:tcPr>
          <w:p w14:paraId="18172932">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0.083</w:t>
            </w:r>
          </w:p>
        </w:tc>
        <w:tc>
          <w:tcPr>
            <w:tcW w:w="1057" w:type="dxa"/>
            <w:vAlign w:val="center"/>
          </w:tcPr>
          <w:p w14:paraId="05BB138D">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0.83</w:t>
            </w:r>
          </w:p>
        </w:tc>
        <w:tc>
          <w:tcPr>
            <w:tcW w:w="1058" w:type="dxa"/>
            <w:vAlign w:val="center"/>
          </w:tcPr>
          <w:p w14:paraId="1FF674DF">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1.12</w:t>
            </w:r>
          </w:p>
        </w:tc>
        <w:tc>
          <w:tcPr>
            <w:tcW w:w="1057" w:type="dxa"/>
            <w:vAlign w:val="center"/>
          </w:tcPr>
          <w:p w14:paraId="44B73A57">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0.37</w:t>
            </w:r>
          </w:p>
        </w:tc>
        <w:tc>
          <w:tcPr>
            <w:tcW w:w="1057" w:type="dxa"/>
            <w:vAlign w:val="center"/>
          </w:tcPr>
          <w:p w14:paraId="4F70C2BF">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1.34</w:t>
            </w:r>
          </w:p>
        </w:tc>
        <w:tc>
          <w:tcPr>
            <w:tcW w:w="1058" w:type="dxa"/>
            <w:vAlign w:val="center"/>
          </w:tcPr>
          <w:p w14:paraId="3EBAFFC6">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0.11</w:t>
            </w:r>
          </w:p>
        </w:tc>
      </w:tr>
      <w:tr w14:paraId="2648F6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4EE69600">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1000</w:t>
            </w:r>
          </w:p>
        </w:tc>
        <w:tc>
          <w:tcPr>
            <w:tcW w:w="1057" w:type="dxa"/>
            <w:vAlign w:val="center"/>
          </w:tcPr>
          <w:p w14:paraId="16B862BA">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0.058</w:t>
            </w:r>
          </w:p>
        </w:tc>
        <w:tc>
          <w:tcPr>
            <w:tcW w:w="1057" w:type="dxa"/>
            <w:vAlign w:val="center"/>
          </w:tcPr>
          <w:p w14:paraId="3CA6B1D1">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0.58</w:t>
            </w:r>
          </w:p>
        </w:tc>
        <w:tc>
          <w:tcPr>
            <w:tcW w:w="1058" w:type="dxa"/>
            <w:vAlign w:val="center"/>
          </w:tcPr>
          <w:p w14:paraId="76860B1F">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0.78</w:t>
            </w:r>
          </w:p>
        </w:tc>
        <w:tc>
          <w:tcPr>
            <w:tcW w:w="1057" w:type="dxa"/>
            <w:vAlign w:val="center"/>
          </w:tcPr>
          <w:p w14:paraId="07F76888">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0.26</w:t>
            </w:r>
          </w:p>
        </w:tc>
        <w:tc>
          <w:tcPr>
            <w:tcW w:w="1057" w:type="dxa"/>
            <w:vAlign w:val="center"/>
          </w:tcPr>
          <w:p w14:paraId="4E8B369B">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0.94</w:t>
            </w:r>
          </w:p>
        </w:tc>
        <w:tc>
          <w:tcPr>
            <w:tcW w:w="1058" w:type="dxa"/>
            <w:vAlign w:val="center"/>
          </w:tcPr>
          <w:p w14:paraId="125A3A4A">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0.08</w:t>
            </w:r>
          </w:p>
        </w:tc>
      </w:tr>
      <w:tr w14:paraId="114E6B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5547DA06">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1500</w:t>
            </w:r>
          </w:p>
        </w:tc>
        <w:tc>
          <w:tcPr>
            <w:tcW w:w="1057" w:type="dxa"/>
            <w:vAlign w:val="center"/>
          </w:tcPr>
          <w:p w14:paraId="1FE4BBAB">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0.039</w:t>
            </w:r>
          </w:p>
        </w:tc>
        <w:tc>
          <w:tcPr>
            <w:tcW w:w="1057" w:type="dxa"/>
            <w:vAlign w:val="center"/>
          </w:tcPr>
          <w:p w14:paraId="77EB9182">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0.39</w:t>
            </w:r>
          </w:p>
        </w:tc>
        <w:tc>
          <w:tcPr>
            <w:tcW w:w="1058" w:type="dxa"/>
            <w:vAlign w:val="center"/>
          </w:tcPr>
          <w:p w14:paraId="6F24C16A">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0.52</w:t>
            </w:r>
          </w:p>
        </w:tc>
        <w:tc>
          <w:tcPr>
            <w:tcW w:w="1057" w:type="dxa"/>
            <w:vAlign w:val="center"/>
          </w:tcPr>
          <w:p w14:paraId="6CE6EC24">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0.17</w:t>
            </w:r>
          </w:p>
        </w:tc>
        <w:tc>
          <w:tcPr>
            <w:tcW w:w="1057" w:type="dxa"/>
            <w:vAlign w:val="center"/>
          </w:tcPr>
          <w:p w14:paraId="3201B235">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0.62</w:t>
            </w:r>
          </w:p>
        </w:tc>
        <w:tc>
          <w:tcPr>
            <w:tcW w:w="1058" w:type="dxa"/>
            <w:vAlign w:val="center"/>
          </w:tcPr>
          <w:p w14:paraId="416CEBDB">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0.05</w:t>
            </w:r>
          </w:p>
        </w:tc>
      </w:tr>
      <w:tr w14:paraId="1DCBB8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172CBB16">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2000</w:t>
            </w:r>
          </w:p>
        </w:tc>
        <w:tc>
          <w:tcPr>
            <w:tcW w:w="1057" w:type="dxa"/>
            <w:vAlign w:val="center"/>
          </w:tcPr>
          <w:p w14:paraId="6C94FB13">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0.029</w:t>
            </w:r>
          </w:p>
        </w:tc>
        <w:tc>
          <w:tcPr>
            <w:tcW w:w="1057" w:type="dxa"/>
            <w:vAlign w:val="center"/>
          </w:tcPr>
          <w:p w14:paraId="112BD66C">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0.29</w:t>
            </w:r>
          </w:p>
        </w:tc>
        <w:tc>
          <w:tcPr>
            <w:tcW w:w="1058" w:type="dxa"/>
            <w:vAlign w:val="center"/>
          </w:tcPr>
          <w:p w14:paraId="40DB9533">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0.4</w:t>
            </w:r>
          </w:p>
        </w:tc>
        <w:tc>
          <w:tcPr>
            <w:tcW w:w="1057" w:type="dxa"/>
            <w:vAlign w:val="center"/>
          </w:tcPr>
          <w:p w14:paraId="7A87BEE8">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0.13</w:t>
            </w:r>
          </w:p>
        </w:tc>
        <w:tc>
          <w:tcPr>
            <w:tcW w:w="1057" w:type="dxa"/>
            <w:vAlign w:val="center"/>
          </w:tcPr>
          <w:p w14:paraId="33B4F496">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0.47</w:t>
            </w:r>
          </w:p>
        </w:tc>
        <w:tc>
          <w:tcPr>
            <w:tcW w:w="1058" w:type="dxa"/>
            <w:vAlign w:val="center"/>
          </w:tcPr>
          <w:p w14:paraId="3BB36942">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0.04</w:t>
            </w:r>
          </w:p>
        </w:tc>
      </w:tr>
      <w:tr w14:paraId="623ED6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7543DA3D">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2500</w:t>
            </w:r>
          </w:p>
        </w:tc>
        <w:tc>
          <w:tcPr>
            <w:tcW w:w="1057" w:type="dxa"/>
            <w:vAlign w:val="center"/>
          </w:tcPr>
          <w:p w14:paraId="1F85792E">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0.023</w:t>
            </w:r>
          </w:p>
        </w:tc>
        <w:tc>
          <w:tcPr>
            <w:tcW w:w="1057" w:type="dxa"/>
            <w:vAlign w:val="center"/>
          </w:tcPr>
          <w:p w14:paraId="429A81B3">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0.23</w:t>
            </w:r>
          </w:p>
        </w:tc>
        <w:tc>
          <w:tcPr>
            <w:tcW w:w="1058" w:type="dxa"/>
            <w:vAlign w:val="center"/>
          </w:tcPr>
          <w:p w14:paraId="180B1C6C">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0.32</w:t>
            </w:r>
          </w:p>
        </w:tc>
        <w:tc>
          <w:tcPr>
            <w:tcW w:w="1057" w:type="dxa"/>
            <w:vAlign w:val="center"/>
          </w:tcPr>
          <w:p w14:paraId="214431EA">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0.11</w:t>
            </w:r>
          </w:p>
        </w:tc>
        <w:tc>
          <w:tcPr>
            <w:tcW w:w="1057" w:type="dxa"/>
            <w:vAlign w:val="center"/>
          </w:tcPr>
          <w:p w14:paraId="7E083EB6">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0.38</w:t>
            </w:r>
          </w:p>
        </w:tc>
        <w:tc>
          <w:tcPr>
            <w:tcW w:w="1058" w:type="dxa"/>
            <w:vAlign w:val="center"/>
          </w:tcPr>
          <w:p w14:paraId="695CB8FE">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0.03</w:t>
            </w:r>
          </w:p>
        </w:tc>
      </w:tr>
      <w:tr w14:paraId="2CB92E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79B7CD9F">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最大浓度及占标率</w:t>
            </w:r>
          </w:p>
        </w:tc>
        <w:tc>
          <w:tcPr>
            <w:tcW w:w="1057" w:type="dxa"/>
            <w:vAlign w:val="center"/>
          </w:tcPr>
          <w:p w14:paraId="3E9CC3C2">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0.329</w:t>
            </w:r>
          </w:p>
        </w:tc>
        <w:tc>
          <w:tcPr>
            <w:tcW w:w="1057" w:type="dxa"/>
            <w:vAlign w:val="center"/>
          </w:tcPr>
          <w:p w14:paraId="67CB9CCB">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3.29</w:t>
            </w:r>
          </w:p>
        </w:tc>
        <w:tc>
          <w:tcPr>
            <w:tcW w:w="1058" w:type="dxa"/>
            <w:vAlign w:val="center"/>
          </w:tcPr>
          <w:p w14:paraId="2BC97281">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4.45</w:t>
            </w:r>
          </w:p>
        </w:tc>
        <w:tc>
          <w:tcPr>
            <w:tcW w:w="1057" w:type="dxa"/>
            <w:vAlign w:val="center"/>
          </w:tcPr>
          <w:p w14:paraId="34B93FE6">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1.48</w:t>
            </w:r>
          </w:p>
        </w:tc>
        <w:tc>
          <w:tcPr>
            <w:tcW w:w="1057" w:type="dxa"/>
            <w:vAlign w:val="center"/>
          </w:tcPr>
          <w:p w14:paraId="0C5DB607">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5.31</w:t>
            </w:r>
          </w:p>
        </w:tc>
        <w:tc>
          <w:tcPr>
            <w:tcW w:w="1058" w:type="dxa"/>
            <w:vAlign w:val="center"/>
          </w:tcPr>
          <w:p w14:paraId="69CA6936">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0.44</w:t>
            </w:r>
          </w:p>
        </w:tc>
      </w:tr>
      <w:tr w14:paraId="1737FF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1D5A405F">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最大落地浓度距离（m）</w:t>
            </w:r>
          </w:p>
        </w:tc>
        <w:tc>
          <w:tcPr>
            <w:tcW w:w="2114" w:type="dxa"/>
            <w:gridSpan w:val="2"/>
            <w:vAlign w:val="center"/>
          </w:tcPr>
          <w:p w14:paraId="3D810B45">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115</w:t>
            </w:r>
          </w:p>
        </w:tc>
        <w:tc>
          <w:tcPr>
            <w:tcW w:w="2115" w:type="dxa"/>
            <w:gridSpan w:val="2"/>
            <w:vAlign w:val="center"/>
          </w:tcPr>
          <w:p w14:paraId="29C303FD">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115</w:t>
            </w:r>
          </w:p>
        </w:tc>
        <w:tc>
          <w:tcPr>
            <w:tcW w:w="2115" w:type="dxa"/>
            <w:gridSpan w:val="2"/>
            <w:vAlign w:val="center"/>
          </w:tcPr>
          <w:p w14:paraId="45314720">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110</w:t>
            </w:r>
          </w:p>
        </w:tc>
      </w:tr>
    </w:tbl>
    <w:p w14:paraId="1940744E">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装卸作业区排放的苯乙烯</w:t>
      </w:r>
      <w:r>
        <w:rPr>
          <w:color w:val="000000" w:themeColor="text1"/>
          <w14:textFill>
            <w14:solidFill>
              <w14:schemeClr w14:val="tx1"/>
            </w14:solidFill>
          </w14:textFill>
        </w:rPr>
        <w:t>P</w:t>
      </w:r>
      <w:r>
        <w:rPr>
          <w:color w:val="000000" w:themeColor="text1"/>
          <w:vertAlign w:val="subscript"/>
          <w14:textFill>
            <w14:solidFill>
              <w14:schemeClr w14:val="tx1"/>
            </w14:solidFill>
          </w14:textFill>
        </w:rPr>
        <w:t>max</w:t>
      </w:r>
      <w:r>
        <w:rPr>
          <w:color w:val="000000" w:themeColor="text1"/>
          <w14:textFill>
            <w14:solidFill>
              <w14:schemeClr w14:val="tx1"/>
            </w14:solidFill>
          </w14:textFill>
        </w:rPr>
        <w:t>值为</w:t>
      </w:r>
      <w:r>
        <w:rPr>
          <w:rFonts w:hint="eastAsia"/>
          <w:color w:val="000000" w:themeColor="text1"/>
          <w14:textFill>
            <w14:solidFill>
              <w14:schemeClr w14:val="tx1"/>
            </w14:solidFill>
          </w14:textFill>
        </w:rPr>
        <w:t>3.29</w:t>
      </w:r>
      <w:r>
        <w:rPr>
          <w:color w:val="000000" w:themeColor="text1"/>
          <w14:textFill>
            <w14:solidFill>
              <w14:schemeClr w14:val="tx1"/>
            </w14:solidFill>
          </w14:textFill>
        </w:rPr>
        <w:t>%，C</w:t>
      </w:r>
      <w:r>
        <w:rPr>
          <w:color w:val="000000" w:themeColor="text1"/>
          <w:vertAlign w:val="subscript"/>
          <w14:textFill>
            <w14:solidFill>
              <w14:schemeClr w14:val="tx1"/>
            </w14:solidFill>
          </w14:textFill>
        </w:rPr>
        <w:t>max</w:t>
      </w:r>
      <w:r>
        <w:rPr>
          <w:color w:val="000000" w:themeColor="text1"/>
          <w14:textFill>
            <w14:solidFill>
              <w14:schemeClr w14:val="tx1"/>
            </w14:solidFill>
          </w14:textFill>
        </w:rPr>
        <w:t>为</w:t>
      </w:r>
      <w:r>
        <w:rPr>
          <w:rFonts w:hint="eastAsia"/>
          <w:color w:val="000000" w:themeColor="text1"/>
          <w14:textFill>
            <w14:solidFill>
              <w14:schemeClr w14:val="tx1"/>
            </w14:solidFill>
          </w14:textFill>
        </w:rPr>
        <w:t>0.329u</w:t>
      </w:r>
      <w:r>
        <w:rPr>
          <w:color w:val="000000" w:themeColor="text1"/>
          <w14:textFill>
            <w14:solidFill>
              <w14:schemeClr w14:val="tx1"/>
            </w14:solidFill>
          </w14:textFill>
        </w:rPr>
        <w:t>g/m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，在1%≤P</w:t>
      </w:r>
      <w:r>
        <w:rPr>
          <w:color w:val="000000" w:themeColor="text1"/>
          <w:vertAlign w:val="subscript"/>
          <w14:textFill>
            <w14:solidFill>
              <w14:schemeClr w14:val="tx1"/>
            </w14:solidFill>
          </w14:textFill>
        </w:rPr>
        <w:t>max</w:t>
      </w:r>
      <w:r>
        <w:rPr>
          <w:color w:val="000000" w:themeColor="text1"/>
          <w14:textFill>
            <w14:solidFill>
              <w14:schemeClr w14:val="tx1"/>
            </w14:solidFill>
          </w14:textFill>
        </w:rPr>
        <w:t>&lt;10%范围内，根据《</w:t>
      </w:r>
      <w:r>
        <w:rPr>
          <w:rFonts w:hint="eastAsia"/>
          <w:color w:val="000000" w:themeColor="text1"/>
          <w14:textFill>
            <w14:solidFill>
              <w14:schemeClr w14:val="tx1"/>
            </w14:solidFill>
          </w14:textFill>
        </w:rPr>
        <w:t>环境影响评价技术导则 大气环境</w:t>
      </w:r>
      <w:r>
        <w:rPr>
          <w:color w:val="000000" w:themeColor="text1"/>
          <w14:textFill>
            <w14:solidFill>
              <w14:schemeClr w14:val="tx1"/>
            </w14:solidFill>
          </w14:textFill>
        </w:rPr>
        <w:t>》（HJ</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2.2-2018）分级判据，确定本项目大气环境影响评价工作等级为二级。二级评价项目可不进行进一步预测与评价，只对污染物排放量进行核算。</w:t>
      </w:r>
    </w:p>
    <w:p w14:paraId="7A47C80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（2）非正常工况下产生废气</w:t>
      </w:r>
    </w:p>
    <w:p w14:paraId="6D565407">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环境影响评价技术导则大气环境》(HJ2.2-2018)，本项目非正常工况下排放主要是指生产过程中开停泵、设备检修、工艺设备运转异常等非正常工况下的污染物排放，以及污染物排放控制措施达不到应有效率等情况下的排放。</w:t>
      </w:r>
    </w:p>
    <w:p w14:paraId="3E1CA6B2">
      <w:pPr>
        <w:widowControl/>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扩建项目不涉及生产过程，主要功能为物料运输；扩建项目仅设置尾气管线及接船设施，尾气处理装置均由后方企业考虑，不属于本项目建设内容，</w:t>
      </w:r>
      <w:r>
        <w:rPr>
          <w:rFonts w:hint="eastAsia" w:cs="宋体"/>
          <w:color w:val="000000" w:themeColor="text1"/>
          <w:kern w:val="0"/>
          <w:u w:val="single"/>
          <w:lang w:bidi="ar"/>
          <w14:textFill>
            <w14:solidFill>
              <w14:schemeClr w14:val="tx1"/>
            </w14:solidFill>
          </w14:textFill>
        </w:rPr>
        <w:t>若后方企业废气处理装置因催化剂失效等原因导致处理效率降低，出现超标等非正常工况排放，均由后方企业密切监控污染物排放状况，及时采取有效措施进行调控，确保各污染物正常稳定达标排放。</w:t>
      </w:r>
      <w:r>
        <w:rPr>
          <w:rFonts w:hint="eastAsia"/>
          <w:color w:val="000000" w:themeColor="text1"/>
          <w:u w:val="single"/>
          <w14:textFill>
            <w14:solidFill>
              <w14:schemeClr w14:val="tx1"/>
            </w14:solidFill>
          </w14:textFill>
        </w:rPr>
        <w:t>项目范围内无导则规定的非正常工况情景。</w:t>
      </w:r>
    </w:p>
    <w:p w14:paraId="365CEA16">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3</w:t>
      </w:r>
      <w:r>
        <w:rPr>
          <w:color w:val="000000" w:themeColor="text1"/>
          <w:u w:val="single"/>
          <w14:textFill>
            <w14:solidFill>
              <w14:schemeClr w14:val="tx1"/>
            </w14:solidFill>
          </w14:textFill>
        </w:rPr>
        <w:t>）项目大气污染物年排放量核算</w:t>
      </w:r>
    </w:p>
    <w:p w14:paraId="7E876B92">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项目运营期间产生的大气污染物的排放方式为无组织排放。参照《</w:t>
      </w:r>
      <w:r>
        <w:rPr>
          <w:rFonts w:hint="eastAsia"/>
          <w:color w:val="000000" w:themeColor="text1"/>
          <w:u w:val="single"/>
          <w14:textFill>
            <w14:solidFill>
              <w14:schemeClr w14:val="tx1"/>
            </w14:solidFill>
          </w14:textFill>
        </w:rPr>
        <w:t>环境影响评价技术导则 大气环境</w:t>
      </w:r>
      <w:r>
        <w:rPr>
          <w:color w:val="000000" w:themeColor="text1"/>
          <w:u w:val="single"/>
          <w14:textFill>
            <w14:solidFill>
              <w14:schemeClr w14:val="tx1"/>
            </w14:solidFill>
          </w14:textFill>
        </w:rPr>
        <w:t>》（HJ</w:t>
      </w:r>
      <w:r>
        <w:rPr>
          <w:rFonts w:hint="eastAsia"/>
          <w:color w:val="000000" w:themeColor="text1"/>
          <w:u w:val="single"/>
          <w14:textFill>
            <w14:solidFill>
              <w14:schemeClr w14:val="tx1"/>
            </w14:solidFill>
          </w14:textFill>
        </w:rPr>
        <w:t xml:space="preserve"> </w:t>
      </w:r>
      <w:r>
        <w:rPr>
          <w:color w:val="000000" w:themeColor="text1"/>
          <w:u w:val="single"/>
          <w14:textFill>
            <w14:solidFill>
              <w14:schemeClr w14:val="tx1"/>
            </w14:solidFill>
          </w14:textFill>
        </w:rPr>
        <w:t>2.2-2018）附录C中的表C.32，大气污染物无组织排放量核算表详见表</w:t>
      </w:r>
      <w:r>
        <w:rPr>
          <w:rFonts w:hint="eastAsia"/>
          <w:color w:val="000000" w:themeColor="text1"/>
          <w:u w:val="single"/>
          <w14:textFill>
            <w14:solidFill>
              <w14:schemeClr w14:val="tx1"/>
            </w14:solidFill>
          </w14:textFill>
        </w:rPr>
        <w:t>4.3-12。</w:t>
      </w:r>
    </w:p>
    <w:p w14:paraId="35F73899">
      <w:pPr>
        <w:pStyle w:val="7"/>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大气污染物无组织排放量核算表</w:t>
      </w:r>
    </w:p>
    <w:tbl>
      <w:tblPr>
        <w:tblStyle w:val="43"/>
        <w:tblW w:w="918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
      <w:tblGrid>
        <w:gridCol w:w="540"/>
        <w:gridCol w:w="1436"/>
        <w:gridCol w:w="1170"/>
        <w:gridCol w:w="1869"/>
        <w:gridCol w:w="1976"/>
        <w:gridCol w:w="1288"/>
        <w:gridCol w:w="907"/>
      </w:tblGrid>
      <w:tr w14:paraId="0671E3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40" w:type="dxa"/>
            <w:vMerge w:val="restart"/>
            <w:vAlign w:val="center"/>
          </w:tcPr>
          <w:p w14:paraId="28C40CBA">
            <w:pPr>
              <w:spacing w:line="240" w:lineRule="auto"/>
              <w:ind w:firstLine="0" w:firstLineChars="0"/>
              <w:jc w:val="center"/>
              <w:rPr>
                <w:b/>
                <w:bCs/>
                <w:color w:val="000000" w:themeColor="text1"/>
                <w:sz w:val="21"/>
                <w:szCs w:val="21"/>
                <w:u w:val="single"/>
                <w14:textFill>
                  <w14:solidFill>
                    <w14:schemeClr w14:val="tx1"/>
                  </w14:solidFill>
                </w14:textFill>
              </w:rPr>
            </w:pPr>
            <w:r>
              <w:rPr>
                <w:rFonts w:hint="eastAsia"/>
                <w:b/>
                <w:bCs/>
                <w:color w:val="000000" w:themeColor="text1"/>
                <w:sz w:val="21"/>
                <w:szCs w:val="21"/>
                <w:u w:val="single"/>
                <w14:textFill>
                  <w14:solidFill>
                    <w14:schemeClr w14:val="tx1"/>
                  </w14:solidFill>
                </w14:textFill>
              </w:rPr>
              <w:t>序号</w:t>
            </w:r>
          </w:p>
        </w:tc>
        <w:tc>
          <w:tcPr>
            <w:tcW w:w="1436" w:type="dxa"/>
            <w:vMerge w:val="restart"/>
            <w:vAlign w:val="center"/>
          </w:tcPr>
          <w:p w14:paraId="34BBCD5C">
            <w:pPr>
              <w:spacing w:line="240" w:lineRule="auto"/>
              <w:ind w:firstLine="0" w:firstLineChars="0"/>
              <w:jc w:val="center"/>
              <w:rPr>
                <w:b/>
                <w:bCs/>
                <w:color w:val="000000" w:themeColor="text1"/>
                <w:sz w:val="21"/>
                <w:szCs w:val="21"/>
                <w:u w:val="single"/>
                <w14:textFill>
                  <w14:solidFill>
                    <w14:schemeClr w14:val="tx1"/>
                  </w14:solidFill>
                </w14:textFill>
              </w:rPr>
            </w:pPr>
            <w:r>
              <w:rPr>
                <w:rFonts w:hint="eastAsia"/>
                <w:b/>
                <w:bCs/>
                <w:color w:val="000000" w:themeColor="text1"/>
                <w:sz w:val="21"/>
                <w:szCs w:val="21"/>
                <w:u w:val="single"/>
                <w14:textFill>
                  <w14:solidFill>
                    <w14:schemeClr w14:val="tx1"/>
                  </w14:solidFill>
                </w14:textFill>
              </w:rPr>
              <w:t>产污环节</w:t>
            </w:r>
          </w:p>
        </w:tc>
        <w:tc>
          <w:tcPr>
            <w:tcW w:w="1170" w:type="dxa"/>
            <w:vMerge w:val="restart"/>
            <w:vAlign w:val="center"/>
          </w:tcPr>
          <w:p w14:paraId="2606A316">
            <w:pPr>
              <w:spacing w:line="240" w:lineRule="auto"/>
              <w:ind w:firstLine="0" w:firstLineChars="0"/>
              <w:jc w:val="center"/>
              <w:rPr>
                <w:b/>
                <w:bCs/>
                <w:color w:val="000000" w:themeColor="text1"/>
                <w:sz w:val="21"/>
                <w:szCs w:val="21"/>
                <w:u w:val="single"/>
                <w14:textFill>
                  <w14:solidFill>
                    <w14:schemeClr w14:val="tx1"/>
                  </w14:solidFill>
                </w14:textFill>
              </w:rPr>
            </w:pPr>
            <w:r>
              <w:rPr>
                <w:rFonts w:hint="eastAsia"/>
                <w:b/>
                <w:bCs/>
                <w:color w:val="000000" w:themeColor="text1"/>
                <w:sz w:val="21"/>
                <w:szCs w:val="21"/>
                <w:u w:val="single"/>
                <w14:textFill>
                  <w14:solidFill>
                    <w14:schemeClr w14:val="tx1"/>
                  </w14:solidFill>
                </w14:textFill>
              </w:rPr>
              <w:t>污染物</w:t>
            </w:r>
          </w:p>
        </w:tc>
        <w:tc>
          <w:tcPr>
            <w:tcW w:w="1869" w:type="dxa"/>
            <w:vMerge w:val="restart"/>
            <w:vAlign w:val="center"/>
          </w:tcPr>
          <w:p w14:paraId="495EC95E">
            <w:pPr>
              <w:spacing w:line="240" w:lineRule="auto"/>
              <w:ind w:firstLine="0" w:firstLineChars="0"/>
              <w:jc w:val="center"/>
              <w:rPr>
                <w:b/>
                <w:bCs/>
                <w:color w:val="000000" w:themeColor="text1"/>
                <w:sz w:val="21"/>
                <w:szCs w:val="21"/>
                <w:u w:val="single"/>
                <w14:textFill>
                  <w14:solidFill>
                    <w14:schemeClr w14:val="tx1"/>
                  </w14:solidFill>
                </w14:textFill>
              </w:rPr>
            </w:pPr>
            <w:r>
              <w:rPr>
                <w:rFonts w:hint="eastAsia"/>
                <w:b/>
                <w:bCs/>
                <w:color w:val="000000" w:themeColor="text1"/>
                <w:sz w:val="21"/>
                <w:szCs w:val="21"/>
                <w:u w:val="single"/>
                <w14:textFill>
                  <w14:solidFill>
                    <w14:schemeClr w14:val="tx1"/>
                  </w14:solidFill>
                </w14:textFill>
              </w:rPr>
              <w:t>主要污染防治措施</w:t>
            </w:r>
          </w:p>
        </w:tc>
        <w:tc>
          <w:tcPr>
            <w:tcW w:w="3264" w:type="dxa"/>
            <w:gridSpan w:val="2"/>
            <w:vAlign w:val="center"/>
          </w:tcPr>
          <w:p w14:paraId="212858BA">
            <w:pPr>
              <w:spacing w:line="240" w:lineRule="auto"/>
              <w:ind w:firstLine="0" w:firstLineChars="0"/>
              <w:jc w:val="center"/>
              <w:rPr>
                <w:b/>
                <w:bCs/>
                <w:color w:val="000000" w:themeColor="text1"/>
                <w:sz w:val="21"/>
                <w:szCs w:val="21"/>
                <w:u w:val="single"/>
                <w14:textFill>
                  <w14:solidFill>
                    <w14:schemeClr w14:val="tx1"/>
                  </w14:solidFill>
                </w14:textFill>
              </w:rPr>
            </w:pPr>
            <w:r>
              <w:rPr>
                <w:rFonts w:hint="eastAsia"/>
                <w:b/>
                <w:bCs/>
                <w:color w:val="000000" w:themeColor="text1"/>
                <w:sz w:val="21"/>
                <w:szCs w:val="21"/>
                <w:u w:val="single"/>
                <w14:textFill>
                  <w14:solidFill>
                    <w14:schemeClr w14:val="tx1"/>
                  </w14:solidFill>
                </w14:textFill>
              </w:rPr>
              <w:t>国家或地方污染物排放标准</w:t>
            </w:r>
          </w:p>
        </w:tc>
        <w:tc>
          <w:tcPr>
            <w:tcW w:w="907" w:type="dxa"/>
            <w:vMerge w:val="restart"/>
            <w:vAlign w:val="center"/>
          </w:tcPr>
          <w:p w14:paraId="4B76298C">
            <w:pPr>
              <w:spacing w:line="240" w:lineRule="auto"/>
              <w:ind w:firstLine="0" w:firstLineChars="0"/>
              <w:jc w:val="center"/>
              <w:rPr>
                <w:b/>
                <w:bCs/>
                <w:color w:val="000000" w:themeColor="text1"/>
                <w:sz w:val="21"/>
                <w:szCs w:val="21"/>
                <w:u w:val="single"/>
                <w14:textFill>
                  <w14:solidFill>
                    <w14:schemeClr w14:val="tx1"/>
                  </w14:solidFill>
                </w14:textFill>
              </w:rPr>
            </w:pPr>
            <w:r>
              <w:rPr>
                <w:rFonts w:hint="eastAsia"/>
                <w:b/>
                <w:bCs/>
                <w:color w:val="000000" w:themeColor="text1"/>
                <w:sz w:val="21"/>
                <w:szCs w:val="21"/>
                <w:u w:val="single"/>
                <w14:textFill>
                  <w14:solidFill>
                    <w14:schemeClr w14:val="tx1"/>
                  </w14:solidFill>
                </w14:textFill>
              </w:rPr>
              <w:t>年排放量/（t/a）</w:t>
            </w:r>
          </w:p>
        </w:tc>
      </w:tr>
      <w:tr w14:paraId="4D4BC3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blHeader/>
          <w:jc w:val="center"/>
        </w:trPr>
        <w:tc>
          <w:tcPr>
            <w:tcW w:w="540" w:type="dxa"/>
            <w:vMerge w:val="continue"/>
            <w:vAlign w:val="center"/>
          </w:tcPr>
          <w:p w14:paraId="51EF4E06">
            <w:pPr>
              <w:spacing w:line="240" w:lineRule="auto"/>
              <w:ind w:firstLine="0" w:firstLineChars="0"/>
              <w:jc w:val="center"/>
              <w:rPr>
                <w:b/>
                <w:bCs/>
                <w:color w:val="000000" w:themeColor="text1"/>
                <w:sz w:val="21"/>
                <w:szCs w:val="21"/>
                <w:u w:val="single"/>
                <w14:textFill>
                  <w14:solidFill>
                    <w14:schemeClr w14:val="tx1"/>
                  </w14:solidFill>
                </w14:textFill>
              </w:rPr>
            </w:pPr>
          </w:p>
        </w:tc>
        <w:tc>
          <w:tcPr>
            <w:tcW w:w="1436" w:type="dxa"/>
            <w:vMerge w:val="continue"/>
            <w:vAlign w:val="center"/>
          </w:tcPr>
          <w:p w14:paraId="688E9CF1">
            <w:pPr>
              <w:spacing w:line="240" w:lineRule="auto"/>
              <w:ind w:firstLine="0" w:firstLineChars="0"/>
              <w:jc w:val="center"/>
              <w:rPr>
                <w:b/>
                <w:bCs/>
                <w:color w:val="000000" w:themeColor="text1"/>
                <w:sz w:val="21"/>
                <w:szCs w:val="21"/>
                <w:u w:val="single"/>
                <w14:textFill>
                  <w14:solidFill>
                    <w14:schemeClr w14:val="tx1"/>
                  </w14:solidFill>
                </w14:textFill>
              </w:rPr>
            </w:pPr>
          </w:p>
        </w:tc>
        <w:tc>
          <w:tcPr>
            <w:tcW w:w="1170" w:type="dxa"/>
            <w:vMerge w:val="continue"/>
            <w:vAlign w:val="center"/>
          </w:tcPr>
          <w:p w14:paraId="2C221FB6">
            <w:pPr>
              <w:spacing w:line="240" w:lineRule="auto"/>
              <w:ind w:firstLine="0" w:firstLineChars="0"/>
              <w:jc w:val="center"/>
              <w:rPr>
                <w:b/>
                <w:bCs/>
                <w:color w:val="000000" w:themeColor="text1"/>
                <w:sz w:val="21"/>
                <w:szCs w:val="21"/>
                <w:u w:val="single"/>
                <w14:textFill>
                  <w14:solidFill>
                    <w14:schemeClr w14:val="tx1"/>
                  </w14:solidFill>
                </w14:textFill>
              </w:rPr>
            </w:pPr>
          </w:p>
        </w:tc>
        <w:tc>
          <w:tcPr>
            <w:tcW w:w="1869" w:type="dxa"/>
            <w:vMerge w:val="continue"/>
            <w:vAlign w:val="center"/>
          </w:tcPr>
          <w:p w14:paraId="42CB9ABD">
            <w:pPr>
              <w:spacing w:line="240" w:lineRule="auto"/>
              <w:ind w:firstLine="0" w:firstLineChars="0"/>
              <w:jc w:val="center"/>
              <w:rPr>
                <w:b/>
                <w:bCs/>
                <w:color w:val="000000" w:themeColor="text1"/>
                <w:sz w:val="21"/>
                <w:szCs w:val="21"/>
                <w:u w:val="single"/>
                <w14:textFill>
                  <w14:solidFill>
                    <w14:schemeClr w14:val="tx1"/>
                  </w14:solidFill>
                </w14:textFill>
              </w:rPr>
            </w:pPr>
          </w:p>
        </w:tc>
        <w:tc>
          <w:tcPr>
            <w:tcW w:w="1976" w:type="dxa"/>
            <w:vAlign w:val="center"/>
          </w:tcPr>
          <w:p w14:paraId="5C597052">
            <w:pPr>
              <w:spacing w:line="240" w:lineRule="auto"/>
              <w:ind w:firstLine="0" w:firstLineChars="0"/>
              <w:jc w:val="center"/>
              <w:rPr>
                <w:b/>
                <w:bCs/>
                <w:color w:val="000000" w:themeColor="text1"/>
                <w:sz w:val="21"/>
                <w:szCs w:val="21"/>
                <w:u w:val="single"/>
                <w14:textFill>
                  <w14:solidFill>
                    <w14:schemeClr w14:val="tx1"/>
                  </w14:solidFill>
                </w14:textFill>
              </w:rPr>
            </w:pPr>
            <w:r>
              <w:rPr>
                <w:rFonts w:hint="eastAsia"/>
                <w:b/>
                <w:bCs/>
                <w:color w:val="000000" w:themeColor="text1"/>
                <w:sz w:val="21"/>
                <w:szCs w:val="21"/>
                <w:u w:val="single"/>
                <w14:textFill>
                  <w14:solidFill>
                    <w14:schemeClr w14:val="tx1"/>
                  </w14:solidFill>
                </w14:textFill>
              </w:rPr>
              <w:t>标准名称</w:t>
            </w:r>
          </w:p>
        </w:tc>
        <w:tc>
          <w:tcPr>
            <w:tcW w:w="1288" w:type="dxa"/>
            <w:vAlign w:val="center"/>
          </w:tcPr>
          <w:p w14:paraId="1A8F412E">
            <w:pPr>
              <w:spacing w:line="240" w:lineRule="auto"/>
              <w:ind w:firstLine="0" w:firstLineChars="0"/>
              <w:jc w:val="center"/>
              <w:rPr>
                <w:b/>
                <w:bCs/>
                <w:color w:val="000000" w:themeColor="text1"/>
                <w:sz w:val="21"/>
                <w:szCs w:val="21"/>
                <w:u w:val="single"/>
                <w14:textFill>
                  <w14:solidFill>
                    <w14:schemeClr w14:val="tx1"/>
                  </w14:solidFill>
                </w14:textFill>
              </w:rPr>
            </w:pPr>
            <w:r>
              <w:rPr>
                <w:rFonts w:hint="eastAsia"/>
                <w:b/>
                <w:bCs/>
                <w:color w:val="000000" w:themeColor="text1"/>
                <w:sz w:val="21"/>
                <w:szCs w:val="21"/>
                <w:u w:val="single"/>
                <w14:textFill>
                  <w14:solidFill>
                    <w14:schemeClr w14:val="tx1"/>
                  </w14:solidFill>
                </w14:textFill>
              </w:rPr>
              <w:t>浓度限值</w:t>
            </w:r>
          </w:p>
        </w:tc>
        <w:tc>
          <w:tcPr>
            <w:tcW w:w="907" w:type="dxa"/>
            <w:vMerge w:val="continue"/>
            <w:vAlign w:val="center"/>
          </w:tcPr>
          <w:p w14:paraId="78D701B2">
            <w:pPr>
              <w:spacing w:line="240" w:lineRule="auto"/>
              <w:ind w:firstLine="0" w:firstLineChars="0"/>
              <w:jc w:val="center"/>
              <w:rPr>
                <w:b/>
                <w:bCs/>
                <w:color w:val="000000" w:themeColor="text1"/>
                <w:sz w:val="21"/>
                <w:szCs w:val="21"/>
                <w:u w:val="single"/>
                <w14:textFill>
                  <w14:solidFill>
                    <w14:schemeClr w14:val="tx1"/>
                  </w14:solidFill>
                </w14:textFill>
              </w:rPr>
            </w:pPr>
          </w:p>
        </w:tc>
      </w:tr>
      <w:tr w14:paraId="548260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40" w:type="dxa"/>
            <w:vAlign w:val="center"/>
          </w:tcPr>
          <w:p w14:paraId="7A866616">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1</w:t>
            </w:r>
          </w:p>
        </w:tc>
        <w:tc>
          <w:tcPr>
            <w:tcW w:w="1436" w:type="dxa"/>
            <w:vMerge w:val="restart"/>
            <w:vAlign w:val="center"/>
          </w:tcPr>
          <w:p w14:paraId="021A36FF">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装卸作业区</w:t>
            </w:r>
          </w:p>
        </w:tc>
        <w:tc>
          <w:tcPr>
            <w:tcW w:w="1170" w:type="dxa"/>
            <w:vAlign w:val="center"/>
          </w:tcPr>
          <w:p w14:paraId="45DD99C6">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16"/>
                <w:u w:val="single"/>
                <w14:textFill>
                  <w14:solidFill>
                    <w14:schemeClr w14:val="tx1"/>
                  </w14:solidFill>
                </w14:textFill>
              </w:rPr>
              <w:t>苯乙烯</w:t>
            </w:r>
          </w:p>
        </w:tc>
        <w:tc>
          <w:tcPr>
            <w:tcW w:w="1869" w:type="dxa"/>
            <w:vMerge w:val="restart"/>
            <w:vAlign w:val="center"/>
          </w:tcPr>
          <w:p w14:paraId="1E0E502E">
            <w:pPr>
              <w:spacing w:line="240" w:lineRule="auto"/>
              <w:ind w:firstLine="42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自然扩散</w:t>
            </w:r>
          </w:p>
        </w:tc>
        <w:tc>
          <w:tcPr>
            <w:tcW w:w="1976" w:type="dxa"/>
            <w:vMerge w:val="restart"/>
            <w:vAlign w:val="center"/>
          </w:tcPr>
          <w:p w14:paraId="05AD9B0B">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《大气污染物综合排放标准》（GB 16297-1996）</w:t>
            </w:r>
          </w:p>
        </w:tc>
        <w:tc>
          <w:tcPr>
            <w:tcW w:w="1288" w:type="dxa"/>
            <w:vAlign w:val="center"/>
          </w:tcPr>
          <w:p w14:paraId="5978784E">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4.0</w:t>
            </w:r>
            <w:r>
              <w:rPr>
                <w:color w:val="000000" w:themeColor="text1"/>
                <w:sz w:val="21"/>
                <w:szCs w:val="21"/>
                <w:u w:val="single"/>
                <w14:textFill>
                  <w14:solidFill>
                    <w14:schemeClr w14:val="tx1"/>
                  </w14:solidFill>
                </w14:textFill>
              </w:rPr>
              <w:t xml:space="preserve"> mg/m</w:t>
            </w:r>
            <w:r>
              <w:rPr>
                <w:color w:val="000000" w:themeColor="text1"/>
                <w:sz w:val="21"/>
                <w:szCs w:val="21"/>
                <w:u w:val="single"/>
                <w:vertAlign w:val="superscript"/>
                <w14:textFill>
                  <w14:solidFill>
                    <w14:schemeClr w14:val="tx1"/>
                  </w14:solidFill>
                </w14:textFill>
              </w:rPr>
              <w:t>3</w:t>
            </w:r>
          </w:p>
        </w:tc>
        <w:tc>
          <w:tcPr>
            <w:tcW w:w="907" w:type="dxa"/>
            <w:vAlign w:val="center"/>
          </w:tcPr>
          <w:p w14:paraId="204A366A">
            <w:pPr>
              <w:spacing w:line="240" w:lineRule="auto"/>
              <w:ind w:firstLine="0" w:firstLineChars="0"/>
              <w:jc w:val="center"/>
              <w:rPr>
                <w:color w:val="000000" w:themeColor="text1"/>
                <w:sz w:val="21"/>
                <w:szCs w:val="21"/>
                <w:u w:val="single"/>
                <w14:textFill>
                  <w14:solidFill>
                    <w14:schemeClr w14:val="tx1"/>
                  </w14:solidFill>
                </w14:textFill>
              </w:rPr>
            </w:pPr>
            <w:r>
              <w:rPr>
                <w:rFonts w:hint="eastAsia" w:eastAsia="等线"/>
                <w:color w:val="000000" w:themeColor="text1"/>
                <w:sz w:val="21"/>
                <w:szCs w:val="21"/>
                <w:u w:val="single"/>
                <w14:textFill>
                  <w14:solidFill>
                    <w14:schemeClr w14:val="tx1"/>
                  </w14:solidFill>
                </w14:textFill>
              </w:rPr>
              <w:t>0.00024</w:t>
            </w:r>
          </w:p>
        </w:tc>
      </w:tr>
      <w:tr w14:paraId="54EF18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40" w:type="dxa"/>
            <w:vAlign w:val="center"/>
          </w:tcPr>
          <w:p w14:paraId="547FB363">
            <w:pPr>
              <w:spacing w:line="240" w:lineRule="auto"/>
              <w:ind w:firstLine="0" w:firstLineChars="0"/>
              <w:jc w:val="center"/>
              <w:rPr>
                <w:color w:val="000000" w:themeColor="text1"/>
                <w:sz w:val="21"/>
                <w:szCs w:val="21"/>
                <w:u w:val="single"/>
                <w14:textFill>
                  <w14:solidFill>
                    <w14:schemeClr w14:val="tx1"/>
                  </w14:solidFill>
                </w14:textFill>
              </w:rPr>
            </w:pPr>
          </w:p>
        </w:tc>
        <w:tc>
          <w:tcPr>
            <w:tcW w:w="1436" w:type="dxa"/>
            <w:vMerge w:val="continue"/>
            <w:vAlign w:val="center"/>
          </w:tcPr>
          <w:p w14:paraId="200B98EF">
            <w:pPr>
              <w:spacing w:line="240" w:lineRule="auto"/>
              <w:ind w:firstLine="0" w:firstLineChars="0"/>
              <w:jc w:val="center"/>
              <w:rPr>
                <w:color w:val="000000" w:themeColor="text1"/>
                <w:sz w:val="21"/>
                <w:szCs w:val="21"/>
                <w:u w:val="single"/>
                <w14:textFill>
                  <w14:solidFill>
                    <w14:schemeClr w14:val="tx1"/>
                  </w14:solidFill>
                </w14:textFill>
              </w:rPr>
            </w:pPr>
          </w:p>
        </w:tc>
        <w:tc>
          <w:tcPr>
            <w:tcW w:w="1170" w:type="dxa"/>
            <w:vAlign w:val="center"/>
          </w:tcPr>
          <w:p w14:paraId="372854D6">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16"/>
                <w:u w:val="single"/>
                <w14:textFill>
                  <w14:solidFill>
                    <w14:schemeClr w14:val="tx1"/>
                  </w14:solidFill>
                </w14:textFill>
              </w:rPr>
              <w:t>硫酸雾</w:t>
            </w:r>
          </w:p>
        </w:tc>
        <w:tc>
          <w:tcPr>
            <w:tcW w:w="1869" w:type="dxa"/>
            <w:vMerge w:val="continue"/>
            <w:vAlign w:val="center"/>
          </w:tcPr>
          <w:p w14:paraId="3F69F4D0">
            <w:pPr>
              <w:spacing w:line="240" w:lineRule="auto"/>
              <w:ind w:firstLine="420"/>
              <w:jc w:val="center"/>
              <w:rPr>
                <w:color w:val="000000" w:themeColor="text1"/>
                <w:sz w:val="21"/>
                <w:szCs w:val="21"/>
                <w:u w:val="single"/>
                <w14:textFill>
                  <w14:solidFill>
                    <w14:schemeClr w14:val="tx1"/>
                  </w14:solidFill>
                </w14:textFill>
              </w:rPr>
            </w:pPr>
          </w:p>
        </w:tc>
        <w:tc>
          <w:tcPr>
            <w:tcW w:w="1976" w:type="dxa"/>
            <w:vMerge w:val="continue"/>
            <w:vAlign w:val="center"/>
          </w:tcPr>
          <w:p w14:paraId="0142F3D3">
            <w:pPr>
              <w:spacing w:line="240" w:lineRule="auto"/>
              <w:ind w:firstLine="0" w:firstLineChars="0"/>
              <w:jc w:val="center"/>
              <w:rPr>
                <w:color w:val="000000" w:themeColor="text1"/>
                <w:sz w:val="21"/>
                <w:szCs w:val="21"/>
                <w:u w:val="single"/>
                <w14:textFill>
                  <w14:solidFill>
                    <w14:schemeClr w14:val="tx1"/>
                  </w14:solidFill>
                </w14:textFill>
              </w:rPr>
            </w:pPr>
          </w:p>
        </w:tc>
        <w:tc>
          <w:tcPr>
            <w:tcW w:w="1288" w:type="dxa"/>
            <w:vAlign w:val="center"/>
          </w:tcPr>
          <w:p w14:paraId="78666B25">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1.2</w:t>
            </w:r>
            <w:r>
              <w:rPr>
                <w:color w:val="000000" w:themeColor="text1"/>
                <w:sz w:val="21"/>
                <w:szCs w:val="21"/>
                <w:u w:val="single"/>
                <w14:textFill>
                  <w14:solidFill>
                    <w14:schemeClr w14:val="tx1"/>
                  </w14:solidFill>
                </w14:textFill>
              </w:rPr>
              <w:t xml:space="preserve"> mg/m</w:t>
            </w:r>
            <w:r>
              <w:rPr>
                <w:color w:val="000000" w:themeColor="text1"/>
                <w:sz w:val="21"/>
                <w:szCs w:val="21"/>
                <w:u w:val="single"/>
                <w:vertAlign w:val="superscript"/>
                <w14:textFill>
                  <w14:solidFill>
                    <w14:schemeClr w14:val="tx1"/>
                  </w14:solidFill>
                </w14:textFill>
              </w:rPr>
              <w:t>3</w:t>
            </w:r>
          </w:p>
        </w:tc>
        <w:tc>
          <w:tcPr>
            <w:tcW w:w="907" w:type="dxa"/>
            <w:vAlign w:val="center"/>
          </w:tcPr>
          <w:p w14:paraId="42D27B02">
            <w:pPr>
              <w:spacing w:line="240" w:lineRule="auto"/>
              <w:ind w:firstLine="0" w:firstLineChars="0"/>
              <w:jc w:val="center"/>
              <w:rPr>
                <w:color w:val="000000" w:themeColor="text1"/>
                <w:sz w:val="21"/>
                <w:szCs w:val="21"/>
                <w:u w:val="single"/>
                <w14:textFill>
                  <w14:solidFill>
                    <w14:schemeClr w14:val="tx1"/>
                  </w14:solidFill>
                </w14:textFill>
              </w:rPr>
            </w:pPr>
            <w:r>
              <w:rPr>
                <w:rFonts w:hint="eastAsia" w:eastAsia="等线"/>
                <w:color w:val="000000" w:themeColor="text1"/>
                <w:sz w:val="21"/>
                <w:szCs w:val="21"/>
                <w:u w:val="single"/>
                <w14:textFill>
                  <w14:solidFill>
                    <w14:schemeClr w14:val="tx1"/>
                  </w14:solidFill>
                </w14:textFill>
              </w:rPr>
              <w:t>0</w:t>
            </w:r>
            <w:r>
              <w:rPr>
                <w:rFonts w:eastAsia="等线"/>
                <w:color w:val="000000" w:themeColor="text1"/>
                <w:sz w:val="21"/>
                <w:szCs w:val="21"/>
                <w:u w:val="single"/>
                <w14:textFill>
                  <w14:solidFill>
                    <w14:schemeClr w14:val="tx1"/>
                  </w14:solidFill>
                </w14:textFill>
              </w:rPr>
              <w:t>.0011</w:t>
            </w:r>
          </w:p>
        </w:tc>
      </w:tr>
      <w:tr w14:paraId="477A04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40" w:type="dxa"/>
            <w:vAlign w:val="center"/>
          </w:tcPr>
          <w:p w14:paraId="716CD801">
            <w:pPr>
              <w:spacing w:line="240" w:lineRule="auto"/>
              <w:ind w:firstLine="0" w:firstLineChars="0"/>
              <w:jc w:val="center"/>
              <w:rPr>
                <w:color w:val="000000" w:themeColor="text1"/>
                <w:sz w:val="21"/>
                <w:szCs w:val="21"/>
                <w:u w:val="single"/>
                <w14:textFill>
                  <w14:solidFill>
                    <w14:schemeClr w14:val="tx1"/>
                  </w14:solidFill>
                </w14:textFill>
              </w:rPr>
            </w:pPr>
          </w:p>
        </w:tc>
        <w:tc>
          <w:tcPr>
            <w:tcW w:w="1436" w:type="dxa"/>
            <w:vMerge w:val="continue"/>
            <w:vAlign w:val="center"/>
          </w:tcPr>
          <w:p w14:paraId="032EB400">
            <w:pPr>
              <w:spacing w:line="240" w:lineRule="auto"/>
              <w:ind w:firstLine="0" w:firstLineChars="0"/>
              <w:jc w:val="center"/>
              <w:rPr>
                <w:color w:val="000000" w:themeColor="text1"/>
                <w:sz w:val="21"/>
                <w:szCs w:val="21"/>
                <w:u w:val="single"/>
                <w14:textFill>
                  <w14:solidFill>
                    <w14:schemeClr w14:val="tx1"/>
                  </w14:solidFill>
                </w14:textFill>
              </w:rPr>
            </w:pPr>
          </w:p>
        </w:tc>
        <w:tc>
          <w:tcPr>
            <w:tcW w:w="1170" w:type="dxa"/>
            <w:vAlign w:val="center"/>
          </w:tcPr>
          <w:p w14:paraId="11B12675">
            <w:pPr>
              <w:spacing w:line="240" w:lineRule="auto"/>
              <w:ind w:firstLine="0" w:firstLineChars="0"/>
              <w:jc w:val="center"/>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VOCs</w:t>
            </w:r>
          </w:p>
        </w:tc>
        <w:tc>
          <w:tcPr>
            <w:tcW w:w="1869" w:type="dxa"/>
            <w:vMerge w:val="continue"/>
            <w:vAlign w:val="center"/>
          </w:tcPr>
          <w:p w14:paraId="0E4F10F4">
            <w:pPr>
              <w:spacing w:line="240" w:lineRule="auto"/>
              <w:ind w:firstLine="0" w:firstLineChars="0"/>
              <w:jc w:val="center"/>
              <w:rPr>
                <w:color w:val="000000" w:themeColor="text1"/>
                <w:sz w:val="21"/>
                <w:szCs w:val="21"/>
                <w:u w:val="single"/>
                <w14:textFill>
                  <w14:solidFill>
                    <w14:schemeClr w14:val="tx1"/>
                  </w14:solidFill>
                </w14:textFill>
              </w:rPr>
            </w:pPr>
          </w:p>
        </w:tc>
        <w:tc>
          <w:tcPr>
            <w:tcW w:w="1976" w:type="dxa"/>
            <w:vMerge w:val="continue"/>
            <w:vAlign w:val="center"/>
          </w:tcPr>
          <w:p w14:paraId="0EB25CD9">
            <w:pPr>
              <w:spacing w:line="240" w:lineRule="auto"/>
              <w:ind w:firstLine="0" w:firstLineChars="0"/>
              <w:jc w:val="center"/>
              <w:rPr>
                <w:color w:val="000000" w:themeColor="text1"/>
                <w:sz w:val="21"/>
                <w:szCs w:val="21"/>
                <w:u w:val="single"/>
                <w14:textFill>
                  <w14:solidFill>
                    <w14:schemeClr w14:val="tx1"/>
                  </w14:solidFill>
                </w14:textFill>
              </w:rPr>
            </w:pPr>
          </w:p>
        </w:tc>
        <w:tc>
          <w:tcPr>
            <w:tcW w:w="1288" w:type="dxa"/>
            <w:vAlign w:val="center"/>
          </w:tcPr>
          <w:p w14:paraId="7CD09146">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4.0</w:t>
            </w:r>
            <w:r>
              <w:rPr>
                <w:color w:val="000000" w:themeColor="text1"/>
                <w:sz w:val="21"/>
                <w:szCs w:val="21"/>
                <w:u w:val="single"/>
                <w14:textFill>
                  <w14:solidFill>
                    <w14:schemeClr w14:val="tx1"/>
                  </w14:solidFill>
                </w14:textFill>
              </w:rPr>
              <w:t>mg/m</w:t>
            </w:r>
            <w:r>
              <w:rPr>
                <w:color w:val="000000" w:themeColor="text1"/>
                <w:sz w:val="21"/>
                <w:szCs w:val="21"/>
                <w:u w:val="single"/>
                <w:vertAlign w:val="superscript"/>
                <w14:textFill>
                  <w14:solidFill>
                    <w14:schemeClr w14:val="tx1"/>
                  </w14:solidFill>
                </w14:textFill>
              </w:rPr>
              <w:t>3</w:t>
            </w:r>
          </w:p>
        </w:tc>
        <w:tc>
          <w:tcPr>
            <w:tcW w:w="907" w:type="dxa"/>
            <w:vAlign w:val="center"/>
          </w:tcPr>
          <w:p w14:paraId="74ED886A">
            <w:pPr>
              <w:spacing w:line="240" w:lineRule="auto"/>
              <w:ind w:firstLine="0" w:firstLineChars="0"/>
              <w:jc w:val="center"/>
              <w:rPr>
                <w:color w:val="000000" w:themeColor="text1"/>
                <w:sz w:val="21"/>
                <w:szCs w:val="21"/>
                <w:u w:val="single"/>
                <w14:textFill>
                  <w14:solidFill>
                    <w14:schemeClr w14:val="tx1"/>
                  </w14:solidFill>
                </w14:textFill>
              </w:rPr>
            </w:pPr>
            <w:r>
              <w:rPr>
                <w:rFonts w:hint="eastAsia" w:eastAsia="等线"/>
                <w:color w:val="000000" w:themeColor="text1"/>
                <w:sz w:val="21"/>
                <w:szCs w:val="21"/>
                <w:u w:val="single"/>
                <w14:textFill>
                  <w14:solidFill>
                    <w14:schemeClr w14:val="tx1"/>
                  </w14:solidFill>
                </w14:textFill>
              </w:rPr>
              <w:t>0</w:t>
            </w:r>
            <w:r>
              <w:rPr>
                <w:rFonts w:eastAsia="等线"/>
                <w:color w:val="000000" w:themeColor="text1"/>
                <w:sz w:val="21"/>
                <w:szCs w:val="21"/>
                <w:u w:val="single"/>
                <w14:textFill>
                  <w14:solidFill>
                    <w14:schemeClr w14:val="tx1"/>
                  </w14:solidFill>
                </w14:textFill>
              </w:rPr>
              <w:t>.0141</w:t>
            </w:r>
          </w:p>
        </w:tc>
      </w:tr>
      <w:tr w14:paraId="67EFBF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40" w:type="dxa"/>
            <w:vMerge w:val="restart"/>
            <w:vAlign w:val="center"/>
          </w:tcPr>
          <w:p w14:paraId="56A48FF3">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2</w:t>
            </w:r>
          </w:p>
        </w:tc>
        <w:tc>
          <w:tcPr>
            <w:tcW w:w="1436" w:type="dxa"/>
            <w:vMerge w:val="restart"/>
            <w:vAlign w:val="center"/>
          </w:tcPr>
          <w:p w14:paraId="20BDA128">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船舶废气</w:t>
            </w:r>
          </w:p>
        </w:tc>
        <w:tc>
          <w:tcPr>
            <w:tcW w:w="1170" w:type="dxa"/>
            <w:vAlign w:val="center"/>
          </w:tcPr>
          <w:p w14:paraId="0EC68051">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SO</w:t>
            </w:r>
            <w:r>
              <w:rPr>
                <w:rFonts w:hint="eastAsia"/>
                <w:color w:val="000000" w:themeColor="text1"/>
                <w:sz w:val="21"/>
                <w:szCs w:val="21"/>
                <w:u w:val="single"/>
                <w:vertAlign w:val="subscript"/>
                <w14:textFill>
                  <w14:solidFill>
                    <w14:schemeClr w14:val="tx1"/>
                  </w14:solidFill>
                </w14:textFill>
              </w:rPr>
              <w:t>2</w:t>
            </w:r>
          </w:p>
        </w:tc>
        <w:tc>
          <w:tcPr>
            <w:tcW w:w="1869" w:type="dxa"/>
            <w:vMerge w:val="restart"/>
            <w:vAlign w:val="center"/>
          </w:tcPr>
          <w:p w14:paraId="06C49EDE">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自然扩散</w:t>
            </w:r>
          </w:p>
        </w:tc>
        <w:tc>
          <w:tcPr>
            <w:tcW w:w="1976" w:type="dxa"/>
            <w:vMerge w:val="continue"/>
            <w:vAlign w:val="center"/>
          </w:tcPr>
          <w:p w14:paraId="32FF9323">
            <w:pPr>
              <w:spacing w:line="240" w:lineRule="auto"/>
              <w:ind w:firstLine="0" w:firstLineChars="0"/>
              <w:jc w:val="center"/>
              <w:rPr>
                <w:color w:val="000000" w:themeColor="text1"/>
                <w:sz w:val="21"/>
                <w:szCs w:val="21"/>
                <w:u w:val="single"/>
                <w14:textFill>
                  <w14:solidFill>
                    <w14:schemeClr w14:val="tx1"/>
                  </w14:solidFill>
                </w14:textFill>
              </w:rPr>
            </w:pPr>
          </w:p>
        </w:tc>
        <w:tc>
          <w:tcPr>
            <w:tcW w:w="1288" w:type="dxa"/>
            <w:vAlign w:val="center"/>
          </w:tcPr>
          <w:p w14:paraId="7DE9AAD1">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0.4</w:t>
            </w:r>
            <w:r>
              <w:rPr>
                <w:color w:val="000000" w:themeColor="text1"/>
                <w:sz w:val="21"/>
                <w:szCs w:val="21"/>
                <w:u w:val="single"/>
                <w14:textFill>
                  <w14:solidFill>
                    <w14:schemeClr w14:val="tx1"/>
                  </w14:solidFill>
                </w14:textFill>
              </w:rPr>
              <w:t>mg/m</w:t>
            </w:r>
            <w:r>
              <w:rPr>
                <w:color w:val="000000" w:themeColor="text1"/>
                <w:sz w:val="21"/>
                <w:szCs w:val="21"/>
                <w:u w:val="single"/>
                <w:vertAlign w:val="superscript"/>
                <w14:textFill>
                  <w14:solidFill>
                    <w14:schemeClr w14:val="tx1"/>
                  </w14:solidFill>
                </w14:textFill>
              </w:rPr>
              <w:t>3</w:t>
            </w:r>
          </w:p>
        </w:tc>
        <w:tc>
          <w:tcPr>
            <w:tcW w:w="907" w:type="dxa"/>
            <w:vAlign w:val="center"/>
          </w:tcPr>
          <w:p w14:paraId="1A570D5B">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0.672</w:t>
            </w:r>
          </w:p>
        </w:tc>
      </w:tr>
      <w:tr w14:paraId="1C4C19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40" w:type="dxa"/>
            <w:vMerge w:val="continue"/>
            <w:vAlign w:val="center"/>
          </w:tcPr>
          <w:p w14:paraId="5638330A">
            <w:pPr>
              <w:spacing w:line="240" w:lineRule="auto"/>
              <w:ind w:firstLine="0" w:firstLineChars="0"/>
              <w:jc w:val="center"/>
              <w:rPr>
                <w:color w:val="000000" w:themeColor="text1"/>
                <w:sz w:val="21"/>
                <w:szCs w:val="21"/>
                <w:u w:val="single"/>
                <w14:textFill>
                  <w14:solidFill>
                    <w14:schemeClr w14:val="tx1"/>
                  </w14:solidFill>
                </w14:textFill>
              </w:rPr>
            </w:pPr>
          </w:p>
        </w:tc>
        <w:tc>
          <w:tcPr>
            <w:tcW w:w="1436" w:type="dxa"/>
            <w:vMerge w:val="continue"/>
            <w:vAlign w:val="center"/>
          </w:tcPr>
          <w:p w14:paraId="58866E0C">
            <w:pPr>
              <w:spacing w:line="240" w:lineRule="auto"/>
              <w:ind w:firstLine="0" w:firstLineChars="0"/>
              <w:jc w:val="center"/>
              <w:rPr>
                <w:color w:val="000000" w:themeColor="text1"/>
                <w:sz w:val="21"/>
                <w:szCs w:val="21"/>
                <w:u w:val="single"/>
                <w14:textFill>
                  <w14:solidFill>
                    <w14:schemeClr w14:val="tx1"/>
                  </w14:solidFill>
                </w14:textFill>
              </w:rPr>
            </w:pPr>
          </w:p>
        </w:tc>
        <w:tc>
          <w:tcPr>
            <w:tcW w:w="1170" w:type="dxa"/>
            <w:vAlign w:val="center"/>
          </w:tcPr>
          <w:p w14:paraId="6BD2E154">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NO</w:t>
            </w:r>
            <w:r>
              <w:rPr>
                <w:rFonts w:hint="eastAsia"/>
                <w:color w:val="000000" w:themeColor="text1"/>
                <w:sz w:val="21"/>
                <w:szCs w:val="21"/>
                <w:u w:val="single"/>
                <w:vertAlign w:val="subscript"/>
                <w14:textFill>
                  <w14:solidFill>
                    <w14:schemeClr w14:val="tx1"/>
                  </w14:solidFill>
                </w14:textFill>
              </w:rPr>
              <w:t>x</w:t>
            </w:r>
          </w:p>
        </w:tc>
        <w:tc>
          <w:tcPr>
            <w:tcW w:w="1869" w:type="dxa"/>
            <w:vMerge w:val="continue"/>
            <w:vAlign w:val="center"/>
          </w:tcPr>
          <w:p w14:paraId="09144B8F">
            <w:pPr>
              <w:spacing w:line="240" w:lineRule="auto"/>
              <w:ind w:firstLine="0" w:firstLineChars="0"/>
              <w:jc w:val="center"/>
              <w:rPr>
                <w:color w:val="000000" w:themeColor="text1"/>
                <w:sz w:val="21"/>
                <w:szCs w:val="21"/>
                <w:u w:val="single"/>
                <w14:textFill>
                  <w14:solidFill>
                    <w14:schemeClr w14:val="tx1"/>
                  </w14:solidFill>
                </w14:textFill>
              </w:rPr>
            </w:pPr>
          </w:p>
        </w:tc>
        <w:tc>
          <w:tcPr>
            <w:tcW w:w="1976" w:type="dxa"/>
            <w:vMerge w:val="continue"/>
            <w:vAlign w:val="center"/>
          </w:tcPr>
          <w:p w14:paraId="42B4C2EF">
            <w:pPr>
              <w:spacing w:line="240" w:lineRule="auto"/>
              <w:ind w:firstLine="0" w:firstLineChars="0"/>
              <w:jc w:val="center"/>
              <w:rPr>
                <w:color w:val="000000" w:themeColor="text1"/>
                <w:sz w:val="21"/>
                <w:szCs w:val="21"/>
                <w:u w:val="single"/>
                <w14:textFill>
                  <w14:solidFill>
                    <w14:schemeClr w14:val="tx1"/>
                  </w14:solidFill>
                </w14:textFill>
              </w:rPr>
            </w:pPr>
          </w:p>
        </w:tc>
        <w:tc>
          <w:tcPr>
            <w:tcW w:w="1288" w:type="dxa"/>
            <w:vAlign w:val="center"/>
          </w:tcPr>
          <w:p w14:paraId="0FAE1502">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0.12</w:t>
            </w:r>
            <w:r>
              <w:rPr>
                <w:color w:val="000000" w:themeColor="text1"/>
                <w:sz w:val="21"/>
                <w:szCs w:val="21"/>
                <w:u w:val="single"/>
                <w14:textFill>
                  <w14:solidFill>
                    <w14:schemeClr w14:val="tx1"/>
                  </w14:solidFill>
                </w14:textFill>
              </w:rPr>
              <w:t>mg/m</w:t>
            </w:r>
            <w:r>
              <w:rPr>
                <w:color w:val="000000" w:themeColor="text1"/>
                <w:sz w:val="21"/>
                <w:szCs w:val="21"/>
                <w:u w:val="single"/>
                <w:vertAlign w:val="superscript"/>
                <w14:textFill>
                  <w14:solidFill>
                    <w14:schemeClr w14:val="tx1"/>
                  </w14:solidFill>
                </w14:textFill>
              </w:rPr>
              <w:t>3</w:t>
            </w:r>
          </w:p>
        </w:tc>
        <w:tc>
          <w:tcPr>
            <w:tcW w:w="907" w:type="dxa"/>
            <w:vAlign w:val="center"/>
          </w:tcPr>
          <w:p w14:paraId="7B4D3211">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2.215</w:t>
            </w:r>
          </w:p>
        </w:tc>
      </w:tr>
    </w:tbl>
    <w:p w14:paraId="3A14BEB9">
      <w:pPr>
        <w:ind w:firstLine="420"/>
        <w:rPr>
          <w:color w:val="000000" w:themeColor="text1"/>
          <w:u w:val="single"/>
          <w14:textFill>
            <w14:solidFill>
              <w14:schemeClr w14:val="tx1"/>
            </w14:solidFill>
          </w14:textFill>
        </w:rPr>
      </w:pPr>
      <w:r>
        <w:rPr>
          <w:color w:val="000000" w:themeColor="text1"/>
          <w:sz w:val="21"/>
          <w:szCs w:val="21"/>
          <w:u w:val="single"/>
          <w14:textFill>
            <w14:solidFill>
              <w14:schemeClr w14:val="tx1"/>
            </w14:solidFill>
          </w14:textFill>
        </w:rPr>
        <w:t>备注：</w:t>
      </w:r>
      <w:r>
        <w:rPr>
          <w:rFonts w:hint="eastAsia"/>
          <w:color w:val="000000" w:themeColor="text1"/>
          <w:sz w:val="21"/>
          <w:szCs w:val="21"/>
          <w:u w:val="single"/>
          <w14:textFill>
            <w14:solidFill>
              <w14:schemeClr w14:val="tx1"/>
            </w14:solidFill>
          </w14:textFill>
        </w:rPr>
        <w:t>苯乙烯、</w:t>
      </w:r>
      <w:r>
        <w:rPr>
          <w:color w:val="000000" w:themeColor="text1"/>
          <w:sz w:val="21"/>
          <w:szCs w:val="21"/>
          <w:u w:val="single"/>
          <w14:textFill>
            <w14:solidFill>
              <w14:schemeClr w14:val="tx1"/>
            </w14:solidFill>
          </w14:textFill>
        </w:rPr>
        <w:t>VOCs参照</w:t>
      </w:r>
      <w:r>
        <w:rPr>
          <w:rFonts w:hint="eastAsia"/>
          <w:color w:val="000000" w:themeColor="text1"/>
          <w:sz w:val="21"/>
          <w:szCs w:val="21"/>
          <w:u w:val="single"/>
          <w14:textFill>
            <w14:solidFill>
              <w14:schemeClr w14:val="tx1"/>
            </w14:solidFill>
          </w14:textFill>
        </w:rPr>
        <w:t>《大气污染物综合排放标准》（GB 16297-1996）的非甲烷总烃。</w:t>
      </w:r>
    </w:p>
    <w:p w14:paraId="5D3B138A">
      <w:pPr>
        <w:pStyle w:val="4"/>
        <w:rPr>
          <w:color w:val="000000" w:themeColor="text1"/>
          <w14:textFill>
            <w14:solidFill>
              <w14:schemeClr w14:val="tx1"/>
            </w14:solidFill>
          </w14:textFill>
        </w:rPr>
      </w:pPr>
      <w:bookmarkStart w:id="694" w:name="_Toc25436991"/>
      <w:bookmarkEnd w:id="694"/>
      <w:bookmarkStart w:id="695" w:name="_Toc26910038"/>
      <w:bookmarkStart w:id="696" w:name="_Toc29131851"/>
      <w:bookmarkStart w:id="697" w:name="_Toc25436992"/>
      <w:bookmarkStart w:id="698" w:name="_Toc216620579"/>
      <w:bookmarkStart w:id="699" w:name="_Toc135090249"/>
      <w:bookmarkStart w:id="700" w:name="_Toc136878515"/>
      <w:bookmarkStart w:id="701" w:name="_Toc216103420"/>
      <w:r>
        <w:rPr>
          <w:color w:val="000000" w:themeColor="text1"/>
          <w14:textFill>
            <w14:solidFill>
              <w14:schemeClr w14:val="tx1"/>
            </w14:solidFill>
          </w14:textFill>
        </w:rPr>
        <w:t>运营期水环境影响分析</w:t>
      </w:r>
      <w:bookmarkEnd w:id="695"/>
      <w:bookmarkEnd w:id="696"/>
      <w:bookmarkEnd w:id="697"/>
      <w:bookmarkEnd w:id="698"/>
      <w:bookmarkEnd w:id="699"/>
      <w:bookmarkEnd w:id="700"/>
      <w:bookmarkEnd w:id="701"/>
    </w:p>
    <w:p w14:paraId="3D758E60">
      <w:pPr>
        <w:ind w:firstLine="480"/>
        <w:rPr>
          <w:b/>
          <w:bCs/>
          <w:color w:val="000000" w:themeColor="text1"/>
          <w14:textFill>
            <w14:solidFill>
              <w14:schemeClr w14:val="tx1"/>
            </w14:solidFill>
          </w14:textFill>
        </w:rPr>
      </w:pPr>
      <w:r>
        <w:rPr>
          <w:rFonts w:hint="eastAsia"/>
          <w:color w:val="000000" w:themeColor="text1"/>
          <w14:textFill>
            <w14:solidFill>
              <w14:schemeClr w14:val="tx1"/>
            </w14:solidFill>
          </w14:textFill>
        </w:rPr>
        <w:t>本项目采用全密闭输送工艺，正常工况下，装卸臂和管道输送不会与钦州湾之间发生联系。同时，本项目装卸臂和管道设置防腐层，如不发生泄漏事故，正常营运期对钦州湾水质造成的影响很小。仅在泄漏事故状态下会对钦州湾水环境造成污染，影响水质，项目事故状态下对环境的影响详见5风险预测与评价章节。</w:t>
      </w:r>
    </w:p>
    <w:p w14:paraId="4FB155C4">
      <w:pPr>
        <w:ind w:firstLine="480"/>
        <w:rPr>
          <w:snapToGrid w:val="0"/>
          <w:color w:val="000000" w:themeColor="text1"/>
          <w:kern w:val="0"/>
          <w14:textFill>
            <w14:solidFill>
              <w14:schemeClr w14:val="tx1"/>
            </w14:solidFill>
          </w14:textFill>
        </w:rPr>
      </w:pPr>
      <w:r>
        <w:rPr>
          <w:snapToGrid w:val="0"/>
          <w:color w:val="000000" w:themeColor="text1"/>
          <w:kern w:val="0"/>
          <w14:textFill>
            <w14:solidFill>
              <w14:schemeClr w14:val="tx1"/>
            </w14:solidFill>
          </w14:textFill>
        </w:rPr>
        <w:t>本项目码头不设置污水处理设施，仅设置集污池对码头产生的污水进行收集后，经提升泵提升至</w:t>
      </w:r>
      <w:r>
        <w:rPr>
          <w:color w:val="000000" w:themeColor="text1"/>
          <w14:textFill>
            <w14:solidFill>
              <w14:schemeClr w14:val="tx1"/>
            </w14:solidFill>
          </w14:textFill>
        </w:rPr>
        <w:t>广西恒逸污水处理厂</w:t>
      </w:r>
      <w:r>
        <w:rPr>
          <w:snapToGrid w:val="0"/>
          <w:color w:val="000000" w:themeColor="text1"/>
          <w:kern w:val="0"/>
          <w14:textFill>
            <w14:solidFill>
              <w14:schemeClr w14:val="tx1"/>
            </w14:solidFill>
          </w14:textFill>
        </w:rPr>
        <w:t>处理后排放。</w:t>
      </w:r>
    </w:p>
    <w:p w14:paraId="4DDF8FA7">
      <w:pPr>
        <w:ind w:firstLine="480"/>
        <w:rPr>
          <w:color w:val="000000" w:themeColor="text1"/>
          <w14:textFill>
            <w14:solidFill>
              <w14:schemeClr w14:val="tx1"/>
            </w14:solidFill>
          </w14:textFill>
        </w:rPr>
      </w:pPr>
      <w:r>
        <w:rPr>
          <w:color w:val="000000" w:themeColor="text1"/>
          <w14:textFill>
            <w14:solidFill>
              <w14:schemeClr w14:val="tx1"/>
            </w14:solidFill>
          </w14:textFill>
        </w:rPr>
        <w:t>船舶机舱油污水、船舶生活污水委托具有相应资质单位接收处理。</w:t>
      </w:r>
    </w:p>
    <w:p w14:paraId="3895A09D">
      <w:pPr>
        <w:pStyle w:val="4"/>
        <w:rPr>
          <w:color w:val="000000" w:themeColor="text1"/>
          <w14:textFill>
            <w14:solidFill>
              <w14:schemeClr w14:val="tx1"/>
            </w14:solidFill>
          </w14:textFill>
        </w:rPr>
      </w:pPr>
      <w:bookmarkStart w:id="702" w:name="_Toc29131852"/>
      <w:bookmarkStart w:id="703" w:name="_Toc216103421"/>
      <w:bookmarkStart w:id="704" w:name="_Toc135090250"/>
      <w:bookmarkStart w:id="705" w:name="_Toc25436993"/>
      <w:bookmarkStart w:id="706" w:name="_Toc26910039"/>
      <w:bookmarkStart w:id="707" w:name="_Toc216620580"/>
      <w:bookmarkStart w:id="708" w:name="_Toc136878516"/>
      <w:r>
        <w:rPr>
          <w:color w:val="000000" w:themeColor="text1"/>
          <w14:textFill>
            <w14:solidFill>
              <w14:schemeClr w14:val="tx1"/>
            </w14:solidFill>
          </w14:textFill>
        </w:rPr>
        <w:t>运营期声环境影响分析</w:t>
      </w:r>
      <w:bookmarkEnd w:id="702"/>
      <w:bookmarkEnd w:id="703"/>
      <w:bookmarkEnd w:id="704"/>
      <w:bookmarkEnd w:id="705"/>
      <w:bookmarkEnd w:id="706"/>
      <w:bookmarkEnd w:id="707"/>
      <w:bookmarkEnd w:id="708"/>
    </w:p>
    <w:p w14:paraId="65C4E8D3">
      <w:pPr>
        <w:pStyle w:val="6"/>
        <w:rPr>
          <w:color w:val="000000" w:themeColor="text1"/>
          <w14:textFill>
            <w14:solidFill>
              <w14:schemeClr w14:val="tx1"/>
            </w14:solidFill>
          </w14:textFill>
        </w:rPr>
      </w:pPr>
      <w:r>
        <w:rPr>
          <w:color w:val="000000" w:themeColor="text1"/>
          <w14:textFill>
            <w14:solidFill>
              <w14:schemeClr w14:val="tx1"/>
            </w14:solidFill>
          </w14:textFill>
        </w:rPr>
        <w:t>预测模式</w:t>
      </w:r>
    </w:p>
    <w:p w14:paraId="5E53B12A">
      <w:pPr>
        <w:ind w:firstLine="480"/>
        <w:rPr>
          <w:color w:val="000000" w:themeColor="text1"/>
          <w14:textFill>
            <w14:solidFill>
              <w14:schemeClr w14:val="tx1"/>
            </w14:solidFill>
          </w14:textFill>
        </w:rPr>
      </w:pPr>
      <w:r>
        <w:rPr>
          <w:color w:val="000000" w:themeColor="text1"/>
          <w14:textFill>
            <w14:solidFill>
              <w14:schemeClr w14:val="tx1"/>
            </w14:solidFill>
          </w14:textFill>
        </w:rPr>
        <w:t>（1）单机噪声预测模式</w:t>
      </w:r>
    </w:p>
    <w:p w14:paraId="16351BB6">
      <w:pPr>
        <w:ind w:firstLine="480"/>
        <w:rPr>
          <w:color w:val="000000" w:themeColor="text1"/>
          <w14:textFill>
            <w14:solidFill>
              <w14:schemeClr w14:val="tx1"/>
            </w14:solidFill>
          </w14:textFill>
        </w:rPr>
      </w:pPr>
      <w:r>
        <w:rPr>
          <w:color w:val="000000" w:themeColor="text1"/>
          <w14:textFill>
            <w14:solidFill>
              <w14:schemeClr w14:val="tx1"/>
            </w14:solidFill>
          </w14:textFill>
        </w:rPr>
        <w:t>根据噪声源的特性，采用以下噪声影响计算模式：</w:t>
      </w:r>
    </w:p>
    <w:p w14:paraId="3E8FA6E8">
      <w:pPr>
        <w:ind w:firstLine="643"/>
        <w:jc w:val="center"/>
        <w:rPr>
          <w:color w:val="000000" w:themeColor="text1"/>
          <w14:textFill>
            <w14:solidFill>
              <w14:schemeClr w14:val="tx1"/>
            </w14:solidFill>
          </w14:textFill>
        </w:rPr>
      </w:pPr>
      <w:r>
        <w:rPr>
          <w:rFonts w:eastAsia="黑体"/>
          <w:b/>
          <w:bCs/>
          <w:color w:val="000000" w:themeColor="text1"/>
          <w:sz w:val="32"/>
          <w:szCs w:val="32"/>
          <w14:textFill>
            <w14:solidFill>
              <w14:schemeClr w14:val="tx1"/>
            </w14:solidFill>
          </w14:textFill>
        </w:rPr>
        <w:drawing>
          <wp:inline distT="0" distB="0" distL="0" distR="0">
            <wp:extent cx="2065020" cy="350520"/>
            <wp:effectExtent l="0" t="0" r="0" b="0"/>
            <wp:docPr id="6" name="图片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2065020" cy="350520"/>
                    </a:xfrm>
                    <a:prstGeom prst="rect">
                      <a:avLst/>
                    </a:prstGeom>
                    <a:noFill/>
                    <a:ln>
                      <a:noFill/>
                    </a:ln>
                  </pic:spPr>
                </pic:pic>
              </a:graphicData>
            </a:graphic>
          </wp:inline>
        </w:drawing>
      </w:r>
    </w:p>
    <w:p w14:paraId="2F4546BC">
      <w:pPr>
        <w:ind w:firstLine="480"/>
        <w:rPr>
          <w:color w:val="000000" w:themeColor="text1"/>
          <w14:textFill>
            <w14:solidFill>
              <w14:schemeClr w14:val="tx1"/>
            </w14:solidFill>
          </w14:textFill>
        </w:rPr>
      </w:pPr>
      <w:r>
        <w:rPr>
          <w:color w:val="000000" w:themeColor="text1"/>
          <w14:textFill>
            <w14:solidFill>
              <w14:schemeClr w14:val="tx1"/>
            </w14:solidFill>
          </w14:textFill>
        </w:rPr>
        <w:t>式中：</w:t>
      </w:r>
      <w:r>
        <w:rPr>
          <w:i/>
          <w:color w:val="000000" w:themeColor="text1"/>
          <w14:textFill>
            <w14:solidFill>
              <w14:schemeClr w14:val="tx1"/>
            </w14:solidFill>
          </w14:textFill>
        </w:rPr>
        <w:t>L</w:t>
      </w:r>
      <w:r>
        <w:rPr>
          <w:color w:val="000000" w:themeColor="text1"/>
          <w:vertAlign w:val="subscript"/>
          <w14:textFill>
            <w14:solidFill>
              <w14:schemeClr w14:val="tx1"/>
            </w14:solidFill>
          </w14:textFill>
        </w:rPr>
        <w:t>i</w:t>
      </w:r>
      <w:r>
        <w:rPr>
          <w:color w:val="000000" w:themeColor="text1"/>
          <w14:textFill>
            <w14:solidFill>
              <w14:schemeClr w14:val="tx1"/>
            </w14:solidFill>
          </w14:textFill>
        </w:rPr>
        <w:t xml:space="preserve"> ——距声源r</w:t>
      </w:r>
      <w:r>
        <w:rPr>
          <w:color w:val="000000" w:themeColor="text1"/>
          <w:vertAlign w:val="subscript"/>
          <w14:textFill>
            <w14:solidFill>
              <w14:schemeClr w14:val="tx1"/>
            </w14:solidFill>
          </w14:textFill>
        </w:rPr>
        <w:t>i</w:t>
      </w:r>
      <w:r>
        <w:rPr>
          <w:color w:val="000000" w:themeColor="text1"/>
          <w14:textFill>
            <w14:solidFill>
              <w14:schemeClr w14:val="tx1"/>
            </w14:solidFill>
          </w14:textFill>
        </w:rPr>
        <w:t>处的声级[dB(A)]。</w:t>
      </w:r>
    </w:p>
    <w:p w14:paraId="3091F883">
      <w:pPr>
        <w:ind w:firstLine="1200" w:firstLineChars="500"/>
        <w:rPr>
          <w:color w:val="000000" w:themeColor="text1"/>
          <w14:textFill>
            <w14:solidFill>
              <w14:schemeClr w14:val="tx1"/>
            </w14:solidFill>
          </w14:textFill>
        </w:rPr>
      </w:pPr>
      <w:r>
        <w:rPr>
          <w:i/>
          <w:color w:val="000000" w:themeColor="text1"/>
          <w14:textFill>
            <w14:solidFill>
              <w14:schemeClr w14:val="tx1"/>
            </w14:solidFill>
          </w14:textFill>
        </w:rPr>
        <w:t>L</w:t>
      </w:r>
      <w:r>
        <w:rPr>
          <w:color w:val="000000" w:themeColor="text1"/>
          <w:vertAlign w:val="subscript"/>
          <w14:textFill>
            <w14:solidFill>
              <w14:schemeClr w14:val="tx1"/>
            </w14:solidFill>
          </w14:textFill>
        </w:rPr>
        <w:t xml:space="preserve">0 </w:t>
      </w:r>
      <w:r>
        <w:rPr>
          <w:color w:val="000000" w:themeColor="text1"/>
          <w14:textFill>
            <w14:solidFill>
              <w14:schemeClr w14:val="tx1"/>
            </w14:solidFill>
          </w14:textFill>
        </w:rPr>
        <w:t>——距声源r</w:t>
      </w:r>
      <w:r>
        <w:rPr>
          <w:color w:val="000000" w:themeColor="text1"/>
          <w:vertAlign w:val="subscript"/>
          <w14:textFill>
            <w14:solidFill>
              <w14:schemeClr w14:val="tx1"/>
            </w14:solidFill>
          </w14:textFill>
        </w:rPr>
        <w:t>0</w:t>
      </w:r>
      <w:r>
        <w:rPr>
          <w:color w:val="000000" w:themeColor="text1"/>
          <w14:textFill>
            <w14:solidFill>
              <w14:schemeClr w14:val="tx1"/>
            </w14:solidFill>
          </w14:textFill>
        </w:rPr>
        <w:t>处的声级[dB(A)]。</w:t>
      </w:r>
    </w:p>
    <w:p w14:paraId="486E56E1">
      <w:pPr>
        <w:ind w:firstLine="1200" w:firstLineChars="500"/>
        <w:rPr>
          <w:color w:val="000000" w:themeColor="text1"/>
          <w14:textFill>
            <w14:solidFill>
              <w14:schemeClr w14:val="tx1"/>
            </w14:solidFill>
          </w14:textFill>
        </w:rPr>
      </w:pPr>
      <w:r>
        <w:rPr>
          <w:color w:val="000000" w:themeColor="text1"/>
          <w14:textFill>
            <w14:solidFill>
              <w14:schemeClr w14:val="tx1"/>
            </w14:solidFill>
          </w14:textFill>
        </w:rPr>
        <w:t>Δ</w:t>
      </w:r>
      <w:r>
        <w:rPr>
          <w:i/>
          <w:color w:val="000000" w:themeColor="text1"/>
          <w14:textFill>
            <w14:solidFill>
              <w14:schemeClr w14:val="tx1"/>
            </w14:solidFill>
          </w14:textFill>
        </w:rPr>
        <w:t>L</w:t>
      </w:r>
      <w:r>
        <w:rPr>
          <w:color w:val="000000" w:themeColor="text1"/>
          <w14:textFill>
            <w14:solidFill>
              <w14:schemeClr w14:val="tx1"/>
            </w14:solidFill>
          </w14:textFill>
        </w:rPr>
        <w:t>——其它因素引起的噪声衰减量，保守取0。</w:t>
      </w:r>
    </w:p>
    <w:p w14:paraId="4895EBFA">
      <w:pPr>
        <w:ind w:firstLine="480"/>
        <w:rPr>
          <w:color w:val="000000" w:themeColor="text1"/>
          <w14:textFill>
            <w14:solidFill>
              <w14:schemeClr w14:val="tx1"/>
            </w14:solidFill>
          </w14:textFill>
        </w:rPr>
      </w:pPr>
      <w:r>
        <w:rPr>
          <w:color w:val="000000" w:themeColor="text1"/>
          <w14:textFill>
            <w14:solidFill>
              <w14:schemeClr w14:val="tx1"/>
            </w14:solidFill>
          </w14:textFill>
        </w:rPr>
        <w:t>工程营运期作业机械高噪声源为输送泵以及船舶发动机，根据同类工程现场实测资料，确定本工程主要装卸作业机械噪声源强见表2.3-1</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p>
    <w:p w14:paraId="471E347D">
      <w:pPr>
        <w:ind w:firstLine="480"/>
        <w:rPr>
          <w:color w:val="000000" w:themeColor="text1"/>
          <w14:textFill>
            <w14:solidFill>
              <w14:schemeClr w14:val="tx1"/>
            </w14:solidFill>
          </w14:textFill>
        </w:rPr>
      </w:pPr>
      <w:r>
        <w:rPr>
          <w:color w:val="000000" w:themeColor="text1"/>
          <w14:textFill>
            <w14:solidFill>
              <w14:schemeClr w14:val="tx1"/>
            </w14:solidFill>
          </w14:textFill>
        </w:rPr>
        <w:t>（2）各声源在预测点产生的合成声级采用以下计算模式：</w:t>
      </w:r>
    </w:p>
    <w:p w14:paraId="602BF2BC">
      <w:pPr>
        <w:ind w:firstLine="643"/>
        <w:jc w:val="center"/>
        <w:rPr>
          <w:color w:val="000000" w:themeColor="text1"/>
          <w14:textFill>
            <w14:solidFill>
              <w14:schemeClr w14:val="tx1"/>
            </w14:solidFill>
          </w14:textFill>
        </w:rPr>
      </w:pPr>
      <w:r>
        <w:rPr>
          <w:rFonts w:eastAsia="黑体"/>
          <w:b/>
          <w:bCs/>
          <w:color w:val="000000" w:themeColor="text1"/>
          <w:sz w:val="32"/>
          <w:szCs w:val="32"/>
          <w14:textFill>
            <w14:solidFill>
              <w14:schemeClr w14:val="tx1"/>
            </w14:solidFill>
          </w14:textFill>
        </w:rPr>
        <w:drawing>
          <wp:inline distT="0" distB="0" distL="0" distR="0">
            <wp:extent cx="1684020" cy="632460"/>
            <wp:effectExtent l="0" t="0" r="0" b="0"/>
            <wp:docPr id="7" name="图片 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1684020" cy="632460"/>
                    </a:xfrm>
                    <a:prstGeom prst="rect">
                      <a:avLst/>
                    </a:prstGeom>
                    <a:noFill/>
                    <a:ln>
                      <a:noFill/>
                    </a:ln>
                  </pic:spPr>
                </pic:pic>
              </a:graphicData>
            </a:graphic>
          </wp:inline>
        </w:drawing>
      </w:r>
    </w:p>
    <w:p w14:paraId="2AA19D56">
      <w:pPr>
        <w:ind w:firstLine="480"/>
        <w:rPr>
          <w:color w:val="000000" w:themeColor="text1"/>
          <w14:textFill>
            <w14:solidFill>
              <w14:schemeClr w14:val="tx1"/>
            </w14:solidFill>
          </w14:textFill>
        </w:rPr>
      </w:pPr>
      <w:r>
        <w:rPr>
          <w:color w:val="000000" w:themeColor="text1"/>
          <w14:textFill>
            <w14:solidFill>
              <w14:schemeClr w14:val="tx1"/>
            </w14:solidFill>
          </w14:textFill>
        </w:rPr>
        <w:t>（3）计算预测点昼间或夜间的环境噪声预测值(LAeq)预计算式为：</w:t>
      </w:r>
    </w:p>
    <w:p w14:paraId="294BA7B3">
      <w:pPr>
        <w:ind w:firstLine="480"/>
        <w:jc w:val="center"/>
        <w:rPr>
          <w:snapToGrid w:val="0"/>
          <w:color w:val="000000" w:themeColor="text1"/>
          <w:kern w:val="0"/>
          <w14:textFill>
            <w14:solidFill>
              <w14:schemeClr w14:val="tx1"/>
            </w14:solidFill>
          </w14:textFill>
        </w:rPr>
      </w:pPr>
      <w:r>
        <w:rPr>
          <w:snapToGrid w:val="0"/>
          <w:color w:val="000000" w:themeColor="text1"/>
          <w:kern w:val="0"/>
          <w14:textFill>
            <w14:solidFill>
              <w14:schemeClr w14:val="tx1"/>
            </w14:solidFill>
          </w14:textFill>
        </w:rPr>
        <w:t>（L</w:t>
      </w:r>
      <w:r>
        <w:rPr>
          <w:snapToGrid w:val="0"/>
          <w:color w:val="000000" w:themeColor="text1"/>
          <w:kern w:val="0"/>
          <w:vertAlign w:val="subscript"/>
          <w14:textFill>
            <w14:solidFill>
              <w14:schemeClr w14:val="tx1"/>
            </w14:solidFill>
          </w14:textFill>
        </w:rPr>
        <w:t>Aeq</w:t>
      </w:r>
      <w:r>
        <w:rPr>
          <w:snapToGrid w:val="0"/>
          <w:color w:val="000000" w:themeColor="text1"/>
          <w:kern w:val="0"/>
          <w14:textFill>
            <w14:solidFill>
              <w14:schemeClr w14:val="tx1"/>
            </w14:solidFill>
          </w14:textFill>
        </w:rPr>
        <w:t>）</w:t>
      </w:r>
      <w:r>
        <w:rPr>
          <w:snapToGrid w:val="0"/>
          <w:color w:val="000000" w:themeColor="text1"/>
          <w:kern w:val="0"/>
          <w:vertAlign w:val="subscript"/>
          <w14:textFill>
            <w14:solidFill>
              <w14:schemeClr w14:val="tx1"/>
            </w14:solidFill>
          </w14:textFill>
        </w:rPr>
        <w:t>预</w:t>
      </w:r>
      <w:r>
        <w:rPr>
          <w:snapToGrid w:val="0"/>
          <w:color w:val="000000" w:themeColor="text1"/>
          <w:kern w:val="0"/>
          <w14:textFill>
            <w14:solidFill>
              <w14:schemeClr w14:val="tx1"/>
            </w14:solidFill>
          </w14:textFill>
        </w:rPr>
        <w:t>＝10lg[10</w:t>
      </w:r>
      <w:r>
        <w:rPr>
          <w:snapToGrid w:val="0"/>
          <w:color w:val="000000" w:themeColor="text1"/>
          <w:kern w:val="0"/>
          <w:vertAlign w:val="superscript"/>
          <w14:textFill>
            <w14:solidFill>
              <w14:schemeClr w14:val="tx1"/>
            </w14:solidFill>
          </w14:textFill>
        </w:rPr>
        <w:t>0.1(LAeq)TP</w:t>
      </w:r>
      <w:r>
        <w:rPr>
          <w:snapToGrid w:val="0"/>
          <w:color w:val="000000" w:themeColor="text1"/>
          <w:kern w:val="0"/>
          <w14:textFill>
            <w14:solidFill>
              <w14:schemeClr w14:val="tx1"/>
            </w14:solidFill>
          </w14:textFill>
        </w:rPr>
        <w:t>+10</w:t>
      </w:r>
      <w:r>
        <w:rPr>
          <w:snapToGrid w:val="0"/>
          <w:color w:val="000000" w:themeColor="text1"/>
          <w:kern w:val="0"/>
          <w:vertAlign w:val="superscript"/>
          <w14:textFill>
            <w14:solidFill>
              <w14:schemeClr w14:val="tx1"/>
            </w14:solidFill>
          </w14:textFill>
        </w:rPr>
        <w:t>0.1(LAeq)背</w:t>
      </w:r>
      <w:r>
        <w:rPr>
          <w:snapToGrid w:val="0"/>
          <w:color w:val="000000" w:themeColor="text1"/>
          <w:kern w:val="0"/>
          <w14:textFill>
            <w14:solidFill>
              <w14:schemeClr w14:val="tx1"/>
            </w14:solidFill>
          </w14:textFill>
        </w:rPr>
        <w:t>]</w:t>
      </w:r>
    </w:p>
    <w:p w14:paraId="2E77B8B9">
      <w:pPr>
        <w:ind w:firstLine="480"/>
        <w:rPr>
          <w:color w:val="000000" w:themeColor="text1"/>
          <w14:textFill>
            <w14:solidFill>
              <w14:schemeClr w14:val="tx1"/>
            </w14:solidFill>
          </w14:textFill>
        </w:rPr>
      </w:pPr>
      <w:r>
        <w:rPr>
          <w:color w:val="000000" w:themeColor="text1"/>
          <w14:textFill>
            <w14:solidFill>
              <w14:schemeClr w14:val="tx1"/>
            </w14:solidFill>
          </w14:textFill>
        </w:rPr>
        <w:t>式中：</w:t>
      </w:r>
      <w:r>
        <w:rPr>
          <w:snapToGrid w:val="0"/>
          <w:color w:val="000000" w:themeColor="text1"/>
          <w:kern w:val="0"/>
          <w14:textFill>
            <w14:solidFill>
              <w14:schemeClr w14:val="tx1"/>
            </w14:solidFill>
          </w14:textFill>
        </w:rPr>
        <w:t>（L</w:t>
      </w:r>
      <w:r>
        <w:rPr>
          <w:snapToGrid w:val="0"/>
          <w:color w:val="000000" w:themeColor="text1"/>
          <w:kern w:val="0"/>
          <w:vertAlign w:val="subscript"/>
          <w14:textFill>
            <w14:solidFill>
              <w14:schemeClr w14:val="tx1"/>
            </w14:solidFill>
          </w14:textFill>
        </w:rPr>
        <w:t>Aeq</w:t>
      </w:r>
      <w:r>
        <w:rPr>
          <w:snapToGrid w:val="0"/>
          <w:color w:val="000000" w:themeColor="text1"/>
          <w:kern w:val="0"/>
          <w14:textFill>
            <w14:solidFill>
              <w14:schemeClr w14:val="tx1"/>
            </w14:solidFill>
          </w14:textFill>
        </w:rPr>
        <w:t>）</w:t>
      </w:r>
      <w:r>
        <w:rPr>
          <w:snapToGrid w:val="0"/>
          <w:color w:val="000000" w:themeColor="text1"/>
          <w:kern w:val="0"/>
          <w:vertAlign w:val="subscript"/>
          <w14:textFill>
            <w14:solidFill>
              <w14:schemeClr w14:val="tx1"/>
            </w14:solidFill>
          </w14:textFill>
        </w:rPr>
        <w:t>背</w:t>
      </w:r>
      <w:r>
        <w:rPr>
          <w:snapToGrid w:val="0"/>
          <w:color w:val="000000" w:themeColor="text1"/>
          <w:kern w:val="0"/>
          <w14:textFill>
            <w14:solidFill>
              <w14:schemeClr w14:val="tx1"/>
            </w14:solidFill>
          </w14:textFill>
        </w:rPr>
        <w:t>——环境噪声现状值，</w:t>
      </w:r>
      <w:r>
        <w:rPr>
          <w:color w:val="000000" w:themeColor="text1"/>
          <w14:textFill>
            <w14:solidFill>
              <w14:schemeClr w14:val="tx1"/>
            </w14:solidFill>
          </w14:textFill>
        </w:rPr>
        <w:t>[dB(A)]。</w:t>
      </w:r>
    </w:p>
    <w:p w14:paraId="38C13974">
      <w:pPr>
        <w:pStyle w:val="6"/>
        <w:rPr>
          <w:color w:val="000000" w:themeColor="text1"/>
          <w14:textFill>
            <w14:solidFill>
              <w14:schemeClr w14:val="tx1"/>
            </w14:solidFill>
          </w14:textFill>
        </w:rPr>
      </w:pPr>
      <w:r>
        <w:rPr>
          <w:color w:val="000000" w:themeColor="text1"/>
          <w14:textFill>
            <w14:solidFill>
              <w14:schemeClr w14:val="tx1"/>
            </w14:solidFill>
          </w14:textFill>
        </w:rPr>
        <w:t>评价标准</w:t>
      </w:r>
    </w:p>
    <w:p w14:paraId="2C38EE6A">
      <w:pPr>
        <w:ind w:firstLine="480"/>
        <w:rPr>
          <w:color w:val="000000" w:themeColor="text1"/>
          <w14:textFill>
            <w14:solidFill>
              <w14:schemeClr w14:val="tx1"/>
            </w14:solidFill>
          </w14:textFill>
        </w:rPr>
      </w:pPr>
      <w:r>
        <w:rPr>
          <w:color w:val="000000" w:themeColor="text1"/>
          <w14:textFill>
            <w14:solidFill>
              <w14:schemeClr w14:val="tx1"/>
            </w14:solidFill>
          </w14:textFill>
        </w:rPr>
        <w:t>厂界噪声执行《工业企业厂界环境噪声排放标准》（GB12348-2008）中的3类标准。</w:t>
      </w:r>
    </w:p>
    <w:p w14:paraId="46FBBABD">
      <w:pPr>
        <w:pStyle w:val="7"/>
        <w:rPr>
          <w:color w:val="000000" w:themeColor="text1"/>
          <w14:textFill>
            <w14:solidFill>
              <w14:schemeClr w14:val="tx1"/>
            </w14:solidFill>
          </w14:textFill>
        </w:rPr>
      </w:pPr>
      <w:r>
        <w:rPr>
          <w:color w:val="000000" w:themeColor="text1"/>
          <w14:textFill>
            <w14:solidFill>
              <w14:schemeClr w14:val="tx1"/>
            </w14:solidFill>
          </w14:textFill>
        </w:rPr>
        <w:t>工业企业厂界环境噪声排放标准单位：dB(A)</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932"/>
        <w:gridCol w:w="1980"/>
        <w:gridCol w:w="2182"/>
        <w:gridCol w:w="2182"/>
      </w:tblGrid>
      <w:tr w14:paraId="15347A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1932" w:type="dxa"/>
            <w:vMerge w:val="restart"/>
            <w:vAlign w:val="center"/>
          </w:tcPr>
          <w:p w14:paraId="2549A3B9">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名称</w:t>
            </w:r>
          </w:p>
        </w:tc>
        <w:tc>
          <w:tcPr>
            <w:tcW w:w="1980" w:type="dxa"/>
            <w:vMerge w:val="restart"/>
            <w:vAlign w:val="center"/>
          </w:tcPr>
          <w:p w14:paraId="2CECD1B9">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声环境功能区类别</w:t>
            </w:r>
          </w:p>
        </w:tc>
        <w:tc>
          <w:tcPr>
            <w:tcW w:w="4364" w:type="dxa"/>
            <w:gridSpan w:val="2"/>
            <w:vAlign w:val="center"/>
          </w:tcPr>
          <w:p w14:paraId="6109FAA0">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噪声限值</w:t>
            </w:r>
          </w:p>
        </w:tc>
      </w:tr>
      <w:tr w14:paraId="434D7D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1932" w:type="dxa"/>
            <w:vMerge w:val="continue"/>
            <w:vAlign w:val="center"/>
          </w:tcPr>
          <w:p w14:paraId="2BC9F0B7">
            <w:pPr>
              <w:pStyle w:val="70"/>
              <w:rPr>
                <w:b/>
                <w:bCs/>
                <w:color w:val="000000" w:themeColor="text1"/>
                <w14:textFill>
                  <w14:solidFill>
                    <w14:schemeClr w14:val="tx1"/>
                  </w14:solidFill>
                </w14:textFill>
              </w:rPr>
            </w:pPr>
          </w:p>
        </w:tc>
        <w:tc>
          <w:tcPr>
            <w:tcW w:w="1980" w:type="dxa"/>
            <w:vMerge w:val="continue"/>
            <w:vAlign w:val="center"/>
          </w:tcPr>
          <w:p w14:paraId="16255CF9">
            <w:pPr>
              <w:pStyle w:val="70"/>
              <w:rPr>
                <w:b/>
                <w:bCs/>
                <w:color w:val="000000" w:themeColor="text1"/>
                <w14:textFill>
                  <w14:solidFill>
                    <w14:schemeClr w14:val="tx1"/>
                  </w14:solidFill>
                </w14:textFill>
              </w:rPr>
            </w:pPr>
          </w:p>
        </w:tc>
        <w:tc>
          <w:tcPr>
            <w:tcW w:w="2182" w:type="dxa"/>
            <w:vAlign w:val="center"/>
          </w:tcPr>
          <w:p w14:paraId="0A527782">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昼间</w:t>
            </w:r>
          </w:p>
        </w:tc>
        <w:tc>
          <w:tcPr>
            <w:tcW w:w="2182" w:type="dxa"/>
            <w:vAlign w:val="center"/>
          </w:tcPr>
          <w:p w14:paraId="5CE7D27B">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夜间</w:t>
            </w:r>
          </w:p>
        </w:tc>
      </w:tr>
      <w:tr w14:paraId="6582FF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1932" w:type="dxa"/>
            <w:vAlign w:val="center"/>
          </w:tcPr>
          <w:p w14:paraId="0625BCA8">
            <w:pPr>
              <w:pStyle w:val="70"/>
              <w:rPr>
                <w:color w:val="000000" w:themeColor="text1"/>
                <w14:textFill>
                  <w14:solidFill>
                    <w14:schemeClr w14:val="tx1"/>
                  </w14:solidFill>
                </w14:textFill>
              </w:rPr>
            </w:pPr>
            <w:r>
              <w:rPr>
                <w:color w:val="000000" w:themeColor="text1"/>
                <w14:textFill>
                  <w14:solidFill>
                    <w14:schemeClr w14:val="tx1"/>
                  </w14:solidFill>
                </w14:textFill>
              </w:rPr>
              <w:t>项目厂界</w:t>
            </w:r>
          </w:p>
        </w:tc>
        <w:tc>
          <w:tcPr>
            <w:tcW w:w="1980" w:type="dxa"/>
            <w:vAlign w:val="center"/>
          </w:tcPr>
          <w:p w14:paraId="20426CDE">
            <w:pPr>
              <w:pStyle w:val="70"/>
              <w:rPr>
                <w:color w:val="000000" w:themeColor="text1"/>
                <w14:textFill>
                  <w14:solidFill>
                    <w14:schemeClr w14:val="tx1"/>
                  </w14:solidFill>
                </w14:textFill>
              </w:rPr>
            </w:pPr>
            <w:r>
              <w:rPr>
                <w:color w:val="000000" w:themeColor="text1"/>
                <w14:textFill>
                  <w14:solidFill>
                    <w14:schemeClr w14:val="tx1"/>
                  </w14:solidFill>
                </w14:textFill>
              </w:rPr>
              <w:t>3</w:t>
            </w:r>
          </w:p>
        </w:tc>
        <w:tc>
          <w:tcPr>
            <w:tcW w:w="2182" w:type="dxa"/>
            <w:vAlign w:val="center"/>
          </w:tcPr>
          <w:p w14:paraId="33438487">
            <w:pPr>
              <w:pStyle w:val="70"/>
              <w:rPr>
                <w:color w:val="000000" w:themeColor="text1"/>
                <w14:textFill>
                  <w14:solidFill>
                    <w14:schemeClr w14:val="tx1"/>
                  </w14:solidFill>
                </w14:textFill>
              </w:rPr>
            </w:pPr>
            <w:r>
              <w:rPr>
                <w:color w:val="000000" w:themeColor="text1"/>
                <w14:textFill>
                  <w14:solidFill>
                    <w14:schemeClr w14:val="tx1"/>
                  </w14:solidFill>
                </w14:textFill>
              </w:rPr>
              <w:t>65</w:t>
            </w:r>
          </w:p>
        </w:tc>
        <w:tc>
          <w:tcPr>
            <w:tcW w:w="2182" w:type="dxa"/>
            <w:vAlign w:val="center"/>
          </w:tcPr>
          <w:p w14:paraId="45FDBA2C">
            <w:pPr>
              <w:pStyle w:val="70"/>
              <w:rPr>
                <w:color w:val="000000" w:themeColor="text1"/>
                <w14:textFill>
                  <w14:solidFill>
                    <w14:schemeClr w14:val="tx1"/>
                  </w14:solidFill>
                </w14:textFill>
              </w:rPr>
            </w:pPr>
            <w:r>
              <w:rPr>
                <w:color w:val="000000" w:themeColor="text1"/>
                <w14:textFill>
                  <w14:solidFill>
                    <w14:schemeClr w14:val="tx1"/>
                  </w14:solidFill>
                </w14:textFill>
              </w:rPr>
              <w:t>55</w:t>
            </w:r>
          </w:p>
        </w:tc>
      </w:tr>
    </w:tbl>
    <w:p w14:paraId="0BB94656">
      <w:pPr>
        <w:pStyle w:val="6"/>
        <w:rPr>
          <w:color w:val="000000" w:themeColor="text1"/>
          <w14:textFill>
            <w14:solidFill>
              <w14:schemeClr w14:val="tx1"/>
            </w14:solidFill>
          </w14:textFill>
        </w:rPr>
      </w:pPr>
      <w:r>
        <w:rPr>
          <w:color w:val="000000" w:themeColor="text1"/>
          <w14:textFill>
            <w14:solidFill>
              <w14:schemeClr w14:val="tx1"/>
            </w14:solidFill>
          </w14:textFill>
        </w:rPr>
        <w:t>预测结果及分析</w:t>
      </w:r>
    </w:p>
    <w:p w14:paraId="0F8EF3A1">
      <w:pPr>
        <w:ind w:firstLine="480"/>
        <w:rPr>
          <w:color w:val="000000" w:themeColor="text1"/>
          <w14:textFill>
            <w14:solidFill>
              <w14:schemeClr w14:val="tx1"/>
            </w14:solidFill>
          </w14:textFill>
        </w:rPr>
      </w:pPr>
      <w:r>
        <w:rPr>
          <w:color w:val="000000" w:themeColor="text1"/>
          <w14:textFill>
            <w14:solidFill>
              <w14:schemeClr w14:val="tx1"/>
            </w14:solidFill>
          </w14:textFill>
        </w:rPr>
        <w:t>采用模式可模拟预测拟建项目噪声源同时产生噪声对建设项目厂界的影响，以拟建项目工程的噪声贡献值作为评价量。</w:t>
      </w:r>
    </w:p>
    <w:p w14:paraId="12D23676">
      <w:pPr>
        <w:pStyle w:val="7"/>
        <w:rPr>
          <w:color w:val="000000" w:themeColor="text1"/>
          <w14:textFill>
            <w14:solidFill>
              <w14:schemeClr w14:val="tx1"/>
            </w14:solidFill>
          </w14:textFill>
        </w:rPr>
      </w:pPr>
      <w:r>
        <w:rPr>
          <w:color w:val="000000" w:themeColor="text1"/>
          <w14:textFill>
            <w14:solidFill>
              <w14:schemeClr w14:val="tx1"/>
            </w14:solidFill>
          </w14:textFill>
        </w:rPr>
        <w:t>厂界噪声预测结果            单位：dB(A)</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75"/>
        <w:gridCol w:w="1569"/>
        <w:gridCol w:w="1010"/>
        <w:gridCol w:w="1126"/>
        <w:gridCol w:w="897"/>
        <w:gridCol w:w="1223"/>
        <w:gridCol w:w="927"/>
        <w:gridCol w:w="849"/>
      </w:tblGrid>
      <w:tr w14:paraId="7C1633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8" w:hRule="atLeast"/>
          <w:tblHeader/>
          <w:jc w:val="center"/>
        </w:trPr>
        <w:tc>
          <w:tcPr>
            <w:tcW w:w="675" w:type="dxa"/>
            <w:vMerge w:val="restart"/>
            <w:vAlign w:val="center"/>
          </w:tcPr>
          <w:p w14:paraId="7C185F59">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序号</w:t>
            </w:r>
          </w:p>
        </w:tc>
        <w:tc>
          <w:tcPr>
            <w:tcW w:w="1569" w:type="dxa"/>
            <w:vMerge w:val="restart"/>
            <w:vAlign w:val="center"/>
          </w:tcPr>
          <w:p w14:paraId="452CE9F9">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预测点及名称</w:t>
            </w:r>
          </w:p>
        </w:tc>
        <w:tc>
          <w:tcPr>
            <w:tcW w:w="4256" w:type="dxa"/>
            <w:gridSpan w:val="4"/>
            <w:vAlign w:val="center"/>
          </w:tcPr>
          <w:p w14:paraId="6986C131">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贡献值</w:t>
            </w:r>
          </w:p>
        </w:tc>
        <w:tc>
          <w:tcPr>
            <w:tcW w:w="1776" w:type="dxa"/>
            <w:gridSpan w:val="2"/>
            <w:vAlign w:val="center"/>
          </w:tcPr>
          <w:p w14:paraId="270A709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标准限值</w:t>
            </w:r>
          </w:p>
        </w:tc>
      </w:tr>
      <w:tr w14:paraId="6BE9E3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8" w:hRule="atLeast"/>
          <w:tblHeader/>
          <w:jc w:val="center"/>
        </w:trPr>
        <w:tc>
          <w:tcPr>
            <w:tcW w:w="675" w:type="dxa"/>
            <w:vMerge w:val="continue"/>
            <w:vAlign w:val="center"/>
          </w:tcPr>
          <w:p w14:paraId="297B1C2E">
            <w:pPr>
              <w:pStyle w:val="70"/>
              <w:rPr>
                <w:b/>
                <w:bCs/>
                <w:color w:val="000000" w:themeColor="text1"/>
                <w14:textFill>
                  <w14:solidFill>
                    <w14:schemeClr w14:val="tx1"/>
                  </w14:solidFill>
                </w14:textFill>
              </w:rPr>
            </w:pPr>
          </w:p>
        </w:tc>
        <w:tc>
          <w:tcPr>
            <w:tcW w:w="1569" w:type="dxa"/>
            <w:vMerge w:val="continue"/>
            <w:vAlign w:val="center"/>
          </w:tcPr>
          <w:p w14:paraId="17D5EC4F">
            <w:pPr>
              <w:pStyle w:val="70"/>
              <w:rPr>
                <w:b/>
                <w:bCs/>
                <w:color w:val="000000" w:themeColor="text1"/>
                <w14:textFill>
                  <w14:solidFill>
                    <w14:schemeClr w14:val="tx1"/>
                  </w14:solidFill>
                </w14:textFill>
              </w:rPr>
            </w:pPr>
          </w:p>
        </w:tc>
        <w:tc>
          <w:tcPr>
            <w:tcW w:w="1010" w:type="dxa"/>
            <w:vAlign w:val="center"/>
          </w:tcPr>
          <w:p w14:paraId="1BCB61C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昼间</w:t>
            </w:r>
          </w:p>
        </w:tc>
        <w:tc>
          <w:tcPr>
            <w:tcW w:w="1126" w:type="dxa"/>
            <w:vAlign w:val="center"/>
          </w:tcPr>
          <w:p w14:paraId="4EF816B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达标情况</w:t>
            </w:r>
          </w:p>
        </w:tc>
        <w:tc>
          <w:tcPr>
            <w:tcW w:w="897" w:type="dxa"/>
            <w:vAlign w:val="center"/>
          </w:tcPr>
          <w:p w14:paraId="308BBA24">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夜间</w:t>
            </w:r>
          </w:p>
        </w:tc>
        <w:tc>
          <w:tcPr>
            <w:tcW w:w="1223" w:type="dxa"/>
            <w:vAlign w:val="center"/>
          </w:tcPr>
          <w:p w14:paraId="1128A03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达标情况</w:t>
            </w:r>
          </w:p>
        </w:tc>
        <w:tc>
          <w:tcPr>
            <w:tcW w:w="927" w:type="dxa"/>
            <w:vAlign w:val="center"/>
          </w:tcPr>
          <w:p w14:paraId="7D2B7EF2">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昼间</w:t>
            </w:r>
          </w:p>
        </w:tc>
        <w:tc>
          <w:tcPr>
            <w:tcW w:w="849" w:type="dxa"/>
            <w:vAlign w:val="center"/>
          </w:tcPr>
          <w:p w14:paraId="00177E2D">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夜间</w:t>
            </w:r>
          </w:p>
        </w:tc>
      </w:tr>
      <w:tr w14:paraId="7B180F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8" w:hRule="atLeast"/>
          <w:jc w:val="center"/>
        </w:trPr>
        <w:tc>
          <w:tcPr>
            <w:tcW w:w="675" w:type="dxa"/>
            <w:vAlign w:val="center"/>
          </w:tcPr>
          <w:p w14:paraId="4381DB67">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c>
          <w:tcPr>
            <w:tcW w:w="1569" w:type="dxa"/>
            <w:vAlign w:val="center"/>
          </w:tcPr>
          <w:p w14:paraId="21323198">
            <w:pPr>
              <w:pStyle w:val="70"/>
              <w:rPr>
                <w:color w:val="000000" w:themeColor="text1"/>
                <w14:textFill>
                  <w14:solidFill>
                    <w14:schemeClr w14:val="tx1"/>
                  </w14:solidFill>
                </w14:textFill>
              </w:rPr>
            </w:pPr>
            <w:r>
              <w:rPr>
                <w:color w:val="000000" w:themeColor="text1"/>
                <w14:textFill>
                  <w14:solidFill>
                    <w14:schemeClr w14:val="tx1"/>
                  </w14:solidFill>
                </w14:textFill>
              </w:rPr>
              <w:t>厂界东</w:t>
            </w:r>
          </w:p>
        </w:tc>
        <w:tc>
          <w:tcPr>
            <w:tcW w:w="1010" w:type="dxa"/>
            <w:vAlign w:val="center"/>
          </w:tcPr>
          <w:p w14:paraId="4640180E">
            <w:pPr>
              <w:pStyle w:val="70"/>
              <w:rPr>
                <w:color w:val="000000" w:themeColor="text1"/>
                <w14:textFill>
                  <w14:solidFill>
                    <w14:schemeClr w14:val="tx1"/>
                  </w14:solidFill>
                </w14:textFill>
              </w:rPr>
            </w:pPr>
            <w:r>
              <w:rPr>
                <w:color w:val="000000" w:themeColor="text1"/>
                <w14:textFill>
                  <w14:solidFill>
                    <w14:schemeClr w14:val="tx1"/>
                  </w14:solidFill>
                </w14:textFill>
              </w:rPr>
              <w:t>42.61</w:t>
            </w:r>
          </w:p>
        </w:tc>
        <w:tc>
          <w:tcPr>
            <w:tcW w:w="1126" w:type="dxa"/>
            <w:vAlign w:val="center"/>
          </w:tcPr>
          <w:p w14:paraId="583AD643">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c>
          <w:tcPr>
            <w:tcW w:w="897" w:type="dxa"/>
            <w:vAlign w:val="center"/>
          </w:tcPr>
          <w:p w14:paraId="668056AD">
            <w:pPr>
              <w:pStyle w:val="70"/>
              <w:rPr>
                <w:color w:val="000000" w:themeColor="text1"/>
                <w14:textFill>
                  <w14:solidFill>
                    <w14:schemeClr w14:val="tx1"/>
                  </w14:solidFill>
                </w14:textFill>
              </w:rPr>
            </w:pPr>
            <w:r>
              <w:rPr>
                <w:color w:val="000000" w:themeColor="text1"/>
                <w14:textFill>
                  <w14:solidFill>
                    <w14:schemeClr w14:val="tx1"/>
                  </w14:solidFill>
                </w14:textFill>
              </w:rPr>
              <w:t>42.61</w:t>
            </w:r>
          </w:p>
        </w:tc>
        <w:tc>
          <w:tcPr>
            <w:tcW w:w="1223" w:type="dxa"/>
            <w:vAlign w:val="center"/>
          </w:tcPr>
          <w:p w14:paraId="1C3DF14E">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c>
          <w:tcPr>
            <w:tcW w:w="927" w:type="dxa"/>
            <w:vAlign w:val="center"/>
          </w:tcPr>
          <w:p w14:paraId="5CD88A3F">
            <w:pPr>
              <w:pStyle w:val="70"/>
              <w:rPr>
                <w:color w:val="000000" w:themeColor="text1"/>
                <w14:textFill>
                  <w14:solidFill>
                    <w14:schemeClr w14:val="tx1"/>
                  </w14:solidFill>
                </w14:textFill>
              </w:rPr>
            </w:pPr>
            <w:r>
              <w:rPr>
                <w:color w:val="000000" w:themeColor="text1"/>
                <w14:textFill>
                  <w14:solidFill>
                    <w14:schemeClr w14:val="tx1"/>
                  </w14:solidFill>
                </w14:textFill>
              </w:rPr>
              <w:t>65</w:t>
            </w:r>
          </w:p>
        </w:tc>
        <w:tc>
          <w:tcPr>
            <w:tcW w:w="849" w:type="dxa"/>
            <w:vAlign w:val="center"/>
          </w:tcPr>
          <w:p w14:paraId="07AD3BC7">
            <w:pPr>
              <w:pStyle w:val="70"/>
              <w:rPr>
                <w:color w:val="000000" w:themeColor="text1"/>
                <w14:textFill>
                  <w14:solidFill>
                    <w14:schemeClr w14:val="tx1"/>
                  </w14:solidFill>
                </w14:textFill>
              </w:rPr>
            </w:pPr>
            <w:r>
              <w:rPr>
                <w:color w:val="000000" w:themeColor="text1"/>
                <w14:textFill>
                  <w14:solidFill>
                    <w14:schemeClr w14:val="tx1"/>
                  </w14:solidFill>
                </w14:textFill>
              </w:rPr>
              <w:t>55</w:t>
            </w:r>
          </w:p>
        </w:tc>
      </w:tr>
      <w:tr w14:paraId="608A06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7" w:hRule="atLeast"/>
          <w:jc w:val="center"/>
        </w:trPr>
        <w:tc>
          <w:tcPr>
            <w:tcW w:w="675" w:type="dxa"/>
            <w:vAlign w:val="center"/>
          </w:tcPr>
          <w:p w14:paraId="6188A3DB">
            <w:pPr>
              <w:pStyle w:val="70"/>
              <w:rPr>
                <w:color w:val="000000" w:themeColor="text1"/>
                <w14:textFill>
                  <w14:solidFill>
                    <w14:schemeClr w14:val="tx1"/>
                  </w14:solidFill>
                </w14:textFill>
              </w:rPr>
            </w:pPr>
            <w:r>
              <w:rPr>
                <w:color w:val="000000" w:themeColor="text1"/>
                <w14:textFill>
                  <w14:solidFill>
                    <w14:schemeClr w14:val="tx1"/>
                  </w14:solidFill>
                </w14:textFill>
              </w:rPr>
              <w:t>2</w:t>
            </w:r>
          </w:p>
        </w:tc>
        <w:tc>
          <w:tcPr>
            <w:tcW w:w="1569" w:type="dxa"/>
            <w:vAlign w:val="center"/>
          </w:tcPr>
          <w:p w14:paraId="13D11DCB">
            <w:pPr>
              <w:pStyle w:val="70"/>
              <w:rPr>
                <w:color w:val="000000" w:themeColor="text1"/>
                <w14:textFill>
                  <w14:solidFill>
                    <w14:schemeClr w14:val="tx1"/>
                  </w14:solidFill>
                </w14:textFill>
              </w:rPr>
            </w:pPr>
            <w:r>
              <w:rPr>
                <w:color w:val="000000" w:themeColor="text1"/>
                <w14:textFill>
                  <w14:solidFill>
                    <w14:schemeClr w14:val="tx1"/>
                  </w14:solidFill>
                </w14:textFill>
              </w:rPr>
              <w:t>厂界南</w:t>
            </w:r>
          </w:p>
        </w:tc>
        <w:tc>
          <w:tcPr>
            <w:tcW w:w="1010" w:type="dxa"/>
            <w:vAlign w:val="center"/>
          </w:tcPr>
          <w:p w14:paraId="03994875">
            <w:pPr>
              <w:pStyle w:val="70"/>
              <w:rPr>
                <w:color w:val="000000" w:themeColor="text1"/>
                <w14:textFill>
                  <w14:solidFill>
                    <w14:schemeClr w14:val="tx1"/>
                  </w14:solidFill>
                </w14:textFill>
              </w:rPr>
            </w:pPr>
            <w:r>
              <w:rPr>
                <w:color w:val="000000" w:themeColor="text1"/>
                <w14:textFill>
                  <w14:solidFill>
                    <w14:schemeClr w14:val="tx1"/>
                  </w14:solidFill>
                </w14:textFill>
              </w:rPr>
              <w:t>47.37</w:t>
            </w:r>
          </w:p>
        </w:tc>
        <w:tc>
          <w:tcPr>
            <w:tcW w:w="1126" w:type="dxa"/>
            <w:vAlign w:val="center"/>
          </w:tcPr>
          <w:p w14:paraId="57958660">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c>
          <w:tcPr>
            <w:tcW w:w="897" w:type="dxa"/>
            <w:vAlign w:val="center"/>
          </w:tcPr>
          <w:p w14:paraId="17EBB7F9">
            <w:pPr>
              <w:pStyle w:val="70"/>
              <w:rPr>
                <w:color w:val="000000" w:themeColor="text1"/>
                <w14:textFill>
                  <w14:solidFill>
                    <w14:schemeClr w14:val="tx1"/>
                  </w14:solidFill>
                </w14:textFill>
              </w:rPr>
            </w:pPr>
            <w:r>
              <w:rPr>
                <w:color w:val="000000" w:themeColor="text1"/>
                <w14:textFill>
                  <w14:solidFill>
                    <w14:schemeClr w14:val="tx1"/>
                  </w14:solidFill>
                </w14:textFill>
              </w:rPr>
              <w:t>47.37</w:t>
            </w:r>
          </w:p>
        </w:tc>
        <w:tc>
          <w:tcPr>
            <w:tcW w:w="1223" w:type="dxa"/>
            <w:vAlign w:val="center"/>
          </w:tcPr>
          <w:p w14:paraId="2A5AB02A">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c>
          <w:tcPr>
            <w:tcW w:w="927" w:type="dxa"/>
            <w:vAlign w:val="center"/>
          </w:tcPr>
          <w:p w14:paraId="4171F348">
            <w:pPr>
              <w:pStyle w:val="70"/>
              <w:rPr>
                <w:color w:val="000000" w:themeColor="text1"/>
                <w14:textFill>
                  <w14:solidFill>
                    <w14:schemeClr w14:val="tx1"/>
                  </w14:solidFill>
                </w14:textFill>
              </w:rPr>
            </w:pPr>
            <w:r>
              <w:rPr>
                <w:color w:val="000000" w:themeColor="text1"/>
                <w14:textFill>
                  <w14:solidFill>
                    <w14:schemeClr w14:val="tx1"/>
                  </w14:solidFill>
                </w14:textFill>
              </w:rPr>
              <w:t>65</w:t>
            </w:r>
          </w:p>
        </w:tc>
        <w:tc>
          <w:tcPr>
            <w:tcW w:w="849" w:type="dxa"/>
            <w:vAlign w:val="center"/>
          </w:tcPr>
          <w:p w14:paraId="791A61FA">
            <w:pPr>
              <w:pStyle w:val="70"/>
              <w:rPr>
                <w:color w:val="000000" w:themeColor="text1"/>
                <w14:textFill>
                  <w14:solidFill>
                    <w14:schemeClr w14:val="tx1"/>
                  </w14:solidFill>
                </w14:textFill>
              </w:rPr>
            </w:pPr>
            <w:r>
              <w:rPr>
                <w:color w:val="000000" w:themeColor="text1"/>
                <w14:textFill>
                  <w14:solidFill>
                    <w14:schemeClr w14:val="tx1"/>
                  </w14:solidFill>
                </w14:textFill>
              </w:rPr>
              <w:t>55</w:t>
            </w:r>
          </w:p>
        </w:tc>
      </w:tr>
      <w:tr w14:paraId="22CEE8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6" w:hRule="atLeast"/>
          <w:jc w:val="center"/>
        </w:trPr>
        <w:tc>
          <w:tcPr>
            <w:tcW w:w="675" w:type="dxa"/>
            <w:vAlign w:val="center"/>
          </w:tcPr>
          <w:p w14:paraId="722A7C8A">
            <w:pPr>
              <w:pStyle w:val="7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569" w:type="dxa"/>
            <w:vAlign w:val="center"/>
          </w:tcPr>
          <w:p w14:paraId="6220FADC">
            <w:pPr>
              <w:pStyle w:val="70"/>
              <w:rPr>
                <w:color w:val="000000" w:themeColor="text1"/>
                <w14:textFill>
                  <w14:solidFill>
                    <w14:schemeClr w14:val="tx1"/>
                  </w14:solidFill>
                </w14:textFill>
              </w:rPr>
            </w:pPr>
            <w:r>
              <w:rPr>
                <w:color w:val="000000" w:themeColor="text1"/>
                <w14:textFill>
                  <w14:solidFill>
                    <w14:schemeClr w14:val="tx1"/>
                  </w14:solidFill>
                </w14:textFill>
              </w:rPr>
              <w:t>厂界西</w:t>
            </w:r>
          </w:p>
        </w:tc>
        <w:tc>
          <w:tcPr>
            <w:tcW w:w="1010" w:type="dxa"/>
            <w:vAlign w:val="center"/>
          </w:tcPr>
          <w:p w14:paraId="2EABFB14">
            <w:pPr>
              <w:pStyle w:val="70"/>
              <w:rPr>
                <w:color w:val="000000" w:themeColor="text1"/>
                <w14:textFill>
                  <w14:solidFill>
                    <w14:schemeClr w14:val="tx1"/>
                  </w14:solidFill>
                </w14:textFill>
              </w:rPr>
            </w:pPr>
            <w:r>
              <w:rPr>
                <w:color w:val="000000" w:themeColor="text1"/>
                <w14:textFill>
                  <w14:solidFill>
                    <w14:schemeClr w14:val="tx1"/>
                  </w14:solidFill>
                </w14:textFill>
              </w:rPr>
              <w:t>43.70</w:t>
            </w:r>
          </w:p>
        </w:tc>
        <w:tc>
          <w:tcPr>
            <w:tcW w:w="1126" w:type="dxa"/>
            <w:vAlign w:val="center"/>
          </w:tcPr>
          <w:p w14:paraId="233D2AD9">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c>
          <w:tcPr>
            <w:tcW w:w="897" w:type="dxa"/>
            <w:vAlign w:val="center"/>
          </w:tcPr>
          <w:p w14:paraId="6BF7F4D9">
            <w:pPr>
              <w:pStyle w:val="70"/>
              <w:rPr>
                <w:color w:val="000000" w:themeColor="text1"/>
                <w14:textFill>
                  <w14:solidFill>
                    <w14:schemeClr w14:val="tx1"/>
                  </w14:solidFill>
                </w14:textFill>
              </w:rPr>
            </w:pPr>
            <w:r>
              <w:rPr>
                <w:color w:val="000000" w:themeColor="text1"/>
                <w14:textFill>
                  <w14:solidFill>
                    <w14:schemeClr w14:val="tx1"/>
                  </w14:solidFill>
                </w14:textFill>
              </w:rPr>
              <w:t>43.70</w:t>
            </w:r>
          </w:p>
        </w:tc>
        <w:tc>
          <w:tcPr>
            <w:tcW w:w="1223" w:type="dxa"/>
            <w:vAlign w:val="center"/>
          </w:tcPr>
          <w:p w14:paraId="22BC7553">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c>
          <w:tcPr>
            <w:tcW w:w="927" w:type="dxa"/>
            <w:vAlign w:val="center"/>
          </w:tcPr>
          <w:p w14:paraId="40ABCEF8">
            <w:pPr>
              <w:pStyle w:val="70"/>
              <w:rPr>
                <w:color w:val="000000" w:themeColor="text1"/>
                <w14:textFill>
                  <w14:solidFill>
                    <w14:schemeClr w14:val="tx1"/>
                  </w14:solidFill>
                </w14:textFill>
              </w:rPr>
            </w:pPr>
            <w:r>
              <w:rPr>
                <w:color w:val="000000" w:themeColor="text1"/>
                <w14:textFill>
                  <w14:solidFill>
                    <w14:schemeClr w14:val="tx1"/>
                  </w14:solidFill>
                </w14:textFill>
              </w:rPr>
              <w:t>65</w:t>
            </w:r>
          </w:p>
        </w:tc>
        <w:tc>
          <w:tcPr>
            <w:tcW w:w="849" w:type="dxa"/>
            <w:vAlign w:val="center"/>
          </w:tcPr>
          <w:p w14:paraId="6D2719E4">
            <w:pPr>
              <w:pStyle w:val="70"/>
              <w:rPr>
                <w:color w:val="000000" w:themeColor="text1"/>
                <w14:textFill>
                  <w14:solidFill>
                    <w14:schemeClr w14:val="tx1"/>
                  </w14:solidFill>
                </w14:textFill>
              </w:rPr>
            </w:pPr>
            <w:r>
              <w:rPr>
                <w:color w:val="000000" w:themeColor="text1"/>
                <w14:textFill>
                  <w14:solidFill>
                    <w14:schemeClr w14:val="tx1"/>
                  </w14:solidFill>
                </w14:textFill>
              </w:rPr>
              <w:t>55</w:t>
            </w:r>
          </w:p>
        </w:tc>
      </w:tr>
      <w:tr w14:paraId="110E55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9" w:hRule="atLeast"/>
          <w:jc w:val="center"/>
        </w:trPr>
        <w:tc>
          <w:tcPr>
            <w:tcW w:w="675" w:type="dxa"/>
            <w:vAlign w:val="center"/>
          </w:tcPr>
          <w:p w14:paraId="7809528B">
            <w:pPr>
              <w:pStyle w:val="70"/>
              <w:rPr>
                <w:color w:val="000000" w:themeColor="text1"/>
                <w14:textFill>
                  <w14:solidFill>
                    <w14:schemeClr w14:val="tx1"/>
                  </w14:solidFill>
                </w14:textFill>
              </w:rPr>
            </w:pPr>
            <w:r>
              <w:rPr>
                <w:color w:val="000000" w:themeColor="text1"/>
                <w14:textFill>
                  <w14:solidFill>
                    <w14:schemeClr w14:val="tx1"/>
                  </w14:solidFill>
                </w14:textFill>
              </w:rPr>
              <w:t>4</w:t>
            </w:r>
          </w:p>
        </w:tc>
        <w:tc>
          <w:tcPr>
            <w:tcW w:w="1569" w:type="dxa"/>
            <w:vAlign w:val="center"/>
          </w:tcPr>
          <w:p w14:paraId="5E51FFD7">
            <w:pPr>
              <w:pStyle w:val="70"/>
              <w:rPr>
                <w:color w:val="000000" w:themeColor="text1"/>
                <w14:textFill>
                  <w14:solidFill>
                    <w14:schemeClr w14:val="tx1"/>
                  </w14:solidFill>
                </w14:textFill>
              </w:rPr>
            </w:pPr>
            <w:r>
              <w:rPr>
                <w:color w:val="000000" w:themeColor="text1"/>
                <w14:textFill>
                  <w14:solidFill>
                    <w14:schemeClr w14:val="tx1"/>
                  </w14:solidFill>
                </w14:textFill>
              </w:rPr>
              <w:t>厂界北</w:t>
            </w:r>
          </w:p>
        </w:tc>
        <w:tc>
          <w:tcPr>
            <w:tcW w:w="1010" w:type="dxa"/>
            <w:vAlign w:val="center"/>
          </w:tcPr>
          <w:p w14:paraId="4130AF76">
            <w:pPr>
              <w:pStyle w:val="70"/>
              <w:rPr>
                <w:color w:val="000000" w:themeColor="text1"/>
                <w14:textFill>
                  <w14:solidFill>
                    <w14:schemeClr w14:val="tx1"/>
                  </w14:solidFill>
                </w14:textFill>
              </w:rPr>
            </w:pPr>
            <w:r>
              <w:rPr>
                <w:color w:val="000000" w:themeColor="text1"/>
                <w14:textFill>
                  <w14:solidFill>
                    <w14:schemeClr w14:val="tx1"/>
                  </w14:solidFill>
                </w14:textFill>
              </w:rPr>
              <w:t>48.81</w:t>
            </w:r>
          </w:p>
        </w:tc>
        <w:tc>
          <w:tcPr>
            <w:tcW w:w="1126" w:type="dxa"/>
            <w:vAlign w:val="center"/>
          </w:tcPr>
          <w:p w14:paraId="43ECB16D">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c>
          <w:tcPr>
            <w:tcW w:w="897" w:type="dxa"/>
            <w:vAlign w:val="center"/>
          </w:tcPr>
          <w:p w14:paraId="26DBB594">
            <w:pPr>
              <w:pStyle w:val="70"/>
              <w:rPr>
                <w:color w:val="000000" w:themeColor="text1"/>
                <w14:textFill>
                  <w14:solidFill>
                    <w14:schemeClr w14:val="tx1"/>
                  </w14:solidFill>
                </w14:textFill>
              </w:rPr>
            </w:pPr>
            <w:r>
              <w:rPr>
                <w:color w:val="000000" w:themeColor="text1"/>
                <w14:textFill>
                  <w14:solidFill>
                    <w14:schemeClr w14:val="tx1"/>
                  </w14:solidFill>
                </w14:textFill>
              </w:rPr>
              <w:t>48.81</w:t>
            </w:r>
          </w:p>
        </w:tc>
        <w:tc>
          <w:tcPr>
            <w:tcW w:w="1223" w:type="dxa"/>
            <w:vAlign w:val="center"/>
          </w:tcPr>
          <w:p w14:paraId="5BBE4176">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c>
          <w:tcPr>
            <w:tcW w:w="927" w:type="dxa"/>
            <w:vAlign w:val="center"/>
          </w:tcPr>
          <w:p w14:paraId="39A423E7">
            <w:pPr>
              <w:pStyle w:val="70"/>
              <w:rPr>
                <w:color w:val="000000" w:themeColor="text1"/>
                <w14:textFill>
                  <w14:solidFill>
                    <w14:schemeClr w14:val="tx1"/>
                  </w14:solidFill>
                </w14:textFill>
              </w:rPr>
            </w:pPr>
            <w:r>
              <w:rPr>
                <w:color w:val="000000" w:themeColor="text1"/>
                <w14:textFill>
                  <w14:solidFill>
                    <w14:schemeClr w14:val="tx1"/>
                  </w14:solidFill>
                </w14:textFill>
              </w:rPr>
              <w:t>65</w:t>
            </w:r>
          </w:p>
        </w:tc>
        <w:tc>
          <w:tcPr>
            <w:tcW w:w="849" w:type="dxa"/>
            <w:vAlign w:val="center"/>
          </w:tcPr>
          <w:p w14:paraId="54DA404B">
            <w:pPr>
              <w:pStyle w:val="70"/>
              <w:rPr>
                <w:color w:val="000000" w:themeColor="text1"/>
                <w14:textFill>
                  <w14:solidFill>
                    <w14:schemeClr w14:val="tx1"/>
                  </w14:solidFill>
                </w14:textFill>
              </w:rPr>
            </w:pPr>
            <w:r>
              <w:rPr>
                <w:color w:val="000000" w:themeColor="text1"/>
                <w14:textFill>
                  <w14:solidFill>
                    <w14:schemeClr w14:val="tx1"/>
                  </w14:solidFill>
                </w14:textFill>
              </w:rPr>
              <w:t>55</w:t>
            </w:r>
          </w:p>
        </w:tc>
      </w:tr>
    </w:tbl>
    <w:p w14:paraId="2D41AA89">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本项目运营期厂界噪声预测贡献值可以达到《工业企业厂界环境噪声排放标准》（GB12348-2008）3类噪声排放限值要求，噪声评价范围内已无敏感点，噪声排放对周围环境影响不大。</w:t>
      </w:r>
    </w:p>
    <w:p w14:paraId="4830EE58">
      <w:pPr>
        <w:pStyle w:val="4"/>
        <w:rPr>
          <w:color w:val="000000" w:themeColor="text1"/>
          <w14:textFill>
            <w14:solidFill>
              <w14:schemeClr w14:val="tx1"/>
            </w14:solidFill>
          </w14:textFill>
        </w:rPr>
      </w:pPr>
      <w:bookmarkStart w:id="709" w:name="_Toc216620581"/>
      <w:bookmarkStart w:id="710" w:name="_Toc29131853"/>
      <w:bookmarkStart w:id="711" w:name="_Toc136878517"/>
      <w:bookmarkStart w:id="712" w:name="_Toc216103422"/>
      <w:bookmarkStart w:id="713" w:name="_Toc25436994"/>
      <w:bookmarkStart w:id="714" w:name="_Toc135090251"/>
      <w:bookmarkStart w:id="715" w:name="_Toc26910040"/>
      <w:r>
        <w:rPr>
          <w:color w:val="000000" w:themeColor="text1"/>
          <w14:textFill>
            <w14:solidFill>
              <w14:schemeClr w14:val="tx1"/>
            </w14:solidFill>
          </w14:textFill>
        </w:rPr>
        <w:t>固体废物影响分析</w:t>
      </w:r>
      <w:bookmarkEnd w:id="709"/>
      <w:bookmarkEnd w:id="710"/>
      <w:bookmarkEnd w:id="711"/>
      <w:bookmarkEnd w:id="712"/>
      <w:bookmarkEnd w:id="713"/>
      <w:bookmarkEnd w:id="714"/>
      <w:bookmarkEnd w:id="715"/>
    </w:p>
    <w:p w14:paraId="25B56468">
      <w:pPr>
        <w:pStyle w:val="6"/>
        <w:rPr>
          <w:color w:val="000000" w:themeColor="text1"/>
          <w14:textFill>
            <w14:solidFill>
              <w14:schemeClr w14:val="tx1"/>
            </w14:solidFill>
          </w14:textFill>
        </w:rPr>
      </w:pPr>
      <w:r>
        <w:rPr>
          <w:color w:val="000000" w:themeColor="text1"/>
          <w14:textFill>
            <w14:solidFill>
              <w14:schemeClr w14:val="tx1"/>
            </w14:solidFill>
          </w14:textFill>
        </w:rPr>
        <w:t>一般固体废物环境影响分析</w:t>
      </w:r>
    </w:p>
    <w:p w14:paraId="79E8DE12">
      <w:pPr>
        <w:ind w:firstLine="480"/>
        <w:rPr>
          <w:color w:val="000000" w:themeColor="text1"/>
          <w14:textFill>
            <w14:solidFill>
              <w14:schemeClr w14:val="tx1"/>
            </w14:solidFill>
          </w14:textFill>
        </w:rPr>
      </w:pPr>
      <w:r>
        <w:rPr>
          <w:color w:val="000000" w:themeColor="text1"/>
          <w14:textFill>
            <w14:solidFill>
              <w14:schemeClr w14:val="tx1"/>
            </w14:solidFill>
          </w14:textFill>
        </w:rPr>
        <w:t>1）生活垃圾</w:t>
      </w:r>
    </w:p>
    <w:p w14:paraId="304DCA78">
      <w:pPr>
        <w:ind w:firstLine="480"/>
        <w:rPr>
          <w:color w:val="000000" w:themeColor="text1"/>
          <w14:textFill>
            <w14:solidFill>
              <w14:schemeClr w14:val="tx1"/>
            </w14:solidFill>
          </w14:textFill>
        </w:rPr>
      </w:pPr>
      <w:r>
        <w:rPr>
          <w:color w:val="000000" w:themeColor="text1"/>
          <w14:textFill>
            <w14:solidFill>
              <w14:schemeClr w14:val="tx1"/>
            </w14:solidFill>
          </w14:textFill>
        </w:rPr>
        <w:t>本</w:t>
      </w:r>
      <w:r>
        <w:rPr>
          <w:rFonts w:hint="eastAsia"/>
          <w:color w:val="000000" w:themeColor="text1"/>
          <w14:textFill>
            <w14:solidFill>
              <w14:schemeClr w14:val="tx1"/>
            </w14:solidFill>
          </w14:textFill>
        </w:rPr>
        <w:t>扩建</w:t>
      </w:r>
      <w:r>
        <w:rPr>
          <w:color w:val="000000" w:themeColor="text1"/>
          <w14:textFill>
            <w14:solidFill>
              <w14:schemeClr w14:val="tx1"/>
            </w14:solidFill>
          </w14:textFill>
        </w:rPr>
        <w:t>项目无新增劳动定员，无新增生活垃圾。</w:t>
      </w:r>
    </w:p>
    <w:p w14:paraId="70B8D067">
      <w:pPr>
        <w:ind w:firstLine="480"/>
        <w:rPr>
          <w:color w:val="000000" w:themeColor="text1"/>
          <w14:textFill>
            <w14:solidFill>
              <w14:schemeClr w14:val="tx1"/>
            </w14:solidFill>
          </w14:textFill>
        </w:rPr>
      </w:pPr>
      <w:r>
        <w:rPr>
          <w:color w:val="000000" w:themeColor="text1"/>
          <w14:textFill>
            <w14:solidFill>
              <w14:schemeClr w14:val="tx1"/>
            </w14:solidFill>
          </w14:textFill>
        </w:rPr>
        <w:t>2）船舶固废</w:t>
      </w:r>
    </w:p>
    <w:p w14:paraId="503D4478">
      <w:pPr>
        <w:ind w:firstLine="480"/>
        <w:rPr>
          <w:color w:val="000000" w:themeColor="text1"/>
          <w14:textFill>
            <w14:solidFill>
              <w14:schemeClr w14:val="tx1"/>
            </w14:solidFill>
          </w14:textFill>
        </w:rPr>
      </w:pPr>
      <w:r>
        <w:rPr>
          <w:color w:val="000000" w:themeColor="text1"/>
          <w14:textFill>
            <w14:solidFill>
              <w14:schemeClr w14:val="tx1"/>
            </w14:solidFill>
          </w14:textFill>
        </w:rPr>
        <w:t>根据设计代表船型，船员生活垃圾发生量按1.5kg/天•人计算，到港船舶生活垃圾发生量约为90kg/d，年发生量为29.7t/a。维修废弃物年发生量为6.0t/a。</w:t>
      </w:r>
    </w:p>
    <w:p w14:paraId="6525F749">
      <w:pPr>
        <w:ind w:firstLine="480"/>
        <w:rPr>
          <w:color w:val="000000" w:themeColor="text1"/>
          <w14:textFill>
            <w14:solidFill>
              <w14:schemeClr w14:val="tx1"/>
            </w14:solidFill>
          </w14:textFill>
        </w:rPr>
      </w:pPr>
      <w:r>
        <w:rPr>
          <w:color w:val="000000" w:themeColor="text1"/>
          <w14:textFill>
            <w14:solidFill>
              <w14:schemeClr w14:val="tx1"/>
            </w14:solidFill>
          </w14:textFill>
        </w:rPr>
        <w:t>来自疫情地区的船舶生活垃圾和保养产生的固体废物由具有相应资质的卫生检验检疫部门对其进行检疫之后按相关规定处理；非疫情地区的船舶垃圾由具有相关资质的单位接收处理。</w:t>
      </w:r>
    </w:p>
    <w:p w14:paraId="47588D5D">
      <w:pPr>
        <w:ind w:firstLine="4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本项目到港船舶不在本项目码头维修，故不产生船舶检修废物。</w:t>
      </w:r>
    </w:p>
    <w:p w14:paraId="0FA20853">
      <w:pPr>
        <w:pStyle w:val="6"/>
        <w:rPr>
          <w:color w:val="000000" w:themeColor="text1"/>
          <w14:textFill>
            <w14:solidFill>
              <w14:schemeClr w14:val="tx1"/>
            </w14:solidFill>
          </w14:textFill>
        </w:rPr>
      </w:pPr>
      <w:r>
        <w:rPr>
          <w:color w:val="000000" w:themeColor="text1"/>
          <w14:textFill>
            <w14:solidFill>
              <w14:schemeClr w14:val="tx1"/>
            </w14:solidFill>
          </w14:textFill>
        </w:rPr>
        <w:t>危险废物环境影响分析</w:t>
      </w:r>
    </w:p>
    <w:p w14:paraId="21512925">
      <w:pPr>
        <w:ind w:firstLine="470" w:firstLineChars="196"/>
        <w:rPr>
          <w:color w:val="000000" w:themeColor="text1"/>
          <w14:textFill>
            <w14:solidFill>
              <w14:schemeClr w14:val="tx1"/>
            </w14:solidFill>
          </w14:textFill>
        </w:rPr>
      </w:pPr>
      <w:r>
        <w:rPr>
          <w:rFonts w:hint="eastAsia"/>
          <w:color w:val="000000" w:themeColor="text1"/>
          <w14:textFill>
            <w14:solidFill>
              <w14:schemeClr w14:val="tx1"/>
            </w14:solidFill>
          </w14:textFill>
        </w:rPr>
        <w:t>运营期产生的危险废物主要包括含油废布及棉纱（0.05t/a），</w:t>
      </w:r>
      <w:r>
        <w:rPr>
          <w:rFonts w:hint="eastAsia"/>
          <w:color w:val="000000" w:themeColor="text1"/>
          <w:lang w:val="en-US" w:eastAsia="zh-CN"/>
          <w14:textFill>
            <w14:solidFill>
              <w14:schemeClr w14:val="tx1"/>
            </w14:solidFill>
          </w14:textFill>
        </w:rPr>
        <w:t>依托现有</w:t>
      </w:r>
      <w:r>
        <w:rPr>
          <w:rFonts w:hint="eastAsia"/>
          <w:color w:val="000000" w:themeColor="text1"/>
          <w14:textFill>
            <w14:solidFill>
              <w14:schemeClr w14:val="tx1"/>
            </w14:solidFill>
          </w14:textFill>
        </w:rPr>
        <w:t>危废暂存间</w:t>
      </w:r>
      <w:r>
        <w:rPr>
          <w:rFonts w:hint="eastAsia"/>
          <w:color w:val="000000" w:themeColor="text1"/>
          <w:lang w:val="en-US" w:eastAsia="zh-CN"/>
          <w14:textFill>
            <w14:solidFill>
              <w14:schemeClr w14:val="tx1"/>
            </w14:solidFill>
          </w14:textFill>
        </w:rPr>
        <w:t>暂</w:t>
      </w:r>
      <w:r>
        <w:rPr>
          <w:rFonts w:hint="eastAsia"/>
          <w:color w:val="000000" w:themeColor="text1"/>
          <w14:textFill>
            <w14:solidFill>
              <w14:schemeClr w14:val="tx1"/>
            </w14:solidFill>
          </w14:textFill>
        </w:rPr>
        <w:t>存，</w:t>
      </w:r>
      <w:r>
        <w:rPr>
          <w:rFonts w:hint="eastAsia"/>
          <w:color w:val="000000" w:themeColor="text1"/>
          <w:lang w:val="en-US" w:eastAsia="zh-CN"/>
          <w14:textFill>
            <w14:solidFill>
              <w14:schemeClr w14:val="tx1"/>
            </w14:solidFill>
          </w14:textFill>
        </w:rPr>
        <w:t>定期</w:t>
      </w:r>
      <w:r>
        <w:rPr>
          <w:rFonts w:hint="eastAsia"/>
          <w:color w:val="000000" w:themeColor="text1"/>
          <w14:textFill>
            <w14:solidFill>
              <w14:schemeClr w14:val="tx1"/>
            </w14:solidFill>
          </w14:textFill>
        </w:rPr>
        <w:t>交由有资质的单位接收处理。</w:t>
      </w:r>
    </w:p>
    <w:p w14:paraId="3CDA2CB9">
      <w:pPr>
        <w:pStyle w:val="7"/>
        <w:rPr>
          <w:color w:val="000000" w:themeColor="text1"/>
          <w14:textFill>
            <w14:solidFill>
              <w14:schemeClr w14:val="tx1"/>
            </w14:solidFill>
          </w14:textFill>
        </w:rPr>
      </w:pPr>
      <w:r>
        <w:rPr>
          <w:color w:val="000000" w:themeColor="text1"/>
          <w14:textFill>
            <w14:solidFill>
              <w14:schemeClr w14:val="tx1"/>
            </w14:solidFill>
          </w14:textFill>
        </w:rPr>
        <w:t xml:space="preserve"> </w:t>
      </w:r>
      <w:bookmarkStart w:id="716" w:name="_Toc135090252"/>
      <w:bookmarkStart w:id="717" w:name="_Toc216103423"/>
      <w:bookmarkStart w:id="718" w:name="_Toc136878518"/>
      <w:bookmarkStart w:id="719" w:name="_Toc216620582"/>
      <w:r>
        <w:rPr>
          <w:color w:val="000000" w:themeColor="text1"/>
          <w14:textFill>
            <w14:solidFill>
              <w14:schemeClr w14:val="tx1"/>
            </w14:solidFill>
          </w14:textFill>
        </w:rPr>
        <w:t>危废暂存间基本情况</w:t>
      </w:r>
    </w:p>
    <w:p w14:paraId="2EA4A5F1">
      <w:pPr>
        <w:spacing w:line="35" w:lineRule="exact"/>
        <w:ind w:firstLine="480"/>
        <w:rPr>
          <w:color w:val="000000" w:themeColor="text1"/>
          <w14:textFill>
            <w14:solidFill>
              <w14:schemeClr w14:val="tx1"/>
            </w14:solidFill>
          </w14:textFill>
        </w:rPr>
      </w:pPr>
    </w:p>
    <w:tbl>
      <w:tblPr>
        <w:tblStyle w:val="72"/>
        <w:tblW w:w="8366" w:type="dxa"/>
        <w:tblInd w:w="12"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957"/>
        <w:gridCol w:w="1242"/>
        <w:gridCol w:w="1022"/>
        <w:gridCol w:w="1361"/>
        <w:gridCol w:w="706"/>
        <w:gridCol w:w="1012"/>
        <w:gridCol w:w="1034"/>
        <w:gridCol w:w="1032"/>
      </w:tblGrid>
      <w:tr w14:paraId="4C8FB25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13" w:hRule="atLeast"/>
        </w:trPr>
        <w:tc>
          <w:tcPr>
            <w:tcW w:w="957" w:type="dxa"/>
            <w:vAlign w:val="center"/>
          </w:tcPr>
          <w:p w14:paraId="159689C2">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贮存场所</w:t>
            </w:r>
          </w:p>
        </w:tc>
        <w:tc>
          <w:tcPr>
            <w:tcW w:w="1242" w:type="dxa"/>
            <w:vAlign w:val="center"/>
          </w:tcPr>
          <w:p w14:paraId="79FBB4C6">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危废名称</w:t>
            </w:r>
          </w:p>
        </w:tc>
        <w:tc>
          <w:tcPr>
            <w:tcW w:w="1022" w:type="dxa"/>
            <w:vAlign w:val="center"/>
          </w:tcPr>
          <w:p w14:paraId="5375643E">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危险废物类别</w:t>
            </w:r>
          </w:p>
        </w:tc>
        <w:tc>
          <w:tcPr>
            <w:tcW w:w="1361" w:type="dxa"/>
            <w:vAlign w:val="center"/>
          </w:tcPr>
          <w:p w14:paraId="69A020C8">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危险废物代码</w:t>
            </w:r>
          </w:p>
        </w:tc>
        <w:tc>
          <w:tcPr>
            <w:tcW w:w="706" w:type="dxa"/>
            <w:vAlign w:val="center"/>
          </w:tcPr>
          <w:p w14:paraId="37E47CB6">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占地面积</w:t>
            </w:r>
          </w:p>
        </w:tc>
        <w:tc>
          <w:tcPr>
            <w:tcW w:w="1012" w:type="dxa"/>
            <w:vAlign w:val="center"/>
          </w:tcPr>
          <w:p w14:paraId="57566F58">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贮存方式</w:t>
            </w:r>
          </w:p>
        </w:tc>
        <w:tc>
          <w:tcPr>
            <w:tcW w:w="1034" w:type="dxa"/>
            <w:vAlign w:val="center"/>
          </w:tcPr>
          <w:p w14:paraId="70A515EB">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贮存</w:t>
            </w:r>
            <w:r>
              <w:rPr>
                <w:rFonts w:hint="eastAsia" w:asciiTheme="minorHAnsi" w:hAnsiTheme="minorHAnsi" w:eastAsiaTheme="minorEastAsia" w:cstheme="minorBidi"/>
                <w:b/>
                <w:bCs/>
                <w:color w:val="000000" w:themeColor="text1"/>
                <w:lang w:eastAsia="en-US"/>
                <w14:textFill>
                  <w14:solidFill>
                    <w14:schemeClr w14:val="tx1"/>
                  </w14:solidFill>
                </w14:textFill>
              </w:rPr>
              <w:t>量</w:t>
            </w:r>
          </w:p>
        </w:tc>
        <w:tc>
          <w:tcPr>
            <w:tcW w:w="1032" w:type="dxa"/>
            <w:vAlign w:val="center"/>
          </w:tcPr>
          <w:p w14:paraId="37C8A836">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贮存周期</w:t>
            </w:r>
          </w:p>
        </w:tc>
      </w:tr>
      <w:tr w14:paraId="53EBF3D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09" w:hRule="atLeast"/>
        </w:trPr>
        <w:tc>
          <w:tcPr>
            <w:tcW w:w="957" w:type="dxa"/>
            <w:vAlign w:val="center"/>
          </w:tcPr>
          <w:p w14:paraId="1C4551BD">
            <w:pPr>
              <w:pStyle w:val="70"/>
              <w:autoSpaceDE w:val="0"/>
              <w:autoSpaceDN w:val="0"/>
              <w:rPr>
                <w:rFonts w:asciiTheme="minorHAnsi" w:hAnsiTheme="minorHAnsi" w:eastAsiaTheme="minorEastAsia" w:cstheme="minorBidi"/>
                <w:color w:val="000000" w:themeColor="text1"/>
                <w:lang w:eastAsia="en-US"/>
                <w14:textFill>
                  <w14:solidFill>
                    <w14:schemeClr w14:val="tx1"/>
                  </w14:solidFill>
                </w14:textFill>
              </w:rPr>
            </w:pPr>
            <w:r>
              <w:rPr>
                <w:rFonts w:hint="eastAsia" w:asciiTheme="minorHAnsi" w:hAnsiTheme="minorHAnsi" w:eastAsiaTheme="minorEastAsia" w:cstheme="minorBidi"/>
                <w:color w:val="000000" w:themeColor="text1"/>
                <w:lang w:eastAsia="en-US"/>
                <w14:textFill>
                  <w14:solidFill>
                    <w14:schemeClr w14:val="tx1"/>
                  </w14:solidFill>
                </w14:textFill>
              </w:rPr>
              <w:t>一体化危废暂存间</w:t>
            </w:r>
          </w:p>
        </w:tc>
        <w:tc>
          <w:tcPr>
            <w:tcW w:w="1242" w:type="dxa"/>
            <w:vAlign w:val="center"/>
          </w:tcPr>
          <w:p w14:paraId="08E18246">
            <w:pPr>
              <w:pStyle w:val="70"/>
              <w:autoSpaceDE w:val="0"/>
              <w:autoSpaceDN w:val="0"/>
              <w:rPr>
                <w:rFonts w:asciiTheme="minorHAnsi" w:hAnsiTheme="minorHAnsi" w:eastAsiaTheme="minorEastAsia" w:cstheme="minorBidi"/>
                <w:color w:val="000000" w:themeColor="text1"/>
                <w:lang w:eastAsia="en-US"/>
                <w14:textFill>
                  <w14:solidFill>
                    <w14:schemeClr w14:val="tx1"/>
                  </w14:solidFill>
                </w14:textFill>
              </w:rPr>
            </w:pPr>
            <w:r>
              <w:rPr>
                <w:rFonts w:hint="eastAsia" w:asciiTheme="minorHAnsi" w:hAnsiTheme="minorHAnsi" w:eastAsiaTheme="minorEastAsia" w:cstheme="minorBidi"/>
                <w:color w:val="000000" w:themeColor="text1"/>
                <w:lang w:eastAsia="en-US"/>
                <w14:textFill>
                  <w14:solidFill>
                    <w14:schemeClr w14:val="tx1"/>
                  </w14:solidFill>
                </w14:textFill>
              </w:rPr>
              <w:t>含油废布及</w:t>
            </w:r>
            <w:r>
              <w:rPr>
                <w:rFonts w:asciiTheme="minorHAnsi" w:hAnsiTheme="minorHAnsi" w:eastAsiaTheme="minorEastAsia" w:cstheme="minorBidi"/>
                <w:color w:val="000000" w:themeColor="text1"/>
                <w:lang w:eastAsia="en-US"/>
                <w14:textFill>
                  <w14:solidFill>
                    <w14:schemeClr w14:val="tx1"/>
                  </w14:solidFill>
                </w14:textFill>
              </w:rPr>
              <w:t>棉纱</w:t>
            </w:r>
          </w:p>
        </w:tc>
        <w:tc>
          <w:tcPr>
            <w:tcW w:w="1022" w:type="dxa"/>
            <w:vAlign w:val="center"/>
          </w:tcPr>
          <w:p w14:paraId="6CFFD83D">
            <w:pPr>
              <w:pStyle w:val="70"/>
              <w:autoSpaceDE w:val="0"/>
              <w:autoSpaceDN w:val="0"/>
              <w:rPr>
                <w:rFonts w:asciiTheme="minorHAnsi" w:hAnsiTheme="minorHAnsi" w:eastAsiaTheme="minorEastAsia" w:cstheme="minorBidi"/>
                <w:color w:val="000000" w:themeColor="text1"/>
                <w:lang w:eastAsia="en-US"/>
                <w14:textFill>
                  <w14:solidFill>
                    <w14:schemeClr w14:val="tx1"/>
                  </w14:solidFill>
                </w14:textFill>
              </w:rPr>
            </w:pPr>
            <w:r>
              <w:rPr>
                <w:rFonts w:asciiTheme="minorHAnsi" w:hAnsiTheme="minorHAnsi" w:eastAsiaTheme="minorEastAsia" w:cstheme="minorBidi"/>
                <w:color w:val="000000" w:themeColor="text1"/>
                <w:lang w:eastAsia="en-US"/>
                <w14:textFill>
                  <w14:solidFill>
                    <w14:schemeClr w14:val="tx1"/>
                  </w14:solidFill>
                </w14:textFill>
              </w:rPr>
              <w:t>HW</w:t>
            </w:r>
            <w:r>
              <w:rPr>
                <w:rFonts w:hint="eastAsia" w:asciiTheme="minorHAnsi" w:hAnsiTheme="minorHAnsi" w:eastAsiaTheme="minorEastAsia" w:cstheme="minorBidi"/>
                <w:color w:val="000000" w:themeColor="text1"/>
                <w:lang w:eastAsia="en-US"/>
                <w14:textFill>
                  <w14:solidFill>
                    <w14:schemeClr w14:val="tx1"/>
                  </w14:solidFill>
                </w14:textFill>
              </w:rPr>
              <w:t>08</w:t>
            </w:r>
          </w:p>
        </w:tc>
        <w:tc>
          <w:tcPr>
            <w:tcW w:w="1361" w:type="dxa"/>
            <w:vAlign w:val="center"/>
          </w:tcPr>
          <w:p w14:paraId="2A2CFE90">
            <w:pPr>
              <w:pStyle w:val="70"/>
              <w:autoSpaceDE w:val="0"/>
              <w:autoSpaceDN w:val="0"/>
              <w:rPr>
                <w:rFonts w:asciiTheme="minorHAnsi" w:hAnsiTheme="minorHAnsi" w:eastAsiaTheme="minorEastAsia" w:cstheme="minorBidi"/>
                <w:color w:val="000000" w:themeColor="text1"/>
                <w:lang w:eastAsia="en-US"/>
                <w14:textFill>
                  <w14:solidFill>
                    <w14:schemeClr w14:val="tx1"/>
                  </w14:solidFill>
                </w14:textFill>
              </w:rPr>
            </w:pPr>
            <w:r>
              <w:rPr>
                <w:rFonts w:asciiTheme="minorHAnsi" w:hAnsiTheme="minorHAnsi" w:eastAsiaTheme="minorEastAsia" w:cstheme="minorBidi"/>
                <w:color w:val="000000" w:themeColor="text1"/>
                <w:lang w:eastAsia="en-US"/>
                <w14:textFill>
                  <w14:solidFill>
                    <w14:schemeClr w14:val="tx1"/>
                  </w14:solidFill>
                </w14:textFill>
              </w:rPr>
              <w:t>900-</w:t>
            </w:r>
            <w:r>
              <w:rPr>
                <w:rFonts w:hint="eastAsia" w:asciiTheme="minorHAnsi" w:hAnsiTheme="minorHAnsi" w:eastAsiaTheme="minorEastAsia" w:cstheme="minorBidi"/>
                <w:color w:val="000000" w:themeColor="text1"/>
                <w:lang w:eastAsia="en-US"/>
                <w14:textFill>
                  <w14:solidFill>
                    <w14:schemeClr w14:val="tx1"/>
                  </w14:solidFill>
                </w14:textFill>
              </w:rPr>
              <w:t>249</w:t>
            </w:r>
            <w:r>
              <w:rPr>
                <w:rFonts w:asciiTheme="minorHAnsi" w:hAnsiTheme="minorHAnsi" w:eastAsiaTheme="minorEastAsia" w:cstheme="minorBidi"/>
                <w:color w:val="000000" w:themeColor="text1"/>
                <w:lang w:eastAsia="en-US"/>
                <w14:textFill>
                  <w14:solidFill>
                    <w14:schemeClr w14:val="tx1"/>
                  </w14:solidFill>
                </w14:textFill>
              </w:rPr>
              <w:t>-</w:t>
            </w:r>
            <w:r>
              <w:rPr>
                <w:rFonts w:hint="eastAsia" w:asciiTheme="minorHAnsi" w:hAnsiTheme="minorHAnsi" w:eastAsiaTheme="minorEastAsia" w:cstheme="minorBidi"/>
                <w:color w:val="000000" w:themeColor="text1"/>
                <w:lang w:eastAsia="en-US"/>
                <w14:textFill>
                  <w14:solidFill>
                    <w14:schemeClr w14:val="tx1"/>
                  </w14:solidFill>
                </w14:textFill>
              </w:rPr>
              <w:t>08</w:t>
            </w:r>
          </w:p>
        </w:tc>
        <w:tc>
          <w:tcPr>
            <w:tcW w:w="706" w:type="dxa"/>
            <w:vAlign w:val="center"/>
          </w:tcPr>
          <w:p w14:paraId="5C9EA22A">
            <w:pPr>
              <w:pStyle w:val="70"/>
              <w:autoSpaceDE w:val="0"/>
              <w:autoSpaceDN w:val="0"/>
              <w:rPr>
                <w:rFonts w:asciiTheme="minorHAnsi" w:hAnsiTheme="minorHAnsi" w:eastAsiaTheme="minorEastAsia" w:cstheme="minorBidi"/>
                <w:color w:val="000000" w:themeColor="text1"/>
                <w:lang w:eastAsia="en-US"/>
                <w14:textFill>
                  <w14:solidFill>
                    <w14:schemeClr w14:val="tx1"/>
                  </w14:solidFill>
                </w14:textFill>
              </w:rPr>
            </w:pPr>
            <w:r>
              <w:rPr>
                <w:rFonts w:asciiTheme="minorHAnsi" w:hAnsiTheme="minorHAnsi" w:eastAsiaTheme="minorEastAsia" w:cstheme="minorBidi"/>
                <w:color w:val="000000" w:themeColor="text1"/>
                <w:lang w:eastAsia="en-US"/>
                <w14:textFill>
                  <w14:solidFill>
                    <w14:schemeClr w14:val="tx1"/>
                  </w14:solidFill>
                </w14:textFill>
              </w:rPr>
              <w:t>10m</w:t>
            </w:r>
            <w:r>
              <w:rPr>
                <w:rFonts w:asciiTheme="minorHAnsi" w:hAnsiTheme="minorHAnsi" w:eastAsiaTheme="minorEastAsia" w:cstheme="minorBidi"/>
                <w:color w:val="000000" w:themeColor="text1"/>
                <w:vertAlign w:val="superscript"/>
                <w:lang w:eastAsia="en-US"/>
                <w14:textFill>
                  <w14:solidFill>
                    <w14:schemeClr w14:val="tx1"/>
                  </w14:solidFill>
                </w14:textFill>
              </w:rPr>
              <w:t>2</w:t>
            </w:r>
          </w:p>
        </w:tc>
        <w:tc>
          <w:tcPr>
            <w:tcW w:w="1012" w:type="dxa"/>
            <w:vAlign w:val="center"/>
          </w:tcPr>
          <w:p w14:paraId="24EC9608">
            <w:pPr>
              <w:pStyle w:val="70"/>
              <w:autoSpaceDE w:val="0"/>
              <w:autoSpaceDN w:val="0"/>
              <w:rPr>
                <w:rFonts w:asciiTheme="minorHAnsi" w:hAnsiTheme="minorHAnsi" w:eastAsiaTheme="minorEastAsia" w:cstheme="minorBidi"/>
                <w:color w:val="000000" w:themeColor="text1"/>
                <w:lang w:eastAsia="en-US"/>
                <w14:textFill>
                  <w14:solidFill>
                    <w14:schemeClr w14:val="tx1"/>
                  </w14:solidFill>
                </w14:textFill>
              </w:rPr>
            </w:pPr>
            <w:r>
              <w:rPr>
                <w:rFonts w:asciiTheme="minorHAnsi" w:hAnsiTheme="minorHAnsi" w:eastAsiaTheme="minorEastAsia" w:cstheme="minorBidi"/>
                <w:color w:val="000000" w:themeColor="text1"/>
                <w:lang w:eastAsia="en-US"/>
                <w14:textFill>
                  <w14:solidFill>
                    <w14:schemeClr w14:val="tx1"/>
                  </w14:solidFill>
                </w14:textFill>
              </w:rPr>
              <w:t>/</w:t>
            </w:r>
          </w:p>
        </w:tc>
        <w:tc>
          <w:tcPr>
            <w:tcW w:w="1034" w:type="dxa"/>
            <w:vAlign w:val="center"/>
          </w:tcPr>
          <w:p w14:paraId="504668A9">
            <w:pPr>
              <w:pStyle w:val="70"/>
              <w:autoSpaceDE w:val="0"/>
              <w:autoSpaceDN w:val="0"/>
              <w:rPr>
                <w:rFonts w:asciiTheme="minorHAnsi" w:hAnsiTheme="minorHAnsi" w:eastAsiaTheme="minorEastAsia" w:cstheme="minorBidi"/>
                <w:color w:val="000000" w:themeColor="text1"/>
                <w:lang w:eastAsia="en-US"/>
                <w14:textFill>
                  <w14:solidFill>
                    <w14:schemeClr w14:val="tx1"/>
                  </w14:solidFill>
                </w14:textFill>
              </w:rPr>
            </w:pPr>
            <w:r>
              <w:rPr>
                <w:rFonts w:hint="eastAsia" w:asciiTheme="minorHAnsi" w:hAnsiTheme="minorHAnsi" w:eastAsiaTheme="minorEastAsia" w:cstheme="minorBidi"/>
                <w:color w:val="000000" w:themeColor="text1"/>
                <w:lang w:eastAsia="en-US"/>
                <w14:textFill>
                  <w14:solidFill>
                    <w14:schemeClr w14:val="tx1"/>
                  </w14:solidFill>
                </w14:textFill>
              </w:rPr>
              <w:t>0.05</w:t>
            </w:r>
            <w:r>
              <w:rPr>
                <w:rFonts w:asciiTheme="minorHAnsi" w:hAnsiTheme="minorHAnsi" w:eastAsiaTheme="minorEastAsia" w:cstheme="minorBidi"/>
                <w:color w:val="000000" w:themeColor="text1"/>
                <w:lang w:eastAsia="en-US"/>
                <w14:textFill>
                  <w14:solidFill>
                    <w14:schemeClr w14:val="tx1"/>
                  </w14:solidFill>
                </w14:textFill>
              </w:rPr>
              <w:t>t/a</w:t>
            </w:r>
          </w:p>
        </w:tc>
        <w:tc>
          <w:tcPr>
            <w:tcW w:w="1032" w:type="dxa"/>
            <w:vAlign w:val="center"/>
          </w:tcPr>
          <w:p w14:paraId="6842C6B6">
            <w:pPr>
              <w:pStyle w:val="70"/>
              <w:autoSpaceDE w:val="0"/>
              <w:autoSpaceDN w:val="0"/>
              <w:rPr>
                <w:rFonts w:asciiTheme="minorHAnsi" w:hAnsiTheme="minorHAnsi" w:eastAsiaTheme="minorEastAsia" w:cstheme="minorBidi"/>
                <w:color w:val="000000" w:themeColor="text1"/>
                <w:lang w:eastAsia="en-US"/>
                <w14:textFill>
                  <w14:solidFill>
                    <w14:schemeClr w14:val="tx1"/>
                  </w14:solidFill>
                </w14:textFill>
              </w:rPr>
            </w:pPr>
            <w:r>
              <w:rPr>
                <w:rFonts w:hint="eastAsia" w:asciiTheme="minorHAnsi" w:hAnsiTheme="minorHAnsi" w:eastAsiaTheme="minorEastAsia" w:cstheme="minorBidi"/>
                <w:color w:val="000000" w:themeColor="text1"/>
                <w:lang w:eastAsia="en-US"/>
                <w14:textFill>
                  <w14:solidFill>
                    <w14:schemeClr w14:val="tx1"/>
                  </w14:solidFill>
                </w14:textFill>
              </w:rPr>
              <w:t>1</w:t>
            </w:r>
            <w:r>
              <w:rPr>
                <w:rFonts w:asciiTheme="minorHAnsi" w:hAnsiTheme="minorHAnsi" w:eastAsiaTheme="minorEastAsia" w:cstheme="minorBidi"/>
                <w:color w:val="000000" w:themeColor="text1"/>
                <w:lang w:eastAsia="en-US"/>
                <w14:textFill>
                  <w14:solidFill>
                    <w14:schemeClr w14:val="tx1"/>
                  </w14:solidFill>
                </w14:textFill>
              </w:rPr>
              <w:t>个月</w:t>
            </w:r>
          </w:p>
        </w:tc>
      </w:tr>
    </w:tbl>
    <w:p w14:paraId="312F1AF9">
      <w:pPr>
        <w:pStyle w:val="4"/>
        <w:rPr>
          <w:color w:val="000000" w:themeColor="text1"/>
          <w14:textFill>
            <w14:solidFill>
              <w14:schemeClr w14:val="tx1"/>
            </w14:solidFill>
          </w14:textFill>
        </w:rPr>
      </w:pPr>
      <w:r>
        <w:rPr>
          <w:color w:val="000000" w:themeColor="text1"/>
          <w14:textFill>
            <w14:solidFill>
              <w14:schemeClr w14:val="tx1"/>
            </w14:solidFill>
          </w14:textFill>
        </w:rPr>
        <w:t>地下水环境影响分析</w:t>
      </w:r>
      <w:bookmarkEnd w:id="716"/>
      <w:bookmarkEnd w:id="717"/>
      <w:bookmarkEnd w:id="718"/>
      <w:bookmarkEnd w:id="719"/>
    </w:p>
    <w:p w14:paraId="4183D5D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根据《环境影响评价技术导则 地下水环境》（HJ 610-2016），本扩建项目为三级评价，地下水影响评价应采取解析法预测或类比分析法进行预测；但是本项目比较特殊，项目设计分界点在码头海域部分，项目只涉及海域不涉及陆域，即使发生管道泄漏事故，也是直接渗透到海域，影响分析见5风险预测与评价章节；且本项目区域所在地下水流向为西北向东南，项目位于区域地下水流向下游。因此，本次评价仅进行定性分析。</w:t>
      </w:r>
    </w:p>
    <w:p w14:paraId="1B3EC74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扩建项目为地面以上管线和装卸臂，为密闭输送管线，运营期无集中式地下水污染物产生；同时，管道以及各零部件均设置防渗层；目前14号泊位平台已建好，码头平台采取钢筋混凝土结构，渗透系数较小。本项目运营期不会对区域地下水产生大的不利影响。</w:t>
      </w:r>
    </w:p>
    <w:p w14:paraId="06470B51">
      <w:pPr>
        <w:pStyle w:val="4"/>
        <w:rPr>
          <w:color w:val="000000" w:themeColor="text1"/>
          <w14:textFill>
            <w14:solidFill>
              <w14:schemeClr w14:val="tx1"/>
            </w14:solidFill>
          </w14:textFill>
        </w:rPr>
      </w:pPr>
      <w:bookmarkStart w:id="720" w:name="_Toc216620583"/>
      <w:bookmarkStart w:id="721" w:name="_Toc136878519"/>
      <w:bookmarkStart w:id="722" w:name="_Toc216103424"/>
      <w:bookmarkStart w:id="723" w:name="_Toc135090253"/>
      <w:r>
        <w:rPr>
          <w:color w:val="000000" w:themeColor="text1"/>
          <w14:textFill>
            <w14:solidFill>
              <w14:schemeClr w14:val="tx1"/>
            </w14:solidFill>
          </w14:textFill>
        </w:rPr>
        <w:t>土壤环境影响分析</w:t>
      </w:r>
      <w:bookmarkEnd w:id="720"/>
      <w:bookmarkEnd w:id="721"/>
      <w:bookmarkEnd w:id="722"/>
      <w:bookmarkEnd w:id="723"/>
    </w:p>
    <w:p w14:paraId="06F90565">
      <w:pPr>
        <w:ind w:firstLine="480"/>
        <w:rPr>
          <w:b/>
          <w:bCs/>
          <w:color w:val="000000" w:themeColor="text1"/>
          <w14:textFill>
            <w14:solidFill>
              <w14:schemeClr w14:val="tx1"/>
            </w14:solidFill>
          </w14:textFill>
        </w:rPr>
      </w:pPr>
      <w:r>
        <w:rPr>
          <w:rFonts w:hint="eastAsia"/>
          <w:color w:val="000000" w:themeColor="text1"/>
          <w14:textFill>
            <w14:solidFill>
              <w14:schemeClr w14:val="tx1"/>
            </w14:solidFill>
          </w14:textFill>
        </w:rPr>
        <w:t>本扩建项目施工期均在已建成码头上施工，主要活动都集中在码头泊位上，施工期对项目及周边的土壤影响很小。拟建工程为密闭输送管线，位于已建成的钦州港金谷港区金鼓江作业区14号泊位上，项目只涉及海域不涉及陆域，且管线为架空布设，并做好了防腐防渗措施，码头平台采取钢筋混凝土结构，渗透系数较小。本项目运营期对土壤产生的影响很小</w:t>
      </w:r>
      <w:r>
        <w:rPr>
          <w:rFonts w:hint="eastAsia"/>
          <w:b/>
          <w:bCs/>
          <w:color w:val="000000" w:themeColor="text1"/>
          <w14:textFill>
            <w14:solidFill>
              <w14:schemeClr w14:val="tx1"/>
            </w14:solidFill>
          </w14:textFill>
        </w:rPr>
        <w:t>。</w:t>
      </w:r>
    </w:p>
    <w:p w14:paraId="1AC04411">
      <w:pPr>
        <w:pStyle w:val="4"/>
        <w:rPr>
          <w:color w:val="000000" w:themeColor="text1"/>
          <w14:textFill>
            <w14:solidFill>
              <w14:schemeClr w14:val="tx1"/>
            </w14:solidFill>
          </w14:textFill>
        </w:rPr>
      </w:pPr>
      <w:bookmarkStart w:id="724" w:name="_Toc216620584"/>
      <w:bookmarkStart w:id="725" w:name="_Toc135090254"/>
      <w:bookmarkStart w:id="726" w:name="_Toc136878520"/>
      <w:bookmarkStart w:id="727" w:name="_Toc25436995"/>
      <w:bookmarkStart w:id="728" w:name="_Toc216103425"/>
      <w:bookmarkStart w:id="729" w:name="_Toc29131854"/>
      <w:bookmarkStart w:id="730" w:name="_Toc26910041"/>
      <w:r>
        <w:rPr>
          <w:color w:val="000000" w:themeColor="text1"/>
          <w14:textFill>
            <w14:solidFill>
              <w14:schemeClr w14:val="tx1"/>
            </w14:solidFill>
          </w14:textFill>
        </w:rPr>
        <w:t>生态影响分析</w:t>
      </w:r>
      <w:bookmarkEnd w:id="724"/>
      <w:bookmarkEnd w:id="725"/>
      <w:bookmarkEnd w:id="726"/>
      <w:bookmarkEnd w:id="727"/>
      <w:bookmarkEnd w:id="728"/>
      <w:bookmarkEnd w:id="729"/>
      <w:bookmarkEnd w:id="730"/>
    </w:p>
    <w:p w14:paraId="190A5D6A">
      <w:pPr>
        <w:ind w:firstLine="48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本项目施工期不涉及水工施工，对水生生态影响很小</w:t>
      </w:r>
      <w:r>
        <w:rPr>
          <w:color w:val="000000" w:themeColor="text1"/>
          <w14:textFill>
            <w14:solidFill>
              <w14:schemeClr w14:val="tx1"/>
            </w14:solidFill>
          </w14:textFill>
        </w:rPr>
        <w:t>。拟建项目进入营运期后，对水生生物的影响主要为码头作业、船舶运行密度增加以及相关污染物排放可能会降低影响水域的生境质量，对受影响物种产生干扰。</w:t>
      </w:r>
    </w:p>
    <w:p w14:paraId="59FDAA8B">
      <w:pPr>
        <w:ind w:firstLine="480"/>
        <w:rPr>
          <w:color w:val="000000" w:themeColor="text1"/>
          <w14:textFill>
            <w14:solidFill>
              <w14:schemeClr w14:val="tx1"/>
            </w14:solidFill>
          </w14:textFill>
        </w:rPr>
      </w:pPr>
      <w:r>
        <w:rPr>
          <w:color w:val="000000" w:themeColor="text1"/>
          <w14:textFill>
            <w14:solidFill>
              <w14:schemeClr w14:val="tx1"/>
            </w14:solidFill>
          </w14:textFill>
        </w:rPr>
        <w:t>项目运营后，码头作业、船舶运行密度增加会产生噪声污染和对作业区水体产生扰动，易受人类活动影响和易受噪声惊扰的物种会远离码头水域，可能会导致码头水域的生物多样性降低。码头生活污水、冲洗废水和初期雨水经收集池收集后，进入周边污水处理厂进一步处理；港区固体废弃物经有关部门收集、集中处理，不会对金鼓江水环境造成污染。在相应环保措施落实的情况下，项目运营对金鼓江水环境的影响甚微，对水生生物的不利影响很小。</w:t>
      </w:r>
    </w:p>
    <w:p w14:paraId="4C747CC4">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本项目营运期各项污水经妥善处理后，对周边生态敏感保护目标基本不造成不利影响。其主要影响发生在风险事故时化学品泄漏或燃料油</w:t>
      </w:r>
      <w:r>
        <w:rPr>
          <w:rFonts w:hint="eastAsia"/>
          <w:color w:val="000000" w:themeColor="text1"/>
          <w:lang w:eastAsia="zh-CN"/>
          <w14:textFill>
            <w14:solidFill>
              <w14:schemeClr w14:val="tx1"/>
            </w14:solidFill>
          </w14:textFill>
        </w:rPr>
        <w:t>泄漏</w:t>
      </w:r>
      <w:r>
        <w:rPr>
          <w:color w:val="000000" w:themeColor="text1"/>
          <w14:textFill>
            <w14:solidFill>
              <w14:schemeClr w14:val="tx1"/>
            </w14:solidFill>
          </w14:textFill>
        </w:rPr>
        <w:t>，在潮流作用下扩散至周边敏感区，其影响分析详见风险章节。</w:t>
      </w:r>
    </w:p>
    <w:p w14:paraId="3C2AEF2E">
      <w:pPr>
        <w:ind w:firstLine="480"/>
        <w:rPr>
          <w:color w:val="000000" w:themeColor="text1"/>
          <w14:textFill>
            <w14:solidFill>
              <w14:schemeClr w14:val="tx1"/>
            </w14:solidFill>
          </w14:textFill>
        </w:rPr>
        <w:sectPr>
          <w:headerReference r:id="rId30" w:type="default"/>
          <w:pgSz w:w="11906" w:h="16838"/>
          <w:pgMar w:top="1440" w:right="1800" w:bottom="1440"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4E09C586">
      <w:pPr>
        <w:pStyle w:val="3"/>
        <w:jc w:val="left"/>
        <w:rPr>
          <w:color w:val="000000" w:themeColor="text1"/>
          <w14:textFill>
            <w14:solidFill>
              <w14:schemeClr w14:val="tx1"/>
            </w14:solidFill>
          </w14:textFill>
        </w:rPr>
      </w:pPr>
      <w:bookmarkStart w:id="731" w:name="_Toc216620585"/>
      <w:r>
        <w:rPr>
          <w:color w:val="000000" w:themeColor="text1"/>
          <w14:textFill>
            <w14:solidFill>
              <w14:schemeClr w14:val="tx1"/>
            </w14:solidFill>
          </w14:textFill>
        </w:rPr>
        <w:t>环境风险评价</w:t>
      </w:r>
      <w:bookmarkEnd w:id="731"/>
    </w:p>
    <w:p w14:paraId="5569128A">
      <w:pPr>
        <w:ind w:firstLine="480"/>
        <w:rPr>
          <w:color w:val="000000" w:themeColor="text1"/>
          <w14:textFill>
            <w14:solidFill>
              <w14:schemeClr w14:val="tx1"/>
            </w14:solidFill>
          </w14:textFill>
        </w:rPr>
      </w:pPr>
      <w:r>
        <w:rPr>
          <w:color w:val="000000" w:themeColor="text1"/>
          <w14:textFill>
            <w14:solidFill>
              <w14:schemeClr w14:val="tx1"/>
            </w14:solidFill>
          </w14:textFill>
        </w:rPr>
        <w:t>按照《建设项目环境风险评价技术导则》(HJ169-2018)的要求，环境风险评价的目的是分析和预测本项目存在的潜在危险、有害因素，项目建设和运行期间可能发生的突发性事件或事故（一般不包括人为破坏及自然灾害），引起有毒有害和易燃易爆等物质泄漏，所造成的人身安全与环境影响和损害程度，提出合理可行的防范、应急与减缓措施，以使项目事故率、损失和环境影响达到可接受水平。环境风险评价应把事故引起厂（场）界外人群的伤害、环境质量的恶化及对生态系统影响的预测和防护作为评价工作重点。本环评通过风险识别、风险源项分析和环境风险后果预测分析，了解项目的环境风险可接受程度，并提出环境风险防范措施及应急预案，以使项目的环境风险降至最低。</w:t>
      </w:r>
    </w:p>
    <w:p w14:paraId="3CAD46EF">
      <w:pPr>
        <w:pStyle w:val="5"/>
        <w:rPr>
          <w:color w:val="000000" w:themeColor="text1"/>
          <w14:textFill>
            <w14:solidFill>
              <w14:schemeClr w14:val="tx1"/>
            </w14:solidFill>
          </w14:textFill>
        </w:rPr>
      </w:pPr>
      <w:r>
        <w:rPr>
          <w:color w:val="000000" w:themeColor="text1"/>
          <w14:textFill>
            <w14:solidFill>
              <w14:schemeClr w14:val="tx1"/>
            </w14:solidFill>
          </w14:textFill>
        </w:rPr>
        <w:t>风险调查</w:t>
      </w:r>
    </w:p>
    <w:p w14:paraId="77BC0C5A">
      <w:pPr>
        <w:pStyle w:val="4"/>
        <w:rPr>
          <w:color w:val="000000" w:themeColor="text1"/>
          <w14:textFill>
            <w14:solidFill>
              <w14:schemeClr w14:val="tx1"/>
            </w14:solidFill>
          </w14:textFill>
        </w:rPr>
      </w:pPr>
      <w:r>
        <w:rPr>
          <w:color w:val="000000" w:themeColor="text1"/>
          <w14:textFill>
            <w14:solidFill>
              <w14:schemeClr w14:val="tx1"/>
            </w14:solidFill>
          </w14:textFill>
        </w:rPr>
        <w:t>项目风险源调查</w:t>
      </w:r>
    </w:p>
    <w:p w14:paraId="2473A76C">
      <w:pPr>
        <w:ind w:firstLine="480"/>
        <w:rPr>
          <w:color w:val="000000" w:themeColor="text1"/>
          <w14:textFill>
            <w14:solidFill>
              <w14:schemeClr w14:val="tx1"/>
            </w14:solidFill>
          </w14:textFill>
        </w:rPr>
      </w:pPr>
      <w:r>
        <w:rPr>
          <w:color w:val="000000" w:themeColor="text1"/>
          <w14:textFill>
            <w14:solidFill>
              <w14:schemeClr w14:val="tx1"/>
            </w14:solidFill>
          </w14:textFill>
        </w:rPr>
        <w:t>（1）危险物质</w:t>
      </w:r>
    </w:p>
    <w:p w14:paraId="57BA04AF">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本扩建项目涉及装卸货种为新增苯乙烯、裂解C9、棕榈酸化油、脂肪酸甲酯、脂肪酸混合物、工业级混合油、纯生物柴油、航空煤油、液硫、碱液、发烟硫酸、硫酸，这些货种的管道输送形态、常温下形态均为液体。一旦发生泄漏、火灾、爆炸事故，会对环境和人体健康造成危害。</w:t>
      </w:r>
    </w:p>
    <w:p w14:paraId="6A85E008">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本项目所涉及的风险物质主要为码头接卸及码头停靠船舶所使用</w:t>
      </w:r>
      <w:r>
        <w:rPr>
          <w:rFonts w:hint="eastAsia"/>
          <w:color w:val="000000" w:themeColor="text1"/>
          <w:lang w:eastAsia="zh-CN"/>
          <w14:textFill>
            <w14:solidFill>
              <w14:schemeClr w14:val="tx1"/>
            </w14:solidFill>
          </w14:textFill>
        </w:rPr>
        <w:t>的</w:t>
      </w:r>
      <w:r>
        <w:rPr>
          <w:color w:val="000000" w:themeColor="text1"/>
          <w14:textFill>
            <w14:solidFill>
              <w14:schemeClr w14:val="tx1"/>
            </w14:solidFill>
          </w14:textFill>
        </w:rPr>
        <w:t>燃料油。根据《建设项目环境风险评价技术导则》（HJ169-2018）附录B对项目所涉及的危险物质进行调查和识别，筛选出工程重点关注危险物质的数量和分布情况见下表。</w:t>
      </w:r>
    </w:p>
    <w:p w14:paraId="6160B306">
      <w:pPr>
        <w:ind w:firstLine="480"/>
        <w:rPr>
          <w:color w:val="000000" w:themeColor="text1"/>
          <w14:textFill>
            <w14:solidFill>
              <w14:schemeClr w14:val="tx1"/>
            </w14:solidFill>
          </w14:textFill>
        </w:rPr>
      </w:pPr>
    </w:p>
    <w:p w14:paraId="5CECC3BD">
      <w:pPr>
        <w:ind w:firstLine="480"/>
        <w:rPr>
          <w:color w:val="000000" w:themeColor="text1"/>
          <w14:textFill>
            <w14:solidFill>
              <w14:schemeClr w14:val="tx1"/>
            </w14:solidFill>
          </w14:textFill>
        </w:rPr>
        <w:sectPr>
          <w:headerReference r:id="rId31" w:type="default"/>
          <w:pgSz w:w="11906" w:h="16838"/>
          <w:pgMar w:top="1440" w:right="1800" w:bottom="1440" w:left="1800" w:header="851" w:footer="680" w:gutter="0"/>
          <w:pgBorders>
            <w:top w:val="none" w:sz="0" w:space="0"/>
            <w:left w:val="none" w:sz="0" w:space="0"/>
            <w:bottom w:val="none" w:sz="0" w:space="0"/>
            <w:right w:val="none" w:sz="0" w:space="0"/>
          </w:pgBorders>
          <w:pgNumType w:fmt="numberInDash"/>
          <w:cols w:space="720" w:num="1"/>
          <w:docGrid w:type="lines" w:linePitch="312" w:charSpace="0"/>
        </w:sectPr>
      </w:pPr>
    </w:p>
    <w:p w14:paraId="5B93D8DD">
      <w:pPr>
        <w:pStyle w:val="7"/>
        <w:rPr>
          <w:color w:val="000000" w:themeColor="text1"/>
          <w:u w:val="single"/>
          <w14:textFill>
            <w14:solidFill>
              <w14:schemeClr w14:val="tx1"/>
            </w14:solidFill>
          </w14:textFill>
        </w:rPr>
      </w:pPr>
      <w:r>
        <w:rPr>
          <w:color w:val="000000" w:themeColor="text1"/>
          <w:u w:val="single"/>
          <w14:textFill>
            <w14:solidFill>
              <w14:schemeClr w14:val="tx1"/>
            </w14:solidFill>
          </w14:textFill>
        </w:rPr>
        <w:t>项目危险源识别表</w:t>
      </w:r>
    </w:p>
    <w:tbl>
      <w:tblPr>
        <w:tblStyle w:val="43"/>
        <w:tblW w:w="5023"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30"/>
        <w:gridCol w:w="2019"/>
        <w:gridCol w:w="1276"/>
        <w:gridCol w:w="1133"/>
        <w:gridCol w:w="1276"/>
        <w:gridCol w:w="1276"/>
        <w:gridCol w:w="1418"/>
        <w:gridCol w:w="1276"/>
        <w:gridCol w:w="1840"/>
        <w:gridCol w:w="854"/>
        <w:gridCol w:w="1341"/>
      </w:tblGrid>
      <w:tr w14:paraId="26F096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86" w:type="pct"/>
            <w:vAlign w:val="center"/>
          </w:tcPr>
          <w:p w14:paraId="4B98C2B5">
            <w:pPr>
              <w:adjustRightInd w:val="0"/>
              <w:snapToGrid w:val="0"/>
              <w:spacing w:line="240" w:lineRule="auto"/>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序号</w:t>
            </w:r>
          </w:p>
        </w:tc>
        <w:tc>
          <w:tcPr>
            <w:tcW w:w="709" w:type="pct"/>
            <w:vAlign w:val="center"/>
          </w:tcPr>
          <w:p w14:paraId="080900E0">
            <w:pPr>
              <w:adjustRightInd w:val="0"/>
              <w:snapToGrid w:val="0"/>
              <w:spacing w:line="240" w:lineRule="auto"/>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危险物质</w:t>
            </w:r>
          </w:p>
        </w:tc>
        <w:tc>
          <w:tcPr>
            <w:tcW w:w="448" w:type="pct"/>
            <w:vAlign w:val="center"/>
          </w:tcPr>
          <w:p w14:paraId="3D93F082">
            <w:pPr>
              <w:adjustRightInd w:val="0"/>
              <w:snapToGrid w:val="0"/>
              <w:spacing w:line="240" w:lineRule="auto"/>
              <w:ind w:firstLine="198" w:firstLineChars="94"/>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CAS号</w:t>
            </w:r>
          </w:p>
        </w:tc>
        <w:tc>
          <w:tcPr>
            <w:tcW w:w="398" w:type="pct"/>
            <w:vAlign w:val="center"/>
          </w:tcPr>
          <w:p w14:paraId="595C8E61">
            <w:pPr>
              <w:adjustRightInd w:val="0"/>
              <w:snapToGrid w:val="0"/>
              <w:spacing w:line="240" w:lineRule="auto"/>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密度kg/m</w:t>
            </w:r>
            <w:r>
              <w:rPr>
                <w:b/>
                <w:bCs/>
                <w:color w:val="000000" w:themeColor="text1"/>
                <w:sz w:val="21"/>
                <w:szCs w:val="21"/>
                <w:vertAlign w:val="superscript"/>
                <w14:textFill>
                  <w14:solidFill>
                    <w14:schemeClr w14:val="tx1"/>
                  </w14:solidFill>
                </w14:textFill>
              </w:rPr>
              <w:t>3</w:t>
            </w:r>
          </w:p>
        </w:tc>
        <w:tc>
          <w:tcPr>
            <w:tcW w:w="448" w:type="pct"/>
            <w:vAlign w:val="center"/>
          </w:tcPr>
          <w:p w14:paraId="44D9AD7D">
            <w:pPr>
              <w:adjustRightInd w:val="0"/>
              <w:snapToGrid w:val="0"/>
              <w:spacing w:line="240" w:lineRule="auto"/>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公称直径（</w:t>
            </w:r>
            <w:r>
              <w:rPr>
                <w:rFonts w:hint="eastAsia"/>
                <w:b/>
                <w:bCs/>
                <w:color w:val="000000" w:themeColor="text1"/>
                <w:sz w:val="21"/>
                <w:szCs w:val="21"/>
                <w14:textFill>
                  <w14:solidFill>
                    <w14:schemeClr w14:val="tx1"/>
                  </w14:solidFill>
                </w14:textFill>
              </w:rPr>
              <w:t>m</w:t>
            </w:r>
            <w:r>
              <w:rPr>
                <w:b/>
                <w:bCs/>
                <w:color w:val="000000" w:themeColor="text1"/>
                <w:sz w:val="21"/>
                <w:szCs w:val="21"/>
                <w14:textFill>
                  <w14:solidFill>
                    <w14:schemeClr w14:val="tx1"/>
                  </w14:solidFill>
                </w14:textFill>
              </w:rPr>
              <w:t>m）</w:t>
            </w:r>
          </w:p>
        </w:tc>
        <w:tc>
          <w:tcPr>
            <w:tcW w:w="448" w:type="pct"/>
            <w:vAlign w:val="center"/>
          </w:tcPr>
          <w:p w14:paraId="75804E42">
            <w:pPr>
              <w:adjustRightInd w:val="0"/>
              <w:snapToGrid w:val="0"/>
              <w:spacing w:line="240" w:lineRule="auto"/>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长度（m）</w:t>
            </w:r>
          </w:p>
        </w:tc>
        <w:tc>
          <w:tcPr>
            <w:tcW w:w="498" w:type="pct"/>
            <w:vAlign w:val="center"/>
          </w:tcPr>
          <w:p w14:paraId="545CE010">
            <w:pPr>
              <w:adjustRightInd w:val="0"/>
              <w:snapToGrid w:val="0"/>
              <w:spacing w:line="240" w:lineRule="auto"/>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在线量/存在量（t）</w:t>
            </w:r>
          </w:p>
        </w:tc>
        <w:tc>
          <w:tcPr>
            <w:tcW w:w="448" w:type="pct"/>
            <w:vAlign w:val="center"/>
          </w:tcPr>
          <w:p w14:paraId="3D83AA30">
            <w:pPr>
              <w:adjustRightInd w:val="0"/>
              <w:snapToGrid w:val="0"/>
              <w:spacing w:line="240" w:lineRule="auto"/>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是否属于风险物质</w:t>
            </w:r>
          </w:p>
        </w:tc>
        <w:tc>
          <w:tcPr>
            <w:tcW w:w="646" w:type="pct"/>
            <w:vAlign w:val="center"/>
          </w:tcPr>
          <w:p w14:paraId="0EFC1517">
            <w:pPr>
              <w:adjustRightInd w:val="0"/>
              <w:snapToGrid w:val="0"/>
              <w:spacing w:line="240" w:lineRule="auto"/>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HJ169-2018附录B表B.1序号</w:t>
            </w:r>
          </w:p>
        </w:tc>
        <w:tc>
          <w:tcPr>
            <w:tcW w:w="300" w:type="pct"/>
            <w:vAlign w:val="center"/>
          </w:tcPr>
          <w:p w14:paraId="04FB7021">
            <w:pPr>
              <w:adjustRightInd w:val="0"/>
              <w:snapToGrid w:val="0"/>
              <w:spacing w:line="240" w:lineRule="auto"/>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临界量</w:t>
            </w:r>
          </w:p>
          <w:p w14:paraId="4E8FB9CA">
            <w:pPr>
              <w:adjustRightInd w:val="0"/>
              <w:snapToGrid w:val="0"/>
              <w:spacing w:line="240" w:lineRule="auto"/>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（t）</w:t>
            </w:r>
          </w:p>
        </w:tc>
        <w:tc>
          <w:tcPr>
            <w:tcW w:w="471" w:type="pct"/>
            <w:vAlign w:val="center"/>
          </w:tcPr>
          <w:p w14:paraId="7D02B6E0">
            <w:pPr>
              <w:adjustRightInd w:val="0"/>
              <w:snapToGrid w:val="0"/>
              <w:spacing w:line="240" w:lineRule="auto"/>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备注</w:t>
            </w:r>
          </w:p>
        </w:tc>
      </w:tr>
      <w:tr w14:paraId="73AF11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vAlign w:val="center"/>
          </w:tcPr>
          <w:p w14:paraId="08F9FC8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709" w:type="pct"/>
            <w:vMerge w:val="restart"/>
            <w:vAlign w:val="center"/>
          </w:tcPr>
          <w:p w14:paraId="5630097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苯乙烯</w:t>
            </w:r>
          </w:p>
        </w:tc>
        <w:tc>
          <w:tcPr>
            <w:tcW w:w="448" w:type="pct"/>
            <w:vMerge w:val="restart"/>
            <w:vAlign w:val="center"/>
          </w:tcPr>
          <w:p w14:paraId="47DB715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100-42-5</w:t>
            </w:r>
          </w:p>
        </w:tc>
        <w:tc>
          <w:tcPr>
            <w:tcW w:w="398" w:type="pct"/>
            <w:vMerge w:val="restart"/>
            <w:vAlign w:val="center"/>
          </w:tcPr>
          <w:p w14:paraId="67049CC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906</w:t>
            </w:r>
          </w:p>
        </w:tc>
        <w:tc>
          <w:tcPr>
            <w:tcW w:w="448" w:type="pct"/>
            <w:vAlign w:val="center"/>
          </w:tcPr>
          <w:p w14:paraId="1B5C15C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200</w:t>
            </w:r>
          </w:p>
        </w:tc>
        <w:tc>
          <w:tcPr>
            <w:tcW w:w="448" w:type="pct"/>
            <w:vAlign w:val="center"/>
          </w:tcPr>
          <w:p w14:paraId="0B59E39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498" w:type="pct"/>
            <w:vAlign w:val="center"/>
          </w:tcPr>
          <w:p w14:paraId="2CF4E30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28.45 </w:t>
            </w:r>
          </w:p>
        </w:tc>
        <w:tc>
          <w:tcPr>
            <w:tcW w:w="448" w:type="pct"/>
            <w:vAlign w:val="center"/>
          </w:tcPr>
          <w:p w14:paraId="5F8C7CC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restart"/>
            <w:vAlign w:val="center"/>
          </w:tcPr>
          <w:p w14:paraId="25AEEDF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69</w:t>
            </w:r>
          </w:p>
        </w:tc>
        <w:tc>
          <w:tcPr>
            <w:tcW w:w="300" w:type="pct"/>
            <w:vAlign w:val="center"/>
          </w:tcPr>
          <w:p w14:paraId="383E44C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471" w:type="pct"/>
            <w:vAlign w:val="center"/>
          </w:tcPr>
          <w:p w14:paraId="62CD7146">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管线内</w:t>
            </w:r>
          </w:p>
        </w:tc>
      </w:tr>
      <w:tr w14:paraId="5080E8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continue"/>
            <w:vAlign w:val="center"/>
          </w:tcPr>
          <w:p w14:paraId="2EEEE5CD">
            <w:pPr>
              <w:adjustRightInd w:val="0"/>
              <w:snapToGrid w:val="0"/>
              <w:spacing w:line="240" w:lineRule="auto"/>
              <w:ind w:firstLine="420"/>
              <w:jc w:val="center"/>
              <w:rPr>
                <w:color w:val="000000" w:themeColor="text1"/>
                <w:sz w:val="21"/>
                <w:szCs w:val="21"/>
                <w14:textFill>
                  <w14:solidFill>
                    <w14:schemeClr w14:val="tx1"/>
                  </w14:solidFill>
                </w14:textFill>
              </w:rPr>
            </w:pPr>
          </w:p>
        </w:tc>
        <w:tc>
          <w:tcPr>
            <w:tcW w:w="709" w:type="pct"/>
            <w:vMerge w:val="continue"/>
            <w:vAlign w:val="center"/>
          </w:tcPr>
          <w:p w14:paraId="6ED4B05E">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continue"/>
            <w:vAlign w:val="center"/>
          </w:tcPr>
          <w:p w14:paraId="7C7F9D90">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98" w:type="pct"/>
            <w:vMerge w:val="continue"/>
            <w:vAlign w:val="center"/>
          </w:tcPr>
          <w:p w14:paraId="79A5F24D">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Align w:val="center"/>
          </w:tcPr>
          <w:p w14:paraId="32DDDD3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48" w:type="pct"/>
            <w:vAlign w:val="center"/>
          </w:tcPr>
          <w:p w14:paraId="788AC1C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98" w:type="pct"/>
            <w:vAlign w:val="center"/>
          </w:tcPr>
          <w:p w14:paraId="1645B90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963.08 </w:t>
            </w:r>
          </w:p>
        </w:tc>
        <w:tc>
          <w:tcPr>
            <w:tcW w:w="448" w:type="pct"/>
            <w:vAlign w:val="center"/>
          </w:tcPr>
          <w:p w14:paraId="675CE10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continue"/>
            <w:vAlign w:val="center"/>
          </w:tcPr>
          <w:p w14:paraId="5C67FA8F">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00" w:type="pct"/>
            <w:vAlign w:val="center"/>
          </w:tcPr>
          <w:p w14:paraId="6B5E579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471" w:type="pct"/>
            <w:vAlign w:val="center"/>
          </w:tcPr>
          <w:p w14:paraId="7999531D">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船舱内，</w:t>
            </w:r>
            <w:r>
              <w:rPr>
                <w:rFonts w:hint="eastAsia"/>
                <w:color w:val="000000" w:themeColor="text1"/>
                <w:sz w:val="18"/>
                <w:szCs w:val="18"/>
                <w14:textFill>
                  <w14:solidFill>
                    <w14:schemeClr w14:val="tx1"/>
                  </w14:solidFill>
                </w14:textFill>
              </w:rPr>
              <w:t>10000吨船</w:t>
            </w:r>
          </w:p>
        </w:tc>
      </w:tr>
      <w:tr w14:paraId="6128A7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vAlign w:val="center"/>
          </w:tcPr>
          <w:p w14:paraId="47A5A7D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709" w:type="pct"/>
            <w:vMerge w:val="restart"/>
            <w:vAlign w:val="center"/>
          </w:tcPr>
          <w:p w14:paraId="36F1E91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裂解C9</w:t>
            </w:r>
          </w:p>
          <w:p w14:paraId="73B76EC6">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restart"/>
            <w:vAlign w:val="center"/>
          </w:tcPr>
          <w:p w14:paraId="6F50CD9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398" w:type="pct"/>
            <w:vMerge w:val="restart"/>
            <w:vAlign w:val="center"/>
          </w:tcPr>
          <w:p w14:paraId="1C1CDD0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970</w:t>
            </w:r>
          </w:p>
        </w:tc>
        <w:tc>
          <w:tcPr>
            <w:tcW w:w="448" w:type="pct"/>
            <w:vAlign w:val="center"/>
          </w:tcPr>
          <w:p w14:paraId="397A4BA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300</w:t>
            </w:r>
          </w:p>
        </w:tc>
        <w:tc>
          <w:tcPr>
            <w:tcW w:w="448" w:type="pct"/>
            <w:vAlign w:val="center"/>
          </w:tcPr>
          <w:p w14:paraId="59F7DA6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498" w:type="pct"/>
            <w:vAlign w:val="center"/>
          </w:tcPr>
          <w:p w14:paraId="5ECAF7C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45.69 </w:t>
            </w:r>
          </w:p>
        </w:tc>
        <w:tc>
          <w:tcPr>
            <w:tcW w:w="448" w:type="pct"/>
            <w:vAlign w:val="center"/>
          </w:tcPr>
          <w:p w14:paraId="093B7C9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restart"/>
            <w:vAlign w:val="center"/>
          </w:tcPr>
          <w:p w14:paraId="6766DEA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表B.2（类别2）</w:t>
            </w:r>
          </w:p>
        </w:tc>
        <w:tc>
          <w:tcPr>
            <w:tcW w:w="300" w:type="pct"/>
            <w:vAlign w:val="center"/>
          </w:tcPr>
          <w:p w14:paraId="17DF74A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w:t>
            </w:r>
          </w:p>
        </w:tc>
        <w:tc>
          <w:tcPr>
            <w:tcW w:w="471" w:type="pct"/>
            <w:vAlign w:val="center"/>
          </w:tcPr>
          <w:p w14:paraId="1B24DFDA">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管线内</w:t>
            </w:r>
          </w:p>
        </w:tc>
      </w:tr>
      <w:tr w14:paraId="31FE6F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continue"/>
            <w:vAlign w:val="center"/>
          </w:tcPr>
          <w:p w14:paraId="325BC660">
            <w:pPr>
              <w:adjustRightInd w:val="0"/>
              <w:snapToGrid w:val="0"/>
              <w:spacing w:line="240" w:lineRule="auto"/>
              <w:ind w:firstLine="420"/>
              <w:jc w:val="center"/>
              <w:rPr>
                <w:color w:val="000000" w:themeColor="text1"/>
                <w:sz w:val="21"/>
                <w:szCs w:val="21"/>
                <w14:textFill>
                  <w14:solidFill>
                    <w14:schemeClr w14:val="tx1"/>
                  </w14:solidFill>
                </w14:textFill>
              </w:rPr>
            </w:pPr>
          </w:p>
        </w:tc>
        <w:tc>
          <w:tcPr>
            <w:tcW w:w="709" w:type="pct"/>
            <w:vMerge w:val="continue"/>
            <w:vAlign w:val="center"/>
          </w:tcPr>
          <w:p w14:paraId="49002E14">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continue"/>
            <w:vAlign w:val="center"/>
          </w:tcPr>
          <w:p w14:paraId="3B57D690">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98" w:type="pct"/>
            <w:vMerge w:val="continue"/>
            <w:vAlign w:val="center"/>
          </w:tcPr>
          <w:p w14:paraId="243C0ADD">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Align w:val="center"/>
          </w:tcPr>
          <w:p w14:paraId="156948E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48" w:type="pct"/>
            <w:vAlign w:val="center"/>
          </w:tcPr>
          <w:p w14:paraId="2A08077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98" w:type="pct"/>
            <w:vAlign w:val="center"/>
          </w:tcPr>
          <w:p w14:paraId="0EB3CD8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1031.11 </w:t>
            </w:r>
          </w:p>
        </w:tc>
        <w:tc>
          <w:tcPr>
            <w:tcW w:w="448" w:type="pct"/>
            <w:vAlign w:val="center"/>
          </w:tcPr>
          <w:p w14:paraId="5CE1D97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continue"/>
            <w:vAlign w:val="center"/>
          </w:tcPr>
          <w:p w14:paraId="3E6128D7">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00" w:type="pct"/>
            <w:vAlign w:val="center"/>
          </w:tcPr>
          <w:p w14:paraId="76411AE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w:t>
            </w:r>
          </w:p>
        </w:tc>
        <w:tc>
          <w:tcPr>
            <w:tcW w:w="471" w:type="pct"/>
            <w:vAlign w:val="center"/>
          </w:tcPr>
          <w:p w14:paraId="216F2303">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船舱内，</w:t>
            </w:r>
            <w:r>
              <w:rPr>
                <w:rFonts w:hint="eastAsia"/>
                <w:color w:val="000000" w:themeColor="text1"/>
                <w:sz w:val="18"/>
                <w:szCs w:val="18"/>
                <w14:textFill>
                  <w14:solidFill>
                    <w14:schemeClr w14:val="tx1"/>
                  </w14:solidFill>
                </w14:textFill>
              </w:rPr>
              <w:t>10000吨船</w:t>
            </w:r>
          </w:p>
        </w:tc>
      </w:tr>
      <w:tr w14:paraId="511C7F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vAlign w:val="center"/>
          </w:tcPr>
          <w:p w14:paraId="3596752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709" w:type="pct"/>
            <w:vMerge w:val="restart"/>
            <w:vAlign w:val="center"/>
          </w:tcPr>
          <w:p w14:paraId="308B1C6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棕榈酸化油</w:t>
            </w:r>
          </w:p>
        </w:tc>
        <w:tc>
          <w:tcPr>
            <w:tcW w:w="448" w:type="pct"/>
            <w:vMerge w:val="restart"/>
            <w:vAlign w:val="center"/>
          </w:tcPr>
          <w:p w14:paraId="142A990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398" w:type="pct"/>
            <w:vMerge w:val="restart"/>
            <w:vAlign w:val="center"/>
          </w:tcPr>
          <w:p w14:paraId="40B9565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880</w:t>
            </w:r>
          </w:p>
        </w:tc>
        <w:tc>
          <w:tcPr>
            <w:tcW w:w="448" w:type="pct"/>
            <w:vAlign w:val="center"/>
          </w:tcPr>
          <w:p w14:paraId="31F4FAB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300</w:t>
            </w:r>
          </w:p>
        </w:tc>
        <w:tc>
          <w:tcPr>
            <w:tcW w:w="448" w:type="pct"/>
            <w:vAlign w:val="center"/>
          </w:tcPr>
          <w:p w14:paraId="3F16AA3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498" w:type="pct"/>
            <w:vAlign w:val="center"/>
          </w:tcPr>
          <w:p w14:paraId="263E948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41.45 </w:t>
            </w:r>
          </w:p>
        </w:tc>
        <w:tc>
          <w:tcPr>
            <w:tcW w:w="448" w:type="pct"/>
            <w:vAlign w:val="center"/>
          </w:tcPr>
          <w:p w14:paraId="5241D8C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否</w:t>
            </w:r>
          </w:p>
        </w:tc>
        <w:tc>
          <w:tcPr>
            <w:tcW w:w="646" w:type="pct"/>
            <w:vMerge w:val="restart"/>
            <w:vAlign w:val="center"/>
          </w:tcPr>
          <w:p w14:paraId="52ACEEF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表B.1、B.2（以饱和脂肪酸为主）</w:t>
            </w:r>
          </w:p>
        </w:tc>
        <w:tc>
          <w:tcPr>
            <w:tcW w:w="300" w:type="pct"/>
            <w:vAlign w:val="center"/>
          </w:tcPr>
          <w:p w14:paraId="20B5E53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71" w:type="pct"/>
            <w:vAlign w:val="center"/>
          </w:tcPr>
          <w:p w14:paraId="520B4B94">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管线内</w:t>
            </w:r>
          </w:p>
        </w:tc>
      </w:tr>
      <w:tr w14:paraId="5E07A3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continue"/>
            <w:vAlign w:val="center"/>
          </w:tcPr>
          <w:p w14:paraId="681F9F10">
            <w:pPr>
              <w:adjustRightInd w:val="0"/>
              <w:snapToGrid w:val="0"/>
              <w:spacing w:line="240" w:lineRule="auto"/>
              <w:ind w:firstLine="420"/>
              <w:jc w:val="center"/>
              <w:rPr>
                <w:color w:val="000000" w:themeColor="text1"/>
                <w:sz w:val="21"/>
                <w:szCs w:val="21"/>
                <w14:textFill>
                  <w14:solidFill>
                    <w14:schemeClr w14:val="tx1"/>
                  </w14:solidFill>
                </w14:textFill>
              </w:rPr>
            </w:pPr>
          </w:p>
        </w:tc>
        <w:tc>
          <w:tcPr>
            <w:tcW w:w="709" w:type="pct"/>
            <w:vMerge w:val="continue"/>
            <w:vAlign w:val="center"/>
          </w:tcPr>
          <w:p w14:paraId="0802B785">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continue"/>
            <w:vAlign w:val="center"/>
          </w:tcPr>
          <w:p w14:paraId="4AE4C4E8">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98" w:type="pct"/>
            <w:vMerge w:val="continue"/>
            <w:vAlign w:val="center"/>
          </w:tcPr>
          <w:p w14:paraId="0A4B8D25">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Align w:val="center"/>
          </w:tcPr>
          <w:p w14:paraId="4684BA9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48" w:type="pct"/>
            <w:vAlign w:val="center"/>
          </w:tcPr>
          <w:p w14:paraId="2D11748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98" w:type="pct"/>
            <w:vAlign w:val="center"/>
          </w:tcPr>
          <w:p w14:paraId="0FF4A66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935.44 </w:t>
            </w:r>
          </w:p>
        </w:tc>
        <w:tc>
          <w:tcPr>
            <w:tcW w:w="448" w:type="pct"/>
            <w:vAlign w:val="center"/>
          </w:tcPr>
          <w:p w14:paraId="0F02124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否</w:t>
            </w:r>
          </w:p>
        </w:tc>
        <w:tc>
          <w:tcPr>
            <w:tcW w:w="646" w:type="pct"/>
            <w:vMerge w:val="continue"/>
            <w:vAlign w:val="center"/>
          </w:tcPr>
          <w:p w14:paraId="7AB8D87B">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00" w:type="pct"/>
            <w:vAlign w:val="center"/>
          </w:tcPr>
          <w:p w14:paraId="0E96A7A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71" w:type="pct"/>
            <w:vAlign w:val="center"/>
          </w:tcPr>
          <w:p w14:paraId="5675605E">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船舱内，</w:t>
            </w:r>
            <w:r>
              <w:rPr>
                <w:rFonts w:hint="eastAsia"/>
                <w:color w:val="000000" w:themeColor="text1"/>
                <w:sz w:val="18"/>
                <w:szCs w:val="18"/>
                <w14:textFill>
                  <w14:solidFill>
                    <w14:schemeClr w14:val="tx1"/>
                  </w14:solidFill>
                </w14:textFill>
              </w:rPr>
              <w:t>10000吨船</w:t>
            </w:r>
          </w:p>
        </w:tc>
      </w:tr>
      <w:tr w14:paraId="1F8C2D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vAlign w:val="center"/>
          </w:tcPr>
          <w:p w14:paraId="05E5343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p>
        </w:tc>
        <w:tc>
          <w:tcPr>
            <w:tcW w:w="709" w:type="pct"/>
            <w:vMerge w:val="restart"/>
            <w:vAlign w:val="center"/>
          </w:tcPr>
          <w:p w14:paraId="796220F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脂肪酸混合物</w:t>
            </w:r>
          </w:p>
        </w:tc>
        <w:tc>
          <w:tcPr>
            <w:tcW w:w="448" w:type="pct"/>
            <w:vMerge w:val="restart"/>
            <w:vAlign w:val="center"/>
          </w:tcPr>
          <w:p w14:paraId="40445C7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398" w:type="pct"/>
            <w:vMerge w:val="restart"/>
            <w:vAlign w:val="center"/>
          </w:tcPr>
          <w:p w14:paraId="408E609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880</w:t>
            </w:r>
          </w:p>
        </w:tc>
        <w:tc>
          <w:tcPr>
            <w:tcW w:w="448" w:type="pct"/>
            <w:vAlign w:val="center"/>
          </w:tcPr>
          <w:p w14:paraId="1704941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300</w:t>
            </w:r>
          </w:p>
        </w:tc>
        <w:tc>
          <w:tcPr>
            <w:tcW w:w="448" w:type="pct"/>
            <w:vAlign w:val="center"/>
          </w:tcPr>
          <w:p w14:paraId="7ED4810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498" w:type="pct"/>
            <w:vAlign w:val="center"/>
          </w:tcPr>
          <w:p w14:paraId="7D91856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41.45 </w:t>
            </w:r>
          </w:p>
        </w:tc>
        <w:tc>
          <w:tcPr>
            <w:tcW w:w="448" w:type="pct"/>
            <w:vAlign w:val="center"/>
          </w:tcPr>
          <w:p w14:paraId="3B6EEF9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否</w:t>
            </w:r>
          </w:p>
        </w:tc>
        <w:tc>
          <w:tcPr>
            <w:tcW w:w="646" w:type="pct"/>
            <w:vMerge w:val="restart"/>
            <w:vAlign w:val="center"/>
          </w:tcPr>
          <w:p w14:paraId="47D3B23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表B.1、B.2（以饱和脂肪酸为主）</w:t>
            </w:r>
          </w:p>
        </w:tc>
        <w:tc>
          <w:tcPr>
            <w:tcW w:w="300" w:type="pct"/>
            <w:vAlign w:val="center"/>
          </w:tcPr>
          <w:p w14:paraId="72701D9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71" w:type="pct"/>
            <w:vAlign w:val="center"/>
          </w:tcPr>
          <w:p w14:paraId="157F8264">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管线内</w:t>
            </w:r>
          </w:p>
        </w:tc>
      </w:tr>
      <w:tr w14:paraId="313B4C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continue"/>
            <w:vAlign w:val="center"/>
          </w:tcPr>
          <w:p w14:paraId="09DAF067">
            <w:pPr>
              <w:adjustRightInd w:val="0"/>
              <w:snapToGrid w:val="0"/>
              <w:spacing w:line="240" w:lineRule="auto"/>
              <w:ind w:firstLine="420"/>
              <w:jc w:val="center"/>
              <w:rPr>
                <w:color w:val="000000" w:themeColor="text1"/>
                <w:sz w:val="21"/>
                <w:szCs w:val="21"/>
                <w14:textFill>
                  <w14:solidFill>
                    <w14:schemeClr w14:val="tx1"/>
                  </w14:solidFill>
                </w14:textFill>
              </w:rPr>
            </w:pPr>
          </w:p>
        </w:tc>
        <w:tc>
          <w:tcPr>
            <w:tcW w:w="709" w:type="pct"/>
            <w:vMerge w:val="continue"/>
            <w:vAlign w:val="center"/>
          </w:tcPr>
          <w:p w14:paraId="5B2A2744">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continue"/>
            <w:vAlign w:val="center"/>
          </w:tcPr>
          <w:p w14:paraId="2F1902E4">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98" w:type="pct"/>
            <w:vMerge w:val="continue"/>
            <w:vAlign w:val="center"/>
          </w:tcPr>
          <w:p w14:paraId="01C460A7">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Align w:val="center"/>
          </w:tcPr>
          <w:p w14:paraId="43EDE60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48" w:type="pct"/>
            <w:vAlign w:val="center"/>
          </w:tcPr>
          <w:p w14:paraId="78AD128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98" w:type="pct"/>
            <w:vAlign w:val="center"/>
          </w:tcPr>
          <w:p w14:paraId="7832F95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935.44 </w:t>
            </w:r>
          </w:p>
        </w:tc>
        <w:tc>
          <w:tcPr>
            <w:tcW w:w="448" w:type="pct"/>
            <w:vAlign w:val="center"/>
          </w:tcPr>
          <w:p w14:paraId="3419942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否</w:t>
            </w:r>
          </w:p>
        </w:tc>
        <w:tc>
          <w:tcPr>
            <w:tcW w:w="646" w:type="pct"/>
            <w:vMerge w:val="continue"/>
            <w:vAlign w:val="center"/>
          </w:tcPr>
          <w:p w14:paraId="0C8236BD">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00" w:type="pct"/>
            <w:vAlign w:val="center"/>
          </w:tcPr>
          <w:p w14:paraId="3DC939D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71" w:type="pct"/>
            <w:vAlign w:val="center"/>
          </w:tcPr>
          <w:p w14:paraId="0CA41C1A">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船舱内，</w:t>
            </w:r>
            <w:r>
              <w:rPr>
                <w:rFonts w:hint="eastAsia"/>
                <w:color w:val="000000" w:themeColor="text1"/>
                <w:sz w:val="18"/>
                <w:szCs w:val="18"/>
                <w14:textFill>
                  <w14:solidFill>
                    <w14:schemeClr w14:val="tx1"/>
                  </w14:solidFill>
                </w14:textFill>
              </w:rPr>
              <w:t>10000吨船</w:t>
            </w:r>
          </w:p>
        </w:tc>
      </w:tr>
      <w:tr w14:paraId="7C70D5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vAlign w:val="center"/>
          </w:tcPr>
          <w:p w14:paraId="472BE90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709" w:type="pct"/>
            <w:vMerge w:val="restart"/>
            <w:vAlign w:val="center"/>
          </w:tcPr>
          <w:p w14:paraId="22308EF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工业级混合油</w:t>
            </w:r>
          </w:p>
        </w:tc>
        <w:tc>
          <w:tcPr>
            <w:tcW w:w="448" w:type="pct"/>
            <w:vMerge w:val="restart"/>
            <w:vAlign w:val="center"/>
          </w:tcPr>
          <w:p w14:paraId="5819EAF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398" w:type="pct"/>
            <w:vMerge w:val="restart"/>
            <w:vAlign w:val="center"/>
          </w:tcPr>
          <w:p w14:paraId="09CB46E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770</w:t>
            </w:r>
          </w:p>
        </w:tc>
        <w:tc>
          <w:tcPr>
            <w:tcW w:w="448" w:type="pct"/>
            <w:vAlign w:val="center"/>
          </w:tcPr>
          <w:p w14:paraId="30C7A0A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300</w:t>
            </w:r>
          </w:p>
        </w:tc>
        <w:tc>
          <w:tcPr>
            <w:tcW w:w="448" w:type="pct"/>
            <w:vAlign w:val="center"/>
          </w:tcPr>
          <w:p w14:paraId="50BD440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498" w:type="pct"/>
            <w:vAlign w:val="center"/>
          </w:tcPr>
          <w:p w14:paraId="17AB3D5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36.27 </w:t>
            </w:r>
          </w:p>
        </w:tc>
        <w:tc>
          <w:tcPr>
            <w:tcW w:w="448" w:type="pct"/>
            <w:vAlign w:val="center"/>
          </w:tcPr>
          <w:p w14:paraId="5C75FB2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否</w:t>
            </w:r>
          </w:p>
        </w:tc>
        <w:tc>
          <w:tcPr>
            <w:tcW w:w="646" w:type="pct"/>
            <w:vMerge w:val="restart"/>
            <w:vAlign w:val="center"/>
          </w:tcPr>
          <w:p w14:paraId="7D5F57A3">
            <w:pPr>
              <w:adjustRightInd w:val="0"/>
              <w:snapToGrid w:val="0"/>
              <w:spacing w:line="240" w:lineRule="auto"/>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表B.1、B.2（以脂肪酸甘油三酯为主）</w:t>
            </w:r>
          </w:p>
        </w:tc>
        <w:tc>
          <w:tcPr>
            <w:tcW w:w="300" w:type="pct"/>
            <w:vAlign w:val="center"/>
          </w:tcPr>
          <w:p w14:paraId="0F001EB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71" w:type="pct"/>
            <w:vAlign w:val="center"/>
          </w:tcPr>
          <w:p w14:paraId="29941A75">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管线内</w:t>
            </w:r>
          </w:p>
        </w:tc>
      </w:tr>
      <w:tr w14:paraId="50D955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continue"/>
            <w:vAlign w:val="center"/>
          </w:tcPr>
          <w:p w14:paraId="7ADBB93D">
            <w:pPr>
              <w:adjustRightInd w:val="0"/>
              <w:snapToGrid w:val="0"/>
              <w:spacing w:line="240" w:lineRule="auto"/>
              <w:ind w:firstLine="420"/>
              <w:jc w:val="center"/>
              <w:rPr>
                <w:color w:val="000000" w:themeColor="text1"/>
                <w:sz w:val="21"/>
                <w:szCs w:val="21"/>
                <w14:textFill>
                  <w14:solidFill>
                    <w14:schemeClr w14:val="tx1"/>
                  </w14:solidFill>
                </w14:textFill>
              </w:rPr>
            </w:pPr>
          </w:p>
        </w:tc>
        <w:tc>
          <w:tcPr>
            <w:tcW w:w="709" w:type="pct"/>
            <w:vMerge w:val="continue"/>
            <w:vAlign w:val="center"/>
          </w:tcPr>
          <w:p w14:paraId="712D71B9">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continue"/>
            <w:vAlign w:val="center"/>
          </w:tcPr>
          <w:p w14:paraId="196EA7F3">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98" w:type="pct"/>
            <w:vMerge w:val="continue"/>
            <w:vAlign w:val="center"/>
          </w:tcPr>
          <w:p w14:paraId="45FE460A">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Align w:val="center"/>
          </w:tcPr>
          <w:p w14:paraId="29EA707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48" w:type="pct"/>
            <w:vAlign w:val="center"/>
          </w:tcPr>
          <w:p w14:paraId="3C52198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98" w:type="pct"/>
            <w:vAlign w:val="center"/>
          </w:tcPr>
          <w:p w14:paraId="1EF9E03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818.51 </w:t>
            </w:r>
          </w:p>
        </w:tc>
        <w:tc>
          <w:tcPr>
            <w:tcW w:w="448" w:type="pct"/>
            <w:vAlign w:val="center"/>
          </w:tcPr>
          <w:p w14:paraId="7D17F2C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否</w:t>
            </w:r>
          </w:p>
        </w:tc>
        <w:tc>
          <w:tcPr>
            <w:tcW w:w="646" w:type="pct"/>
            <w:vMerge w:val="continue"/>
            <w:vAlign w:val="center"/>
          </w:tcPr>
          <w:p w14:paraId="1E2BEAEB">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00" w:type="pct"/>
            <w:vAlign w:val="center"/>
          </w:tcPr>
          <w:p w14:paraId="21713F4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71" w:type="pct"/>
            <w:vAlign w:val="center"/>
          </w:tcPr>
          <w:p w14:paraId="2E3928DA">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船舱内，</w:t>
            </w:r>
            <w:r>
              <w:rPr>
                <w:rFonts w:hint="eastAsia"/>
                <w:color w:val="000000" w:themeColor="text1"/>
                <w:sz w:val="18"/>
                <w:szCs w:val="18"/>
                <w14:textFill>
                  <w14:solidFill>
                    <w14:schemeClr w14:val="tx1"/>
                  </w14:solidFill>
                </w14:textFill>
              </w:rPr>
              <w:t>10000吨船</w:t>
            </w:r>
          </w:p>
        </w:tc>
      </w:tr>
      <w:tr w14:paraId="031056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vAlign w:val="center"/>
          </w:tcPr>
          <w:p w14:paraId="6B1A66D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709" w:type="pct"/>
            <w:vMerge w:val="restart"/>
            <w:vAlign w:val="center"/>
          </w:tcPr>
          <w:p w14:paraId="40C3AC0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脂肪酸甲酯</w:t>
            </w:r>
          </w:p>
        </w:tc>
        <w:tc>
          <w:tcPr>
            <w:tcW w:w="448" w:type="pct"/>
            <w:vMerge w:val="restart"/>
            <w:vAlign w:val="center"/>
          </w:tcPr>
          <w:p w14:paraId="1B5E44B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112-62-9</w:t>
            </w:r>
          </w:p>
        </w:tc>
        <w:tc>
          <w:tcPr>
            <w:tcW w:w="398" w:type="pct"/>
            <w:vMerge w:val="restart"/>
            <w:vAlign w:val="center"/>
          </w:tcPr>
          <w:p w14:paraId="746D470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875</w:t>
            </w:r>
          </w:p>
        </w:tc>
        <w:tc>
          <w:tcPr>
            <w:tcW w:w="448" w:type="pct"/>
            <w:vAlign w:val="center"/>
          </w:tcPr>
          <w:p w14:paraId="7170308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300</w:t>
            </w:r>
          </w:p>
        </w:tc>
        <w:tc>
          <w:tcPr>
            <w:tcW w:w="448" w:type="pct"/>
            <w:vAlign w:val="center"/>
          </w:tcPr>
          <w:p w14:paraId="585FD34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498" w:type="pct"/>
            <w:vAlign w:val="center"/>
          </w:tcPr>
          <w:p w14:paraId="5299B80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41.21 </w:t>
            </w:r>
          </w:p>
        </w:tc>
        <w:tc>
          <w:tcPr>
            <w:tcW w:w="448" w:type="pct"/>
            <w:vAlign w:val="center"/>
          </w:tcPr>
          <w:p w14:paraId="002F44F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否</w:t>
            </w:r>
          </w:p>
        </w:tc>
        <w:tc>
          <w:tcPr>
            <w:tcW w:w="646" w:type="pct"/>
            <w:vMerge w:val="restart"/>
            <w:vAlign w:val="center"/>
          </w:tcPr>
          <w:p w14:paraId="0BB05A2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表B.1、B.2（以脂肪酸为主）</w:t>
            </w:r>
          </w:p>
        </w:tc>
        <w:tc>
          <w:tcPr>
            <w:tcW w:w="300" w:type="pct"/>
            <w:vAlign w:val="center"/>
          </w:tcPr>
          <w:p w14:paraId="1923D31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71" w:type="pct"/>
            <w:vAlign w:val="center"/>
          </w:tcPr>
          <w:p w14:paraId="52BC27DB">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管线内</w:t>
            </w:r>
          </w:p>
        </w:tc>
      </w:tr>
      <w:tr w14:paraId="4EA1B3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continue"/>
            <w:vAlign w:val="center"/>
          </w:tcPr>
          <w:p w14:paraId="1DA988D8">
            <w:pPr>
              <w:adjustRightInd w:val="0"/>
              <w:snapToGrid w:val="0"/>
              <w:spacing w:line="240" w:lineRule="auto"/>
              <w:ind w:firstLine="420"/>
              <w:jc w:val="center"/>
              <w:rPr>
                <w:color w:val="000000" w:themeColor="text1"/>
                <w:sz w:val="21"/>
                <w:szCs w:val="21"/>
                <w14:textFill>
                  <w14:solidFill>
                    <w14:schemeClr w14:val="tx1"/>
                  </w14:solidFill>
                </w14:textFill>
              </w:rPr>
            </w:pPr>
          </w:p>
        </w:tc>
        <w:tc>
          <w:tcPr>
            <w:tcW w:w="709" w:type="pct"/>
            <w:vMerge w:val="continue"/>
            <w:vAlign w:val="center"/>
          </w:tcPr>
          <w:p w14:paraId="17E0F7FC">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continue"/>
            <w:vAlign w:val="center"/>
          </w:tcPr>
          <w:p w14:paraId="3C5E6F82">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98" w:type="pct"/>
            <w:vMerge w:val="continue"/>
            <w:vAlign w:val="center"/>
          </w:tcPr>
          <w:p w14:paraId="3127D106">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Align w:val="center"/>
          </w:tcPr>
          <w:p w14:paraId="600783D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48" w:type="pct"/>
            <w:vAlign w:val="center"/>
          </w:tcPr>
          <w:p w14:paraId="7557CA4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98" w:type="pct"/>
            <w:vAlign w:val="center"/>
          </w:tcPr>
          <w:p w14:paraId="464810C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930.13 </w:t>
            </w:r>
          </w:p>
        </w:tc>
        <w:tc>
          <w:tcPr>
            <w:tcW w:w="448" w:type="pct"/>
            <w:vAlign w:val="center"/>
          </w:tcPr>
          <w:p w14:paraId="4D5A422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否</w:t>
            </w:r>
          </w:p>
        </w:tc>
        <w:tc>
          <w:tcPr>
            <w:tcW w:w="646" w:type="pct"/>
            <w:vMerge w:val="continue"/>
            <w:vAlign w:val="center"/>
          </w:tcPr>
          <w:p w14:paraId="16067D13">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00" w:type="pct"/>
            <w:vAlign w:val="center"/>
          </w:tcPr>
          <w:p w14:paraId="3B2A760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71" w:type="pct"/>
            <w:vAlign w:val="center"/>
          </w:tcPr>
          <w:p w14:paraId="6CC12D2D">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船舱内，</w:t>
            </w:r>
            <w:r>
              <w:rPr>
                <w:rFonts w:hint="eastAsia"/>
                <w:color w:val="000000" w:themeColor="text1"/>
                <w:sz w:val="18"/>
                <w:szCs w:val="18"/>
                <w14:textFill>
                  <w14:solidFill>
                    <w14:schemeClr w14:val="tx1"/>
                  </w14:solidFill>
                </w14:textFill>
              </w:rPr>
              <w:t>10000吨船</w:t>
            </w:r>
          </w:p>
          <w:p w14:paraId="7C342E7C">
            <w:pPr>
              <w:adjustRightInd w:val="0"/>
              <w:snapToGrid w:val="0"/>
              <w:spacing w:line="240" w:lineRule="auto"/>
              <w:ind w:firstLine="0" w:firstLineChars="0"/>
              <w:jc w:val="center"/>
              <w:rPr>
                <w:color w:val="000000" w:themeColor="text1"/>
                <w:sz w:val="18"/>
                <w:szCs w:val="18"/>
                <w14:textFill>
                  <w14:solidFill>
                    <w14:schemeClr w14:val="tx1"/>
                  </w14:solidFill>
                </w14:textFill>
              </w:rPr>
            </w:pPr>
          </w:p>
        </w:tc>
      </w:tr>
      <w:tr w14:paraId="6B1B66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vAlign w:val="center"/>
          </w:tcPr>
          <w:p w14:paraId="16D8C8B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w:t>
            </w:r>
          </w:p>
        </w:tc>
        <w:tc>
          <w:tcPr>
            <w:tcW w:w="709" w:type="pct"/>
            <w:vMerge w:val="restart"/>
            <w:vAlign w:val="center"/>
          </w:tcPr>
          <w:p w14:paraId="17D0E4B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纯生物柴油</w:t>
            </w:r>
          </w:p>
        </w:tc>
        <w:tc>
          <w:tcPr>
            <w:tcW w:w="448" w:type="pct"/>
            <w:vMerge w:val="restart"/>
            <w:vAlign w:val="center"/>
          </w:tcPr>
          <w:p w14:paraId="45C9568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67784-80-9</w:t>
            </w:r>
          </w:p>
        </w:tc>
        <w:tc>
          <w:tcPr>
            <w:tcW w:w="398" w:type="pct"/>
            <w:vMerge w:val="restart"/>
            <w:vAlign w:val="center"/>
          </w:tcPr>
          <w:p w14:paraId="4623DD8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875</w:t>
            </w:r>
          </w:p>
        </w:tc>
        <w:tc>
          <w:tcPr>
            <w:tcW w:w="448" w:type="pct"/>
            <w:vAlign w:val="center"/>
          </w:tcPr>
          <w:p w14:paraId="7C5C48C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300</w:t>
            </w:r>
          </w:p>
        </w:tc>
        <w:tc>
          <w:tcPr>
            <w:tcW w:w="448" w:type="pct"/>
            <w:vAlign w:val="center"/>
          </w:tcPr>
          <w:p w14:paraId="40103DD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498" w:type="pct"/>
            <w:vAlign w:val="center"/>
          </w:tcPr>
          <w:p w14:paraId="6C299C1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41.21 </w:t>
            </w:r>
          </w:p>
        </w:tc>
        <w:tc>
          <w:tcPr>
            <w:tcW w:w="448" w:type="pct"/>
            <w:vAlign w:val="center"/>
          </w:tcPr>
          <w:p w14:paraId="3928F52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restart"/>
            <w:vAlign w:val="center"/>
          </w:tcPr>
          <w:p w14:paraId="6AEBE7A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381</w:t>
            </w:r>
          </w:p>
        </w:tc>
        <w:tc>
          <w:tcPr>
            <w:tcW w:w="300" w:type="pct"/>
            <w:vAlign w:val="center"/>
          </w:tcPr>
          <w:p w14:paraId="790964B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2500</w:t>
            </w:r>
          </w:p>
        </w:tc>
        <w:tc>
          <w:tcPr>
            <w:tcW w:w="471" w:type="pct"/>
            <w:vAlign w:val="center"/>
          </w:tcPr>
          <w:p w14:paraId="0F85A6E8">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管线内</w:t>
            </w:r>
          </w:p>
        </w:tc>
      </w:tr>
      <w:tr w14:paraId="710756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continue"/>
            <w:vAlign w:val="center"/>
          </w:tcPr>
          <w:p w14:paraId="36491887">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9" w:type="pct"/>
            <w:vMerge w:val="continue"/>
            <w:vAlign w:val="center"/>
          </w:tcPr>
          <w:p w14:paraId="3E284FBA">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continue"/>
            <w:vAlign w:val="center"/>
          </w:tcPr>
          <w:p w14:paraId="2EA76313">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98" w:type="pct"/>
            <w:vMerge w:val="continue"/>
            <w:vAlign w:val="center"/>
          </w:tcPr>
          <w:p w14:paraId="45EDF86E">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Align w:val="center"/>
          </w:tcPr>
          <w:p w14:paraId="3FD68C3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48" w:type="pct"/>
            <w:vAlign w:val="center"/>
          </w:tcPr>
          <w:p w14:paraId="607DFB5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98" w:type="pct"/>
            <w:vAlign w:val="center"/>
          </w:tcPr>
          <w:p w14:paraId="4F4391A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930.13 </w:t>
            </w:r>
          </w:p>
        </w:tc>
        <w:tc>
          <w:tcPr>
            <w:tcW w:w="448" w:type="pct"/>
            <w:vAlign w:val="center"/>
          </w:tcPr>
          <w:p w14:paraId="5D8CB07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continue"/>
            <w:vAlign w:val="center"/>
          </w:tcPr>
          <w:p w14:paraId="3085263C">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00" w:type="pct"/>
            <w:vAlign w:val="center"/>
          </w:tcPr>
          <w:p w14:paraId="480A173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2500</w:t>
            </w:r>
          </w:p>
        </w:tc>
        <w:tc>
          <w:tcPr>
            <w:tcW w:w="471" w:type="pct"/>
            <w:vAlign w:val="center"/>
          </w:tcPr>
          <w:p w14:paraId="37CF7339">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船舱内，</w:t>
            </w:r>
            <w:r>
              <w:rPr>
                <w:rFonts w:hint="eastAsia"/>
                <w:color w:val="000000" w:themeColor="text1"/>
                <w:sz w:val="18"/>
                <w:szCs w:val="18"/>
                <w14:textFill>
                  <w14:solidFill>
                    <w14:schemeClr w14:val="tx1"/>
                  </w14:solidFill>
                </w14:textFill>
              </w:rPr>
              <w:t>10000吨船</w:t>
            </w:r>
          </w:p>
        </w:tc>
      </w:tr>
      <w:tr w14:paraId="401E9C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vAlign w:val="center"/>
          </w:tcPr>
          <w:p w14:paraId="087A685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709" w:type="pct"/>
            <w:vMerge w:val="restart"/>
            <w:vAlign w:val="center"/>
          </w:tcPr>
          <w:p w14:paraId="16AB482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航空煤油</w:t>
            </w:r>
          </w:p>
        </w:tc>
        <w:tc>
          <w:tcPr>
            <w:tcW w:w="448" w:type="pct"/>
            <w:vMerge w:val="restart"/>
            <w:vAlign w:val="center"/>
          </w:tcPr>
          <w:p w14:paraId="4A31911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70892-10-3</w:t>
            </w:r>
          </w:p>
        </w:tc>
        <w:tc>
          <w:tcPr>
            <w:tcW w:w="398" w:type="pct"/>
            <w:vMerge w:val="restart"/>
            <w:vAlign w:val="center"/>
          </w:tcPr>
          <w:p w14:paraId="52316E1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790</w:t>
            </w:r>
          </w:p>
        </w:tc>
        <w:tc>
          <w:tcPr>
            <w:tcW w:w="448" w:type="pct"/>
            <w:vAlign w:val="center"/>
          </w:tcPr>
          <w:p w14:paraId="605797E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300</w:t>
            </w:r>
          </w:p>
        </w:tc>
        <w:tc>
          <w:tcPr>
            <w:tcW w:w="448" w:type="pct"/>
            <w:vAlign w:val="center"/>
          </w:tcPr>
          <w:p w14:paraId="49C359F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498" w:type="pct"/>
            <w:vAlign w:val="center"/>
          </w:tcPr>
          <w:p w14:paraId="4B1B801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37.21 </w:t>
            </w:r>
          </w:p>
        </w:tc>
        <w:tc>
          <w:tcPr>
            <w:tcW w:w="448" w:type="pct"/>
            <w:vAlign w:val="center"/>
          </w:tcPr>
          <w:p w14:paraId="05C1959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restart"/>
            <w:vAlign w:val="center"/>
          </w:tcPr>
          <w:p w14:paraId="0017CC3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381</w:t>
            </w:r>
          </w:p>
        </w:tc>
        <w:tc>
          <w:tcPr>
            <w:tcW w:w="300" w:type="pct"/>
            <w:vAlign w:val="center"/>
          </w:tcPr>
          <w:p w14:paraId="4EEC63E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2500</w:t>
            </w:r>
          </w:p>
        </w:tc>
        <w:tc>
          <w:tcPr>
            <w:tcW w:w="471" w:type="pct"/>
            <w:vAlign w:val="center"/>
          </w:tcPr>
          <w:p w14:paraId="3FBF7B14">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管线内</w:t>
            </w:r>
          </w:p>
        </w:tc>
      </w:tr>
      <w:tr w14:paraId="5871EF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continue"/>
            <w:vAlign w:val="center"/>
          </w:tcPr>
          <w:p w14:paraId="4E91BF79">
            <w:pPr>
              <w:adjustRightInd w:val="0"/>
              <w:snapToGrid w:val="0"/>
              <w:spacing w:line="240" w:lineRule="auto"/>
              <w:ind w:firstLine="420"/>
              <w:jc w:val="center"/>
              <w:rPr>
                <w:color w:val="000000" w:themeColor="text1"/>
                <w:sz w:val="21"/>
                <w:szCs w:val="21"/>
                <w14:textFill>
                  <w14:solidFill>
                    <w14:schemeClr w14:val="tx1"/>
                  </w14:solidFill>
                </w14:textFill>
              </w:rPr>
            </w:pPr>
          </w:p>
        </w:tc>
        <w:tc>
          <w:tcPr>
            <w:tcW w:w="709" w:type="pct"/>
            <w:vMerge w:val="continue"/>
            <w:vAlign w:val="center"/>
          </w:tcPr>
          <w:p w14:paraId="1CE279A3">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continue"/>
            <w:vAlign w:val="center"/>
          </w:tcPr>
          <w:p w14:paraId="0EFC2A18">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98" w:type="pct"/>
            <w:vMerge w:val="continue"/>
            <w:vAlign w:val="center"/>
          </w:tcPr>
          <w:p w14:paraId="1ACE83CA">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Align w:val="center"/>
          </w:tcPr>
          <w:p w14:paraId="18C5A56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48" w:type="pct"/>
            <w:vAlign w:val="center"/>
          </w:tcPr>
          <w:p w14:paraId="39D3798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98" w:type="pct"/>
            <w:vAlign w:val="center"/>
          </w:tcPr>
          <w:p w14:paraId="20B8E71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839.77 </w:t>
            </w:r>
          </w:p>
        </w:tc>
        <w:tc>
          <w:tcPr>
            <w:tcW w:w="448" w:type="pct"/>
            <w:vAlign w:val="center"/>
          </w:tcPr>
          <w:p w14:paraId="4634F6F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continue"/>
            <w:vAlign w:val="center"/>
          </w:tcPr>
          <w:p w14:paraId="154CCD08">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00" w:type="pct"/>
            <w:vAlign w:val="center"/>
          </w:tcPr>
          <w:p w14:paraId="7272178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2500</w:t>
            </w:r>
          </w:p>
        </w:tc>
        <w:tc>
          <w:tcPr>
            <w:tcW w:w="471" w:type="pct"/>
            <w:vAlign w:val="center"/>
          </w:tcPr>
          <w:p w14:paraId="575AF13C">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船舱内，</w:t>
            </w:r>
            <w:r>
              <w:rPr>
                <w:rFonts w:hint="eastAsia"/>
                <w:color w:val="000000" w:themeColor="text1"/>
                <w:sz w:val="18"/>
                <w:szCs w:val="18"/>
                <w14:textFill>
                  <w14:solidFill>
                    <w14:schemeClr w14:val="tx1"/>
                  </w14:solidFill>
                </w14:textFill>
              </w:rPr>
              <w:t>10000吨船</w:t>
            </w:r>
          </w:p>
        </w:tc>
      </w:tr>
      <w:tr w14:paraId="2CBCAA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vAlign w:val="center"/>
          </w:tcPr>
          <w:p w14:paraId="0980528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w:t>
            </w:r>
          </w:p>
        </w:tc>
        <w:tc>
          <w:tcPr>
            <w:tcW w:w="709" w:type="pct"/>
            <w:vMerge w:val="restart"/>
            <w:vAlign w:val="center"/>
          </w:tcPr>
          <w:p w14:paraId="4DADCE8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液硫</w:t>
            </w:r>
          </w:p>
        </w:tc>
        <w:tc>
          <w:tcPr>
            <w:tcW w:w="448" w:type="pct"/>
            <w:vMerge w:val="restart"/>
            <w:vAlign w:val="center"/>
          </w:tcPr>
          <w:p w14:paraId="31CBB8D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63705-05-5</w:t>
            </w:r>
          </w:p>
        </w:tc>
        <w:tc>
          <w:tcPr>
            <w:tcW w:w="398" w:type="pct"/>
            <w:vMerge w:val="restart"/>
            <w:vAlign w:val="center"/>
          </w:tcPr>
          <w:p w14:paraId="5D815E9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1800</w:t>
            </w:r>
          </w:p>
        </w:tc>
        <w:tc>
          <w:tcPr>
            <w:tcW w:w="1276" w:type="dxa"/>
            <w:vAlign w:val="center"/>
          </w:tcPr>
          <w:p w14:paraId="055415C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200</w:t>
            </w:r>
          </w:p>
        </w:tc>
        <w:tc>
          <w:tcPr>
            <w:tcW w:w="1276" w:type="dxa"/>
            <w:vAlign w:val="center"/>
          </w:tcPr>
          <w:p w14:paraId="42AD444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1418" w:type="dxa"/>
            <w:vAlign w:val="center"/>
          </w:tcPr>
          <w:p w14:paraId="5E5F433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42.39 </w:t>
            </w:r>
          </w:p>
        </w:tc>
        <w:tc>
          <w:tcPr>
            <w:tcW w:w="1276" w:type="dxa"/>
            <w:vAlign w:val="center"/>
          </w:tcPr>
          <w:p w14:paraId="402A843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1840" w:type="dxa"/>
            <w:vMerge w:val="restart"/>
            <w:vAlign w:val="center"/>
          </w:tcPr>
          <w:p w14:paraId="104AC8BE">
            <w:pPr>
              <w:adjustRightInd w:val="0"/>
              <w:snapToGrid w:val="0"/>
              <w:spacing w:line="240" w:lineRule="auto"/>
              <w:ind w:firstLine="420" w:firstLineChars="20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表B.1、B.2</w:t>
            </w:r>
            <w:r>
              <w:rPr>
                <w:color w:val="000000" w:themeColor="text1"/>
                <w:sz w:val="21"/>
                <w:szCs w:val="21"/>
                <w14:textFill>
                  <w14:solidFill>
                    <w14:schemeClr w14:val="tx1"/>
                  </w14:solidFill>
                </w14:textFill>
              </w:rPr>
              <w:t>（以硫为主）</w:t>
            </w:r>
          </w:p>
        </w:tc>
        <w:tc>
          <w:tcPr>
            <w:tcW w:w="854" w:type="dxa"/>
            <w:vAlign w:val="center"/>
          </w:tcPr>
          <w:p w14:paraId="3099FB8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p>
        </w:tc>
        <w:tc>
          <w:tcPr>
            <w:tcW w:w="1341" w:type="dxa"/>
            <w:vAlign w:val="center"/>
          </w:tcPr>
          <w:p w14:paraId="3DD73353">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管线内</w:t>
            </w:r>
          </w:p>
        </w:tc>
      </w:tr>
      <w:tr w14:paraId="7B51F6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continue"/>
            <w:vAlign w:val="center"/>
          </w:tcPr>
          <w:p w14:paraId="5D55ACE6">
            <w:pPr>
              <w:adjustRightInd w:val="0"/>
              <w:snapToGrid w:val="0"/>
              <w:spacing w:line="240" w:lineRule="auto"/>
              <w:ind w:firstLine="420"/>
              <w:jc w:val="center"/>
              <w:rPr>
                <w:color w:val="000000" w:themeColor="text1"/>
                <w:sz w:val="21"/>
                <w:szCs w:val="21"/>
                <w14:textFill>
                  <w14:solidFill>
                    <w14:schemeClr w14:val="tx1"/>
                  </w14:solidFill>
                </w14:textFill>
              </w:rPr>
            </w:pPr>
          </w:p>
        </w:tc>
        <w:tc>
          <w:tcPr>
            <w:tcW w:w="709" w:type="pct"/>
            <w:vMerge w:val="continue"/>
            <w:vAlign w:val="center"/>
          </w:tcPr>
          <w:p w14:paraId="0B22CA83">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continue"/>
            <w:vAlign w:val="center"/>
          </w:tcPr>
          <w:p w14:paraId="34E036FB">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98" w:type="pct"/>
            <w:vMerge w:val="continue"/>
            <w:vAlign w:val="center"/>
          </w:tcPr>
          <w:p w14:paraId="17654E3E">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1276" w:type="dxa"/>
            <w:vAlign w:val="center"/>
          </w:tcPr>
          <w:p w14:paraId="5A788CA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276" w:type="dxa"/>
            <w:vAlign w:val="center"/>
          </w:tcPr>
          <w:p w14:paraId="0A1973A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418" w:type="dxa"/>
            <w:vAlign w:val="center"/>
          </w:tcPr>
          <w:p w14:paraId="2F18E5A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1913.40 </w:t>
            </w:r>
          </w:p>
        </w:tc>
        <w:tc>
          <w:tcPr>
            <w:tcW w:w="1276" w:type="dxa"/>
            <w:vAlign w:val="center"/>
          </w:tcPr>
          <w:p w14:paraId="6D134C9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1840" w:type="dxa"/>
            <w:vMerge w:val="continue"/>
            <w:vAlign w:val="center"/>
          </w:tcPr>
          <w:p w14:paraId="3D519B25">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854" w:type="dxa"/>
            <w:vAlign w:val="center"/>
          </w:tcPr>
          <w:p w14:paraId="45F0DBF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p>
        </w:tc>
        <w:tc>
          <w:tcPr>
            <w:tcW w:w="1341" w:type="dxa"/>
            <w:vAlign w:val="center"/>
          </w:tcPr>
          <w:p w14:paraId="0D5E0694">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船舱内，</w:t>
            </w:r>
            <w:r>
              <w:rPr>
                <w:rFonts w:hint="eastAsia"/>
                <w:color w:val="000000" w:themeColor="text1"/>
                <w:sz w:val="18"/>
                <w:szCs w:val="18"/>
                <w14:textFill>
                  <w14:solidFill>
                    <w14:schemeClr w14:val="tx1"/>
                  </w14:solidFill>
                </w14:textFill>
              </w:rPr>
              <w:t>10000吨船</w:t>
            </w:r>
          </w:p>
        </w:tc>
      </w:tr>
      <w:tr w14:paraId="4913C0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vAlign w:val="center"/>
          </w:tcPr>
          <w:p w14:paraId="321B4FA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p>
        </w:tc>
        <w:tc>
          <w:tcPr>
            <w:tcW w:w="709" w:type="pct"/>
            <w:vMerge w:val="restart"/>
            <w:vAlign w:val="center"/>
          </w:tcPr>
          <w:p w14:paraId="449E143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碱液</w:t>
            </w:r>
          </w:p>
        </w:tc>
        <w:tc>
          <w:tcPr>
            <w:tcW w:w="448" w:type="pct"/>
            <w:vMerge w:val="restart"/>
            <w:vAlign w:val="center"/>
          </w:tcPr>
          <w:p w14:paraId="30E87EE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 1310-73-2</w:t>
            </w:r>
          </w:p>
        </w:tc>
        <w:tc>
          <w:tcPr>
            <w:tcW w:w="398" w:type="pct"/>
            <w:vMerge w:val="restart"/>
            <w:vAlign w:val="center"/>
          </w:tcPr>
          <w:p w14:paraId="537FB9D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1330</w:t>
            </w:r>
          </w:p>
        </w:tc>
        <w:tc>
          <w:tcPr>
            <w:tcW w:w="448" w:type="pct"/>
            <w:vAlign w:val="center"/>
          </w:tcPr>
          <w:p w14:paraId="5BDCD61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150</w:t>
            </w:r>
          </w:p>
        </w:tc>
        <w:tc>
          <w:tcPr>
            <w:tcW w:w="448" w:type="pct"/>
            <w:vAlign w:val="center"/>
          </w:tcPr>
          <w:p w14:paraId="6229365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498" w:type="pct"/>
            <w:vAlign w:val="center"/>
          </w:tcPr>
          <w:p w14:paraId="757ED0F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31.32 </w:t>
            </w:r>
          </w:p>
        </w:tc>
        <w:tc>
          <w:tcPr>
            <w:tcW w:w="448" w:type="pct"/>
            <w:vAlign w:val="center"/>
          </w:tcPr>
          <w:p w14:paraId="4CC1085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restart"/>
            <w:vAlign w:val="center"/>
          </w:tcPr>
          <w:p w14:paraId="53460C8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表B.2类别2</w:t>
            </w:r>
          </w:p>
        </w:tc>
        <w:tc>
          <w:tcPr>
            <w:tcW w:w="300" w:type="pct"/>
            <w:vAlign w:val="center"/>
          </w:tcPr>
          <w:p w14:paraId="657F83F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w:t>
            </w:r>
          </w:p>
        </w:tc>
        <w:tc>
          <w:tcPr>
            <w:tcW w:w="471" w:type="pct"/>
            <w:vAlign w:val="center"/>
          </w:tcPr>
          <w:p w14:paraId="45F09E21">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管线内</w:t>
            </w:r>
          </w:p>
        </w:tc>
      </w:tr>
      <w:tr w14:paraId="791374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continue"/>
            <w:vAlign w:val="center"/>
          </w:tcPr>
          <w:p w14:paraId="712E136A">
            <w:pPr>
              <w:adjustRightInd w:val="0"/>
              <w:snapToGrid w:val="0"/>
              <w:spacing w:line="240" w:lineRule="auto"/>
              <w:ind w:firstLine="420"/>
              <w:jc w:val="center"/>
              <w:rPr>
                <w:color w:val="000000" w:themeColor="text1"/>
                <w:sz w:val="21"/>
                <w:szCs w:val="21"/>
                <w14:textFill>
                  <w14:solidFill>
                    <w14:schemeClr w14:val="tx1"/>
                  </w14:solidFill>
                </w14:textFill>
              </w:rPr>
            </w:pPr>
          </w:p>
        </w:tc>
        <w:tc>
          <w:tcPr>
            <w:tcW w:w="709" w:type="pct"/>
            <w:vMerge w:val="continue"/>
            <w:vAlign w:val="center"/>
          </w:tcPr>
          <w:p w14:paraId="6692824E">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continue"/>
            <w:vAlign w:val="center"/>
          </w:tcPr>
          <w:p w14:paraId="39E0904B">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98" w:type="pct"/>
            <w:vMerge w:val="continue"/>
            <w:vAlign w:val="center"/>
          </w:tcPr>
          <w:p w14:paraId="79FC97EE">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Align w:val="center"/>
          </w:tcPr>
          <w:p w14:paraId="22AA5B4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48" w:type="pct"/>
            <w:vAlign w:val="center"/>
          </w:tcPr>
          <w:p w14:paraId="7E4DA27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98" w:type="pct"/>
            <w:vAlign w:val="center"/>
          </w:tcPr>
          <w:p w14:paraId="4CAD5FB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552.5</w:t>
            </w:r>
            <w:r>
              <w:rPr>
                <w:rFonts w:eastAsia="等线"/>
                <w:color w:val="000000" w:themeColor="text1"/>
                <w:sz w:val="21"/>
                <w:szCs w:val="21"/>
                <w14:textFill>
                  <w14:solidFill>
                    <w14:schemeClr w14:val="tx1"/>
                  </w14:solidFill>
                </w14:textFill>
              </w:rPr>
              <w:t xml:space="preserve"> </w:t>
            </w:r>
          </w:p>
        </w:tc>
        <w:tc>
          <w:tcPr>
            <w:tcW w:w="448" w:type="pct"/>
            <w:vAlign w:val="center"/>
          </w:tcPr>
          <w:p w14:paraId="4836D94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continue"/>
            <w:vAlign w:val="center"/>
          </w:tcPr>
          <w:p w14:paraId="7B97D74D">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00" w:type="pct"/>
            <w:vAlign w:val="center"/>
          </w:tcPr>
          <w:p w14:paraId="18BC5D0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w:t>
            </w:r>
          </w:p>
        </w:tc>
        <w:tc>
          <w:tcPr>
            <w:tcW w:w="471" w:type="pct"/>
            <w:vAlign w:val="center"/>
          </w:tcPr>
          <w:p w14:paraId="70C8BFDE">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船舱内，</w:t>
            </w:r>
            <w:r>
              <w:rPr>
                <w:rFonts w:hint="eastAsia"/>
                <w:color w:val="000000" w:themeColor="text1"/>
                <w:sz w:val="18"/>
                <w:szCs w:val="18"/>
                <w14:textFill>
                  <w14:solidFill>
                    <w14:schemeClr w14:val="tx1"/>
                  </w14:solidFill>
                </w14:textFill>
              </w:rPr>
              <w:t>5000吨船</w:t>
            </w:r>
          </w:p>
        </w:tc>
      </w:tr>
      <w:tr w14:paraId="09F463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vAlign w:val="center"/>
          </w:tcPr>
          <w:p w14:paraId="6CA27B6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w:t>
            </w:r>
          </w:p>
        </w:tc>
        <w:tc>
          <w:tcPr>
            <w:tcW w:w="709" w:type="pct"/>
            <w:vMerge w:val="restart"/>
            <w:vAlign w:val="center"/>
          </w:tcPr>
          <w:p w14:paraId="73D784F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发烟硫酸</w:t>
            </w:r>
          </w:p>
        </w:tc>
        <w:tc>
          <w:tcPr>
            <w:tcW w:w="448" w:type="pct"/>
            <w:vMerge w:val="restart"/>
            <w:vAlign w:val="center"/>
          </w:tcPr>
          <w:p w14:paraId="3C539E9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8014-95-7</w:t>
            </w:r>
          </w:p>
        </w:tc>
        <w:tc>
          <w:tcPr>
            <w:tcW w:w="398" w:type="pct"/>
            <w:vMerge w:val="restart"/>
            <w:vAlign w:val="center"/>
          </w:tcPr>
          <w:p w14:paraId="1ECC811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1900</w:t>
            </w:r>
          </w:p>
        </w:tc>
        <w:tc>
          <w:tcPr>
            <w:tcW w:w="448" w:type="pct"/>
            <w:vAlign w:val="center"/>
          </w:tcPr>
          <w:p w14:paraId="33A8934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150</w:t>
            </w:r>
          </w:p>
        </w:tc>
        <w:tc>
          <w:tcPr>
            <w:tcW w:w="448" w:type="pct"/>
            <w:vAlign w:val="center"/>
          </w:tcPr>
          <w:p w14:paraId="7F0FB6F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498" w:type="pct"/>
            <w:vAlign w:val="center"/>
          </w:tcPr>
          <w:p w14:paraId="096E826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44.75 </w:t>
            </w:r>
          </w:p>
        </w:tc>
        <w:tc>
          <w:tcPr>
            <w:tcW w:w="448" w:type="pct"/>
            <w:vAlign w:val="center"/>
          </w:tcPr>
          <w:p w14:paraId="065F660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restart"/>
            <w:vAlign w:val="center"/>
          </w:tcPr>
          <w:p w14:paraId="0F8D2D5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127</w:t>
            </w:r>
          </w:p>
        </w:tc>
        <w:tc>
          <w:tcPr>
            <w:tcW w:w="300" w:type="pct"/>
            <w:vAlign w:val="center"/>
          </w:tcPr>
          <w:p w14:paraId="689FCE5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471" w:type="pct"/>
            <w:vAlign w:val="center"/>
          </w:tcPr>
          <w:p w14:paraId="0D66DFEB">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管线内</w:t>
            </w:r>
          </w:p>
        </w:tc>
      </w:tr>
      <w:tr w14:paraId="502A23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continue"/>
            <w:vAlign w:val="center"/>
          </w:tcPr>
          <w:p w14:paraId="3669C090">
            <w:pPr>
              <w:adjustRightInd w:val="0"/>
              <w:snapToGrid w:val="0"/>
              <w:spacing w:line="240" w:lineRule="auto"/>
              <w:ind w:firstLine="420"/>
              <w:jc w:val="center"/>
              <w:rPr>
                <w:color w:val="000000" w:themeColor="text1"/>
                <w:sz w:val="21"/>
                <w:szCs w:val="21"/>
                <w14:textFill>
                  <w14:solidFill>
                    <w14:schemeClr w14:val="tx1"/>
                  </w14:solidFill>
                </w14:textFill>
              </w:rPr>
            </w:pPr>
          </w:p>
        </w:tc>
        <w:tc>
          <w:tcPr>
            <w:tcW w:w="709" w:type="pct"/>
            <w:vMerge w:val="continue"/>
            <w:vAlign w:val="center"/>
          </w:tcPr>
          <w:p w14:paraId="7D0409E1">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continue"/>
            <w:vAlign w:val="center"/>
          </w:tcPr>
          <w:p w14:paraId="46B3C635">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98" w:type="pct"/>
            <w:vMerge w:val="continue"/>
            <w:vAlign w:val="center"/>
          </w:tcPr>
          <w:p w14:paraId="5FEF8C91">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Align w:val="center"/>
          </w:tcPr>
          <w:p w14:paraId="50FF5A3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48" w:type="pct"/>
            <w:vAlign w:val="center"/>
          </w:tcPr>
          <w:p w14:paraId="2BC9710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98" w:type="pct"/>
            <w:vAlign w:val="center"/>
          </w:tcPr>
          <w:p w14:paraId="0565BCA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807.50 </w:t>
            </w:r>
          </w:p>
        </w:tc>
        <w:tc>
          <w:tcPr>
            <w:tcW w:w="448" w:type="pct"/>
            <w:vAlign w:val="center"/>
          </w:tcPr>
          <w:p w14:paraId="028CA77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continue"/>
            <w:vAlign w:val="center"/>
          </w:tcPr>
          <w:p w14:paraId="658FAC8C">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00" w:type="pct"/>
            <w:vAlign w:val="center"/>
          </w:tcPr>
          <w:p w14:paraId="2B29F10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471" w:type="pct"/>
            <w:vAlign w:val="center"/>
          </w:tcPr>
          <w:p w14:paraId="0861A11D">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船舱内，</w:t>
            </w:r>
            <w:r>
              <w:rPr>
                <w:rFonts w:hint="eastAsia"/>
                <w:color w:val="000000" w:themeColor="text1"/>
                <w:sz w:val="18"/>
                <w:szCs w:val="18"/>
                <w14:textFill>
                  <w14:solidFill>
                    <w14:schemeClr w14:val="tx1"/>
                  </w14:solidFill>
                </w14:textFill>
              </w:rPr>
              <w:t>5000吨船</w:t>
            </w:r>
          </w:p>
        </w:tc>
      </w:tr>
      <w:tr w14:paraId="54DB445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vAlign w:val="center"/>
          </w:tcPr>
          <w:p w14:paraId="1AA0D3E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p>
        </w:tc>
        <w:tc>
          <w:tcPr>
            <w:tcW w:w="709" w:type="pct"/>
            <w:vMerge w:val="restart"/>
            <w:vAlign w:val="center"/>
          </w:tcPr>
          <w:p w14:paraId="083E652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硫酸</w:t>
            </w:r>
          </w:p>
        </w:tc>
        <w:tc>
          <w:tcPr>
            <w:tcW w:w="448" w:type="pct"/>
            <w:vMerge w:val="restart"/>
            <w:vAlign w:val="center"/>
          </w:tcPr>
          <w:p w14:paraId="76F50C3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8014-95-7</w:t>
            </w:r>
          </w:p>
        </w:tc>
        <w:tc>
          <w:tcPr>
            <w:tcW w:w="398" w:type="pct"/>
            <w:vMerge w:val="restart"/>
            <w:vAlign w:val="center"/>
          </w:tcPr>
          <w:p w14:paraId="627DE58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1900</w:t>
            </w:r>
          </w:p>
        </w:tc>
        <w:tc>
          <w:tcPr>
            <w:tcW w:w="448" w:type="pct"/>
            <w:vAlign w:val="center"/>
          </w:tcPr>
          <w:p w14:paraId="4878574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150</w:t>
            </w:r>
          </w:p>
        </w:tc>
        <w:tc>
          <w:tcPr>
            <w:tcW w:w="448" w:type="pct"/>
            <w:vAlign w:val="center"/>
          </w:tcPr>
          <w:p w14:paraId="4964090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498" w:type="pct"/>
            <w:vAlign w:val="center"/>
          </w:tcPr>
          <w:p w14:paraId="555D44E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44.75 </w:t>
            </w:r>
          </w:p>
        </w:tc>
        <w:tc>
          <w:tcPr>
            <w:tcW w:w="448" w:type="pct"/>
            <w:vAlign w:val="center"/>
          </w:tcPr>
          <w:p w14:paraId="2FE3B90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restart"/>
            <w:vAlign w:val="center"/>
          </w:tcPr>
          <w:p w14:paraId="760DE3E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127</w:t>
            </w:r>
          </w:p>
        </w:tc>
        <w:tc>
          <w:tcPr>
            <w:tcW w:w="300" w:type="pct"/>
            <w:vAlign w:val="center"/>
          </w:tcPr>
          <w:p w14:paraId="6692C24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471" w:type="pct"/>
            <w:vAlign w:val="center"/>
          </w:tcPr>
          <w:p w14:paraId="29FDE0A6">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管线内</w:t>
            </w:r>
          </w:p>
        </w:tc>
      </w:tr>
      <w:tr w14:paraId="59FD38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continue"/>
            <w:vAlign w:val="center"/>
          </w:tcPr>
          <w:p w14:paraId="36E735FB">
            <w:pPr>
              <w:adjustRightInd w:val="0"/>
              <w:snapToGrid w:val="0"/>
              <w:spacing w:line="240" w:lineRule="auto"/>
              <w:ind w:firstLine="420"/>
              <w:jc w:val="center"/>
              <w:rPr>
                <w:color w:val="000000" w:themeColor="text1"/>
                <w:sz w:val="21"/>
                <w:szCs w:val="21"/>
                <w14:textFill>
                  <w14:solidFill>
                    <w14:schemeClr w14:val="tx1"/>
                  </w14:solidFill>
                </w14:textFill>
              </w:rPr>
            </w:pPr>
          </w:p>
        </w:tc>
        <w:tc>
          <w:tcPr>
            <w:tcW w:w="709" w:type="pct"/>
            <w:vMerge w:val="continue"/>
            <w:vAlign w:val="center"/>
          </w:tcPr>
          <w:p w14:paraId="30FF300D">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continue"/>
            <w:vAlign w:val="center"/>
          </w:tcPr>
          <w:p w14:paraId="7BC5165A">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98" w:type="pct"/>
            <w:vMerge w:val="continue"/>
            <w:vAlign w:val="center"/>
          </w:tcPr>
          <w:p w14:paraId="2CA8081C">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Align w:val="center"/>
          </w:tcPr>
          <w:p w14:paraId="190B00C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48" w:type="pct"/>
            <w:vAlign w:val="center"/>
          </w:tcPr>
          <w:p w14:paraId="3D740F0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98" w:type="pct"/>
            <w:vAlign w:val="center"/>
          </w:tcPr>
          <w:p w14:paraId="2C1C356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807.50 </w:t>
            </w:r>
          </w:p>
        </w:tc>
        <w:tc>
          <w:tcPr>
            <w:tcW w:w="448" w:type="pct"/>
            <w:vAlign w:val="center"/>
          </w:tcPr>
          <w:p w14:paraId="492C470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continue"/>
            <w:vAlign w:val="center"/>
          </w:tcPr>
          <w:p w14:paraId="355A9CB4">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00" w:type="pct"/>
            <w:vAlign w:val="center"/>
          </w:tcPr>
          <w:p w14:paraId="019D7D8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471" w:type="pct"/>
            <w:vAlign w:val="center"/>
          </w:tcPr>
          <w:p w14:paraId="2008C29D">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船舱内，</w:t>
            </w:r>
            <w:r>
              <w:rPr>
                <w:rFonts w:hint="eastAsia"/>
                <w:color w:val="000000" w:themeColor="text1"/>
                <w:sz w:val="18"/>
                <w:szCs w:val="18"/>
                <w14:textFill>
                  <w14:solidFill>
                    <w14:schemeClr w14:val="tx1"/>
                  </w14:solidFill>
                </w14:textFill>
              </w:rPr>
              <w:t>5000吨船</w:t>
            </w:r>
          </w:p>
        </w:tc>
      </w:tr>
      <w:tr w14:paraId="2149DF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Align w:val="center"/>
          </w:tcPr>
          <w:p w14:paraId="6DFA975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13</w:t>
            </w:r>
          </w:p>
        </w:tc>
        <w:tc>
          <w:tcPr>
            <w:tcW w:w="709" w:type="pct"/>
            <w:vAlign w:val="center"/>
          </w:tcPr>
          <w:p w14:paraId="2DF3085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燃料油</w:t>
            </w:r>
          </w:p>
        </w:tc>
        <w:tc>
          <w:tcPr>
            <w:tcW w:w="4105" w:type="pct"/>
            <w:gridSpan w:val="9"/>
            <w:vAlign w:val="center"/>
          </w:tcPr>
          <w:p w14:paraId="3984CB3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以50000吨船来计（考虑码头可以停靠），405.4，临界量100t（参照HJ1409-2025）</w:t>
            </w:r>
          </w:p>
        </w:tc>
      </w:tr>
    </w:tbl>
    <w:p w14:paraId="5EF32163">
      <w:pPr>
        <w:ind w:firstLine="42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备注：参考《水上溢油环境风险评估技术导则》（JT/T114-2017）表C.1中5000～10000吨级单个舱容取425～1063m</w:t>
      </w:r>
      <w:r>
        <w:rPr>
          <w:rFonts w:hint="eastAsia"/>
          <w:color w:val="000000" w:themeColor="text1"/>
          <w:sz w:val="21"/>
          <w:szCs w:val="21"/>
          <w:vertAlign w:val="superscript"/>
          <w14:textFill>
            <w14:solidFill>
              <w14:schemeClr w14:val="tx1"/>
            </w14:solidFill>
          </w14:textFill>
        </w:rPr>
        <w:t>3</w:t>
      </w:r>
      <w:r>
        <w:rPr>
          <w:rFonts w:hint="eastAsia"/>
          <w:color w:val="000000" w:themeColor="text1"/>
          <w:sz w:val="21"/>
          <w:szCs w:val="21"/>
          <w14:textFill>
            <w14:solidFill>
              <w14:schemeClr w14:val="tx1"/>
            </w14:solidFill>
          </w14:textFill>
        </w:rPr>
        <w:t>，可能最大水上泄漏量为1个货油边舱全部泄漏。</w:t>
      </w:r>
    </w:p>
    <w:p w14:paraId="56E915D3">
      <w:pPr>
        <w:pStyle w:val="13"/>
        <w:rPr>
          <w:color w:val="000000" w:themeColor="text1"/>
          <w14:textFill>
            <w14:solidFill>
              <w14:schemeClr w14:val="tx1"/>
            </w14:solidFill>
          </w14:textFill>
        </w:rPr>
      </w:pPr>
    </w:p>
    <w:p w14:paraId="49F98ABE">
      <w:pPr>
        <w:ind w:firstLine="480"/>
        <w:rPr>
          <w:color w:val="000000" w:themeColor="text1"/>
          <w14:textFill>
            <w14:solidFill>
              <w14:schemeClr w14:val="tx1"/>
            </w14:solidFill>
          </w14:textFill>
        </w:rPr>
      </w:pPr>
    </w:p>
    <w:p w14:paraId="54FD4D7F">
      <w:pPr>
        <w:pStyle w:val="13"/>
        <w:rPr>
          <w:color w:val="000000" w:themeColor="text1"/>
          <w14:textFill>
            <w14:solidFill>
              <w14:schemeClr w14:val="tx1"/>
            </w14:solidFill>
          </w14:textFill>
        </w:rPr>
      </w:pPr>
    </w:p>
    <w:p w14:paraId="51751B07">
      <w:pPr>
        <w:ind w:firstLine="480"/>
        <w:rPr>
          <w:color w:val="000000" w:themeColor="text1"/>
          <w14:textFill>
            <w14:solidFill>
              <w14:schemeClr w14:val="tx1"/>
            </w14:solidFill>
          </w14:textFill>
        </w:rPr>
      </w:pPr>
    </w:p>
    <w:p w14:paraId="7E5BF630">
      <w:pPr>
        <w:pStyle w:val="13"/>
        <w:rPr>
          <w:color w:val="000000" w:themeColor="text1"/>
          <w14:textFill>
            <w14:solidFill>
              <w14:schemeClr w14:val="tx1"/>
            </w14:solidFill>
          </w14:textFill>
        </w:rPr>
      </w:pPr>
    </w:p>
    <w:p w14:paraId="590623EE">
      <w:pPr>
        <w:ind w:firstLine="480"/>
        <w:rPr>
          <w:color w:val="000000" w:themeColor="text1"/>
          <w14:textFill>
            <w14:solidFill>
              <w14:schemeClr w14:val="tx1"/>
            </w14:solidFill>
          </w14:textFill>
        </w:rPr>
      </w:pPr>
    </w:p>
    <w:p w14:paraId="17B53F3C">
      <w:pPr>
        <w:pStyle w:val="13"/>
        <w:rPr>
          <w:color w:val="000000" w:themeColor="text1"/>
          <w14:textFill>
            <w14:solidFill>
              <w14:schemeClr w14:val="tx1"/>
            </w14:solidFill>
          </w14:textFill>
        </w:rPr>
      </w:pPr>
    </w:p>
    <w:p w14:paraId="53812F2C">
      <w:pPr>
        <w:pStyle w:val="7"/>
        <w:rPr>
          <w:color w:val="000000" w:themeColor="text1"/>
          <w:u w:val="single"/>
          <w14:textFill>
            <w14:solidFill>
              <w14:schemeClr w14:val="tx1"/>
            </w14:solidFill>
          </w14:textFill>
        </w:rPr>
      </w:pPr>
      <w:r>
        <w:rPr>
          <w:color w:val="000000" w:themeColor="text1"/>
          <w:u w:val="single"/>
          <w14:textFill>
            <w14:solidFill>
              <w14:schemeClr w14:val="tx1"/>
            </w14:solidFill>
          </w14:textFill>
        </w:rPr>
        <w:t xml:space="preserve"> 项目货种不属于危险物质识别表</w:t>
      </w:r>
    </w:p>
    <w:tbl>
      <w:tblPr>
        <w:tblStyle w:val="43"/>
        <w:tblW w:w="1320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82"/>
        <w:gridCol w:w="2551"/>
        <w:gridCol w:w="2552"/>
        <w:gridCol w:w="6917"/>
      </w:tblGrid>
      <w:tr w14:paraId="3AD575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77" w:hRule="atLeast"/>
          <w:jc w:val="center"/>
        </w:trPr>
        <w:tc>
          <w:tcPr>
            <w:tcW w:w="1182" w:type="dxa"/>
            <w:noWrap/>
            <w:vAlign w:val="center"/>
          </w:tcPr>
          <w:p w14:paraId="62A6C290">
            <w:pPr>
              <w:pStyle w:val="70"/>
              <w:ind w:firstLine="0" w:firstLineChars="0"/>
              <w:rPr>
                <w:b/>
                <w:color w:val="000000" w:themeColor="text1"/>
                <w14:textFill>
                  <w14:solidFill>
                    <w14:schemeClr w14:val="tx1"/>
                  </w14:solidFill>
                </w14:textFill>
              </w:rPr>
            </w:pPr>
            <w:r>
              <w:rPr>
                <w:rFonts w:hint="eastAsia"/>
                <w:b/>
                <w:color w:val="000000" w:themeColor="text1"/>
                <w14:textFill>
                  <w14:solidFill>
                    <w14:schemeClr w14:val="tx1"/>
                  </w14:solidFill>
                </w14:textFill>
              </w:rPr>
              <w:t>物质名称</w:t>
            </w:r>
          </w:p>
        </w:tc>
        <w:tc>
          <w:tcPr>
            <w:tcW w:w="2551" w:type="dxa"/>
            <w:noWrap/>
            <w:vAlign w:val="center"/>
          </w:tcPr>
          <w:p w14:paraId="47D32A44">
            <w:pPr>
              <w:pStyle w:val="70"/>
              <w:ind w:firstLine="0" w:firstLineChars="0"/>
              <w:rPr>
                <w:b/>
                <w:color w:val="000000" w:themeColor="text1"/>
                <w14:textFill>
                  <w14:solidFill>
                    <w14:schemeClr w14:val="tx1"/>
                  </w14:solidFill>
                </w14:textFill>
              </w:rPr>
            </w:pPr>
            <w:r>
              <w:rPr>
                <w:rFonts w:hint="eastAsia"/>
                <w:b/>
                <w:color w:val="000000" w:themeColor="text1"/>
                <w14:textFill>
                  <w14:solidFill>
                    <w14:schemeClr w14:val="tx1"/>
                  </w14:solidFill>
                </w14:textFill>
              </w:rPr>
              <w:t>急性毒性 (GB 30000.18)</w:t>
            </w:r>
          </w:p>
        </w:tc>
        <w:tc>
          <w:tcPr>
            <w:tcW w:w="2552" w:type="dxa"/>
            <w:noWrap/>
            <w:vAlign w:val="center"/>
          </w:tcPr>
          <w:p w14:paraId="5238C814">
            <w:pPr>
              <w:pStyle w:val="70"/>
              <w:ind w:firstLine="0" w:firstLineChars="0"/>
              <w:rPr>
                <w:b/>
                <w:color w:val="000000" w:themeColor="text1"/>
                <w14:textFill>
                  <w14:solidFill>
                    <w14:schemeClr w14:val="tx1"/>
                  </w14:solidFill>
                </w14:textFill>
              </w:rPr>
            </w:pPr>
            <w:r>
              <w:rPr>
                <w:rFonts w:hint="eastAsia"/>
                <w:b/>
                <w:color w:val="000000" w:themeColor="text1"/>
                <w14:textFill>
                  <w14:solidFill>
                    <w14:schemeClr w14:val="tx1"/>
                  </w14:solidFill>
                </w14:textFill>
              </w:rPr>
              <w:t>对水生环境的危害 (GB 30000.28)</w:t>
            </w:r>
          </w:p>
        </w:tc>
        <w:tc>
          <w:tcPr>
            <w:tcW w:w="6917" w:type="dxa"/>
            <w:vAlign w:val="center"/>
          </w:tcPr>
          <w:p w14:paraId="21EBDCA8">
            <w:pPr>
              <w:pStyle w:val="70"/>
              <w:ind w:firstLine="0" w:firstLineChars="0"/>
              <w:rPr>
                <w:b/>
                <w:color w:val="000000" w:themeColor="text1"/>
                <w14:textFill>
                  <w14:solidFill>
                    <w14:schemeClr w14:val="tx1"/>
                  </w14:solidFill>
                </w14:textFill>
              </w:rPr>
            </w:pPr>
            <w:r>
              <w:rPr>
                <w:rFonts w:hint="eastAsia"/>
                <w:b/>
                <w:color w:val="000000" w:themeColor="text1"/>
                <w14:textFill>
                  <w14:solidFill>
                    <w14:schemeClr w14:val="tx1"/>
                  </w14:solidFill>
                </w14:textFill>
              </w:rPr>
              <w:t>主要依据与说明</w:t>
            </w:r>
          </w:p>
        </w:tc>
      </w:tr>
      <w:tr w14:paraId="078F5B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5" w:hRule="atLeast"/>
          <w:jc w:val="center"/>
        </w:trPr>
        <w:tc>
          <w:tcPr>
            <w:tcW w:w="1182" w:type="dxa"/>
            <w:vMerge w:val="restart"/>
            <w:noWrap/>
            <w:vAlign w:val="center"/>
          </w:tcPr>
          <w:p w14:paraId="1AF7E197">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棕榈酸化油</w:t>
            </w:r>
          </w:p>
        </w:tc>
        <w:tc>
          <w:tcPr>
            <w:tcW w:w="2551" w:type="dxa"/>
            <w:vMerge w:val="restart"/>
            <w:noWrap/>
            <w:vAlign w:val="center"/>
          </w:tcPr>
          <w:p w14:paraId="36AD85FF">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通常不被分类 或 类别5 (经口)</w:t>
            </w:r>
          </w:p>
        </w:tc>
        <w:tc>
          <w:tcPr>
            <w:tcW w:w="2552" w:type="dxa"/>
            <w:vMerge w:val="restart"/>
            <w:noWrap/>
            <w:vAlign w:val="center"/>
          </w:tcPr>
          <w:p w14:paraId="16AF497E">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慢性类别1</w:t>
            </w:r>
          </w:p>
        </w:tc>
        <w:tc>
          <w:tcPr>
            <w:tcW w:w="6917" w:type="dxa"/>
            <w:vAlign w:val="center"/>
          </w:tcPr>
          <w:p w14:paraId="53B7ACAC">
            <w:pPr>
              <w:pStyle w:val="70"/>
              <w:ind w:firstLine="0" w:firstLineChars="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急性毒性</w:t>
            </w:r>
            <w:r>
              <w:rPr>
                <w:color w:val="000000" w:themeColor="text1"/>
                <w14:textFill>
                  <w14:solidFill>
                    <w14:schemeClr w14:val="tx1"/>
                  </w14:solidFill>
                </w14:textFill>
              </w:rPr>
              <w:t>：低毒，但大量摄入可能有害。可能因刺激性被分类为类别5。</w:t>
            </w:r>
          </w:p>
        </w:tc>
      </w:tr>
      <w:tr w14:paraId="107D84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5" w:hRule="atLeast"/>
          <w:jc w:val="center"/>
        </w:trPr>
        <w:tc>
          <w:tcPr>
            <w:tcW w:w="1182" w:type="dxa"/>
            <w:vMerge w:val="continue"/>
            <w:noWrap/>
            <w:vAlign w:val="center"/>
          </w:tcPr>
          <w:p w14:paraId="66E94CB6">
            <w:pPr>
              <w:pStyle w:val="70"/>
              <w:ind w:firstLine="0" w:firstLineChars="0"/>
              <w:rPr>
                <w:color w:val="000000" w:themeColor="text1"/>
                <w14:textFill>
                  <w14:solidFill>
                    <w14:schemeClr w14:val="tx1"/>
                  </w14:solidFill>
                </w14:textFill>
              </w:rPr>
            </w:pPr>
          </w:p>
        </w:tc>
        <w:tc>
          <w:tcPr>
            <w:tcW w:w="2551" w:type="dxa"/>
            <w:vMerge w:val="continue"/>
            <w:noWrap/>
            <w:vAlign w:val="center"/>
          </w:tcPr>
          <w:p w14:paraId="12964163">
            <w:pPr>
              <w:pStyle w:val="70"/>
              <w:ind w:firstLine="0" w:firstLineChars="0"/>
              <w:rPr>
                <w:color w:val="000000" w:themeColor="text1"/>
                <w14:textFill>
                  <w14:solidFill>
                    <w14:schemeClr w14:val="tx1"/>
                  </w14:solidFill>
                </w14:textFill>
              </w:rPr>
            </w:pPr>
          </w:p>
        </w:tc>
        <w:tc>
          <w:tcPr>
            <w:tcW w:w="2552" w:type="dxa"/>
            <w:vMerge w:val="continue"/>
            <w:noWrap/>
            <w:vAlign w:val="center"/>
          </w:tcPr>
          <w:p w14:paraId="3FD22B30">
            <w:pPr>
              <w:pStyle w:val="70"/>
              <w:ind w:firstLine="0" w:firstLineChars="0"/>
              <w:rPr>
                <w:color w:val="000000" w:themeColor="text1"/>
                <w14:textFill>
                  <w14:solidFill>
                    <w14:schemeClr w14:val="tx1"/>
                  </w14:solidFill>
                </w14:textFill>
              </w:rPr>
            </w:pPr>
          </w:p>
        </w:tc>
        <w:tc>
          <w:tcPr>
            <w:tcW w:w="6917" w:type="dxa"/>
            <w:vAlign w:val="center"/>
          </w:tcPr>
          <w:p w14:paraId="2281CEDF">
            <w:pPr>
              <w:pStyle w:val="70"/>
              <w:ind w:firstLine="0" w:firstLineChars="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水生毒性</w:t>
            </w:r>
            <w:r>
              <w:rPr>
                <w:color w:val="000000" w:themeColor="text1"/>
                <w14:textFill>
                  <w14:solidFill>
                    <w14:schemeClr w14:val="tx1"/>
                  </w14:solidFill>
                </w14:textFill>
              </w:rPr>
              <w:t>：油脂类物质可在水面形成油膜，隔绝氧气，对水生生物造成窒息和长期严重危害。</w:t>
            </w:r>
          </w:p>
        </w:tc>
      </w:tr>
      <w:tr w14:paraId="6C7705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5" w:hRule="atLeast"/>
          <w:jc w:val="center"/>
        </w:trPr>
        <w:tc>
          <w:tcPr>
            <w:tcW w:w="1182" w:type="dxa"/>
            <w:vMerge w:val="restart"/>
            <w:noWrap/>
            <w:vAlign w:val="center"/>
          </w:tcPr>
          <w:p w14:paraId="7C9DD839">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脂肪酸混合物</w:t>
            </w:r>
          </w:p>
        </w:tc>
        <w:tc>
          <w:tcPr>
            <w:tcW w:w="2551" w:type="dxa"/>
            <w:vMerge w:val="restart"/>
            <w:noWrap/>
            <w:vAlign w:val="center"/>
          </w:tcPr>
          <w:p w14:paraId="24E61C5A">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通常不被分类</w:t>
            </w:r>
          </w:p>
        </w:tc>
        <w:tc>
          <w:tcPr>
            <w:tcW w:w="2552" w:type="dxa"/>
            <w:vMerge w:val="restart"/>
            <w:noWrap/>
            <w:vAlign w:val="center"/>
          </w:tcPr>
          <w:p w14:paraId="2B089963">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慢性类别1</w:t>
            </w:r>
          </w:p>
        </w:tc>
        <w:tc>
          <w:tcPr>
            <w:tcW w:w="6917" w:type="dxa"/>
            <w:vAlign w:val="center"/>
          </w:tcPr>
          <w:p w14:paraId="096710A7">
            <w:pPr>
              <w:pStyle w:val="70"/>
              <w:ind w:firstLine="0" w:firstLineChars="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急性毒性</w:t>
            </w:r>
            <w:r>
              <w:rPr>
                <w:color w:val="000000" w:themeColor="text1"/>
                <w14:textFill>
                  <w14:solidFill>
                    <w14:schemeClr w14:val="tx1"/>
                  </w14:solidFill>
                </w14:textFill>
              </w:rPr>
              <w:t>：脂肪酸甲酯和脂肪酸的急性毒性通常很低。</w:t>
            </w:r>
          </w:p>
        </w:tc>
      </w:tr>
      <w:tr w14:paraId="18E2BC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5" w:hRule="atLeast"/>
          <w:jc w:val="center"/>
        </w:trPr>
        <w:tc>
          <w:tcPr>
            <w:tcW w:w="1182" w:type="dxa"/>
            <w:vMerge w:val="continue"/>
            <w:noWrap/>
            <w:vAlign w:val="center"/>
          </w:tcPr>
          <w:p w14:paraId="488895DB">
            <w:pPr>
              <w:pStyle w:val="70"/>
              <w:ind w:firstLine="0" w:firstLineChars="0"/>
              <w:rPr>
                <w:color w:val="000000" w:themeColor="text1"/>
                <w14:textFill>
                  <w14:solidFill>
                    <w14:schemeClr w14:val="tx1"/>
                  </w14:solidFill>
                </w14:textFill>
              </w:rPr>
            </w:pPr>
          </w:p>
        </w:tc>
        <w:tc>
          <w:tcPr>
            <w:tcW w:w="2551" w:type="dxa"/>
            <w:vMerge w:val="continue"/>
            <w:noWrap/>
            <w:vAlign w:val="center"/>
          </w:tcPr>
          <w:p w14:paraId="67EAD020">
            <w:pPr>
              <w:pStyle w:val="70"/>
              <w:ind w:firstLine="0" w:firstLineChars="0"/>
              <w:rPr>
                <w:color w:val="000000" w:themeColor="text1"/>
                <w14:textFill>
                  <w14:solidFill>
                    <w14:schemeClr w14:val="tx1"/>
                  </w14:solidFill>
                </w14:textFill>
              </w:rPr>
            </w:pPr>
          </w:p>
        </w:tc>
        <w:tc>
          <w:tcPr>
            <w:tcW w:w="2552" w:type="dxa"/>
            <w:vMerge w:val="continue"/>
            <w:noWrap/>
            <w:vAlign w:val="center"/>
          </w:tcPr>
          <w:p w14:paraId="7C74FBE0">
            <w:pPr>
              <w:pStyle w:val="70"/>
              <w:ind w:firstLine="0" w:firstLineChars="0"/>
              <w:rPr>
                <w:color w:val="000000" w:themeColor="text1"/>
                <w14:textFill>
                  <w14:solidFill>
                    <w14:schemeClr w14:val="tx1"/>
                  </w14:solidFill>
                </w14:textFill>
              </w:rPr>
            </w:pPr>
          </w:p>
        </w:tc>
        <w:tc>
          <w:tcPr>
            <w:tcW w:w="6917" w:type="dxa"/>
            <w:vAlign w:val="center"/>
          </w:tcPr>
          <w:p w14:paraId="726ABD8C">
            <w:pPr>
              <w:pStyle w:val="70"/>
              <w:ind w:firstLine="0" w:firstLineChars="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水生毒性</w:t>
            </w:r>
            <w:r>
              <w:rPr>
                <w:color w:val="000000" w:themeColor="text1"/>
                <w14:textFill>
                  <w14:solidFill>
                    <w14:schemeClr w14:val="tx1"/>
                  </w14:solidFill>
                </w14:textFill>
              </w:rPr>
              <w:t>：混合物中的油性组分会对水生环境造成严重的长期危害。</w:t>
            </w:r>
          </w:p>
        </w:tc>
      </w:tr>
      <w:tr w14:paraId="197CFF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5" w:hRule="atLeast"/>
          <w:jc w:val="center"/>
        </w:trPr>
        <w:tc>
          <w:tcPr>
            <w:tcW w:w="1182" w:type="dxa"/>
            <w:vMerge w:val="restart"/>
            <w:noWrap/>
            <w:vAlign w:val="center"/>
          </w:tcPr>
          <w:p w14:paraId="7403C768">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工业级混合油</w:t>
            </w:r>
          </w:p>
        </w:tc>
        <w:tc>
          <w:tcPr>
            <w:tcW w:w="2551" w:type="dxa"/>
            <w:vMerge w:val="restart"/>
            <w:noWrap/>
            <w:vAlign w:val="center"/>
          </w:tcPr>
          <w:p w14:paraId="4AEBAD7D">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通常不被分类 或 类别5</w:t>
            </w:r>
          </w:p>
        </w:tc>
        <w:tc>
          <w:tcPr>
            <w:tcW w:w="2552" w:type="dxa"/>
            <w:vMerge w:val="restart"/>
            <w:noWrap/>
            <w:vAlign w:val="center"/>
          </w:tcPr>
          <w:p w14:paraId="70B30789">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慢性类别1</w:t>
            </w:r>
          </w:p>
        </w:tc>
        <w:tc>
          <w:tcPr>
            <w:tcW w:w="6917" w:type="dxa"/>
            <w:vAlign w:val="center"/>
          </w:tcPr>
          <w:p w14:paraId="011C6DCC">
            <w:pPr>
              <w:pStyle w:val="70"/>
              <w:ind w:firstLine="0" w:firstLineChars="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急性毒性</w:t>
            </w:r>
            <w:r>
              <w:rPr>
                <w:color w:val="000000" w:themeColor="text1"/>
                <w14:textFill>
                  <w14:solidFill>
                    <w14:schemeClr w14:val="tx1"/>
                  </w14:solidFill>
                </w14:textFill>
              </w:rPr>
              <w:t>：成分复杂，可能含有有害杂质，但整体急性毒性不高。可能因未知杂质被谨慎分类为类别5。</w:t>
            </w:r>
          </w:p>
        </w:tc>
      </w:tr>
      <w:tr w14:paraId="5F06A7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5" w:hRule="atLeast"/>
          <w:jc w:val="center"/>
        </w:trPr>
        <w:tc>
          <w:tcPr>
            <w:tcW w:w="1182" w:type="dxa"/>
            <w:vMerge w:val="continue"/>
            <w:noWrap/>
            <w:vAlign w:val="center"/>
          </w:tcPr>
          <w:p w14:paraId="0BFD40DD">
            <w:pPr>
              <w:pStyle w:val="70"/>
              <w:ind w:firstLine="0" w:firstLineChars="0"/>
              <w:rPr>
                <w:color w:val="000000" w:themeColor="text1"/>
                <w14:textFill>
                  <w14:solidFill>
                    <w14:schemeClr w14:val="tx1"/>
                  </w14:solidFill>
                </w14:textFill>
              </w:rPr>
            </w:pPr>
          </w:p>
        </w:tc>
        <w:tc>
          <w:tcPr>
            <w:tcW w:w="2551" w:type="dxa"/>
            <w:vMerge w:val="continue"/>
            <w:noWrap/>
            <w:vAlign w:val="center"/>
          </w:tcPr>
          <w:p w14:paraId="0C7F2DA1">
            <w:pPr>
              <w:pStyle w:val="70"/>
              <w:ind w:firstLine="0" w:firstLineChars="0"/>
              <w:rPr>
                <w:color w:val="000000" w:themeColor="text1"/>
                <w14:textFill>
                  <w14:solidFill>
                    <w14:schemeClr w14:val="tx1"/>
                  </w14:solidFill>
                </w14:textFill>
              </w:rPr>
            </w:pPr>
          </w:p>
        </w:tc>
        <w:tc>
          <w:tcPr>
            <w:tcW w:w="2552" w:type="dxa"/>
            <w:vMerge w:val="continue"/>
            <w:noWrap/>
            <w:vAlign w:val="center"/>
          </w:tcPr>
          <w:p w14:paraId="18CA21F5">
            <w:pPr>
              <w:pStyle w:val="70"/>
              <w:ind w:firstLine="0" w:firstLineChars="0"/>
              <w:rPr>
                <w:color w:val="000000" w:themeColor="text1"/>
                <w14:textFill>
                  <w14:solidFill>
                    <w14:schemeClr w14:val="tx1"/>
                  </w14:solidFill>
                </w14:textFill>
              </w:rPr>
            </w:pPr>
          </w:p>
        </w:tc>
        <w:tc>
          <w:tcPr>
            <w:tcW w:w="6917" w:type="dxa"/>
            <w:vAlign w:val="center"/>
          </w:tcPr>
          <w:p w14:paraId="7E6C210E">
            <w:pPr>
              <w:pStyle w:val="70"/>
              <w:ind w:firstLine="0" w:firstLineChars="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水生毒性</w:t>
            </w:r>
            <w:r>
              <w:rPr>
                <w:color w:val="000000" w:themeColor="text1"/>
                <w14:textFill>
                  <w14:solidFill>
                    <w14:schemeClr w14:val="tx1"/>
                  </w14:solidFill>
                </w14:textFill>
              </w:rPr>
              <w:t>：作为复杂的废弃油脂混合物，对水生生态系统有严重危害。</w:t>
            </w:r>
          </w:p>
        </w:tc>
      </w:tr>
      <w:tr w14:paraId="61A800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5" w:hRule="atLeast"/>
          <w:jc w:val="center"/>
        </w:trPr>
        <w:tc>
          <w:tcPr>
            <w:tcW w:w="1182" w:type="dxa"/>
            <w:noWrap/>
            <w:vAlign w:val="center"/>
          </w:tcPr>
          <w:p w14:paraId="34C6F853">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脂肪酸甲酯</w:t>
            </w:r>
          </w:p>
        </w:tc>
        <w:tc>
          <w:tcPr>
            <w:tcW w:w="2551" w:type="dxa"/>
            <w:noWrap/>
            <w:vAlign w:val="center"/>
          </w:tcPr>
          <w:p w14:paraId="2A4F3A6E">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通常不被分类</w:t>
            </w:r>
          </w:p>
        </w:tc>
        <w:tc>
          <w:tcPr>
            <w:tcW w:w="2552" w:type="dxa"/>
            <w:noWrap/>
            <w:vAlign w:val="center"/>
          </w:tcPr>
          <w:p w14:paraId="4AB75BB0">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慢性类别1</w:t>
            </w:r>
          </w:p>
        </w:tc>
        <w:tc>
          <w:tcPr>
            <w:tcW w:w="6917" w:type="dxa"/>
            <w:vAlign w:val="center"/>
          </w:tcPr>
          <w:p w14:paraId="4AC1DAFF">
            <w:pPr>
              <w:pStyle w:val="70"/>
              <w:ind w:firstLine="0" w:firstLineChars="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急性毒性</w:t>
            </w:r>
            <w:r>
              <w:rPr>
                <w:color w:val="000000" w:themeColor="text1"/>
                <w14:textFill>
                  <w14:solidFill>
                    <w14:schemeClr w14:val="tx1"/>
                  </w14:solidFill>
                </w14:textFill>
              </w:rPr>
              <w:t>：纯品急性毒性很低。</w:t>
            </w:r>
          </w:p>
        </w:tc>
      </w:tr>
    </w:tbl>
    <w:p w14:paraId="5112F815">
      <w:pPr>
        <w:ind w:firstLine="480"/>
        <w:rPr>
          <w:color w:val="000000" w:themeColor="text1"/>
          <w14:textFill>
            <w14:solidFill>
              <w14:schemeClr w14:val="tx1"/>
            </w14:solidFill>
          </w14:textFill>
        </w:rPr>
      </w:pPr>
    </w:p>
    <w:p w14:paraId="2AFF3FD5">
      <w:pPr>
        <w:ind w:firstLine="480"/>
        <w:rPr>
          <w:color w:val="000000" w:themeColor="text1"/>
          <w14:textFill>
            <w14:solidFill>
              <w14:schemeClr w14:val="tx1"/>
            </w14:solidFill>
          </w14:textFill>
        </w:rPr>
      </w:pPr>
    </w:p>
    <w:p w14:paraId="57DED4E7">
      <w:pPr>
        <w:pStyle w:val="13"/>
        <w:rPr>
          <w:color w:val="000000" w:themeColor="text1"/>
          <w14:textFill>
            <w14:solidFill>
              <w14:schemeClr w14:val="tx1"/>
            </w14:solidFill>
          </w14:textFill>
        </w:rPr>
      </w:pPr>
    </w:p>
    <w:p w14:paraId="611B9EA9">
      <w:pPr>
        <w:ind w:firstLine="480"/>
        <w:rPr>
          <w:color w:val="000000" w:themeColor="text1"/>
          <w14:textFill>
            <w14:solidFill>
              <w14:schemeClr w14:val="tx1"/>
            </w14:solidFill>
          </w14:textFill>
        </w:rPr>
      </w:pPr>
    </w:p>
    <w:p w14:paraId="057FCB4E">
      <w:pPr>
        <w:ind w:firstLine="480"/>
        <w:rPr>
          <w:color w:val="000000" w:themeColor="text1"/>
          <w14:textFill>
            <w14:solidFill>
              <w14:schemeClr w14:val="tx1"/>
            </w14:solidFill>
          </w14:textFill>
        </w:rPr>
      </w:pPr>
    </w:p>
    <w:p w14:paraId="5115CAB9">
      <w:pPr>
        <w:ind w:firstLine="480"/>
        <w:rPr>
          <w:color w:val="000000" w:themeColor="text1"/>
          <w14:textFill>
            <w14:solidFill>
              <w14:schemeClr w14:val="tx1"/>
            </w14:solidFill>
          </w14:textFill>
        </w:rPr>
      </w:pPr>
    </w:p>
    <w:p w14:paraId="2505687C">
      <w:pPr>
        <w:ind w:firstLine="480"/>
        <w:rPr>
          <w:color w:val="000000" w:themeColor="text1"/>
          <w14:textFill>
            <w14:solidFill>
              <w14:schemeClr w14:val="tx1"/>
            </w14:solidFill>
          </w14:textFill>
        </w:rPr>
      </w:pPr>
    </w:p>
    <w:p w14:paraId="204315FF">
      <w:pPr>
        <w:pStyle w:val="13"/>
        <w:rPr>
          <w:color w:val="000000" w:themeColor="text1"/>
          <w14:textFill>
            <w14:solidFill>
              <w14:schemeClr w14:val="tx1"/>
            </w14:solidFill>
          </w14:textFill>
        </w:rPr>
      </w:pPr>
    </w:p>
    <w:p w14:paraId="26C0FCE8">
      <w:pPr>
        <w:pStyle w:val="7"/>
        <w:rPr>
          <w:color w:val="000000" w:themeColor="text1"/>
          <w:u w:val="single"/>
          <w14:textFill>
            <w14:solidFill>
              <w14:schemeClr w14:val="tx1"/>
            </w14:solidFill>
          </w14:textFill>
        </w:rPr>
      </w:pPr>
      <w:r>
        <w:rPr>
          <w:color w:val="000000" w:themeColor="text1"/>
          <w:u w:val="single"/>
          <w14:textFill>
            <w14:solidFill>
              <w14:schemeClr w14:val="tx1"/>
            </w14:solidFill>
          </w14:textFill>
        </w:rPr>
        <w:t>物质危险性识别表</w:t>
      </w:r>
    </w:p>
    <w:tbl>
      <w:tblPr>
        <w:tblStyle w:val="43"/>
        <w:tblW w:w="530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6" w:type="dxa"/>
          <w:bottom w:w="0" w:type="dxa"/>
          <w:right w:w="6" w:type="dxa"/>
        </w:tblCellMar>
      </w:tblPr>
      <w:tblGrid>
        <w:gridCol w:w="498"/>
        <w:gridCol w:w="1143"/>
        <w:gridCol w:w="896"/>
        <w:gridCol w:w="1037"/>
        <w:gridCol w:w="1676"/>
        <w:gridCol w:w="856"/>
        <w:gridCol w:w="717"/>
        <w:gridCol w:w="572"/>
        <w:gridCol w:w="713"/>
        <w:gridCol w:w="713"/>
        <w:gridCol w:w="713"/>
        <w:gridCol w:w="716"/>
        <w:gridCol w:w="571"/>
        <w:gridCol w:w="571"/>
        <w:gridCol w:w="713"/>
        <w:gridCol w:w="855"/>
        <w:gridCol w:w="1890"/>
      </w:tblGrid>
      <w:tr w14:paraId="677710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tblHeader/>
          <w:jc w:val="center"/>
        </w:trPr>
        <w:tc>
          <w:tcPr>
            <w:tcW w:w="167" w:type="pct"/>
            <w:vMerge w:val="restart"/>
            <w:vAlign w:val="center"/>
          </w:tcPr>
          <w:p w14:paraId="5E77A387">
            <w:pPr>
              <w:pStyle w:val="70"/>
              <w:rPr>
                <w:b/>
                <w:color w:val="000000" w:themeColor="text1"/>
                <w14:textFill>
                  <w14:solidFill>
                    <w14:schemeClr w14:val="tx1"/>
                  </w14:solidFill>
                </w14:textFill>
              </w:rPr>
            </w:pPr>
            <w:r>
              <w:rPr>
                <w:rFonts w:hint="eastAsia"/>
                <w:b/>
                <w:color w:val="000000" w:themeColor="text1"/>
                <w14:textFill>
                  <w14:solidFill>
                    <w14:schemeClr w14:val="tx1"/>
                  </w14:solidFill>
                </w14:textFill>
              </w:rPr>
              <w:t>序号</w:t>
            </w:r>
          </w:p>
        </w:tc>
        <w:tc>
          <w:tcPr>
            <w:tcW w:w="385" w:type="pct"/>
            <w:vMerge w:val="restart"/>
            <w:vAlign w:val="center"/>
          </w:tcPr>
          <w:p w14:paraId="59325FE4">
            <w:pPr>
              <w:pStyle w:val="70"/>
              <w:rPr>
                <w:b/>
                <w:color w:val="000000" w:themeColor="text1"/>
                <w14:textFill>
                  <w14:solidFill>
                    <w14:schemeClr w14:val="tx1"/>
                  </w14:solidFill>
                </w14:textFill>
              </w:rPr>
            </w:pPr>
            <w:r>
              <w:rPr>
                <w:b/>
                <w:color w:val="000000" w:themeColor="text1"/>
                <w14:textFill>
                  <w14:solidFill>
                    <w14:schemeClr w14:val="tx1"/>
                  </w14:solidFill>
                </w14:textFill>
              </w:rPr>
              <w:t>名称</w:t>
            </w:r>
          </w:p>
        </w:tc>
        <w:tc>
          <w:tcPr>
            <w:tcW w:w="301" w:type="pct"/>
            <w:vMerge w:val="restart"/>
            <w:vAlign w:val="center"/>
          </w:tcPr>
          <w:p w14:paraId="4E9E00E7">
            <w:pPr>
              <w:pStyle w:val="70"/>
              <w:rPr>
                <w:b/>
                <w:color w:val="000000" w:themeColor="text1"/>
                <w14:textFill>
                  <w14:solidFill>
                    <w14:schemeClr w14:val="tx1"/>
                  </w14:solidFill>
                </w14:textFill>
              </w:rPr>
            </w:pPr>
            <w:r>
              <w:rPr>
                <w:rFonts w:hint="eastAsia"/>
                <w:b/>
                <w:color w:val="000000" w:themeColor="text1"/>
                <w14:textFill>
                  <w14:solidFill>
                    <w14:schemeClr w14:val="tx1"/>
                  </w14:solidFill>
                </w14:textFill>
              </w:rPr>
              <w:t>UN编号</w:t>
            </w:r>
          </w:p>
        </w:tc>
        <w:tc>
          <w:tcPr>
            <w:tcW w:w="349" w:type="pct"/>
            <w:vMerge w:val="restart"/>
            <w:vAlign w:val="center"/>
          </w:tcPr>
          <w:p w14:paraId="6C686F5B">
            <w:pPr>
              <w:pStyle w:val="70"/>
              <w:rPr>
                <w:b/>
                <w:color w:val="000000" w:themeColor="text1"/>
                <w14:textFill>
                  <w14:solidFill>
                    <w14:schemeClr w14:val="tx1"/>
                  </w14:solidFill>
                </w14:textFill>
              </w:rPr>
            </w:pPr>
            <w:r>
              <w:rPr>
                <w:b/>
                <w:color w:val="000000" w:themeColor="text1"/>
                <w14:textFill>
                  <w14:solidFill>
                    <w14:schemeClr w14:val="tx1"/>
                  </w14:solidFill>
                </w14:textFill>
              </w:rPr>
              <w:t>CAS号</w:t>
            </w:r>
          </w:p>
        </w:tc>
        <w:tc>
          <w:tcPr>
            <w:tcW w:w="564" w:type="pct"/>
            <w:vMerge w:val="restart"/>
            <w:vAlign w:val="center"/>
          </w:tcPr>
          <w:p w14:paraId="450BC227">
            <w:pPr>
              <w:pStyle w:val="70"/>
              <w:rPr>
                <w:b/>
                <w:color w:val="000000" w:themeColor="text1"/>
                <w14:textFill>
                  <w14:solidFill>
                    <w14:schemeClr w14:val="tx1"/>
                  </w14:solidFill>
                </w14:textFill>
              </w:rPr>
            </w:pPr>
            <w:r>
              <w:rPr>
                <w:b/>
                <w:color w:val="000000" w:themeColor="text1"/>
                <w14:textFill>
                  <w14:solidFill>
                    <w14:schemeClr w14:val="tx1"/>
                  </w14:solidFill>
                </w14:textFill>
              </w:rPr>
              <w:t>产品特性</w:t>
            </w:r>
          </w:p>
        </w:tc>
        <w:tc>
          <w:tcPr>
            <w:tcW w:w="288" w:type="pct"/>
            <w:vMerge w:val="restart"/>
            <w:vAlign w:val="center"/>
          </w:tcPr>
          <w:p w14:paraId="0507FDC7">
            <w:pPr>
              <w:pStyle w:val="70"/>
              <w:rPr>
                <w:b/>
                <w:color w:val="000000" w:themeColor="text1"/>
                <w14:textFill>
                  <w14:solidFill>
                    <w14:schemeClr w14:val="tx1"/>
                  </w14:solidFill>
                </w14:textFill>
              </w:rPr>
            </w:pPr>
            <w:r>
              <w:rPr>
                <w:rFonts w:hint="eastAsia"/>
                <w:b/>
                <w:color w:val="000000" w:themeColor="text1"/>
                <w14:textFill>
                  <w14:solidFill>
                    <w14:schemeClr w14:val="tx1"/>
                  </w14:solidFill>
                </w14:textFill>
              </w:rPr>
              <w:t>相对</w:t>
            </w:r>
          </w:p>
          <w:p w14:paraId="257C7073">
            <w:pPr>
              <w:pStyle w:val="70"/>
              <w:rPr>
                <w:b/>
                <w:color w:val="000000" w:themeColor="text1"/>
                <w14:textFill>
                  <w14:solidFill>
                    <w14:schemeClr w14:val="tx1"/>
                  </w14:solidFill>
                </w14:textFill>
              </w:rPr>
            </w:pPr>
            <w:r>
              <w:rPr>
                <w:rFonts w:hint="eastAsia"/>
                <w:b/>
                <w:color w:val="000000" w:themeColor="text1"/>
                <w14:textFill>
                  <w14:solidFill>
                    <w14:schemeClr w14:val="tx1"/>
                  </w14:solidFill>
                </w14:textFill>
              </w:rPr>
              <w:t>水密度</w:t>
            </w:r>
          </w:p>
        </w:tc>
        <w:tc>
          <w:tcPr>
            <w:tcW w:w="241" w:type="pct"/>
            <w:vMerge w:val="restart"/>
            <w:vAlign w:val="center"/>
          </w:tcPr>
          <w:p w14:paraId="1B1ED624">
            <w:pPr>
              <w:pStyle w:val="70"/>
              <w:rPr>
                <w:b/>
                <w:color w:val="000000" w:themeColor="text1"/>
                <w14:textFill>
                  <w14:solidFill>
                    <w14:schemeClr w14:val="tx1"/>
                  </w14:solidFill>
                </w14:textFill>
              </w:rPr>
            </w:pPr>
            <w:r>
              <w:rPr>
                <w:b/>
                <w:color w:val="000000" w:themeColor="text1"/>
                <w14:textFill>
                  <w14:solidFill>
                    <w14:schemeClr w14:val="tx1"/>
                  </w14:solidFill>
                </w14:textFill>
              </w:rPr>
              <w:t>闪点（℃）</w:t>
            </w:r>
          </w:p>
        </w:tc>
        <w:tc>
          <w:tcPr>
            <w:tcW w:w="192" w:type="pct"/>
            <w:vMerge w:val="restart"/>
            <w:vAlign w:val="center"/>
          </w:tcPr>
          <w:p w14:paraId="103E22F9">
            <w:pPr>
              <w:pStyle w:val="70"/>
              <w:rPr>
                <w:b/>
                <w:color w:val="000000" w:themeColor="text1"/>
                <w14:textFill>
                  <w14:solidFill>
                    <w14:schemeClr w14:val="tx1"/>
                  </w14:solidFill>
                </w14:textFill>
              </w:rPr>
            </w:pPr>
            <w:r>
              <w:rPr>
                <w:b/>
                <w:color w:val="000000" w:themeColor="text1"/>
                <w14:textFill>
                  <w14:solidFill>
                    <w14:schemeClr w14:val="tx1"/>
                  </w14:solidFill>
                </w14:textFill>
              </w:rPr>
              <w:t>沸点（℃）</w:t>
            </w:r>
          </w:p>
        </w:tc>
        <w:tc>
          <w:tcPr>
            <w:tcW w:w="240" w:type="pct"/>
            <w:vMerge w:val="restart"/>
            <w:vAlign w:val="center"/>
          </w:tcPr>
          <w:p w14:paraId="020951C9">
            <w:pPr>
              <w:pStyle w:val="70"/>
              <w:rPr>
                <w:b/>
                <w:color w:val="000000" w:themeColor="text1"/>
                <w14:textFill>
                  <w14:solidFill>
                    <w14:schemeClr w14:val="tx1"/>
                  </w14:solidFill>
                </w14:textFill>
              </w:rPr>
            </w:pPr>
            <w:r>
              <w:rPr>
                <w:b/>
                <w:color w:val="000000" w:themeColor="text1"/>
                <w14:textFill>
                  <w14:solidFill>
                    <w14:schemeClr w14:val="tx1"/>
                  </w14:solidFill>
                </w14:textFill>
              </w:rPr>
              <w:t>熔点（℃）</w:t>
            </w:r>
          </w:p>
        </w:tc>
        <w:tc>
          <w:tcPr>
            <w:tcW w:w="240" w:type="pct"/>
            <w:vMerge w:val="restart"/>
            <w:vAlign w:val="center"/>
          </w:tcPr>
          <w:p w14:paraId="7CC8D9EC">
            <w:pPr>
              <w:pStyle w:val="70"/>
              <w:rPr>
                <w:b/>
                <w:color w:val="000000" w:themeColor="text1"/>
                <w14:textFill>
                  <w14:solidFill>
                    <w14:schemeClr w14:val="tx1"/>
                  </w14:solidFill>
                </w14:textFill>
              </w:rPr>
            </w:pPr>
            <w:r>
              <w:rPr>
                <w:b/>
                <w:color w:val="000000" w:themeColor="text1"/>
                <w14:textFill>
                  <w14:solidFill>
                    <w14:schemeClr w14:val="tx1"/>
                  </w14:solidFill>
                </w14:textFill>
              </w:rPr>
              <w:t>自燃点（℃）</w:t>
            </w:r>
          </w:p>
        </w:tc>
        <w:tc>
          <w:tcPr>
            <w:tcW w:w="481" w:type="pct"/>
            <w:gridSpan w:val="2"/>
            <w:vAlign w:val="center"/>
          </w:tcPr>
          <w:p w14:paraId="128C6C20">
            <w:pPr>
              <w:pStyle w:val="70"/>
              <w:rPr>
                <w:b/>
                <w:color w:val="000000" w:themeColor="text1"/>
                <w14:textFill>
                  <w14:solidFill>
                    <w14:schemeClr w14:val="tx1"/>
                  </w14:solidFill>
                </w14:textFill>
              </w:rPr>
            </w:pPr>
            <w:r>
              <w:rPr>
                <w:b/>
                <w:color w:val="000000" w:themeColor="text1"/>
                <w14:textFill>
                  <w14:solidFill>
                    <w14:schemeClr w14:val="tx1"/>
                  </w14:solidFill>
                </w14:textFill>
              </w:rPr>
              <w:t>爆炸极限V%</w:t>
            </w:r>
          </w:p>
        </w:tc>
        <w:tc>
          <w:tcPr>
            <w:tcW w:w="192" w:type="pct"/>
            <w:vMerge w:val="restart"/>
            <w:vAlign w:val="center"/>
          </w:tcPr>
          <w:p w14:paraId="250739B4">
            <w:pPr>
              <w:pStyle w:val="70"/>
              <w:rPr>
                <w:b/>
                <w:color w:val="000000" w:themeColor="text1"/>
                <w14:textFill>
                  <w14:solidFill>
                    <w14:schemeClr w14:val="tx1"/>
                  </w14:solidFill>
                </w14:textFill>
              </w:rPr>
            </w:pPr>
            <w:r>
              <w:rPr>
                <w:b/>
                <w:color w:val="000000" w:themeColor="text1"/>
                <w14:textFill>
                  <w14:solidFill>
                    <w14:schemeClr w14:val="tx1"/>
                  </w14:solidFill>
                </w14:textFill>
              </w:rPr>
              <w:t>火灾危险分类</w:t>
            </w:r>
          </w:p>
        </w:tc>
        <w:tc>
          <w:tcPr>
            <w:tcW w:w="192" w:type="pct"/>
            <w:vMerge w:val="restart"/>
            <w:vAlign w:val="center"/>
          </w:tcPr>
          <w:p w14:paraId="1612A9DD">
            <w:pPr>
              <w:pStyle w:val="70"/>
              <w:rPr>
                <w:b/>
                <w:color w:val="000000" w:themeColor="text1"/>
                <w14:textFill>
                  <w14:solidFill>
                    <w14:schemeClr w14:val="tx1"/>
                  </w14:solidFill>
                </w14:textFill>
              </w:rPr>
            </w:pPr>
            <w:r>
              <w:rPr>
                <w:b/>
                <w:color w:val="000000" w:themeColor="text1"/>
                <w14:textFill>
                  <w14:solidFill>
                    <w14:schemeClr w14:val="tx1"/>
                  </w14:solidFill>
                </w14:textFill>
              </w:rPr>
              <w:t>毒性</w:t>
            </w:r>
          </w:p>
        </w:tc>
        <w:tc>
          <w:tcPr>
            <w:tcW w:w="240" w:type="pct"/>
            <w:vMerge w:val="restart"/>
            <w:vAlign w:val="center"/>
          </w:tcPr>
          <w:p w14:paraId="14A0506C">
            <w:pPr>
              <w:pStyle w:val="70"/>
              <w:rPr>
                <w:b/>
                <w:color w:val="000000" w:themeColor="text1"/>
                <w14:textFill>
                  <w14:solidFill>
                    <w14:schemeClr w14:val="tx1"/>
                  </w14:solidFill>
                </w14:textFill>
              </w:rPr>
            </w:pPr>
            <w:r>
              <w:rPr>
                <w:rFonts w:hint="eastAsia"/>
                <w:b/>
                <w:color w:val="000000" w:themeColor="text1"/>
                <w14:textFill>
                  <w14:solidFill>
                    <w14:schemeClr w14:val="tx1"/>
                  </w14:solidFill>
                </w14:textFill>
              </w:rPr>
              <w:t>溶解性</w:t>
            </w:r>
          </w:p>
        </w:tc>
        <w:tc>
          <w:tcPr>
            <w:tcW w:w="287" w:type="pct"/>
            <w:vMerge w:val="restart"/>
            <w:vAlign w:val="center"/>
          </w:tcPr>
          <w:p w14:paraId="56735C6B">
            <w:pPr>
              <w:pStyle w:val="70"/>
              <w:rPr>
                <w:b/>
                <w:color w:val="000000" w:themeColor="text1"/>
                <w14:textFill>
                  <w14:solidFill>
                    <w14:schemeClr w14:val="tx1"/>
                  </w14:solidFill>
                </w14:textFill>
              </w:rPr>
            </w:pPr>
            <w:r>
              <w:rPr>
                <w:rFonts w:hint="eastAsia"/>
                <w:b/>
                <w:color w:val="000000" w:themeColor="text1"/>
                <w14:textFill>
                  <w14:solidFill>
                    <w14:schemeClr w14:val="tx1"/>
                  </w14:solidFill>
                </w14:textFill>
              </w:rPr>
              <w:t>挥发性</w:t>
            </w:r>
          </w:p>
        </w:tc>
        <w:tc>
          <w:tcPr>
            <w:tcW w:w="636" w:type="pct"/>
            <w:vMerge w:val="restart"/>
            <w:vAlign w:val="center"/>
          </w:tcPr>
          <w:p w14:paraId="31780050">
            <w:pPr>
              <w:pStyle w:val="70"/>
              <w:rPr>
                <w:b/>
                <w:color w:val="000000" w:themeColor="text1"/>
                <w14:textFill>
                  <w14:solidFill>
                    <w14:schemeClr w14:val="tx1"/>
                  </w14:solidFill>
                </w14:textFill>
              </w:rPr>
            </w:pPr>
            <w:r>
              <w:rPr>
                <w:rFonts w:hint="eastAsia"/>
                <w:b/>
                <w:color w:val="000000" w:themeColor="text1"/>
                <w14:textFill>
                  <w14:solidFill>
                    <w14:schemeClr w14:val="tx1"/>
                  </w14:solidFill>
                </w14:textFill>
              </w:rPr>
              <w:t>危险性</w:t>
            </w:r>
          </w:p>
        </w:tc>
      </w:tr>
      <w:tr w14:paraId="1FF416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tblHeader/>
          <w:jc w:val="center"/>
        </w:trPr>
        <w:tc>
          <w:tcPr>
            <w:tcW w:w="167" w:type="pct"/>
            <w:vMerge w:val="continue"/>
            <w:vAlign w:val="center"/>
          </w:tcPr>
          <w:p w14:paraId="0638EFC1">
            <w:pPr>
              <w:pStyle w:val="123"/>
              <w:keepNext/>
              <w:wordWrap w:val="0"/>
              <w:adjustRightInd w:val="0"/>
              <w:snapToGrid w:val="0"/>
              <w:ind w:firstLine="482"/>
              <w:rPr>
                <w:b w:val="0"/>
                <w:color w:val="000000" w:themeColor="text1"/>
                <w14:textFill>
                  <w14:solidFill>
                    <w14:schemeClr w14:val="tx1"/>
                  </w14:solidFill>
                </w14:textFill>
              </w:rPr>
            </w:pPr>
          </w:p>
        </w:tc>
        <w:tc>
          <w:tcPr>
            <w:tcW w:w="385" w:type="pct"/>
            <w:vMerge w:val="continue"/>
            <w:vAlign w:val="center"/>
          </w:tcPr>
          <w:p w14:paraId="3364CE7F">
            <w:pPr>
              <w:pStyle w:val="123"/>
              <w:keepNext/>
              <w:wordWrap w:val="0"/>
              <w:adjustRightInd w:val="0"/>
              <w:snapToGrid w:val="0"/>
              <w:ind w:firstLine="482"/>
              <w:rPr>
                <w:b w:val="0"/>
                <w:color w:val="000000" w:themeColor="text1"/>
                <w14:textFill>
                  <w14:solidFill>
                    <w14:schemeClr w14:val="tx1"/>
                  </w14:solidFill>
                </w14:textFill>
              </w:rPr>
            </w:pPr>
          </w:p>
        </w:tc>
        <w:tc>
          <w:tcPr>
            <w:tcW w:w="301" w:type="pct"/>
            <w:vMerge w:val="continue"/>
            <w:textDirection w:val="tbRlV"/>
            <w:vAlign w:val="center"/>
          </w:tcPr>
          <w:p w14:paraId="6526EF68">
            <w:pPr>
              <w:pStyle w:val="123"/>
              <w:keepNext/>
              <w:wordWrap w:val="0"/>
              <w:adjustRightInd w:val="0"/>
              <w:snapToGrid w:val="0"/>
              <w:ind w:firstLine="482"/>
              <w:rPr>
                <w:b w:val="0"/>
                <w:color w:val="000000" w:themeColor="text1"/>
                <w14:textFill>
                  <w14:solidFill>
                    <w14:schemeClr w14:val="tx1"/>
                  </w14:solidFill>
                </w14:textFill>
              </w:rPr>
            </w:pPr>
          </w:p>
        </w:tc>
        <w:tc>
          <w:tcPr>
            <w:tcW w:w="349" w:type="pct"/>
            <w:vMerge w:val="continue"/>
            <w:vAlign w:val="center"/>
          </w:tcPr>
          <w:p w14:paraId="5F98B213">
            <w:pPr>
              <w:pStyle w:val="123"/>
              <w:keepNext/>
              <w:wordWrap w:val="0"/>
              <w:adjustRightInd w:val="0"/>
              <w:snapToGrid w:val="0"/>
              <w:ind w:firstLine="482"/>
              <w:rPr>
                <w:b w:val="0"/>
                <w:color w:val="000000" w:themeColor="text1"/>
                <w14:textFill>
                  <w14:solidFill>
                    <w14:schemeClr w14:val="tx1"/>
                  </w14:solidFill>
                </w14:textFill>
              </w:rPr>
            </w:pPr>
          </w:p>
        </w:tc>
        <w:tc>
          <w:tcPr>
            <w:tcW w:w="564" w:type="pct"/>
            <w:vMerge w:val="continue"/>
            <w:vAlign w:val="center"/>
          </w:tcPr>
          <w:p w14:paraId="75D68BA3">
            <w:pPr>
              <w:pStyle w:val="123"/>
              <w:keepNext/>
              <w:wordWrap w:val="0"/>
              <w:adjustRightInd w:val="0"/>
              <w:snapToGrid w:val="0"/>
              <w:ind w:firstLine="482"/>
              <w:rPr>
                <w:b w:val="0"/>
                <w:color w:val="000000" w:themeColor="text1"/>
                <w14:textFill>
                  <w14:solidFill>
                    <w14:schemeClr w14:val="tx1"/>
                  </w14:solidFill>
                </w14:textFill>
              </w:rPr>
            </w:pPr>
          </w:p>
        </w:tc>
        <w:tc>
          <w:tcPr>
            <w:tcW w:w="288" w:type="pct"/>
            <w:vMerge w:val="continue"/>
            <w:vAlign w:val="center"/>
          </w:tcPr>
          <w:p w14:paraId="680662B5">
            <w:pPr>
              <w:pStyle w:val="123"/>
              <w:keepNext/>
              <w:wordWrap w:val="0"/>
              <w:adjustRightInd w:val="0"/>
              <w:snapToGrid w:val="0"/>
              <w:ind w:firstLine="482"/>
              <w:rPr>
                <w:b w:val="0"/>
                <w:color w:val="000000" w:themeColor="text1"/>
                <w14:textFill>
                  <w14:solidFill>
                    <w14:schemeClr w14:val="tx1"/>
                  </w14:solidFill>
                </w14:textFill>
              </w:rPr>
            </w:pPr>
          </w:p>
        </w:tc>
        <w:tc>
          <w:tcPr>
            <w:tcW w:w="241" w:type="pct"/>
            <w:vMerge w:val="continue"/>
            <w:vAlign w:val="center"/>
          </w:tcPr>
          <w:p w14:paraId="24A9425E">
            <w:pPr>
              <w:pStyle w:val="123"/>
              <w:keepNext/>
              <w:wordWrap w:val="0"/>
              <w:adjustRightInd w:val="0"/>
              <w:snapToGrid w:val="0"/>
              <w:ind w:firstLine="482"/>
              <w:rPr>
                <w:b w:val="0"/>
                <w:color w:val="000000" w:themeColor="text1"/>
                <w14:textFill>
                  <w14:solidFill>
                    <w14:schemeClr w14:val="tx1"/>
                  </w14:solidFill>
                </w14:textFill>
              </w:rPr>
            </w:pPr>
          </w:p>
        </w:tc>
        <w:tc>
          <w:tcPr>
            <w:tcW w:w="192" w:type="pct"/>
            <w:vMerge w:val="continue"/>
            <w:vAlign w:val="center"/>
          </w:tcPr>
          <w:p w14:paraId="27350E62">
            <w:pPr>
              <w:pStyle w:val="123"/>
              <w:keepNext/>
              <w:wordWrap w:val="0"/>
              <w:adjustRightInd w:val="0"/>
              <w:snapToGrid w:val="0"/>
              <w:ind w:firstLine="482"/>
              <w:rPr>
                <w:b w:val="0"/>
                <w:color w:val="000000" w:themeColor="text1"/>
                <w14:textFill>
                  <w14:solidFill>
                    <w14:schemeClr w14:val="tx1"/>
                  </w14:solidFill>
                </w14:textFill>
              </w:rPr>
            </w:pPr>
          </w:p>
        </w:tc>
        <w:tc>
          <w:tcPr>
            <w:tcW w:w="240" w:type="pct"/>
            <w:vMerge w:val="continue"/>
            <w:vAlign w:val="center"/>
          </w:tcPr>
          <w:p w14:paraId="10019861">
            <w:pPr>
              <w:pStyle w:val="123"/>
              <w:keepNext/>
              <w:wordWrap w:val="0"/>
              <w:adjustRightInd w:val="0"/>
              <w:snapToGrid w:val="0"/>
              <w:ind w:firstLine="482"/>
              <w:rPr>
                <w:b w:val="0"/>
                <w:color w:val="000000" w:themeColor="text1"/>
                <w14:textFill>
                  <w14:solidFill>
                    <w14:schemeClr w14:val="tx1"/>
                  </w14:solidFill>
                </w14:textFill>
              </w:rPr>
            </w:pPr>
          </w:p>
        </w:tc>
        <w:tc>
          <w:tcPr>
            <w:tcW w:w="240" w:type="pct"/>
            <w:vMerge w:val="continue"/>
            <w:vAlign w:val="center"/>
          </w:tcPr>
          <w:p w14:paraId="69C17ABC">
            <w:pPr>
              <w:pStyle w:val="123"/>
              <w:keepNext/>
              <w:wordWrap w:val="0"/>
              <w:adjustRightInd w:val="0"/>
              <w:snapToGrid w:val="0"/>
              <w:ind w:firstLine="482"/>
              <w:rPr>
                <w:b w:val="0"/>
                <w:color w:val="000000" w:themeColor="text1"/>
                <w14:textFill>
                  <w14:solidFill>
                    <w14:schemeClr w14:val="tx1"/>
                  </w14:solidFill>
                </w14:textFill>
              </w:rPr>
            </w:pPr>
          </w:p>
        </w:tc>
        <w:tc>
          <w:tcPr>
            <w:tcW w:w="240" w:type="pct"/>
            <w:vAlign w:val="center"/>
          </w:tcPr>
          <w:p w14:paraId="47FC7BA5">
            <w:pPr>
              <w:pStyle w:val="123"/>
              <w:keepNext/>
              <w:wordWrap w:val="0"/>
              <w:adjustRightInd w:val="0"/>
              <w:snapToGrid w:val="0"/>
              <w:jc w:val="both"/>
              <w:rPr>
                <w:bCs/>
                <w:color w:val="000000" w:themeColor="text1"/>
                <w14:textFill>
                  <w14:solidFill>
                    <w14:schemeClr w14:val="tx1"/>
                  </w14:solidFill>
                </w14:textFill>
              </w:rPr>
            </w:pPr>
            <w:r>
              <w:rPr>
                <w:bCs/>
                <w:color w:val="000000" w:themeColor="text1"/>
                <w14:textFill>
                  <w14:solidFill>
                    <w14:schemeClr w14:val="tx1"/>
                  </w14:solidFill>
                </w14:textFill>
              </w:rPr>
              <w:t>上限</w:t>
            </w:r>
          </w:p>
        </w:tc>
        <w:tc>
          <w:tcPr>
            <w:tcW w:w="241" w:type="pct"/>
            <w:vAlign w:val="center"/>
          </w:tcPr>
          <w:p w14:paraId="35031DD8">
            <w:pPr>
              <w:pStyle w:val="123"/>
              <w:keepNext/>
              <w:wordWrap w:val="0"/>
              <w:adjustRightInd w:val="0"/>
              <w:snapToGrid w:val="0"/>
              <w:jc w:val="both"/>
              <w:rPr>
                <w:bCs/>
                <w:color w:val="000000" w:themeColor="text1"/>
                <w14:textFill>
                  <w14:solidFill>
                    <w14:schemeClr w14:val="tx1"/>
                  </w14:solidFill>
                </w14:textFill>
              </w:rPr>
            </w:pPr>
            <w:r>
              <w:rPr>
                <w:bCs/>
                <w:color w:val="000000" w:themeColor="text1"/>
                <w14:textFill>
                  <w14:solidFill>
                    <w14:schemeClr w14:val="tx1"/>
                  </w14:solidFill>
                </w14:textFill>
              </w:rPr>
              <w:t>下限</w:t>
            </w:r>
          </w:p>
        </w:tc>
        <w:tc>
          <w:tcPr>
            <w:tcW w:w="192" w:type="pct"/>
            <w:vMerge w:val="continue"/>
            <w:vAlign w:val="center"/>
          </w:tcPr>
          <w:p w14:paraId="119B78B5">
            <w:pPr>
              <w:pStyle w:val="123"/>
              <w:keepNext/>
              <w:wordWrap w:val="0"/>
              <w:adjustRightInd w:val="0"/>
              <w:snapToGrid w:val="0"/>
              <w:ind w:firstLine="482"/>
              <w:rPr>
                <w:b w:val="0"/>
                <w:color w:val="000000" w:themeColor="text1"/>
                <w14:textFill>
                  <w14:solidFill>
                    <w14:schemeClr w14:val="tx1"/>
                  </w14:solidFill>
                </w14:textFill>
              </w:rPr>
            </w:pPr>
          </w:p>
        </w:tc>
        <w:tc>
          <w:tcPr>
            <w:tcW w:w="192" w:type="pct"/>
            <w:vMerge w:val="continue"/>
            <w:textDirection w:val="tbRlV"/>
            <w:vAlign w:val="center"/>
          </w:tcPr>
          <w:p w14:paraId="724002C7">
            <w:pPr>
              <w:pStyle w:val="123"/>
              <w:keepNext/>
              <w:wordWrap w:val="0"/>
              <w:adjustRightInd w:val="0"/>
              <w:snapToGrid w:val="0"/>
              <w:ind w:firstLine="482"/>
              <w:rPr>
                <w:b w:val="0"/>
                <w:color w:val="000000" w:themeColor="text1"/>
                <w14:textFill>
                  <w14:solidFill>
                    <w14:schemeClr w14:val="tx1"/>
                  </w14:solidFill>
                </w14:textFill>
              </w:rPr>
            </w:pPr>
          </w:p>
        </w:tc>
        <w:tc>
          <w:tcPr>
            <w:tcW w:w="240" w:type="pct"/>
            <w:vMerge w:val="continue"/>
            <w:textDirection w:val="tbRlV"/>
            <w:vAlign w:val="center"/>
          </w:tcPr>
          <w:p w14:paraId="530C1E8A">
            <w:pPr>
              <w:pStyle w:val="123"/>
              <w:keepNext/>
              <w:wordWrap w:val="0"/>
              <w:adjustRightInd w:val="0"/>
              <w:snapToGrid w:val="0"/>
              <w:ind w:firstLine="482"/>
              <w:rPr>
                <w:b w:val="0"/>
                <w:color w:val="000000" w:themeColor="text1"/>
                <w14:textFill>
                  <w14:solidFill>
                    <w14:schemeClr w14:val="tx1"/>
                  </w14:solidFill>
                </w14:textFill>
              </w:rPr>
            </w:pPr>
          </w:p>
        </w:tc>
        <w:tc>
          <w:tcPr>
            <w:tcW w:w="287" w:type="pct"/>
            <w:vMerge w:val="continue"/>
            <w:textDirection w:val="tbRlV"/>
            <w:vAlign w:val="center"/>
          </w:tcPr>
          <w:p w14:paraId="1A664958">
            <w:pPr>
              <w:pStyle w:val="123"/>
              <w:keepNext/>
              <w:wordWrap w:val="0"/>
              <w:adjustRightInd w:val="0"/>
              <w:snapToGrid w:val="0"/>
              <w:ind w:firstLine="482"/>
              <w:rPr>
                <w:b w:val="0"/>
                <w:color w:val="000000" w:themeColor="text1"/>
                <w14:textFill>
                  <w14:solidFill>
                    <w14:schemeClr w14:val="tx1"/>
                  </w14:solidFill>
                </w14:textFill>
              </w:rPr>
            </w:pPr>
          </w:p>
        </w:tc>
        <w:tc>
          <w:tcPr>
            <w:tcW w:w="636" w:type="pct"/>
            <w:vMerge w:val="continue"/>
            <w:textDirection w:val="tbRlV"/>
            <w:vAlign w:val="center"/>
          </w:tcPr>
          <w:p w14:paraId="7C626999">
            <w:pPr>
              <w:pStyle w:val="123"/>
              <w:keepNext/>
              <w:wordWrap w:val="0"/>
              <w:adjustRightInd w:val="0"/>
              <w:snapToGrid w:val="0"/>
              <w:ind w:firstLine="482"/>
              <w:rPr>
                <w:b w:val="0"/>
                <w:color w:val="000000" w:themeColor="text1"/>
                <w14:textFill>
                  <w14:solidFill>
                    <w14:schemeClr w14:val="tx1"/>
                  </w14:solidFill>
                </w14:textFill>
              </w:rPr>
            </w:pPr>
          </w:p>
        </w:tc>
      </w:tr>
      <w:tr w14:paraId="3DFB18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90" w:hRule="atLeast"/>
          <w:jc w:val="center"/>
        </w:trPr>
        <w:tc>
          <w:tcPr>
            <w:tcW w:w="167" w:type="pct"/>
            <w:vAlign w:val="center"/>
          </w:tcPr>
          <w:p w14:paraId="2902697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385" w:type="pct"/>
            <w:vAlign w:val="center"/>
          </w:tcPr>
          <w:p w14:paraId="5FDD2A1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苯乙烯</w:t>
            </w:r>
          </w:p>
        </w:tc>
        <w:tc>
          <w:tcPr>
            <w:tcW w:w="301" w:type="pct"/>
            <w:vAlign w:val="center"/>
          </w:tcPr>
          <w:p w14:paraId="222850B7">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2055</w:t>
            </w:r>
          </w:p>
        </w:tc>
        <w:tc>
          <w:tcPr>
            <w:tcW w:w="349" w:type="pct"/>
            <w:vAlign w:val="center"/>
          </w:tcPr>
          <w:p w14:paraId="0950F3E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100-42-5</w:t>
            </w:r>
          </w:p>
        </w:tc>
        <w:tc>
          <w:tcPr>
            <w:tcW w:w="564" w:type="pct"/>
            <w:vAlign w:val="center"/>
          </w:tcPr>
          <w:p w14:paraId="35BA4CCC">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易燃液体，类别3；皮肤腐蚀/刺激，类别2</w:t>
            </w:r>
          </w:p>
        </w:tc>
        <w:tc>
          <w:tcPr>
            <w:tcW w:w="288" w:type="pct"/>
            <w:vAlign w:val="center"/>
          </w:tcPr>
          <w:p w14:paraId="0D6F0F7E">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0.906</w:t>
            </w:r>
          </w:p>
        </w:tc>
        <w:tc>
          <w:tcPr>
            <w:tcW w:w="241" w:type="pct"/>
            <w:vAlign w:val="center"/>
          </w:tcPr>
          <w:p w14:paraId="1713B5DE">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31</w:t>
            </w:r>
          </w:p>
        </w:tc>
        <w:tc>
          <w:tcPr>
            <w:tcW w:w="192" w:type="pct"/>
            <w:vAlign w:val="center"/>
          </w:tcPr>
          <w:p w14:paraId="42D9E484">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145</w:t>
            </w:r>
          </w:p>
        </w:tc>
        <w:tc>
          <w:tcPr>
            <w:tcW w:w="240" w:type="pct"/>
            <w:vAlign w:val="center"/>
          </w:tcPr>
          <w:p w14:paraId="1D56813A">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-31</w:t>
            </w:r>
          </w:p>
        </w:tc>
        <w:tc>
          <w:tcPr>
            <w:tcW w:w="240" w:type="pct"/>
            <w:vAlign w:val="center"/>
          </w:tcPr>
          <w:p w14:paraId="608E9B42">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490</w:t>
            </w:r>
          </w:p>
        </w:tc>
        <w:tc>
          <w:tcPr>
            <w:tcW w:w="240" w:type="pct"/>
            <w:vAlign w:val="center"/>
          </w:tcPr>
          <w:p w14:paraId="1F0862AF">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6.8</w:t>
            </w:r>
          </w:p>
        </w:tc>
        <w:tc>
          <w:tcPr>
            <w:tcW w:w="241" w:type="pct"/>
            <w:vAlign w:val="center"/>
          </w:tcPr>
          <w:p w14:paraId="1C4B89FC">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1.1</w:t>
            </w:r>
          </w:p>
        </w:tc>
        <w:tc>
          <w:tcPr>
            <w:tcW w:w="192" w:type="pct"/>
            <w:vAlign w:val="center"/>
          </w:tcPr>
          <w:p w14:paraId="47854E01">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甲B</w:t>
            </w:r>
          </w:p>
        </w:tc>
        <w:tc>
          <w:tcPr>
            <w:tcW w:w="192" w:type="pct"/>
            <w:vAlign w:val="center"/>
          </w:tcPr>
          <w:p w14:paraId="05560A12">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Ⅲ</w:t>
            </w:r>
          </w:p>
        </w:tc>
        <w:tc>
          <w:tcPr>
            <w:tcW w:w="240" w:type="pct"/>
            <w:vAlign w:val="center"/>
          </w:tcPr>
          <w:p w14:paraId="5F3496AB">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不溶于水</w:t>
            </w:r>
          </w:p>
        </w:tc>
        <w:tc>
          <w:tcPr>
            <w:tcW w:w="287" w:type="pct"/>
            <w:vAlign w:val="center"/>
          </w:tcPr>
          <w:p w14:paraId="28D81DBF">
            <w:pPr>
              <w:widowControl/>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易挥发</w:t>
            </w:r>
          </w:p>
        </w:tc>
        <w:tc>
          <w:tcPr>
            <w:tcW w:w="636" w:type="pct"/>
            <w:vAlign w:val="center"/>
          </w:tcPr>
          <w:p w14:paraId="7D3ABFCA">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极度易燃，有爆炸风险</w:t>
            </w:r>
          </w:p>
        </w:tc>
      </w:tr>
      <w:tr w14:paraId="119D4F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90" w:hRule="atLeast"/>
          <w:jc w:val="center"/>
        </w:trPr>
        <w:tc>
          <w:tcPr>
            <w:tcW w:w="167" w:type="pct"/>
            <w:vAlign w:val="center"/>
          </w:tcPr>
          <w:p w14:paraId="59D9510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385" w:type="pct"/>
            <w:vAlign w:val="center"/>
          </w:tcPr>
          <w:p w14:paraId="309AEC2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纯生物柴油</w:t>
            </w:r>
          </w:p>
        </w:tc>
        <w:tc>
          <w:tcPr>
            <w:tcW w:w="301" w:type="pct"/>
            <w:vAlign w:val="center"/>
          </w:tcPr>
          <w:p w14:paraId="4C4EEE7A">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暂无</w:t>
            </w:r>
          </w:p>
        </w:tc>
        <w:tc>
          <w:tcPr>
            <w:tcW w:w="349" w:type="pct"/>
            <w:vAlign w:val="center"/>
          </w:tcPr>
          <w:p w14:paraId="7A18BFE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67784-80-9</w:t>
            </w:r>
          </w:p>
        </w:tc>
        <w:tc>
          <w:tcPr>
            <w:tcW w:w="564" w:type="pct"/>
            <w:vAlign w:val="center"/>
          </w:tcPr>
          <w:p w14:paraId="24094A5B">
            <w:pPr>
              <w:pStyle w:val="123"/>
              <w:wordWrap w:val="0"/>
              <w:adjustRightInd w:val="0"/>
              <w:snapToGrid w:val="0"/>
              <w:jc w:val="both"/>
              <w:rPr>
                <w:b w:val="0"/>
                <w:color w:val="000000" w:themeColor="text1"/>
                <w14:textFill>
                  <w14:solidFill>
                    <w14:schemeClr w14:val="tx1"/>
                  </w14:solidFill>
                </w14:textFill>
              </w:rPr>
            </w:pPr>
            <w:r>
              <w:rPr>
                <w:b w:val="0"/>
                <w:color w:val="000000" w:themeColor="text1"/>
                <w14:textFill>
                  <w14:solidFill>
                    <w14:schemeClr w14:val="tx1"/>
                  </w14:solidFill>
                </w14:textFill>
              </w:rPr>
              <w:t>易燃液体，类别4</w:t>
            </w:r>
          </w:p>
        </w:tc>
        <w:tc>
          <w:tcPr>
            <w:tcW w:w="288" w:type="pct"/>
            <w:vAlign w:val="center"/>
          </w:tcPr>
          <w:p w14:paraId="441EF5C6">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0.88</w:t>
            </w:r>
          </w:p>
        </w:tc>
        <w:tc>
          <w:tcPr>
            <w:tcW w:w="241" w:type="pct"/>
            <w:vAlign w:val="center"/>
          </w:tcPr>
          <w:p w14:paraId="2237FD8C">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&gt;100</w:t>
            </w:r>
          </w:p>
        </w:tc>
        <w:tc>
          <w:tcPr>
            <w:tcW w:w="192" w:type="pct"/>
            <w:vAlign w:val="center"/>
          </w:tcPr>
          <w:p w14:paraId="62724978">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&gt;330</w:t>
            </w:r>
          </w:p>
        </w:tc>
        <w:tc>
          <w:tcPr>
            <w:tcW w:w="240" w:type="pct"/>
            <w:vAlign w:val="center"/>
          </w:tcPr>
          <w:p w14:paraId="1357DAEE">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可变</w:t>
            </w:r>
          </w:p>
        </w:tc>
        <w:tc>
          <w:tcPr>
            <w:tcW w:w="240" w:type="pct"/>
            <w:vAlign w:val="center"/>
          </w:tcPr>
          <w:p w14:paraId="156AD73B">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&gt;200</w:t>
            </w:r>
          </w:p>
        </w:tc>
        <w:tc>
          <w:tcPr>
            <w:tcW w:w="240" w:type="pct"/>
            <w:vAlign w:val="center"/>
          </w:tcPr>
          <w:p w14:paraId="5F97EC2B">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c>
          <w:tcPr>
            <w:tcW w:w="241" w:type="pct"/>
            <w:vAlign w:val="center"/>
          </w:tcPr>
          <w:p w14:paraId="34ECA8FF">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c>
          <w:tcPr>
            <w:tcW w:w="192" w:type="pct"/>
            <w:vAlign w:val="center"/>
          </w:tcPr>
          <w:p w14:paraId="071DF3EF">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丙A</w:t>
            </w:r>
          </w:p>
        </w:tc>
        <w:tc>
          <w:tcPr>
            <w:tcW w:w="192" w:type="pct"/>
            <w:vAlign w:val="center"/>
          </w:tcPr>
          <w:p w14:paraId="4EBA67BB">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Ⅳ</w:t>
            </w:r>
          </w:p>
        </w:tc>
        <w:tc>
          <w:tcPr>
            <w:tcW w:w="240" w:type="pct"/>
            <w:vAlign w:val="center"/>
          </w:tcPr>
          <w:p w14:paraId="04383C2E">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不溶于水</w:t>
            </w:r>
          </w:p>
        </w:tc>
        <w:tc>
          <w:tcPr>
            <w:tcW w:w="287" w:type="pct"/>
            <w:vAlign w:val="center"/>
          </w:tcPr>
          <w:p w14:paraId="51AE11E4">
            <w:pPr>
              <w:widowControl/>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不易挥发分解</w:t>
            </w:r>
          </w:p>
        </w:tc>
        <w:tc>
          <w:tcPr>
            <w:tcW w:w="636" w:type="pct"/>
            <w:vAlign w:val="center"/>
          </w:tcPr>
          <w:p w14:paraId="16AB67DE">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易燃易爆</w:t>
            </w:r>
          </w:p>
        </w:tc>
      </w:tr>
      <w:tr w14:paraId="18302D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90" w:hRule="atLeast"/>
          <w:jc w:val="center"/>
        </w:trPr>
        <w:tc>
          <w:tcPr>
            <w:tcW w:w="167" w:type="pct"/>
            <w:vAlign w:val="center"/>
          </w:tcPr>
          <w:p w14:paraId="254DCAE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385" w:type="pct"/>
            <w:vAlign w:val="center"/>
          </w:tcPr>
          <w:p w14:paraId="408F7E0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航空煤油</w:t>
            </w:r>
          </w:p>
        </w:tc>
        <w:tc>
          <w:tcPr>
            <w:tcW w:w="301" w:type="pct"/>
            <w:vAlign w:val="center"/>
          </w:tcPr>
          <w:p w14:paraId="492DDACB">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1863</w:t>
            </w:r>
          </w:p>
        </w:tc>
        <w:tc>
          <w:tcPr>
            <w:tcW w:w="349" w:type="pct"/>
            <w:vAlign w:val="center"/>
          </w:tcPr>
          <w:p w14:paraId="1402183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8008-20-6</w:t>
            </w:r>
          </w:p>
        </w:tc>
        <w:tc>
          <w:tcPr>
            <w:tcW w:w="564" w:type="pct"/>
            <w:vAlign w:val="center"/>
          </w:tcPr>
          <w:p w14:paraId="1284F59C">
            <w:pPr>
              <w:pStyle w:val="123"/>
              <w:wordWrap w:val="0"/>
              <w:adjustRightInd w:val="0"/>
              <w:snapToGrid w:val="0"/>
              <w:jc w:val="both"/>
              <w:rPr>
                <w:b w:val="0"/>
                <w:color w:val="000000" w:themeColor="text1"/>
                <w14:textFill>
                  <w14:solidFill>
                    <w14:schemeClr w14:val="tx1"/>
                  </w14:solidFill>
                </w14:textFill>
              </w:rPr>
            </w:pPr>
            <w:r>
              <w:rPr>
                <w:b w:val="0"/>
                <w:color w:val="000000" w:themeColor="text1"/>
                <w14:textFill>
                  <w14:solidFill>
                    <w14:schemeClr w14:val="tx1"/>
                  </w14:solidFill>
                </w14:textFill>
              </w:rPr>
              <w:t>易燃液体，类别3</w:t>
            </w:r>
          </w:p>
        </w:tc>
        <w:tc>
          <w:tcPr>
            <w:tcW w:w="288" w:type="pct"/>
            <w:vAlign w:val="center"/>
          </w:tcPr>
          <w:p w14:paraId="3FC0E065">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0.78-0.81</w:t>
            </w:r>
          </w:p>
        </w:tc>
        <w:tc>
          <w:tcPr>
            <w:tcW w:w="241" w:type="pct"/>
            <w:vAlign w:val="center"/>
          </w:tcPr>
          <w:p w14:paraId="06208E52">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&gt;38</w:t>
            </w:r>
          </w:p>
        </w:tc>
        <w:tc>
          <w:tcPr>
            <w:tcW w:w="192" w:type="pct"/>
            <w:vAlign w:val="center"/>
          </w:tcPr>
          <w:p w14:paraId="03D060A8">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150-300</w:t>
            </w:r>
          </w:p>
        </w:tc>
        <w:tc>
          <w:tcPr>
            <w:tcW w:w="240" w:type="pct"/>
            <w:vAlign w:val="center"/>
          </w:tcPr>
          <w:p w14:paraId="1565534C">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&lt;-40</w:t>
            </w:r>
          </w:p>
        </w:tc>
        <w:tc>
          <w:tcPr>
            <w:tcW w:w="240" w:type="pct"/>
            <w:vAlign w:val="center"/>
          </w:tcPr>
          <w:p w14:paraId="20538840">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~210</w:t>
            </w:r>
          </w:p>
        </w:tc>
        <w:tc>
          <w:tcPr>
            <w:tcW w:w="240" w:type="pct"/>
            <w:vAlign w:val="center"/>
          </w:tcPr>
          <w:p w14:paraId="04A794E2">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~7.5</w:t>
            </w:r>
          </w:p>
        </w:tc>
        <w:tc>
          <w:tcPr>
            <w:tcW w:w="241" w:type="pct"/>
            <w:vAlign w:val="center"/>
          </w:tcPr>
          <w:p w14:paraId="362BF23F">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~0.6</w:t>
            </w:r>
          </w:p>
        </w:tc>
        <w:tc>
          <w:tcPr>
            <w:tcW w:w="192" w:type="pct"/>
            <w:vAlign w:val="center"/>
          </w:tcPr>
          <w:p w14:paraId="3DD6A412">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乙B</w:t>
            </w:r>
          </w:p>
        </w:tc>
        <w:tc>
          <w:tcPr>
            <w:tcW w:w="192" w:type="pct"/>
            <w:vAlign w:val="center"/>
          </w:tcPr>
          <w:p w14:paraId="2E6B636B">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Ⅳ</w:t>
            </w:r>
          </w:p>
        </w:tc>
        <w:tc>
          <w:tcPr>
            <w:tcW w:w="240" w:type="pct"/>
            <w:vAlign w:val="center"/>
          </w:tcPr>
          <w:p w14:paraId="0A999B02">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不溶于水</w:t>
            </w:r>
          </w:p>
        </w:tc>
        <w:tc>
          <w:tcPr>
            <w:tcW w:w="287" w:type="pct"/>
            <w:vAlign w:val="center"/>
          </w:tcPr>
          <w:p w14:paraId="45D2CD5C">
            <w:pPr>
              <w:widowControl/>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易挥发</w:t>
            </w:r>
          </w:p>
        </w:tc>
        <w:tc>
          <w:tcPr>
            <w:tcW w:w="636" w:type="pct"/>
            <w:vAlign w:val="center"/>
          </w:tcPr>
          <w:p w14:paraId="7399993A">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易燃，有爆炸风险</w:t>
            </w:r>
          </w:p>
        </w:tc>
      </w:tr>
      <w:tr w14:paraId="001A9D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90" w:hRule="atLeast"/>
          <w:jc w:val="center"/>
        </w:trPr>
        <w:tc>
          <w:tcPr>
            <w:tcW w:w="167" w:type="pct"/>
            <w:vAlign w:val="center"/>
          </w:tcPr>
          <w:p w14:paraId="43A5B03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p>
        </w:tc>
        <w:tc>
          <w:tcPr>
            <w:tcW w:w="385" w:type="pct"/>
            <w:vAlign w:val="center"/>
          </w:tcPr>
          <w:p w14:paraId="13D30CD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碱液 (以30% NaOH为例)</w:t>
            </w:r>
          </w:p>
        </w:tc>
        <w:tc>
          <w:tcPr>
            <w:tcW w:w="301" w:type="pct"/>
            <w:vAlign w:val="center"/>
          </w:tcPr>
          <w:p w14:paraId="7053B45C">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1824</w:t>
            </w:r>
          </w:p>
        </w:tc>
        <w:tc>
          <w:tcPr>
            <w:tcW w:w="349" w:type="pct"/>
            <w:vAlign w:val="center"/>
          </w:tcPr>
          <w:p w14:paraId="359715D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1310-73-2</w:t>
            </w:r>
          </w:p>
        </w:tc>
        <w:tc>
          <w:tcPr>
            <w:tcW w:w="564" w:type="pct"/>
            <w:vAlign w:val="center"/>
          </w:tcPr>
          <w:p w14:paraId="5E0AEF5F">
            <w:pPr>
              <w:pStyle w:val="123"/>
              <w:wordWrap w:val="0"/>
              <w:adjustRightInd w:val="0"/>
              <w:snapToGrid w:val="0"/>
              <w:jc w:val="both"/>
              <w:rPr>
                <w:b w:val="0"/>
                <w:color w:val="000000" w:themeColor="text1"/>
                <w14:textFill>
                  <w14:solidFill>
                    <w14:schemeClr w14:val="tx1"/>
                  </w14:solidFill>
                </w14:textFill>
              </w:rPr>
            </w:pPr>
            <w:r>
              <w:rPr>
                <w:b w:val="0"/>
                <w:color w:val="000000" w:themeColor="text1"/>
                <w14:textFill>
                  <w14:solidFill>
                    <w14:schemeClr w14:val="tx1"/>
                  </w14:solidFill>
                </w14:textFill>
              </w:rPr>
              <w:t>皮肤腐蚀/刺激，类别1A；严重眼损伤/眼刺激，类别1</w:t>
            </w:r>
          </w:p>
        </w:tc>
        <w:tc>
          <w:tcPr>
            <w:tcW w:w="288" w:type="pct"/>
            <w:vAlign w:val="center"/>
          </w:tcPr>
          <w:p w14:paraId="765FFB5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~1.33</w:t>
            </w:r>
          </w:p>
        </w:tc>
        <w:tc>
          <w:tcPr>
            <w:tcW w:w="241" w:type="pct"/>
            <w:vAlign w:val="center"/>
          </w:tcPr>
          <w:p w14:paraId="5244E7F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92" w:type="pct"/>
            <w:vAlign w:val="center"/>
          </w:tcPr>
          <w:p w14:paraId="04F39DE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~105-140</w:t>
            </w:r>
          </w:p>
        </w:tc>
        <w:tc>
          <w:tcPr>
            <w:tcW w:w="240" w:type="pct"/>
            <w:vAlign w:val="center"/>
          </w:tcPr>
          <w:p w14:paraId="2164E9D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~-26</w:t>
            </w:r>
          </w:p>
        </w:tc>
        <w:tc>
          <w:tcPr>
            <w:tcW w:w="240" w:type="pct"/>
            <w:vAlign w:val="center"/>
          </w:tcPr>
          <w:p w14:paraId="33C6439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40" w:type="pct"/>
            <w:vAlign w:val="center"/>
          </w:tcPr>
          <w:p w14:paraId="19BA287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41" w:type="pct"/>
            <w:vAlign w:val="center"/>
          </w:tcPr>
          <w:p w14:paraId="71D357E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92" w:type="pct"/>
            <w:vAlign w:val="center"/>
          </w:tcPr>
          <w:p w14:paraId="0D8CE8B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戊</w:t>
            </w:r>
          </w:p>
        </w:tc>
        <w:tc>
          <w:tcPr>
            <w:tcW w:w="192" w:type="pct"/>
            <w:vAlign w:val="center"/>
          </w:tcPr>
          <w:p w14:paraId="059F4DB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Ⅲ</w:t>
            </w:r>
          </w:p>
        </w:tc>
        <w:tc>
          <w:tcPr>
            <w:tcW w:w="240" w:type="pct"/>
            <w:vAlign w:val="center"/>
          </w:tcPr>
          <w:p w14:paraId="00E37CA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易溶于水 (与水混溶)</w:t>
            </w:r>
          </w:p>
        </w:tc>
        <w:tc>
          <w:tcPr>
            <w:tcW w:w="287" w:type="pct"/>
            <w:vAlign w:val="center"/>
          </w:tcPr>
          <w:p w14:paraId="18520FA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不挥发</w:t>
            </w:r>
          </w:p>
        </w:tc>
        <w:tc>
          <w:tcPr>
            <w:tcW w:w="636" w:type="pct"/>
            <w:vAlign w:val="center"/>
          </w:tcPr>
          <w:p w14:paraId="4802314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强腐蚀性，与酸剧烈反应</w:t>
            </w:r>
          </w:p>
        </w:tc>
      </w:tr>
      <w:tr w14:paraId="1F4A1F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90" w:hRule="atLeast"/>
          <w:jc w:val="center"/>
        </w:trPr>
        <w:tc>
          <w:tcPr>
            <w:tcW w:w="167" w:type="pct"/>
            <w:vAlign w:val="center"/>
          </w:tcPr>
          <w:p w14:paraId="4EAC645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385" w:type="pct"/>
            <w:vAlign w:val="center"/>
          </w:tcPr>
          <w:p w14:paraId="17A2664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发烟硫酸</w:t>
            </w:r>
          </w:p>
        </w:tc>
        <w:tc>
          <w:tcPr>
            <w:tcW w:w="301" w:type="pct"/>
            <w:vAlign w:val="center"/>
          </w:tcPr>
          <w:p w14:paraId="313E44DB">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1831</w:t>
            </w:r>
          </w:p>
        </w:tc>
        <w:tc>
          <w:tcPr>
            <w:tcW w:w="349" w:type="pct"/>
            <w:vAlign w:val="center"/>
          </w:tcPr>
          <w:p w14:paraId="7F390B8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8014-95-7</w:t>
            </w:r>
          </w:p>
        </w:tc>
        <w:tc>
          <w:tcPr>
            <w:tcW w:w="564" w:type="pct"/>
            <w:vAlign w:val="center"/>
          </w:tcPr>
          <w:p w14:paraId="36E2C59E">
            <w:pPr>
              <w:pStyle w:val="123"/>
              <w:wordWrap w:val="0"/>
              <w:adjustRightInd w:val="0"/>
              <w:snapToGrid w:val="0"/>
              <w:jc w:val="both"/>
              <w:rPr>
                <w:b w:val="0"/>
                <w:color w:val="000000" w:themeColor="text1"/>
                <w14:textFill>
                  <w14:solidFill>
                    <w14:schemeClr w14:val="tx1"/>
                  </w14:solidFill>
                </w14:textFill>
              </w:rPr>
            </w:pPr>
            <w:r>
              <w:rPr>
                <w:b w:val="0"/>
                <w:color w:val="000000" w:themeColor="text1"/>
                <w14:textFill>
                  <w14:solidFill>
                    <w14:schemeClr w14:val="tx1"/>
                  </w14:solidFill>
                </w14:textFill>
              </w:rPr>
              <w:t>皮肤腐蚀/刺激，类别1A；严重眼损伤/眼刺激，类别1</w:t>
            </w:r>
          </w:p>
        </w:tc>
        <w:tc>
          <w:tcPr>
            <w:tcW w:w="288" w:type="pct"/>
            <w:vAlign w:val="center"/>
          </w:tcPr>
          <w:p w14:paraId="21386C4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&gt;1.9</w:t>
            </w:r>
          </w:p>
        </w:tc>
        <w:tc>
          <w:tcPr>
            <w:tcW w:w="241" w:type="pct"/>
            <w:vAlign w:val="center"/>
          </w:tcPr>
          <w:p w14:paraId="2D9E23C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92" w:type="pct"/>
            <w:vAlign w:val="center"/>
          </w:tcPr>
          <w:p w14:paraId="632E2E8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可变</w:t>
            </w:r>
          </w:p>
        </w:tc>
        <w:tc>
          <w:tcPr>
            <w:tcW w:w="240" w:type="pct"/>
            <w:vAlign w:val="center"/>
          </w:tcPr>
          <w:p w14:paraId="05AB400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可变</w:t>
            </w:r>
          </w:p>
        </w:tc>
        <w:tc>
          <w:tcPr>
            <w:tcW w:w="240" w:type="pct"/>
            <w:vAlign w:val="center"/>
          </w:tcPr>
          <w:p w14:paraId="7B029AB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40" w:type="pct"/>
            <w:vAlign w:val="center"/>
          </w:tcPr>
          <w:p w14:paraId="73EFAD4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41" w:type="pct"/>
            <w:vAlign w:val="center"/>
          </w:tcPr>
          <w:p w14:paraId="77E62A9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92" w:type="pct"/>
            <w:vAlign w:val="center"/>
          </w:tcPr>
          <w:p w14:paraId="737C3E7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戊</w:t>
            </w:r>
          </w:p>
        </w:tc>
        <w:tc>
          <w:tcPr>
            <w:tcW w:w="192" w:type="pct"/>
            <w:vAlign w:val="center"/>
          </w:tcPr>
          <w:p w14:paraId="28BB516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Ⅱ</w:t>
            </w:r>
          </w:p>
        </w:tc>
        <w:tc>
          <w:tcPr>
            <w:tcW w:w="240" w:type="pct"/>
            <w:vAlign w:val="center"/>
          </w:tcPr>
          <w:p w14:paraId="1B81064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与水剧烈反应</w:t>
            </w:r>
          </w:p>
        </w:tc>
        <w:tc>
          <w:tcPr>
            <w:tcW w:w="287" w:type="pct"/>
            <w:vAlign w:val="center"/>
          </w:tcPr>
          <w:p w14:paraId="51DD9FC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发烟 (释放SO₃)</w:t>
            </w:r>
          </w:p>
        </w:tc>
        <w:tc>
          <w:tcPr>
            <w:tcW w:w="636" w:type="pct"/>
            <w:vAlign w:val="center"/>
          </w:tcPr>
          <w:p w14:paraId="536C2DF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强氧化剂，强腐蚀性，遇水剧烈放热</w:t>
            </w:r>
          </w:p>
        </w:tc>
      </w:tr>
      <w:tr w14:paraId="221D8D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90" w:hRule="atLeast"/>
          <w:jc w:val="center"/>
        </w:trPr>
        <w:tc>
          <w:tcPr>
            <w:tcW w:w="167" w:type="pct"/>
            <w:vAlign w:val="center"/>
          </w:tcPr>
          <w:p w14:paraId="1E48473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385" w:type="pct"/>
            <w:vAlign w:val="center"/>
          </w:tcPr>
          <w:p w14:paraId="5FFF192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硫酸</w:t>
            </w:r>
          </w:p>
        </w:tc>
        <w:tc>
          <w:tcPr>
            <w:tcW w:w="301" w:type="pct"/>
            <w:vAlign w:val="center"/>
          </w:tcPr>
          <w:p w14:paraId="27AE29AA">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1831</w:t>
            </w:r>
          </w:p>
        </w:tc>
        <w:tc>
          <w:tcPr>
            <w:tcW w:w="349" w:type="pct"/>
            <w:vAlign w:val="center"/>
          </w:tcPr>
          <w:p w14:paraId="47DA43E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8014-95-7</w:t>
            </w:r>
          </w:p>
        </w:tc>
        <w:tc>
          <w:tcPr>
            <w:tcW w:w="564" w:type="pct"/>
            <w:vAlign w:val="center"/>
          </w:tcPr>
          <w:p w14:paraId="08167142">
            <w:pPr>
              <w:pStyle w:val="123"/>
              <w:wordWrap w:val="0"/>
              <w:adjustRightInd w:val="0"/>
              <w:snapToGrid w:val="0"/>
              <w:jc w:val="both"/>
              <w:rPr>
                <w:b w:val="0"/>
                <w:color w:val="000000" w:themeColor="text1"/>
                <w14:textFill>
                  <w14:solidFill>
                    <w14:schemeClr w14:val="tx1"/>
                  </w14:solidFill>
                </w14:textFill>
              </w:rPr>
            </w:pPr>
            <w:r>
              <w:rPr>
                <w:b w:val="0"/>
                <w:color w:val="000000" w:themeColor="text1"/>
                <w14:textFill>
                  <w14:solidFill>
                    <w14:schemeClr w14:val="tx1"/>
                  </w14:solidFill>
                </w14:textFill>
              </w:rPr>
              <w:t>皮肤腐蚀/刺激，类别1A；严重眼损伤/眼刺激，类别1</w:t>
            </w:r>
          </w:p>
        </w:tc>
        <w:tc>
          <w:tcPr>
            <w:tcW w:w="288" w:type="pct"/>
            <w:vAlign w:val="center"/>
          </w:tcPr>
          <w:p w14:paraId="29E2043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&gt;1.9</w:t>
            </w:r>
          </w:p>
        </w:tc>
        <w:tc>
          <w:tcPr>
            <w:tcW w:w="241" w:type="pct"/>
            <w:vAlign w:val="center"/>
          </w:tcPr>
          <w:p w14:paraId="7E66BCB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92" w:type="pct"/>
            <w:vAlign w:val="center"/>
          </w:tcPr>
          <w:p w14:paraId="4E39504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可变</w:t>
            </w:r>
          </w:p>
        </w:tc>
        <w:tc>
          <w:tcPr>
            <w:tcW w:w="240" w:type="pct"/>
            <w:vAlign w:val="center"/>
          </w:tcPr>
          <w:p w14:paraId="5784A15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可变</w:t>
            </w:r>
          </w:p>
        </w:tc>
        <w:tc>
          <w:tcPr>
            <w:tcW w:w="240" w:type="pct"/>
            <w:vAlign w:val="center"/>
          </w:tcPr>
          <w:p w14:paraId="7D04DAC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40" w:type="pct"/>
            <w:vAlign w:val="center"/>
          </w:tcPr>
          <w:p w14:paraId="7767C60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41" w:type="pct"/>
            <w:vAlign w:val="center"/>
          </w:tcPr>
          <w:p w14:paraId="7D894BA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92" w:type="pct"/>
            <w:vAlign w:val="center"/>
          </w:tcPr>
          <w:p w14:paraId="33133D2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戊</w:t>
            </w:r>
          </w:p>
        </w:tc>
        <w:tc>
          <w:tcPr>
            <w:tcW w:w="192" w:type="pct"/>
            <w:vAlign w:val="center"/>
          </w:tcPr>
          <w:p w14:paraId="5B68DDD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Ⅱ</w:t>
            </w:r>
          </w:p>
        </w:tc>
        <w:tc>
          <w:tcPr>
            <w:tcW w:w="240" w:type="pct"/>
            <w:vAlign w:val="center"/>
          </w:tcPr>
          <w:p w14:paraId="77A1253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与水剧烈反应</w:t>
            </w:r>
          </w:p>
        </w:tc>
        <w:tc>
          <w:tcPr>
            <w:tcW w:w="287" w:type="pct"/>
            <w:vAlign w:val="center"/>
          </w:tcPr>
          <w:p w14:paraId="7EF1CC3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发烟 (释放SO₃)</w:t>
            </w:r>
          </w:p>
        </w:tc>
        <w:tc>
          <w:tcPr>
            <w:tcW w:w="636" w:type="pct"/>
            <w:vAlign w:val="center"/>
          </w:tcPr>
          <w:p w14:paraId="4CA67FA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强氧化剂，强腐蚀性，遇水剧烈放热</w:t>
            </w:r>
          </w:p>
        </w:tc>
      </w:tr>
      <w:tr w14:paraId="315A75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90" w:hRule="atLeast"/>
          <w:jc w:val="center"/>
        </w:trPr>
        <w:tc>
          <w:tcPr>
            <w:tcW w:w="167" w:type="pct"/>
            <w:vAlign w:val="center"/>
          </w:tcPr>
          <w:p w14:paraId="76F96F2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w:t>
            </w:r>
          </w:p>
        </w:tc>
        <w:tc>
          <w:tcPr>
            <w:tcW w:w="385" w:type="pct"/>
            <w:vAlign w:val="center"/>
          </w:tcPr>
          <w:p w14:paraId="771FE99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裂解C9</w:t>
            </w:r>
          </w:p>
          <w:p w14:paraId="5211F917">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01" w:type="pct"/>
            <w:vAlign w:val="center"/>
          </w:tcPr>
          <w:p w14:paraId="6422EAE0">
            <w:pPr>
              <w:pStyle w:val="123"/>
              <w:wordWrap w:val="0"/>
              <w:adjustRightInd w:val="0"/>
              <w:snapToGrid w:val="0"/>
              <w:rPr>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w:t>
            </w:r>
          </w:p>
        </w:tc>
        <w:tc>
          <w:tcPr>
            <w:tcW w:w="349" w:type="pct"/>
            <w:vAlign w:val="center"/>
          </w:tcPr>
          <w:p w14:paraId="31E606B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564" w:type="pct"/>
            <w:vAlign w:val="center"/>
          </w:tcPr>
          <w:p w14:paraId="1E83E5ED">
            <w:pPr>
              <w:pStyle w:val="123"/>
              <w:wordWrap w:val="0"/>
              <w:adjustRightInd w:val="0"/>
              <w:snapToGrid w:val="0"/>
              <w:jc w:val="both"/>
              <w:rPr>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易燃液体，类别3；皮肤腐蚀/刺激，类别2（可能）</w:t>
            </w:r>
          </w:p>
        </w:tc>
        <w:tc>
          <w:tcPr>
            <w:tcW w:w="288" w:type="pct"/>
            <w:vAlign w:val="center"/>
          </w:tcPr>
          <w:p w14:paraId="069D319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0.86-0.89</w:t>
            </w:r>
          </w:p>
        </w:tc>
        <w:tc>
          <w:tcPr>
            <w:tcW w:w="241" w:type="pct"/>
            <w:vAlign w:val="center"/>
          </w:tcPr>
          <w:p w14:paraId="0275340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44-53</w:t>
            </w:r>
          </w:p>
        </w:tc>
        <w:tc>
          <w:tcPr>
            <w:tcW w:w="192" w:type="pct"/>
            <w:vAlign w:val="center"/>
          </w:tcPr>
          <w:p w14:paraId="3A9C653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164-176</w:t>
            </w:r>
          </w:p>
        </w:tc>
        <w:tc>
          <w:tcPr>
            <w:tcW w:w="240" w:type="pct"/>
            <w:vAlign w:val="center"/>
          </w:tcPr>
          <w:p w14:paraId="58C7BA8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-25至-44</w:t>
            </w:r>
          </w:p>
        </w:tc>
        <w:tc>
          <w:tcPr>
            <w:tcW w:w="240" w:type="pct"/>
            <w:vAlign w:val="center"/>
          </w:tcPr>
          <w:p w14:paraId="4BF6B09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470-550</w:t>
            </w:r>
          </w:p>
        </w:tc>
        <w:tc>
          <w:tcPr>
            <w:tcW w:w="240" w:type="pct"/>
            <w:vAlign w:val="center"/>
          </w:tcPr>
          <w:p w14:paraId="3240074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w:t>
            </w:r>
          </w:p>
        </w:tc>
        <w:tc>
          <w:tcPr>
            <w:tcW w:w="241" w:type="pct"/>
            <w:vAlign w:val="center"/>
          </w:tcPr>
          <w:p w14:paraId="2C00A41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192" w:type="pct"/>
            <w:vAlign w:val="center"/>
          </w:tcPr>
          <w:p w14:paraId="102E290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乙A</w:t>
            </w:r>
          </w:p>
        </w:tc>
        <w:tc>
          <w:tcPr>
            <w:tcW w:w="192" w:type="pct"/>
            <w:vAlign w:val="center"/>
          </w:tcPr>
          <w:p w14:paraId="3ACE49B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Ⅲ</w:t>
            </w:r>
          </w:p>
        </w:tc>
        <w:tc>
          <w:tcPr>
            <w:tcW w:w="240" w:type="pct"/>
            <w:vAlign w:val="center"/>
          </w:tcPr>
          <w:p w14:paraId="2E1675A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不溶于水</w:t>
            </w:r>
          </w:p>
        </w:tc>
        <w:tc>
          <w:tcPr>
            <w:tcW w:w="287" w:type="pct"/>
            <w:vAlign w:val="center"/>
          </w:tcPr>
          <w:p w14:paraId="5E39DCA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易挥发</w:t>
            </w:r>
          </w:p>
        </w:tc>
        <w:tc>
          <w:tcPr>
            <w:tcW w:w="636" w:type="pct"/>
            <w:vAlign w:val="center"/>
          </w:tcPr>
          <w:p w14:paraId="56EA253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易燃，有爆炸风</w:t>
            </w:r>
          </w:p>
        </w:tc>
      </w:tr>
      <w:tr w14:paraId="452B38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90" w:hRule="atLeast"/>
          <w:jc w:val="center"/>
        </w:trPr>
        <w:tc>
          <w:tcPr>
            <w:tcW w:w="167" w:type="pct"/>
            <w:vAlign w:val="center"/>
          </w:tcPr>
          <w:p w14:paraId="6CA4C845">
            <w:pPr>
              <w:adjustRightInd w:val="0"/>
              <w:snapToGrid w:val="0"/>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385" w:type="pct"/>
            <w:vAlign w:val="center"/>
          </w:tcPr>
          <w:p w14:paraId="63F45CE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液硫</w:t>
            </w:r>
          </w:p>
        </w:tc>
        <w:tc>
          <w:tcPr>
            <w:tcW w:w="301" w:type="pct"/>
            <w:vAlign w:val="center"/>
          </w:tcPr>
          <w:p w14:paraId="025C5AF2">
            <w:pPr>
              <w:pStyle w:val="123"/>
              <w:wordWrap w:val="0"/>
              <w:adjustRightInd w:val="0"/>
              <w:snapToGrid w:val="0"/>
              <w:ind w:firstLine="0" w:firstLineChars="0"/>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2448</w:t>
            </w:r>
          </w:p>
        </w:tc>
        <w:tc>
          <w:tcPr>
            <w:tcW w:w="349" w:type="pct"/>
            <w:vAlign w:val="center"/>
          </w:tcPr>
          <w:p w14:paraId="2BCD1AB6">
            <w:pPr>
              <w:adjustRightInd w:val="0"/>
              <w:snapToGrid w:val="0"/>
              <w:spacing w:line="240" w:lineRule="auto"/>
              <w:ind w:firstLine="0" w:firstLineChars="0"/>
              <w:jc w:val="center"/>
              <w:rPr>
                <w:rFonts w:hint="eastAsia"/>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7704-34-9</w:t>
            </w:r>
          </w:p>
        </w:tc>
        <w:tc>
          <w:tcPr>
            <w:tcW w:w="564" w:type="pct"/>
            <w:vAlign w:val="center"/>
          </w:tcPr>
          <w:p w14:paraId="06AF1E9E">
            <w:pPr>
              <w:pStyle w:val="123"/>
              <w:wordWrap w:val="0"/>
              <w:adjustRightInd w:val="0"/>
              <w:snapToGrid w:val="0"/>
              <w:ind w:firstLine="0" w:firstLineChars="0"/>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易燃固体，类别2；皮肤刺激，类别2（可能）</w:t>
            </w:r>
          </w:p>
        </w:tc>
        <w:tc>
          <w:tcPr>
            <w:tcW w:w="288" w:type="pct"/>
            <w:vAlign w:val="center"/>
          </w:tcPr>
          <w:p w14:paraId="3FE46F0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2.0~7</w:t>
            </w:r>
          </w:p>
        </w:tc>
        <w:tc>
          <w:tcPr>
            <w:tcW w:w="241" w:type="pct"/>
            <w:vAlign w:val="center"/>
          </w:tcPr>
          <w:p w14:paraId="44E98FA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92" w:type="pct"/>
            <w:vAlign w:val="center"/>
          </w:tcPr>
          <w:p w14:paraId="6114409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444.6</w:t>
            </w:r>
          </w:p>
        </w:tc>
        <w:tc>
          <w:tcPr>
            <w:tcW w:w="240" w:type="pct"/>
            <w:vAlign w:val="center"/>
          </w:tcPr>
          <w:p w14:paraId="6238D78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115.2</w:t>
            </w:r>
          </w:p>
        </w:tc>
        <w:tc>
          <w:tcPr>
            <w:tcW w:w="240" w:type="pct"/>
            <w:vAlign w:val="center"/>
          </w:tcPr>
          <w:p w14:paraId="75BFA00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232</w:t>
            </w:r>
          </w:p>
        </w:tc>
        <w:tc>
          <w:tcPr>
            <w:tcW w:w="240" w:type="pct"/>
            <w:vAlign w:val="center"/>
          </w:tcPr>
          <w:p w14:paraId="6B662F0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241" w:type="pct"/>
            <w:vAlign w:val="center"/>
          </w:tcPr>
          <w:p w14:paraId="5779DBB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92" w:type="pct"/>
            <w:vAlign w:val="center"/>
          </w:tcPr>
          <w:p w14:paraId="0223513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丙B</w:t>
            </w:r>
          </w:p>
        </w:tc>
        <w:tc>
          <w:tcPr>
            <w:tcW w:w="192" w:type="pct"/>
            <w:vAlign w:val="center"/>
          </w:tcPr>
          <w:p w14:paraId="19D124F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Ⅳ</w:t>
            </w:r>
            <w:r>
              <w:rPr>
                <w:color w:val="000000" w:themeColor="text1"/>
                <w:sz w:val="21"/>
                <w:szCs w:val="21"/>
                <w14:textFill>
                  <w14:solidFill>
                    <w14:schemeClr w14:val="tx1"/>
                  </w14:solidFill>
                </w14:textFill>
              </w:rPr>
              <w:t xml:space="preserve"> </w:t>
            </w:r>
          </w:p>
        </w:tc>
        <w:tc>
          <w:tcPr>
            <w:tcW w:w="240" w:type="pct"/>
            <w:vAlign w:val="center"/>
          </w:tcPr>
          <w:p w14:paraId="627136D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不溶于水</w:t>
            </w:r>
          </w:p>
        </w:tc>
        <w:tc>
          <w:tcPr>
            <w:tcW w:w="287" w:type="pct"/>
            <w:vAlign w:val="center"/>
          </w:tcPr>
          <w:p w14:paraId="33BEDB8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不挥发</w:t>
            </w:r>
          </w:p>
        </w:tc>
        <w:tc>
          <w:tcPr>
            <w:tcW w:w="636" w:type="pct"/>
            <w:vAlign w:val="center"/>
          </w:tcPr>
          <w:p w14:paraId="34D0DD8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可燃，燃烧产生二氧化硫</w:t>
            </w:r>
          </w:p>
        </w:tc>
      </w:tr>
    </w:tbl>
    <w:p w14:paraId="005263E7">
      <w:pPr>
        <w:ind w:firstLine="480"/>
        <w:rPr>
          <w:color w:val="000000" w:themeColor="text1"/>
          <w14:textFill>
            <w14:solidFill>
              <w14:schemeClr w14:val="tx1"/>
            </w14:solidFill>
          </w14:textFill>
        </w:rPr>
        <w:sectPr>
          <w:pgSz w:w="16838" w:h="11906" w:orient="landscape"/>
          <w:pgMar w:top="1797" w:right="1440" w:bottom="1797" w:left="1440" w:header="851" w:footer="680" w:gutter="0"/>
          <w:pgBorders>
            <w:top w:val="none" w:sz="0" w:space="0"/>
            <w:left w:val="none" w:sz="0" w:space="0"/>
            <w:bottom w:val="none" w:sz="0" w:space="0"/>
            <w:right w:val="none" w:sz="0" w:space="0"/>
          </w:pgBorders>
          <w:pgNumType w:fmt="numberInDash"/>
          <w:cols w:space="720" w:num="1"/>
          <w:docGrid w:type="lines" w:linePitch="312" w:charSpace="0"/>
        </w:sectPr>
      </w:pPr>
    </w:p>
    <w:p w14:paraId="18085BA3">
      <w:pPr>
        <w:pStyle w:val="7"/>
        <w:rPr>
          <w:color w:val="000000" w:themeColor="text1"/>
          <w14:textFill>
            <w14:solidFill>
              <w14:schemeClr w14:val="tx1"/>
            </w14:solidFill>
          </w14:textFill>
        </w:rPr>
      </w:pPr>
      <w:r>
        <w:rPr>
          <w:color w:val="000000" w:themeColor="text1"/>
          <w14:textFill>
            <w14:solidFill>
              <w14:schemeClr w14:val="tx1"/>
            </w14:solidFill>
          </w14:textFill>
        </w:rPr>
        <w:t xml:space="preserve"> 船舶燃料油（重油）安全技术说明书</w:t>
      </w:r>
    </w:p>
    <w:tbl>
      <w:tblPr>
        <w:tblStyle w:val="124"/>
        <w:tblW w:w="5053"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504"/>
        <w:gridCol w:w="2042"/>
        <w:gridCol w:w="580"/>
        <w:gridCol w:w="1641"/>
        <w:gridCol w:w="1842"/>
        <w:gridCol w:w="1815"/>
      </w:tblGrid>
      <w:tr w14:paraId="098FD7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19" w:hRule="atLeast"/>
          <w:jc w:val="center"/>
        </w:trPr>
        <w:tc>
          <w:tcPr>
            <w:tcW w:w="299" w:type="pct"/>
            <w:vMerge w:val="restart"/>
            <w:vAlign w:val="center"/>
          </w:tcPr>
          <w:p w14:paraId="59B6623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标识</w:t>
            </w:r>
          </w:p>
        </w:tc>
        <w:tc>
          <w:tcPr>
            <w:tcW w:w="1556" w:type="pct"/>
            <w:gridSpan w:val="2"/>
            <w:vAlign w:val="center"/>
          </w:tcPr>
          <w:p w14:paraId="51978D9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中文名：焦化重油</w:t>
            </w:r>
          </w:p>
        </w:tc>
        <w:tc>
          <w:tcPr>
            <w:tcW w:w="974" w:type="pct"/>
            <w:vAlign w:val="center"/>
          </w:tcPr>
          <w:p w14:paraId="0A3A9F2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英文名：Delayed coke Heavy oil</w:t>
            </w:r>
          </w:p>
        </w:tc>
        <w:tc>
          <w:tcPr>
            <w:tcW w:w="1093" w:type="pct"/>
            <w:vAlign w:val="center"/>
          </w:tcPr>
          <w:p w14:paraId="6F52FE2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分子式：/</w:t>
            </w:r>
          </w:p>
        </w:tc>
        <w:tc>
          <w:tcPr>
            <w:tcW w:w="1076" w:type="pct"/>
            <w:vAlign w:val="center"/>
          </w:tcPr>
          <w:p w14:paraId="009680D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分子量：/</w:t>
            </w:r>
          </w:p>
        </w:tc>
      </w:tr>
      <w:tr w14:paraId="607CED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06" w:hRule="atLeast"/>
          <w:jc w:val="center"/>
        </w:trPr>
        <w:tc>
          <w:tcPr>
            <w:tcW w:w="299" w:type="pct"/>
            <w:vMerge w:val="continue"/>
            <w:vAlign w:val="center"/>
          </w:tcPr>
          <w:p w14:paraId="7C579B31">
            <w:pPr>
              <w:spacing w:line="240" w:lineRule="auto"/>
              <w:ind w:firstLine="0" w:firstLineChars="0"/>
              <w:jc w:val="center"/>
              <w:rPr>
                <w:color w:val="000000" w:themeColor="text1"/>
                <w:kern w:val="0"/>
                <w:sz w:val="21"/>
                <w:szCs w:val="21"/>
                <w14:textFill>
                  <w14:solidFill>
                    <w14:schemeClr w14:val="tx1"/>
                  </w14:solidFill>
                </w14:textFill>
              </w:rPr>
            </w:pPr>
          </w:p>
        </w:tc>
        <w:tc>
          <w:tcPr>
            <w:tcW w:w="1556" w:type="pct"/>
            <w:gridSpan w:val="2"/>
            <w:vAlign w:val="center"/>
          </w:tcPr>
          <w:p w14:paraId="6956D94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UN编号：/</w:t>
            </w:r>
          </w:p>
        </w:tc>
        <w:tc>
          <w:tcPr>
            <w:tcW w:w="974" w:type="pct"/>
            <w:vAlign w:val="center"/>
          </w:tcPr>
          <w:p w14:paraId="51E1997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CAS号：/</w:t>
            </w:r>
          </w:p>
        </w:tc>
        <w:tc>
          <w:tcPr>
            <w:tcW w:w="2169" w:type="pct"/>
            <w:gridSpan w:val="2"/>
            <w:vAlign w:val="center"/>
          </w:tcPr>
          <w:p w14:paraId="230F09B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危险特性：第3类：易燃液体</w:t>
            </w:r>
          </w:p>
        </w:tc>
      </w:tr>
      <w:tr w14:paraId="79AD85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0" w:hRule="atLeast"/>
          <w:jc w:val="center"/>
        </w:trPr>
        <w:tc>
          <w:tcPr>
            <w:tcW w:w="299" w:type="pct"/>
            <w:vMerge w:val="continue"/>
            <w:vAlign w:val="center"/>
          </w:tcPr>
          <w:p w14:paraId="217AC5F3">
            <w:pPr>
              <w:spacing w:line="240" w:lineRule="auto"/>
              <w:ind w:firstLine="0" w:firstLineChars="0"/>
              <w:jc w:val="center"/>
              <w:rPr>
                <w:color w:val="000000" w:themeColor="text1"/>
                <w:kern w:val="0"/>
                <w:sz w:val="21"/>
                <w:szCs w:val="21"/>
                <w14:textFill>
                  <w14:solidFill>
                    <w14:schemeClr w14:val="tx1"/>
                  </w14:solidFill>
                </w14:textFill>
              </w:rPr>
            </w:pPr>
          </w:p>
        </w:tc>
        <w:tc>
          <w:tcPr>
            <w:tcW w:w="1556" w:type="pct"/>
            <w:gridSpan w:val="2"/>
            <w:vAlign w:val="center"/>
          </w:tcPr>
          <w:p w14:paraId="27DE587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危险化学品目录编号：/</w:t>
            </w:r>
          </w:p>
        </w:tc>
        <w:tc>
          <w:tcPr>
            <w:tcW w:w="3143" w:type="pct"/>
            <w:gridSpan w:val="3"/>
            <w:vAlign w:val="center"/>
          </w:tcPr>
          <w:p w14:paraId="0C2E4A2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危险性类别：易燃液体，类别3。</w:t>
            </w:r>
          </w:p>
        </w:tc>
      </w:tr>
      <w:tr w14:paraId="0A487F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68" w:hRule="atLeast"/>
          <w:jc w:val="center"/>
        </w:trPr>
        <w:tc>
          <w:tcPr>
            <w:tcW w:w="299" w:type="pct"/>
            <w:vMerge w:val="restart"/>
            <w:vAlign w:val="center"/>
          </w:tcPr>
          <w:p w14:paraId="2659939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理化</w:t>
            </w:r>
          </w:p>
          <w:p w14:paraId="3AE2427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性质</w:t>
            </w:r>
          </w:p>
        </w:tc>
        <w:tc>
          <w:tcPr>
            <w:tcW w:w="4700" w:type="pct"/>
            <w:gridSpan w:val="5"/>
            <w:vAlign w:val="center"/>
          </w:tcPr>
          <w:p w14:paraId="455DBAD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棕色油状液体。</w:t>
            </w:r>
          </w:p>
        </w:tc>
      </w:tr>
      <w:tr w14:paraId="30D7EB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90" w:hRule="atLeast"/>
          <w:jc w:val="center"/>
        </w:trPr>
        <w:tc>
          <w:tcPr>
            <w:tcW w:w="299" w:type="pct"/>
            <w:vMerge w:val="continue"/>
            <w:vAlign w:val="center"/>
          </w:tcPr>
          <w:p w14:paraId="6202DE6C">
            <w:pPr>
              <w:spacing w:line="240" w:lineRule="auto"/>
              <w:ind w:firstLine="0" w:firstLineChars="0"/>
              <w:jc w:val="center"/>
              <w:rPr>
                <w:color w:val="000000" w:themeColor="text1"/>
                <w:kern w:val="0"/>
                <w:sz w:val="21"/>
                <w:szCs w:val="21"/>
                <w14:textFill>
                  <w14:solidFill>
                    <w14:schemeClr w14:val="tx1"/>
                  </w14:solidFill>
                </w14:textFill>
              </w:rPr>
            </w:pPr>
          </w:p>
        </w:tc>
        <w:tc>
          <w:tcPr>
            <w:tcW w:w="1212" w:type="pct"/>
            <w:vAlign w:val="center"/>
          </w:tcPr>
          <w:p w14:paraId="4799EB3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熔点/℃：无资料</w:t>
            </w:r>
          </w:p>
        </w:tc>
        <w:tc>
          <w:tcPr>
            <w:tcW w:w="3488" w:type="pct"/>
            <w:gridSpan w:val="4"/>
            <w:vAlign w:val="center"/>
          </w:tcPr>
          <w:p w14:paraId="70BA632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溶解性：/</w:t>
            </w:r>
          </w:p>
        </w:tc>
      </w:tr>
      <w:tr w14:paraId="15F3BA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78" w:hRule="atLeast"/>
          <w:jc w:val="center"/>
        </w:trPr>
        <w:tc>
          <w:tcPr>
            <w:tcW w:w="299" w:type="pct"/>
            <w:vMerge w:val="continue"/>
            <w:vAlign w:val="center"/>
          </w:tcPr>
          <w:p w14:paraId="24F03997">
            <w:pPr>
              <w:spacing w:line="240" w:lineRule="auto"/>
              <w:ind w:firstLine="0" w:firstLineChars="0"/>
              <w:jc w:val="center"/>
              <w:rPr>
                <w:color w:val="000000" w:themeColor="text1"/>
                <w:kern w:val="0"/>
                <w:sz w:val="21"/>
                <w:szCs w:val="21"/>
                <w14:textFill>
                  <w14:solidFill>
                    <w14:schemeClr w14:val="tx1"/>
                  </w14:solidFill>
                </w14:textFill>
              </w:rPr>
            </w:pPr>
          </w:p>
        </w:tc>
        <w:tc>
          <w:tcPr>
            <w:tcW w:w="2530" w:type="pct"/>
            <w:gridSpan w:val="3"/>
            <w:vAlign w:val="center"/>
          </w:tcPr>
          <w:p w14:paraId="77DDB54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沸点/℃：无资料</w:t>
            </w:r>
          </w:p>
        </w:tc>
        <w:tc>
          <w:tcPr>
            <w:tcW w:w="2169" w:type="pct"/>
            <w:gridSpan w:val="2"/>
            <w:vAlign w:val="center"/>
          </w:tcPr>
          <w:p w14:paraId="3CAD7F9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相对密度（水=1）：0.96</w:t>
            </w:r>
          </w:p>
        </w:tc>
      </w:tr>
      <w:tr w14:paraId="2F5475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98" w:hRule="atLeast"/>
          <w:jc w:val="center"/>
        </w:trPr>
        <w:tc>
          <w:tcPr>
            <w:tcW w:w="299" w:type="pct"/>
            <w:vMerge w:val="continue"/>
            <w:vAlign w:val="center"/>
          </w:tcPr>
          <w:p w14:paraId="4F874995">
            <w:pPr>
              <w:spacing w:line="240" w:lineRule="auto"/>
              <w:ind w:firstLine="0" w:firstLineChars="0"/>
              <w:jc w:val="center"/>
              <w:rPr>
                <w:color w:val="000000" w:themeColor="text1"/>
                <w:kern w:val="0"/>
                <w:sz w:val="21"/>
                <w:szCs w:val="21"/>
                <w14:textFill>
                  <w14:solidFill>
                    <w14:schemeClr w14:val="tx1"/>
                  </w14:solidFill>
                </w14:textFill>
              </w:rPr>
            </w:pPr>
          </w:p>
        </w:tc>
        <w:tc>
          <w:tcPr>
            <w:tcW w:w="2530" w:type="pct"/>
            <w:gridSpan w:val="3"/>
            <w:vAlign w:val="center"/>
          </w:tcPr>
          <w:p w14:paraId="6077776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饱和蒸气压/kPa：无资料</w:t>
            </w:r>
          </w:p>
        </w:tc>
        <w:tc>
          <w:tcPr>
            <w:tcW w:w="2169" w:type="pct"/>
            <w:gridSpan w:val="2"/>
            <w:vAlign w:val="center"/>
          </w:tcPr>
          <w:p w14:paraId="11F115B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相对蒸汽密度</w:t>
            </w: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空气=1</w:t>
            </w: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：无资料</w:t>
            </w:r>
          </w:p>
        </w:tc>
      </w:tr>
      <w:tr w14:paraId="66E686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90" w:hRule="atLeast"/>
          <w:jc w:val="center"/>
        </w:trPr>
        <w:tc>
          <w:tcPr>
            <w:tcW w:w="299" w:type="pct"/>
            <w:vMerge w:val="continue"/>
            <w:vAlign w:val="center"/>
          </w:tcPr>
          <w:p w14:paraId="2CA86B7B">
            <w:pPr>
              <w:spacing w:line="240" w:lineRule="auto"/>
              <w:ind w:firstLine="0" w:firstLineChars="0"/>
              <w:jc w:val="center"/>
              <w:rPr>
                <w:color w:val="000000" w:themeColor="text1"/>
                <w:kern w:val="0"/>
                <w:sz w:val="21"/>
                <w:szCs w:val="21"/>
                <w14:textFill>
                  <w14:solidFill>
                    <w14:schemeClr w14:val="tx1"/>
                  </w14:solidFill>
                </w14:textFill>
              </w:rPr>
            </w:pPr>
          </w:p>
        </w:tc>
        <w:tc>
          <w:tcPr>
            <w:tcW w:w="2530" w:type="pct"/>
            <w:gridSpan w:val="3"/>
            <w:vAlign w:val="center"/>
          </w:tcPr>
          <w:p w14:paraId="31E1E0B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临界温度/℃无资料</w:t>
            </w:r>
          </w:p>
        </w:tc>
        <w:tc>
          <w:tcPr>
            <w:tcW w:w="2169" w:type="pct"/>
            <w:gridSpan w:val="2"/>
            <w:vAlign w:val="center"/>
          </w:tcPr>
          <w:p w14:paraId="7E5D703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燃烧热（kJ·mol）：无资料</w:t>
            </w:r>
          </w:p>
        </w:tc>
      </w:tr>
      <w:tr w14:paraId="1A8647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90" w:hRule="atLeast"/>
          <w:jc w:val="center"/>
        </w:trPr>
        <w:tc>
          <w:tcPr>
            <w:tcW w:w="299" w:type="pct"/>
            <w:vMerge w:val="continue"/>
            <w:vAlign w:val="center"/>
          </w:tcPr>
          <w:p w14:paraId="714C86D1">
            <w:pPr>
              <w:spacing w:line="240" w:lineRule="auto"/>
              <w:ind w:firstLine="0" w:firstLineChars="0"/>
              <w:jc w:val="center"/>
              <w:rPr>
                <w:color w:val="000000" w:themeColor="text1"/>
                <w:kern w:val="0"/>
                <w:sz w:val="21"/>
                <w:szCs w:val="21"/>
                <w14:textFill>
                  <w14:solidFill>
                    <w14:schemeClr w14:val="tx1"/>
                  </w14:solidFill>
                </w14:textFill>
              </w:rPr>
            </w:pPr>
          </w:p>
        </w:tc>
        <w:tc>
          <w:tcPr>
            <w:tcW w:w="2530" w:type="pct"/>
            <w:gridSpan w:val="3"/>
            <w:vAlign w:val="center"/>
          </w:tcPr>
          <w:p w14:paraId="2F4D341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临界压力/MPa无资料</w:t>
            </w:r>
          </w:p>
        </w:tc>
        <w:tc>
          <w:tcPr>
            <w:tcW w:w="2169" w:type="pct"/>
            <w:gridSpan w:val="2"/>
            <w:vAlign w:val="center"/>
          </w:tcPr>
          <w:p w14:paraId="36E5B2F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自燃点/℃：无资料</w:t>
            </w:r>
          </w:p>
        </w:tc>
      </w:tr>
      <w:tr w14:paraId="7AE8E6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90" w:hRule="atLeast"/>
          <w:jc w:val="center"/>
        </w:trPr>
        <w:tc>
          <w:tcPr>
            <w:tcW w:w="299" w:type="pct"/>
            <w:vMerge w:val="restart"/>
            <w:vAlign w:val="center"/>
          </w:tcPr>
          <w:p w14:paraId="42B106C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燃烧爆炸危险性</w:t>
            </w:r>
          </w:p>
        </w:tc>
        <w:tc>
          <w:tcPr>
            <w:tcW w:w="2530" w:type="pct"/>
            <w:gridSpan w:val="3"/>
            <w:vAlign w:val="center"/>
          </w:tcPr>
          <w:p w14:paraId="7EBF2E7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燃烧性：易燃</w:t>
            </w:r>
          </w:p>
        </w:tc>
        <w:tc>
          <w:tcPr>
            <w:tcW w:w="2169" w:type="pct"/>
            <w:gridSpan w:val="2"/>
            <w:vAlign w:val="center"/>
          </w:tcPr>
          <w:p w14:paraId="380C416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燃烧分解产物：一氧化碳、二氧化碳。</w:t>
            </w:r>
          </w:p>
        </w:tc>
      </w:tr>
      <w:tr w14:paraId="5F5762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90" w:hRule="atLeast"/>
          <w:jc w:val="center"/>
        </w:trPr>
        <w:tc>
          <w:tcPr>
            <w:tcW w:w="299" w:type="pct"/>
            <w:vMerge w:val="continue"/>
            <w:vAlign w:val="center"/>
          </w:tcPr>
          <w:p w14:paraId="2B08CEFE">
            <w:pPr>
              <w:spacing w:line="240" w:lineRule="auto"/>
              <w:ind w:firstLine="0" w:firstLineChars="0"/>
              <w:jc w:val="center"/>
              <w:rPr>
                <w:color w:val="000000" w:themeColor="text1"/>
                <w:kern w:val="0"/>
                <w:sz w:val="21"/>
                <w:szCs w:val="21"/>
                <w14:textFill>
                  <w14:solidFill>
                    <w14:schemeClr w14:val="tx1"/>
                  </w14:solidFill>
                </w14:textFill>
              </w:rPr>
            </w:pPr>
          </w:p>
        </w:tc>
        <w:tc>
          <w:tcPr>
            <w:tcW w:w="2530" w:type="pct"/>
            <w:gridSpan w:val="3"/>
            <w:vAlign w:val="center"/>
          </w:tcPr>
          <w:p w14:paraId="25BCFE6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闪点/℃：152</w:t>
            </w:r>
          </w:p>
        </w:tc>
        <w:tc>
          <w:tcPr>
            <w:tcW w:w="2169" w:type="pct"/>
            <w:gridSpan w:val="2"/>
            <w:vAlign w:val="center"/>
          </w:tcPr>
          <w:p w14:paraId="2B92270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聚合危害：不聚合</w:t>
            </w:r>
          </w:p>
        </w:tc>
      </w:tr>
      <w:tr w14:paraId="2DCB83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90" w:hRule="atLeast"/>
          <w:jc w:val="center"/>
        </w:trPr>
        <w:tc>
          <w:tcPr>
            <w:tcW w:w="299" w:type="pct"/>
            <w:vMerge w:val="continue"/>
            <w:vAlign w:val="center"/>
          </w:tcPr>
          <w:p w14:paraId="4D636E4B">
            <w:pPr>
              <w:spacing w:line="240" w:lineRule="auto"/>
              <w:ind w:firstLine="0" w:firstLineChars="0"/>
              <w:jc w:val="center"/>
              <w:rPr>
                <w:color w:val="000000" w:themeColor="text1"/>
                <w:kern w:val="0"/>
                <w:sz w:val="21"/>
                <w:szCs w:val="21"/>
                <w14:textFill>
                  <w14:solidFill>
                    <w14:schemeClr w14:val="tx1"/>
                  </w14:solidFill>
                </w14:textFill>
              </w:rPr>
            </w:pPr>
          </w:p>
        </w:tc>
        <w:tc>
          <w:tcPr>
            <w:tcW w:w="2530" w:type="pct"/>
            <w:gridSpan w:val="3"/>
            <w:vAlign w:val="center"/>
          </w:tcPr>
          <w:p w14:paraId="758C1B9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爆炸极限（体积分数）/%：无资料</w:t>
            </w:r>
          </w:p>
        </w:tc>
        <w:tc>
          <w:tcPr>
            <w:tcW w:w="2169" w:type="pct"/>
            <w:gridSpan w:val="2"/>
            <w:vAlign w:val="center"/>
          </w:tcPr>
          <w:p w14:paraId="6D1CEAE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稳定性：稳定</w:t>
            </w:r>
          </w:p>
        </w:tc>
      </w:tr>
      <w:tr w14:paraId="7AC782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90" w:hRule="atLeast"/>
          <w:jc w:val="center"/>
        </w:trPr>
        <w:tc>
          <w:tcPr>
            <w:tcW w:w="299" w:type="pct"/>
            <w:vMerge w:val="continue"/>
            <w:vAlign w:val="center"/>
          </w:tcPr>
          <w:p w14:paraId="20B98A4A">
            <w:pPr>
              <w:spacing w:line="240" w:lineRule="auto"/>
              <w:ind w:firstLine="0" w:firstLineChars="0"/>
              <w:jc w:val="center"/>
              <w:rPr>
                <w:color w:val="000000" w:themeColor="text1"/>
                <w:kern w:val="0"/>
                <w:sz w:val="21"/>
                <w:szCs w:val="21"/>
                <w14:textFill>
                  <w14:solidFill>
                    <w14:schemeClr w14:val="tx1"/>
                  </w14:solidFill>
                </w14:textFill>
              </w:rPr>
            </w:pPr>
          </w:p>
        </w:tc>
        <w:tc>
          <w:tcPr>
            <w:tcW w:w="2530" w:type="pct"/>
            <w:gridSpan w:val="3"/>
            <w:vAlign w:val="center"/>
          </w:tcPr>
          <w:p w14:paraId="02D6C88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引燃温度/℃：无资料</w:t>
            </w:r>
          </w:p>
        </w:tc>
        <w:tc>
          <w:tcPr>
            <w:tcW w:w="2169" w:type="pct"/>
            <w:gridSpan w:val="2"/>
            <w:vAlign w:val="center"/>
          </w:tcPr>
          <w:p w14:paraId="008A2AD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禁忌物：强氧化剂</w:t>
            </w:r>
          </w:p>
        </w:tc>
      </w:tr>
      <w:tr w14:paraId="59A477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03" w:hRule="atLeast"/>
          <w:jc w:val="center"/>
        </w:trPr>
        <w:tc>
          <w:tcPr>
            <w:tcW w:w="299" w:type="pct"/>
            <w:vMerge w:val="continue"/>
            <w:vAlign w:val="center"/>
          </w:tcPr>
          <w:p w14:paraId="4DB01C21">
            <w:pPr>
              <w:spacing w:line="240" w:lineRule="auto"/>
              <w:ind w:firstLine="0" w:firstLineChars="0"/>
              <w:jc w:val="center"/>
              <w:rPr>
                <w:color w:val="000000" w:themeColor="text1"/>
                <w:kern w:val="0"/>
                <w:sz w:val="21"/>
                <w:szCs w:val="21"/>
                <w14:textFill>
                  <w14:solidFill>
                    <w14:schemeClr w14:val="tx1"/>
                  </w14:solidFill>
                </w14:textFill>
              </w:rPr>
            </w:pPr>
          </w:p>
        </w:tc>
        <w:tc>
          <w:tcPr>
            <w:tcW w:w="4700" w:type="pct"/>
            <w:gridSpan w:val="5"/>
            <w:vAlign w:val="center"/>
          </w:tcPr>
          <w:p w14:paraId="6574AE4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危险特性：遇明火、高热可燃。与强氧化剂接触产生化学反应。</w:t>
            </w:r>
          </w:p>
        </w:tc>
      </w:tr>
      <w:tr w14:paraId="027F0E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732" w:hRule="atLeast"/>
          <w:jc w:val="center"/>
        </w:trPr>
        <w:tc>
          <w:tcPr>
            <w:tcW w:w="299" w:type="pct"/>
            <w:vMerge w:val="continue"/>
            <w:vAlign w:val="center"/>
          </w:tcPr>
          <w:p w14:paraId="265060C5">
            <w:pPr>
              <w:spacing w:line="240" w:lineRule="auto"/>
              <w:ind w:firstLine="0" w:firstLineChars="0"/>
              <w:jc w:val="center"/>
              <w:rPr>
                <w:color w:val="000000" w:themeColor="text1"/>
                <w:kern w:val="0"/>
                <w:sz w:val="21"/>
                <w:szCs w:val="21"/>
                <w14:textFill>
                  <w14:solidFill>
                    <w14:schemeClr w14:val="tx1"/>
                  </w14:solidFill>
                </w14:textFill>
              </w:rPr>
            </w:pPr>
          </w:p>
        </w:tc>
        <w:tc>
          <w:tcPr>
            <w:tcW w:w="4700" w:type="pct"/>
            <w:gridSpan w:val="5"/>
            <w:vAlign w:val="center"/>
          </w:tcPr>
          <w:p w14:paraId="13918B57">
            <w:pPr>
              <w:spacing w:line="240" w:lineRule="auto"/>
              <w:ind w:firstLine="0" w:firstLineChars="0"/>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灭火注意事项及措施：消防人员必须穿戴全身防火防毒服。灭火剂：干粉、二氧化碳、砂土。</w:t>
            </w:r>
          </w:p>
          <w:p w14:paraId="6CF95D87">
            <w:pPr>
              <w:spacing w:line="240" w:lineRule="auto"/>
              <w:ind w:firstLine="0" w:firstLineChars="0"/>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用直流水可引起沸溅。</w:t>
            </w:r>
          </w:p>
        </w:tc>
      </w:tr>
      <w:tr w14:paraId="2FA16A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1321" w:hRule="atLeast"/>
          <w:jc w:val="center"/>
        </w:trPr>
        <w:tc>
          <w:tcPr>
            <w:tcW w:w="299" w:type="pct"/>
            <w:vAlign w:val="center"/>
          </w:tcPr>
          <w:p w14:paraId="4904165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毒性</w:t>
            </w:r>
          </w:p>
        </w:tc>
        <w:tc>
          <w:tcPr>
            <w:tcW w:w="4700" w:type="pct"/>
            <w:gridSpan w:val="5"/>
            <w:vAlign w:val="center"/>
          </w:tcPr>
          <w:p w14:paraId="3FF06929">
            <w:pPr>
              <w:spacing w:line="240" w:lineRule="auto"/>
              <w:ind w:firstLine="0" w:firstLineChars="0"/>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侵入途径：吸入、食入、经皮吸收</w:t>
            </w:r>
          </w:p>
          <w:p w14:paraId="0BA63527">
            <w:pPr>
              <w:spacing w:line="240" w:lineRule="auto"/>
              <w:ind w:firstLine="0" w:firstLineChars="0"/>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急性毒性：蒽（120-12-7）小鼠经口LD：＞17gm/kg；静脉LD50：430mg/kg</w:t>
            </w:r>
          </w:p>
          <w:p w14:paraId="0AF6FC22">
            <w:pPr>
              <w:spacing w:line="240" w:lineRule="auto"/>
              <w:ind w:firstLine="0" w:firstLineChars="0"/>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苊（83-32-9）大鼠非肠道LD50：600mg/kg</w:t>
            </w:r>
          </w:p>
          <w:p w14:paraId="41CB557D">
            <w:pPr>
              <w:spacing w:line="240" w:lineRule="auto"/>
              <w:ind w:firstLine="0" w:firstLineChars="0"/>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芴（86-73-7）小鼠腹腔LD50：＞2mg/kg</w:t>
            </w:r>
          </w:p>
        </w:tc>
      </w:tr>
      <w:tr w14:paraId="62C8EE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738" w:hRule="atLeast"/>
          <w:jc w:val="center"/>
        </w:trPr>
        <w:tc>
          <w:tcPr>
            <w:tcW w:w="299" w:type="pct"/>
            <w:vAlign w:val="center"/>
          </w:tcPr>
          <w:p w14:paraId="021F682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健康</w:t>
            </w:r>
          </w:p>
          <w:p w14:paraId="0A1D457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危害</w:t>
            </w:r>
          </w:p>
        </w:tc>
        <w:tc>
          <w:tcPr>
            <w:tcW w:w="4700" w:type="pct"/>
            <w:gridSpan w:val="5"/>
            <w:vAlign w:val="center"/>
          </w:tcPr>
          <w:p w14:paraId="775516D5">
            <w:pPr>
              <w:spacing w:line="240" w:lineRule="auto"/>
              <w:ind w:firstLine="0" w:firstLineChars="0"/>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纯品基本无毒。工业品因含有菲、咔挫等杂质，毒性明显增大。由于本品蒸汽压很低，故经吸入中毒可能性很小。对皮肤、粘膜有刺激性；易引起光感性皮炎。</w:t>
            </w:r>
          </w:p>
        </w:tc>
      </w:tr>
      <w:tr w14:paraId="4B09CB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1208" w:hRule="atLeast"/>
          <w:jc w:val="center"/>
        </w:trPr>
        <w:tc>
          <w:tcPr>
            <w:tcW w:w="299" w:type="pct"/>
            <w:vMerge w:val="restart"/>
            <w:vAlign w:val="center"/>
          </w:tcPr>
          <w:p w14:paraId="2EBF038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急救</w:t>
            </w:r>
          </w:p>
        </w:tc>
        <w:tc>
          <w:tcPr>
            <w:tcW w:w="4700" w:type="pct"/>
            <w:gridSpan w:val="5"/>
            <w:vAlign w:val="center"/>
          </w:tcPr>
          <w:p w14:paraId="1EF99BA8">
            <w:pPr>
              <w:spacing w:line="240" w:lineRule="auto"/>
              <w:ind w:firstLine="0" w:firstLineChars="0"/>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皮肤接触：立即脱去污染的衣着，用肥皂水和清水彻底冲洗皮肤。就医。吸入：迅速脱离现场至空气新鲜处。保持呼吸道通畅。如呼吸困难，给输氧。如呼吸停止，立即进行人工呼吸。就医。眼睛接触：提起眼睑，用流动清水或生理盐水冲洗。就医。食入：</w:t>
            </w:r>
            <w:r>
              <w:rPr>
                <w:rFonts w:hint="eastAsia"/>
                <w:color w:val="000000" w:themeColor="text1"/>
                <w:kern w:val="0"/>
                <w:sz w:val="21"/>
                <w:szCs w:val="21"/>
                <w14:textFill>
                  <w14:solidFill>
                    <w14:schemeClr w14:val="tx1"/>
                  </w14:solidFill>
                </w14:textFill>
              </w:rPr>
              <w:t>饮用</w:t>
            </w:r>
            <w:r>
              <w:rPr>
                <w:color w:val="000000" w:themeColor="text1"/>
                <w:kern w:val="0"/>
                <w:sz w:val="21"/>
                <w:szCs w:val="21"/>
                <w14:textFill>
                  <w14:solidFill>
                    <w14:schemeClr w14:val="tx1"/>
                  </w14:solidFill>
                </w14:textFill>
              </w:rPr>
              <w:t>足量温水，催吐。就医。</w:t>
            </w:r>
          </w:p>
        </w:tc>
      </w:tr>
      <w:tr w14:paraId="1713DF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1208" w:hRule="atLeast"/>
          <w:jc w:val="center"/>
        </w:trPr>
        <w:tc>
          <w:tcPr>
            <w:tcW w:w="299" w:type="pct"/>
            <w:vAlign w:val="center"/>
          </w:tcPr>
          <w:p w14:paraId="1A87D3A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防护</w:t>
            </w:r>
          </w:p>
        </w:tc>
        <w:tc>
          <w:tcPr>
            <w:tcW w:w="4700" w:type="pct"/>
            <w:gridSpan w:val="5"/>
            <w:vAlign w:val="center"/>
          </w:tcPr>
          <w:p w14:paraId="0010EE40">
            <w:pPr>
              <w:spacing w:line="240" w:lineRule="auto"/>
              <w:ind w:firstLine="0" w:firstLineChars="0"/>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工程控制：密闭操作，注意通风。呼吸系统防护：一般情况下无特殊要求，必要时建议佩戴自给式呼吸器。眼睛防护：一般不需要特殊防护，但建议特殊情况下，戴化学安全防护眼镜。身体防护：穿一般作业防护服，尽可能减少直接接触。手防护：戴橡胶耐油手套。其他防护：工作现场严禁吸烟。</w:t>
            </w:r>
          </w:p>
        </w:tc>
      </w:tr>
      <w:tr w14:paraId="2EB5AE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713" w:hRule="atLeast"/>
          <w:jc w:val="center"/>
        </w:trPr>
        <w:tc>
          <w:tcPr>
            <w:tcW w:w="299" w:type="pct"/>
            <w:vMerge w:val="restart"/>
            <w:vAlign w:val="center"/>
          </w:tcPr>
          <w:p w14:paraId="38ABBCD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泄漏</w:t>
            </w:r>
          </w:p>
          <w:p w14:paraId="3423F03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处理</w:t>
            </w:r>
          </w:p>
        </w:tc>
        <w:tc>
          <w:tcPr>
            <w:tcW w:w="4700" w:type="pct"/>
            <w:gridSpan w:val="5"/>
            <w:vAlign w:val="center"/>
          </w:tcPr>
          <w:p w14:paraId="568E086E">
            <w:pPr>
              <w:spacing w:line="240" w:lineRule="auto"/>
              <w:ind w:firstLine="0" w:firstLineChars="0"/>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隔离泄漏污染区，限制出入。切断火源，穿一般作业工作服。不要直接接触泄漏物。少量泄漏：用干砂土吸收，小心扫起，置于容器转移至安全场所。大量泄漏：围堤收容。</w:t>
            </w:r>
          </w:p>
        </w:tc>
      </w:tr>
      <w:tr w14:paraId="7BA91F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684" w:hRule="atLeast"/>
          <w:jc w:val="center"/>
        </w:trPr>
        <w:tc>
          <w:tcPr>
            <w:tcW w:w="299" w:type="pct"/>
            <w:vAlign w:val="center"/>
          </w:tcPr>
          <w:p w14:paraId="7469902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储运</w:t>
            </w:r>
          </w:p>
        </w:tc>
        <w:tc>
          <w:tcPr>
            <w:tcW w:w="4700" w:type="pct"/>
            <w:gridSpan w:val="5"/>
            <w:vAlign w:val="center"/>
          </w:tcPr>
          <w:p w14:paraId="798D57BF">
            <w:pPr>
              <w:spacing w:line="240" w:lineRule="auto"/>
              <w:ind w:firstLine="0" w:firstLineChars="0"/>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储存于阴凉、通风的库房。远离火种、热源。保持容器密封。应</w:t>
            </w:r>
            <w:r>
              <w:rPr>
                <w:rFonts w:hint="eastAsia"/>
                <w:color w:val="000000" w:themeColor="text1"/>
                <w:kern w:val="0"/>
                <w:sz w:val="21"/>
                <w:szCs w:val="21"/>
                <w14:textFill>
                  <w14:solidFill>
                    <w14:schemeClr w14:val="tx1"/>
                  </w14:solidFill>
                </w14:textFill>
              </w:rPr>
              <w:t>与</w:t>
            </w:r>
            <w:r>
              <w:rPr>
                <w:color w:val="000000" w:themeColor="text1"/>
                <w:kern w:val="0"/>
                <w:sz w:val="21"/>
                <w:szCs w:val="21"/>
                <w14:textFill>
                  <w14:solidFill>
                    <w14:schemeClr w14:val="tx1"/>
                  </w14:solidFill>
                </w14:textFill>
              </w:rPr>
              <w:t>氧化剂分开存放。分装和搬运作业要注意个人防护。搬运时要轻装轻卸，防止包装及容器损坏。</w:t>
            </w:r>
          </w:p>
          <w:p w14:paraId="19BAE2FC">
            <w:pPr>
              <w:pStyle w:val="13"/>
              <w:rPr>
                <w:color w:val="000000" w:themeColor="text1"/>
                <w14:textFill>
                  <w14:solidFill>
                    <w14:schemeClr w14:val="tx1"/>
                  </w14:solidFill>
                </w14:textFill>
              </w:rPr>
            </w:pPr>
          </w:p>
          <w:p w14:paraId="693B01A1">
            <w:pPr>
              <w:ind w:firstLine="480"/>
              <w:rPr>
                <w:color w:val="000000" w:themeColor="text1"/>
                <w14:textFill>
                  <w14:solidFill>
                    <w14:schemeClr w14:val="tx1"/>
                  </w14:solidFill>
                </w14:textFill>
              </w:rPr>
            </w:pPr>
          </w:p>
        </w:tc>
      </w:tr>
    </w:tbl>
    <w:p w14:paraId="6E8DF99C">
      <w:pPr>
        <w:pStyle w:val="7"/>
        <w:rPr>
          <w:color w:val="000000" w:themeColor="text1"/>
          <w:u w:val="single"/>
          <w14:textFill>
            <w14:solidFill>
              <w14:schemeClr w14:val="tx1"/>
            </w14:solidFill>
          </w14:textFill>
        </w:rPr>
      </w:pPr>
      <w:r>
        <w:rPr>
          <w:color w:val="000000" w:themeColor="text1"/>
          <w:u w:val="single"/>
          <w14:textFill>
            <w14:solidFill>
              <w14:schemeClr w14:val="tx1"/>
            </w14:solidFill>
          </w14:textFill>
        </w:rPr>
        <w:t>危险物质数量和分布情况表</w:t>
      </w:r>
    </w:p>
    <w:tbl>
      <w:tblPr>
        <w:tblStyle w:val="43"/>
        <w:tblW w:w="52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6" w:type="dxa"/>
          <w:bottom w:w="0" w:type="dxa"/>
          <w:right w:w="6" w:type="dxa"/>
        </w:tblCellMar>
      </w:tblPr>
      <w:tblGrid>
        <w:gridCol w:w="609"/>
        <w:gridCol w:w="2687"/>
        <w:gridCol w:w="1278"/>
        <w:gridCol w:w="1365"/>
        <w:gridCol w:w="1365"/>
        <w:gridCol w:w="1365"/>
      </w:tblGrid>
      <w:tr w14:paraId="680CD2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351" w:type="pct"/>
            <w:noWrap/>
            <w:vAlign w:val="center"/>
          </w:tcPr>
          <w:p w14:paraId="4218E833">
            <w:pPr>
              <w:widowControl/>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序号</w:t>
            </w:r>
          </w:p>
        </w:tc>
        <w:tc>
          <w:tcPr>
            <w:tcW w:w="1550" w:type="pct"/>
            <w:noWrap/>
            <w:vAlign w:val="center"/>
          </w:tcPr>
          <w:p w14:paraId="23313B44">
            <w:pPr>
              <w:widowControl/>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危险物质名称</w:t>
            </w:r>
          </w:p>
        </w:tc>
        <w:tc>
          <w:tcPr>
            <w:tcW w:w="737" w:type="pct"/>
            <w:noWrap/>
            <w:vAlign w:val="center"/>
          </w:tcPr>
          <w:p w14:paraId="278E59EB">
            <w:pPr>
              <w:widowControl/>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CAS号</w:t>
            </w:r>
          </w:p>
        </w:tc>
        <w:tc>
          <w:tcPr>
            <w:tcW w:w="787" w:type="pct"/>
            <w:vAlign w:val="center"/>
          </w:tcPr>
          <w:p w14:paraId="458DBA70">
            <w:pPr>
              <w:widowControl/>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最大存在总量q</w:t>
            </w:r>
            <w:r>
              <w:rPr>
                <w:b/>
                <w:color w:val="000000" w:themeColor="text1"/>
                <w:kern w:val="0"/>
                <w:sz w:val="21"/>
                <w:szCs w:val="21"/>
                <w:vertAlign w:val="subscript"/>
                <w14:textFill>
                  <w14:solidFill>
                    <w14:schemeClr w14:val="tx1"/>
                  </w14:solidFill>
                </w14:textFill>
              </w:rPr>
              <w:t>n</w:t>
            </w:r>
            <w:r>
              <w:rPr>
                <w:b/>
                <w:color w:val="000000" w:themeColor="text1"/>
                <w:kern w:val="0"/>
                <w:sz w:val="21"/>
                <w:szCs w:val="21"/>
                <w14:textFill>
                  <w14:solidFill>
                    <w14:schemeClr w14:val="tx1"/>
                  </w14:solidFill>
                </w14:textFill>
              </w:rPr>
              <w:t>/t</w:t>
            </w:r>
          </w:p>
        </w:tc>
        <w:tc>
          <w:tcPr>
            <w:tcW w:w="787" w:type="pct"/>
            <w:vAlign w:val="center"/>
          </w:tcPr>
          <w:p w14:paraId="5889854C">
            <w:pPr>
              <w:widowControl/>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临界量Q</w:t>
            </w:r>
            <w:r>
              <w:rPr>
                <w:b/>
                <w:color w:val="000000" w:themeColor="text1"/>
                <w:kern w:val="0"/>
                <w:sz w:val="21"/>
                <w:szCs w:val="21"/>
                <w:vertAlign w:val="subscript"/>
                <w14:textFill>
                  <w14:solidFill>
                    <w14:schemeClr w14:val="tx1"/>
                  </w14:solidFill>
                </w14:textFill>
              </w:rPr>
              <w:t>n</w:t>
            </w:r>
            <w:r>
              <w:rPr>
                <w:b/>
                <w:color w:val="000000" w:themeColor="text1"/>
                <w:kern w:val="0"/>
                <w:sz w:val="21"/>
                <w:szCs w:val="21"/>
                <w14:textFill>
                  <w14:solidFill>
                    <w14:schemeClr w14:val="tx1"/>
                  </w14:solidFill>
                </w14:textFill>
              </w:rPr>
              <w:t>/t</w:t>
            </w:r>
          </w:p>
        </w:tc>
        <w:tc>
          <w:tcPr>
            <w:tcW w:w="787" w:type="pct"/>
            <w:vAlign w:val="center"/>
          </w:tcPr>
          <w:p w14:paraId="6F6E5F72">
            <w:pPr>
              <w:widowControl/>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该种危险物质Q值</w:t>
            </w:r>
          </w:p>
        </w:tc>
      </w:tr>
      <w:tr w14:paraId="1653BC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609" w:type="dxa"/>
            <w:noWrap/>
            <w:vAlign w:val="center"/>
          </w:tcPr>
          <w:p w14:paraId="5249F6AF">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c>
          <w:tcPr>
            <w:tcW w:w="2687" w:type="dxa"/>
            <w:noWrap/>
            <w:vAlign w:val="center"/>
          </w:tcPr>
          <w:p w14:paraId="5917C7CE">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苯乙烯</w:t>
            </w:r>
          </w:p>
        </w:tc>
        <w:tc>
          <w:tcPr>
            <w:tcW w:w="1278" w:type="dxa"/>
            <w:noWrap/>
            <w:vAlign w:val="center"/>
          </w:tcPr>
          <w:p w14:paraId="308E5E36">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100-42-5</w:t>
            </w:r>
          </w:p>
        </w:tc>
        <w:tc>
          <w:tcPr>
            <w:tcW w:w="1365" w:type="dxa"/>
            <w:vAlign w:val="center"/>
          </w:tcPr>
          <w:p w14:paraId="5A65C026">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991.53</w:t>
            </w:r>
          </w:p>
        </w:tc>
        <w:tc>
          <w:tcPr>
            <w:tcW w:w="1365" w:type="dxa"/>
            <w:vAlign w:val="center"/>
          </w:tcPr>
          <w:p w14:paraId="38D92111">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1365" w:type="dxa"/>
            <w:vAlign w:val="center"/>
          </w:tcPr>
          <w:p w14:paraId="692BC309">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99.15 </w:t>
            </w:r>
          </w:p>
        </w:tc>
      </w:tr>
      <w:tr w14:paraId="2E5392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609" w:type="dxa"/>
            <w:noWrap/>
            <w:vAlign w:val="center"/>
          </w:tcPr>
          <w:p w14:paraId="6A6E56F7">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w:t>
            </w:r>
          </w:p>
        </w:tc>
        <w:tc>
          <w:tcPr>
            <w:tcW w:w="2687" w:type="dxa"/>
            <w:noWrap/>
            <w:vAlign w:val="center"/>
          </w:tcPr>
          <w:p w14:paraId="60C8B373">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裂解C9</w:t>
            </w:r>
          </w:p>
        </w:tc>
        <w:tc>
          <w:tcPr>
            <w:tcW w:w="1278" w:type="dxa"/>
            <w:noWrap/>
            <w:vAlign w:val="center"/>
          </w:tcPr>
          <w:p w14:paraId="71631A87">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365" w:type="dxa"/>
            <w:vAlign w:val="center"/>
          </w:tcPr>
          <w:p w14:paraId="560D8002">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1076.8</w:t>
            </w:r>
          </w:p>
        </w:tc>
        <w:tc>
          <w:tcPr>
            <w:tcW w:w="1365" w:type="dxa"/>
            <w:vAlign w:val="center"/>
          </w:tcPr>
          <w:p w14:paraId="0FE168E8">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50</w:t>
            </w:r>
          </w:p>
        </w:tc>
        <w:tc>
          <w:tcPr>
            <w:tcW w:w="1365" w:type="dxa"/>
            <w:vAlign w:val="center"/>
          </w:tcPr>
          <w:p w14:paraId="20C857E0">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21.536</w:t>
            </w:r>
          </w:p>
        </w:tc>
      </w:tr>
      <w:tr w14:paraId="305D22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609" w:type="dxa"/>
            <w:noWrap/>
            <w:vAlign w:val="center"/>
          </w:tcPr>
          <w:p w14:paraId="252CF042">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w:t>
            </w:r>
          </w:p>
        </w:tc>
        <w:tc>
          <w:tcPr>
            <w:tcW w:w="2687" w:type="dxa"/>
            <w:noWrap/>
            <w:vAlign w:val="center"/>
          </w:tcPr>
          <w:p w14:paraId="59563CD7">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纯生物柴油</w:t>
            </w:r>
          </w:p>
        </w:tc>
        <w:tc>
          <w:tcPr>
            <w:tcW w:w="1278" w:type="dxa"/>
            <w:noWrap/>
            <w:vAlign w:val="center"/>
          </w:tcPr>
          <w:p w14:paraId="3B12F97B">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67784-80-9</w:t>
            </w:r>
          </w:p>
        </w:tc>
        <w:tc>
          <w:tcPr>
            <w:tcW w:w="1365" w:type="dxa"/>
            <w:vAlign w:val="center"/>
          </w:tcPr>
          <w:p w14:paraId="159E5559">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971.34</w:t>
            </w:r>
          </w:p>
        </w:tc>
        <w:tc>
          <w:tcPr>
            <w:tcW w:w="1365" w:type="dxa"/>
            <w:vAlign w:val="center"/>
          </w:tcPr>
          <w:p w14:paraId="0897B76C">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2500</w:t>
            </w:r>
          </w:p>
        </w:tc>
        <w:tc>
          <w:tcPr>
            <w:tcW w:w="1365" w:type="dxa"/>
            <w:vAlign w:val="center"/>
          </w:tcPr>
          <w:p w14:paraId="4E9BC347">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0.39 </w:t>
            </w:r>
          </w:p>
        </w:tc>
      </w:tr>
      <w:tr w14:paraId="010ABC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609" w:type="dxa"/>
            <w:noWrap/>
            <w:vAlign w:val="center"/>
          </w:tcPr>
          <w:p w14:paraId="4EF5922A">
            <w:pPr>
              <w:widowControl/>
              <w:adjustRightInd w:val="0"/>
              <w:snapToGrid w:val="0"/>
              <w:spacing w:line="240" w:lineRule="auto"/>
              <w:ind w:firstLine="0" w:firstLineChars="0"/>
              <w:jc w:val="center"/>
              <w:rPr>
                <w:rFonts w:hint="eastAsia"/>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w:t>
            </w:r>
          </w:p>
        </w:tc>
        <w:tc>
          <w:tcPr>
            <w:tcW w:w="2687" w:type="dxa"/>
            <w:noWrap/>
            <w:vAlign w:val="center"/>
          </w:tcPr>
          <w:p w14:paraId="07BE259B">
            <w:pPr>
              <w:widowControl/>
              <w:adjustRightInd w:val="0"/>
              <w:snapToGrid w:val="0"/>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航空煤油</w:t>
            </w:r>
          </w:p>
        </w:tc>
        <w:tc>
          <w:tcPr>
            <w:tcW w:w="1278" w:type="dxa"/>
            <w:noWrap/>
            <w:vAlign w:val="center"/>
          </w:tcPr>
          <w:p w14:paraId="3FE56427">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70892-10-3</w:t>
            </w:r>
          </w:p>
        </w:tc>
        <w:tc>
          <w:tcPr>
            <w:tcW w:w="1365" w:type="dxa"/>
            <w:vAlign w:val="center"/>
          </w:tcPr>
          <w:p w14:paraId="573C8BB4">
            <w:pPr>
              <w:widowControl/>
              <w:adjustRightInd w:val="0"/>
              <w:snapToGrid w:val="0"/>
              <w:spacing w:line="240" w:lineRule="auto"/>
              <w:ind w:firstLine="0" w:firstLineChars="0"/>
              <w:jc w:val="center"/>
              <w:rPr>
                <w:rFonts w:hint="eastAsia"/>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876.98</w:t>
            </w:r>
          </w:p>
        </w:tc>
        <w:tc>
          <w:tcPr>
            <w:tcW w:w="1365" w:type="dxa"/>
            <w:vAlign w:val="center"/>
          </w:tcPr>
          <w:p w14:paraId="73FBF53F">
            <w:pPr>
              <w:widowControl/>
              <w:adjustRightInd w:val="0"/>
              <w:snapToGrid w:val="0"/>
              <w:spacing w:line="240" w:lineRule="auto"/>
              <w:ind w:firstLine="0" w:firstLineChars="0"/>
              <w:jc w:val="center"/>
              <w:rPr>
                <w:rFonts w:hint="eastAsia"/>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2500</w:t>
            </w:r>
          </w:p>
        </w:tc>
        <w:tc>
          <w:tcPr>
            <w:tcW w:w="1365" w:type="dxa"/>
            <w:vAlign w:val="center"/>
          </w:tcPr>
          <w:p w14:paraId="4CB8E3C7">
            <w:pPr>
              <w:widowControl/>
              <w:adjustRightInd w:val="0"/>
              <w:snapToGrid w:val="0"/>
              <w:spacing w:line="240" w:lineRule="auto"/>
              <w:ind w:firstLine="0" w:firstLineChars="0"/>
              <w:jc w:val="center"/>
              <w:rPr>
                <w:rFonts w:eastAsia="等线"/>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0.35 </w:t>
            </w:r>
          </w:p>
        </w:tc>
      </w:tr>
      <w:tr w14:paraId="680BEA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609" w:type="dxa"/>
            <w:noWrap/>
            <w:vAlign w:val="center"/>
          </w:tcPr>
          <w:p w14:paraId="15A2F919">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w:t>
            </w:r>
          </w:p>
        </w:tc>
        <w:tc>
          <w:tcPr>
            <w:tcW w:w="2687" w:type="dxa"/>
            <w:noWrap/>
            <w:vAlign w:val="center"/>
          </w:tcPr>
          <w:p w14:paraId="55FF107E">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碱液</w:t>
            </w:r>
          </w:p>
        </w:tc>
        <w:tc>
          <w:tcPr>
            <w:tcW w:w="1278" w:type="dxa"/>
            <w:noWrap/>
            <w:vAlign w:val="center"/>
          </w:tcPr>
          <w:p w14:paraId="2D193593">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1310-73-2</w:t>
            </w:r>
          </w:p>
        </w:tc>
        <w:tc>
          <w:tcPr>
            <w:tcW w:w="1365" w:type="dxa"/>
            <w:vAlign w:val="center"/>
          </w:tcPr>
          <w:p w14:paraId="36938821">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596.57</w:t>
            </w:r>
          </w:p>
        </w:tc>
        <w:tc>
          <w:tcPr>
            <w:tcW w:w="1365" w:type="dxa"/>
            <w:vAlign w:val="center"/>
          </w:tcPr>
          <w:p w14:paraId="134DBF39">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50</w:t>
            </w:r>
          </w:p>
        </w:tc>
        <w:tc>
          <w:tcPr>
            <w:tcW w:w="1365" w:type="dxa"/>
            <w:vAlign w:val="center"/>
          </w:tcPr>
          <w:p w14:paraId="14B2D5CB">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11.93 </w:t>
            </w:r>
          </w:p>
        </w:tc>
      </w:tr>
      <w:tr w14:paraId="08F47A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609" w:type="dxa"/>
            <w:noWrap/>
            <w:vAlign w:val="center"/>
          </w:tcPr>
          <w:p w14:paraId="03912232">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w:t>
            </w:r>
          </w:p>
        </w:tc>
        <w:tc>
          <w:tcPr>
            <w:tcW w:w="2687" w:type="dxa"/>
            <w:noWrap/>
            <w:vAlign w:val="center"/>
          </w:tcPr>
          <w:p w14:paraId="110F425A">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发烟硫酸</w:t>
            </w:r>
          </w:p>
        </w:tc>
        <w:tc>
          <w:tcPr>
            <w:tcW w:w="1278" w:type="dxa"/>
            <w:noWrap/>
            <w:vAlign w:val="center"/>
          </w:tcPr>
          <w:p w14:paraId="04C3FE05">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8014-95-7</w:t>
            </w:r>
          </w:p>
        </w:tc>
        <w:tc>
          <w:tcPr>
            <w:tcW w:w="1365" w:type="dxa"/>
            <w:vAlign w:val="center"/>
          </w:tcPr>
          <w:p w14:paraId="04E290EF">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852.25</w:t>
            </w:r>
          </w:p>
        </w:tc>
        <w:tc>
          <w:tcPr>
            <w:tcW w:w="1365" w:type="dxa"/>
            <w:vAlign w:val="center"/>
          </w:tcPr>
          <w:p w14:paraId="59517E2A">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w:t>
            </w:r>
          </w:p>
        </w:tc>
        <w:tc>
          <w:tcPr>
            <w:tcW w:w="1365" w:type="dxa"/>
            <w:vAlign w:val="center"/>
          </w:tcPr>
          <w:p w14:paraId="3739ECDC">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170.45 </w:t>
            </w:r>
          </w:p>
        </w:tc>
      </w:tr>
      <w:tr w14:paraId="65A009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609" w:type="dxa"/>
            <w:noWrap/>
            <w:vAlign w:val="center"/>
          </w:tcPr>
          <w:p w14:paraId="3A88A79F">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7</w:t>
            </w:r>
          </w:p>
        </w:tc>
        <w:tc>
          <w:tcPr>
            <w:tcW w:w="2687" w:type="dxa"/>
            <w:noWrap/>
            <w:vAlign w:val="center"/>
          </w:tcPr>
          <w:p w14:paraId="6D7D54FF">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硫酸</w:t>
            </w:r>
          </w:p>
        </w:tc>
        <w:tc>
          <w:tcPr>
            <w:tcW w:w="1278" w:type="dxa"/>
            <w:noWrap/>
            <w:vAlign w:val="center"/>
          </w:tcPr>
          <w:p w14:paraId="01799CE6">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8014-95-7</w:t>
            </w:r>
          </w:p>
        </w:tc>
        <w:tc>
          <w:tcPr>
            <w:tcW w:w="1365" w:type="dxa"/>
            <w:vAlign w:val="center"/>
          </w:tcPr>
          <w:p w14:paraId="7D171163">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852.25</w:t>
            </w:r>
          </w:p>
        </w:tc>
        <w:tc>
          <w:tcPr>
            <w:tcW w:w="1365" w:type="dxa"/>
            <w:vAlign w:val="center"/>
          </w:tcPr>
          <w:p w14:paraId="795A3A0B">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w:t>
            </w:r>
          </w:p>
        </w:tc>
        <w:tc>
          <w:tcPr>
            <w:tcW w:w="1365" w:type="dxa"/>
            <w:vAlign w:val="center"/>
          </w:tcPr>
          <w:p w14:paraId="7A00013B">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170.45 </w:t>
            </w:r>
          </w:p>
        </w:tc>
      </w:tr>
      <w:tr w14:paraId="34DBE4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609" w:type="dxa"/>
            <w:noWrap/>
            <w:vAlign w:val="center"/>
          </w:tcPr>
          <w:p w14:paraId="5345456F">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w:t>
            </w:r>
          </w:p>
        </w:tc>
        <w:tc>
          <w:tcPr>
            <w:tcW w:w="2687" w:type="dxa"/>
            <w:noWrap/>
            <w:vAlign w:val="center"/>
          </w:tcPr>
          <w:p w14:paraId="4465BEF9">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kern w:val="0"/>
                <w:sz w:val="21"/>
                <w:szCs w:val="21"/>
                <w14:textFill>
                  <w14:solidFill>
                    <w14:schemeClr w14:val="tx1"/>
                  </w14:solidFill>
                </w14:textFill>
              </w:rPr>
              <w:t>船舶燃料油</w:t>
            </w:r>
          </w:p>
        </w:tc>
        <w:tc>
          <w:tcPr>
            <w:tcW w:w="1278" w:type="dxa"/>
            <w:noWrap/>
            <w:vAlign w:val="center"/>
          </w:tcPr>
          <w:p w14:paraId="30C8AC82">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365" w:type="dxa"/>
            <w:vAlign w:val="center"/>
          </w:tcPr>
          <w:p w14:paraId="5A26B7DB">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405.4</w:t>
            </w:r>
          </w:p>
        </w:tc>
        <w:tc>
          <w:tcPr>
            <w:tcW w:w="1365" w:type="dxa"/>
            <w:vAlign w:val="center"/>
          </w:tcPr>
          <w:p w14:paraId="1DC52702">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100</w:t>
            </w:r>
          </w:p>
        </w:tc>
        <w:tc>
          <w:tcPr>
            <w:tcW w:w="1365" w:type="dxa"/>
            <w:vAlign w:val="center"/>
          </w:tcPr>
          <w:p w14:paraId="06935136">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4.054</w:t>
            </w:r>
            <w:r>
              <w:rPr>
                <w:rFonts w:eastAsia="等线"/>
                <w:color w:val="000000" w:themeColor="text1"/>
                <w:sz w:val="21"/>
                <w:szCs w:val="21"/>
                <w14:textFill>
                  <w14:solidFill>
                    <w14:schemeClr w14:val="tx1"/>
                  </w14:solidFill>
                </w14:textFill>
              </w:rPr>
              <w:t xml:space="preserve"> </w:t>
            </w:r>
          </w:p>
        </w:tc>
      </w:tr>
      <w:tr w14:paraId="2E342D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609" w:type="dxa"/>
            <w:noWrap/>
            <w:vAlign w:val="center"/>
          </w:tcPr>
          <w:p w14:paraId="7CECC3DB">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9</w:t>
            </w:r>
          </w:p>
        </w:tc>
        <w:tc>
          <w:tcPr>
            <w:tcW w:w="2687" w:type="dxa"/>
            <w:noWrap/>
            <w:vAlign w:val="center"/>
          </w:tcPr>
          <w:p w14:paraId="1AA33B3C">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液硫</w:t>
            </w:r>
          </w:p>
        </w:tc>
        <w:tc>
          <w:tcPr>
            <w:tcW w:w="1278" w:type="dxa"/>
            <w:noWrap/>
            <w:vAlign w:val="center"/>
          </w:tcPr>
          <w:p w14:paraId="586369BA">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7704-34-9</w:t>
            </w:r>
          </w:p>
        </w:tc>
        <w:tc>
          <w:tcPr>
            <w:tcW w:w="1365" w:type="dxa"/>
            <w:vAlign w:val="center"/>
          </w:tcPr>
          <w:p w14:paraId="3A8F8737">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1955.79</w:t>
            </w:r>
          </w:p>
        </w:tc>
        <w:tc>
          <w:tcPr>
            <w:tcW w:w="1365" w:type="dxa"/>
            <w:vAlign w:val="center"/>
          </w:tcPr>
          <w:p w14:paraId="7B2B4A61">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w:t>
            </w:r>
          </w:p>
        </w:tc>
        <w:tc>
          <w:tcPr>
            <w:tcW w:w="1365" w:type="dxa"/>
            <w:vAlign w:val="center"/>
          </w:tcPr>
          <w:p w14:paraId="5163D899">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195.79</w:t>
            </w:r>
          </w:p>
        </w:tc>
      </w:tr>
    </w:tbl>
    <w:p w14:paraId="01601214">
      <w:pPr>
        <w:ind w:firstLine="480"/>
        <w:rPr>
          <w:color w:val="000000" w:themeColor="text1"/>
          <w14:textFill>
            <w14:solidFill>
              <w14:schemeClr w14:val="tx1"/>
            </w14:solidFill>
          </w14:textFill>
        </w:rPr>
      </w:pPr>
      <w:r>
        <w:rPr>
          <w:color w:val="000000" w:themeColor="text1"/>
          <w14:textFill>
            <w14:solidFill>
              <w14:schemeClr w14:val="tx1"/>
            </w14:solidFill>
          </w14:textFill>
        </w:rPr>
        <w:t>（2）生产工艺</w:t>
      </w:r>
    </w:p>
    <w:p w14:paraId="662D2EC0">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本项目为液化烃码头，属于《建设项目环境风险评价技术导则》（HJ169-2018）附录C中表C.1中的“管道、港口/码头等”行业。</w:t>
      </w:r>
    </w:p>
    <w:p w14:paraId="5F284EED">
      <w:pPr>
        <w:pStyle w:val="4"/>
        <w:rPr>
          <w:color w:val="000000" w:themeColor="text1"/>
          <w14:textFill>
            <w14:solidFill>
              <w14:schemeClr w14:val="tx1"/>
            </w14:solidFill>
          </w14:textFill>
        </w:rPr>
      </w:pPr>
      <w:r>
        <w:rPr>
          <w:color w:val="000000" w:themeColor="text1"/>
          <w14:textFill>
            <w14:solidFill>
              <w14:schemeClr w14:val="tx1"/>
            </w14:solidFill>
          </w14:textFill>
        </w:rPr>
        <w:t>环境敏感目标调查</w:t>
      </w:r>
    </w:p>
    <w:p w14:paraId="06C6C61C">
      <w:pPr>
        <w:ind w:firstLine="480"/>
        <w:rPr>
          <w:color w:val="000000" w:themeColor="text1"/>
          <w14:textFill>
            <w14:solidFill>
              <w14:schemeClr w14:val="tx1"/>
            </w14:solidFill>
          </w14:textFill>
        </w:rPr>
      </w:pPr>
      <w:r>
        <w:rPr>
          <w:color w:val="000000" w:themeColor="text1"/>
          <w14:textFill>
            <w14:solidFill>
              <w14:schemeClr w14:val="tx1"/>
            </w14:solidFill>
          </w14:textFill>
        </w:rPr>
        <w:t>根据《建设项目环境风险评价技术导则》（HJ169-2018）相关要求，通过对评价范围内大气环境、地表水环境、地下水环境可能受影响的环境敏感目标进行调查，项目主要环境敏感目标见表1.6-</w:t>
      </w: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w:t>
      </w:r>
    </w:p>
    <w:p w14:paraId="3C46DA2E">
      <w:pPr>
        <w:pStyle w:val="5"/>
        <w:rPr>
          <w:color w:val="000000" w:themeColor="text1"/>
          <w14:textFill>
            <w14:solidFill>
              <w14:schemeClr w14:val="tx1"/>
            </w14:solidFill>
          </w14:textFill>
        </w:rPr>
      </w:pPr>
      <w:r>
        <w:rPr>
          <w:color w:val="000000" w:themeColor="text1"/>
          <w14:textFill>
            <w14:solidFill>
              <w14:schemeClr w14:val="tx1"/>
            </w14:solidFill>
          </w14:textFill>
        </w:rPr>
        <w:t>环境风险潜势初判</w:t>
      </w:r>
    </w:p>
    <w:p w14:paraId="465D9573">
      <w:pPr>
        <w:pStyle w:val="4"/>
        <w:rPr>
          <w:color w:val="000000" w:themeColor="text1"/>
          <w14:textFill>
            <w14:solidFill>
              <w14:schemeClr w14:val="tx1"/>
            </w14:solidFill>
          </w14:textFill>
        </w:rPr>
      </w:pPr>
      <w:r>
        <w:rPr>
          <w:color w:val="000000" w:themeColor="text1"/>
          <w14:textFill>
            <w14:solidFill>
              <w14:schemeClr w14:val="tx1"/>
            </w14:solidFill>
          </w14:textFill>
        </w:rPr>
        <w:t>P的分级确定</w:t>
      </w:r>
    </w:p>
    <w:p w14:paraId="68913F42">
      <w:pPr>
        <w:pStyle w:val="6"/>
        <w:rPr>
          <w:color w:val="000000" w:themeColor="text1"/>
          <w14:textFill>
            <w14:solidFill>
              <w14:schemeClr w14:val="tx1"/>
            </w14:solidFill>
          </w14:textFill>
        </w:rPr>
      </w:pPr>
      <w:r>
        <w:rPr>
          <w:color w:val="000000" w:themeColor="text1"/>
          <w14:textFill>
            <w14:solidFill>
              <w14:schemeClr w14:val="tx1"/>
            </w14:solidFill>
          </w14:textFill>
        </w:rPr>
        <w:t>危险物质数量与临界量比值Q</w:t>
      </w:r>
    </w:p>
    <w:p w14:paraId="596D57B8">
      <w:pPr>
        <w:ind w:firstLine="480"/>
        <w:rPr>
          <w:color w:val="000000" w:themeColor="text1"/>
          <w14:textFill>
            <w14:solidFill>
              <w14:schemeClr w14:val="tx1"/>
            </w14:solidFill>
          </w14:textFill>
        </w:rPr>
      </w:pPr>
      <w:r>
        <w:rPr>
          <w:color w:val="000000" w:themeColor="text1"/>
          <w14:textFill>
            <w14:solidFill>
              <w14:schemeClr w14:val="tx1"/>
            </w14:solidFill>
          </w14:textFill>
        </w:rPr>
        <w:t>根据《建设项目环境风险评价技术导则》（HJ169-2018）附录B，筛选出工程重点关注危险物质的数量和分布情况见表5.1-1，项目Q&gt;100。</w:t>
      </w:r>
    </w:p>
    <w:p w14:paraId="40D0DA7F">
      <w:pPr>
        <w:pStyle w:val="6"/>
        <w:rPr>
          <w:color w:val="000000" w:themeColor="text1"/>
          <w14:textFill>
            <w14:solidFill>
              <w14:schemeClr w14:val="tx1"/>
            </w14:solidFill>
          </w14:textFill>
        </w:rPr>
      </w:pPr>
      <w:r>
        <w:rPr>
          <w:color w:val="000000" w:themeColor="text1"/>
          <w14:textFill>
            <w14:solidFill>
              <w14:schemeClr w14:val="tx1"/>
            </w14:solidFill>
          </w14:textFill>
        </w:rPr>
        <w:t>行业及生产工艺M</w:t>
      </w:r>
    </w:p>
    <w:p w14:paraId="0E6C7908">
      <w:pPr>
        <w:ind w:firstLine="480"/>
        <w:rPr>
          <w:color w:val="000000" w:themeColor="text1"/>
          <w14:textFill>
            <w14:solidFill>
              <w14:schemeClr w14:val="tx1"/>
            </w14:solidFill>
          </w14:textFill>
        </w:rPr>
      </w:pPr>
      <w:r>
        <w:rPr>
          <w:color w:val="000000" w:themeColor="text1"/>
          <w14:textFill>
            <w14:solidFill>
              <w14:schemeClr w14:val="tx1"/>
            </w14:solidFill>
          </w14:textFill>
        </w:rPr>
        <w:t>根据项目所属行业及生产工艺特点，将M划分为（1）M＞20；（2）10＜M≤20；（3）5＜M≤10；（4）M=5，分别以M1，M2，M3和M4表示。根据表5.2-1确定项目M值为10，属于M3。</w:t>
      </w:r>
    </w:p>
    <w:p w14:paraId="540800B9">
      <w:pPr>
        <w:ind w:firstLine="480"/>
        <w:rPr>
          <w:color w:val="000000" w:themeColor="text1"/>
          <w14:textFill>
            <w14:solidFill>
              <w14:schemeClr w14:val="tx1"/>
            </w14:solidFill>
          </w14:textFill>
        </w:rPr>
      </w:pPr>
    </w:p>
    <w:p w14:paraId="3C778BF5">
      <w:pPr>
        <w:pStyle w:val="13"/>
        <w:rPr>
          <w:color w:val="000000" w:themeColor="text1"/>
          <w14:textFill>
            <w14:solidFill>
              <w14:schemeClr w14:val="tx1"/>
            </w14:solidFill>
          </w14:textFill>
        </w:rPr>
      </w:pPr>
    </w:p>
    <w:p w14:paraId="3611472B">
      <w:pPr>
        <w:ind w:firstLine="480"/>
        <w:rPr>
          <w:color w:val="000000" w:themeColor="text1"/>
          <w14:textFill>
            <w14:solidFill>
              <w14:schemeClr w14:val="tx1"/>
            </w14:solidFill>
          </w14:textFill>
        </w:rPr>
      </w:pPr>
    </w:p>
    <w:p w14:paraId="3A32B264">
      <w:pPr>
        <w:pStyle w:val="13"/>
        <w:rPr>
          <w:color w:val="000000" w:themeColor="text1"/>
          <w14:textFill>
            <w14:solidFill>
              <w14:schemeClr w14:val="tx1"/>
            </w14:solidFill>
          </w14:textFill>
        </w:rPr>
      </w:pPr>
    </w:p>
    <w:p w14:paraId="0F1CD74E">
      <w:pPr>
        <w:pStyle w:val="41"/>
        <w:ind w:firstLine="240"/>
        <w:rPr>
          <w:color w:val="000000" w:themeColor="text1"/>
          <w14:textFill>
            <w14:solidFill>
              <w14:schemeClr w14:val="tx1"/>
            </w14:solidFill>
          </w14:textFill>
        </w:rPr>
      </w:pPr>
    </w:p>
    <w:p w14:paraId="7D51CEE7">
      <w:pPr>
        <w:pStyle w:val="7"/>
        <w:rPr>
          <w:color w:val="000000" w:themeColor="text1"/>
          <w14:textFill>
            <w14:solidFill>
              <w14:schemeClr w14:val="tx1"/>
            </w14:solidFill>
          </w14:textFill>
        </w:rPr>
      </w:pPr>
      <w:r>
        <w:rPr>
          <w:color w:val="000000" w:themeColor="text1"/>
          <w14:textFill>
            <w14:solidFill>
              <w14:schemeClr w14:val="tx1"/>
            </w14:solidFill>
          </w14:textFill>
        </w:rPr>
        <w:t>行业及生产工艺M</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24"/>
        <w:gridCol w:w="3810"/>
        <w:gridCol w:w="662"/>
        <w:gridCol w:w="2071"/>
        <w:gridCol w:w="609"/>
      </w:tblGrid>
      <w:tr w14:paraId="7829CD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124" w:type="dxa"/>
            <w:vAlign w:val="center"/>
          </w:tcPr>
          <w:p w14:paraId="137A642A">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行业</w:t>
            </w:r>
          </w:p>
        </w:tc>
        <w:tc>
          <w:tcPr>
            <w:tcW w:w="3810" w:type="dxa"/>
            <w:vAlign w:val="center"/>
          </w:tcPr>
          <w:p w14:paraId="01B46734">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评估依据</w:t>
            </w:r>
          </w:p>
        </w:tc>
        <w:tc>
          <w:tcPr>
            <w:tcW w:w="662" w:type="dxa"/>
            <w:vAlign w:val="center"/>
          </w:tcPr>
          <w:p w14:paraId="7283EE6D">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分值</w:t>
            </w:r>
          </w:p>
        </w:tc>
        <w:tc>
          <w:tcPr>
            <w:tcW w:w="2071" w:type="dxa"/>
            <w:vAlign w:val="center"/>
          </w:tcPr>
          <w:p w14:paraId="74939602">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项目情况</w:t>
            </w:r>
          </w:p>
        </w:tc>
        <w:tc>
          <w:tcPr>
            <w:tcW w:w="609" w:type="dxa"/>
            <w:vAlign w:val="center"/>
          </w:tcPr>
          <w:p w14:paraId="7084687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评分</w:t>
            </w:r>
          </w:p>
        </w:tc>
      </w:tr>
      <w:tr w14:paraId="6E1A30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 w:hRule="atLeast"/>
          <w:jc w:val="center"/>
        </w:trPr>
        <w:tc>
          <w:tcPr>
            <w:tcW w:w="1124" w:type="dxa"/>
            <w:vMerge w:val="restart"/>
            <w:vAlign w:val="center"/>
          </w:tcPr>
          <w:p w14:paraId="29368804">
            <w:pPr>
              <w:pStyle w:val="70"/>
              <w:rPr>
                <w:color w:val="000000" w:themeColor="text1"/>
                <w14:textFill>
                  <w14:solidFill>
                    <w14:schemeClr w14:val="tx1"/>
                  </w14:solidFill>
                </w14:textFill>
              </w:rPr>
            </w:pPr>
            <w:r>
              <w:rPr>
                <w:color w:val="000000" w:themeColor="text1"/>
                <w14:textFill>
                  <w14:solidFill>
                    <w14:schemeClr w14:val="tx1"/>
                  </w14:solidFill>
                </w14:textFill>
              </w:rPr>
              <w:t>石化、化工、医药、轻工、化纤、有色冶炼等</w:t>
            </w:r>
          </w:p>
        </w:tc>
        <w:tc>
          <w:tcPr>
            <w:tcW w:w="3810" w:type="dxa"/>
            <w:vAlign w:val="center"/>
          </w:tcPr>
          <w:p w14:paraId="513B07C8">
            <w:pPr>
              <w:pStyle w:val="70"/>
              <w:rPr>
                <w:color w:val="000000" w:themeColor="text1"/>
                <w14:textFill>
                  <w14:solidFill>
                    <w14:schemeClr w14:val="tx1"/>
                  </w14:solidFill>
                </w14:textFill>
              </w:rPr>
            </w:pPr>
            <w:r>
              <w:rPr>
                <w:color w:val="000000" w:themeColor="text1"/>
                <w14:textFill>
                  <w14:solidFill>
                    <w14:schemeClr w14:val="tx1"/>
                  </w14:solidFill>
                </w14:textFill>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662" w:type="dxa"/>
            <w:vAlign w:val="center"/>
          </w:tcPr>
          <w:p w14:paraId="2F64D169">
            <w:pPr>
              <w:pStyle w:val="70"/>
              <w:rPr>
                <w:color w:val="000000" w:themeColor="text1"/>
                <w14:textFill>
                  <w14:solidFill>
                    <w14:schemeClr w14:val="tx1"/>
                  </w14:solidFill>
                </w14:textFill>
              </w:rPr>
            </w:pPr>
            <w:r>
              <w:rPr>
                <w:color w:val="000000" w:themeColor="text1"/>
                <w14:textFill>
                  <w14:solidFill>
                    <w14:schemeClr w14:val="tx1"/>
                  </w14:solidFill>
                </w14:textFill>
              </w:rPr>
              <w:t>10/套</w:t>
            </w:r>
          </w:p>
        </w:tc>
        <w:tc>
          <w:tcPr>
            <w:tcW w:w="2071" w:type="dxa"/>
            <w:vAlign w:val="center"/>
          </w:tcPr>
          <w:p w14:paraId="2883ED8A">
            <w:pPr>
              <w:pStyle w:val="70"/>
              <w:rPr>
                <w:color w:val="000000" w:themeColor="text1"/>
                <w14:textFill>
                  <w14:solidFill>
                    <w14:schemeClr w14:val="tx1"/>
                  </w14:solidFill>
                </w14:textFill>
              </w:rPr>
            </w:pPr>
            <w:r>
              <w:rPr>
                <w:color w:val="000000" w:themeColor="text1"/>
                <w14:textFill>
                  <w14:solidFill>
                    <w14:schemeClr w14:val="tx1"/>
                  </w14:solidFill>
                </w14:textFill>
              </w:rPr>
              <w:t>项目不涉及相关行业</w:t>
            </w:r>
          </w:p>
        </w:tc>
        <w:tc>
          <w:tcPr>
            <w:tcW w:w="609" w:type="dxa"/>
            <w:vAlign w:val="center"/>
          </w:tcPr>
          <w:p w14:paraId="67B8C452">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r>
      <w:tr w14:paraId="059B93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5" w:hRule="atLeast"/>
          <w:jc w:val="center"/>
        </w:trPr>
        <w:tc>
          <w:tcPr>
            <w:tcW w:w="1124" w:type="dxa"/>
            <w:vMerge w:val="continue"/>
            <w:vAlign w:val="center"/>
          </w:tcPr>
          <w:p w14:paraId="6A8B575F">
            <w:pPr>
              <w:pStyle w:val="70"/>
              <w:rPr>
                <w:color w:val="000000" w:themeColor="text1"/>
                <w14:textFill>
                  <w14:solidFill>
                    <w14:schemeClr w14:val="tx1"/>
                  </w14:solidFill>
                </w14:textFill>
              </w:rPr>
            </w:pPr>
          </w:p>
        </w:tc>
        <w:tc>
          <w:tcPr>
            <w:tcW w:w="3810" w:type="dxa"/>
            <w:vAlign w:val="center"/>
          </w:tcPr>
          <w:p w14:paraId="0365B7C6">
            <w:pPr>
              <w:pStyle w:val="70"/>
              <w:rPr>
                <w:color w:val="000000" w:themeColor="text1"/>
                <w14:textFill>
                  <w14:solidFill>
                    <w14:schemeClr w14:val="tx1"/>
                  </w14:solidFill>
                </w14:textFill>
              </w:rPr>
            </w:pPr>
            <w:r>
              <w:rPr>
                <w:color w:val="000000" w:themeColor="text1"/>
                <w14:textFill>
                  <w14:solidFill>
                    <w14:schemeClr w14:val="tx1"/>
                  </w14:solidFill>
                </w14:textFill>
              </w:rPr>
              <w:t>无机酸制酸工艺、焦化工艺</w:t>
            </w:r>
          </w:p>
        </w:tc>
        <w:tc>
          <w:tcPr>
            <w:tcW w:w="662" w:type="dxa"/>
            <w:vAlign w:val="center"/>
          </w:tcPr>
          <w:p w14:paraId="4674BB2C">
            <w:pPr>
              <w:pStyle w:val="70"/>
              <w:rPr>
                <w:color w:val="000000" w:themeColor="text1"/>
                <w14:textFill>
                  <w14:solidFill>
                    <w14:schemeClr w14:val="tx1"/>
                  </w14:solidFill>
                </w14:textFill>
              </w:rPr>
            </w:pPr>
            <w:r>
              <w:rPr>
                <w:color w:val="000000" w:themeColor="text1"/>
                <w14:textFill>
                  <w14:solidFill>
                    <w14:schemeClr w14:val="tx1"/>
                  </w14:solidFill>
                </w14:textFill>
              </w:rPr>
              <w:t>5/套</w:t>
            </w:r>
          </w:p>
        </w:tc>
        <w:tc>
          <w:tcPr>
            <w:tcW w:w="2071" w:type="dxa"/>
            <w:vAlign w:val="center"/>
          </w:tcPr>
          <w:p w14:paraId="5DA78577">
            <w:pPr>
              <w:pStyle w:val="70"/>
              <w:rPr>
                <w:color w:val="000000" w:themeColor="text1"/>
                <w14:textFill>
                  <w14:solidFill>
                    <w14:schemeClr w14:val="tx1"/>
                  </w14:solidFill>
                </w14:textFill>
              </w:rPr>
            </w:pPr>
            <w:r>
              <w:rPr>
                <w:color w:val="000000" w:themeColor="text1"/>
                <w14:textFill>
                  <w14:solidFill>
                    <w14:schemeClr w14:val="tx1"/>
                  </w14:solidFill>
                </w14:textFill>
              </w:rPr>
              <w:t>项目不涉及相关工艺</w:t>
            </w:r>
          </w:p>
        </w:tc>
        <w:tc>
          <w:tcPr>
            <w:tcW w:w="609" w:type="dxa"/>
            <w:vAlign w:val="center"/>
          </w:tcPr>
          <w:p w14:paraId="0B26FEF6">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r>
      <w:tr w14:paraId="1A3B89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124" w:type="dxa"/>
            <w:vMerge w:val="continue"/>
            <w:vAlign w:val="center"/>
          </w:tcPr>
          <w:p w14:paraId="62137668">
            <w:pPr>
              <w:pStyle w:val="70"/>
              <w:rPr>
                <w:color w:val="000000" w:themeColor="text1"/>
                <w14:textFill>
                  <w14:solidFill>
                    <w14:schemeClr w14:val="tx1"/>
                  </w14:solidFill>
                </w14:textFill>
              </w:rPr>
            </w:pPr>
          </w:p>
        </w:tc>
        <w:tc>
          <w:tcPr>
            <w:tcW w:w="3810" w:type="dxa"/>
            <w:vAlign w:val="center"/>
          </w:tcPr>
          <w:p w14:paraId="1243A2DF">
            <w:pPr>
              <w:pStyle w:val="70"/>
              <w:rPr>
                <w:color w:val="000000" w:themeColor="text1"/>
                <w14:textFill>
                  <w14:solidFill>
                    <w14:schemeClr w14:val="tx1"/>
                  </w14:solidFill>
                </w14:textFill>
              </w:rPr>
            </w:pPr>
            <w:r>
              <w:rPr>
                <w:color w:val="000000" w:themeColor="text1"/>
                <w14:textFill>
                  <w14:solidFill>
                    <w14:schemeClr w14:val="tx1"/>
                  </w14:solidFill>
                </w14:textFill>
              </w:rPr>
              <w:t>其他高温或高压，且涉及危险物质的工艺过程</w:t>
            </w:r>
            <w:r>
              <w:rPr>
                <w:color w:val="000000" w:themeColor="text1"/>
                <w:vertAlign w:val="superscript"/>
                <w14:textFill>
                  <w14:solidFill>
                    <w14:schemeClr w14:val="tx1"/>
                  </w14:solidFill>
                </w14:textFill>
              </w:rPr>
              <w:t>a</w:t>
            </w:r>
            <w:r>
              <w:rPr>
                <w:color w:val="000000" w:themeColor="text1"/>
                <w14:textFill>
                  <w14:solidFill>
                    <w14:schemeClr w14:val="tx1"/>
                  </w14:solidFill>
                </w14:textFill>
              </w:rPr>
              <w:t>、危险物质贮存罐区</w:t>
            </w:r>
          </w:p>
        </w:tc>
        <w:tc>
          <w:tcPr>
            <w:tcW w:w="662" w:type="dxa"/>
            <w:vAlign w:val="center"/>
          </w:tcPr>
          <w:p w14:paraId="54594F1B">
            <w:pPr>
              <w:pStyle w:val="70"/>
              <w:rPr>
                <w:color w:val="000000" w:themeColor="text1"/>
                <w14:textFill>
                  <w14:solidFill>
                    <w14:schemeClr w14:val="tx1"/>
                  </w14:solidFill>
                </w14:textFill>
              </w:rPr>
            </w:pPr>
            <w:r>
              <w:rPr>
                <w:color w:val="000000" w:themeColor="text1"/>
                <w14:textFill>
                  <w14:solidFill>
                    <w14:schemeClr w14:val="tx1"/>
                  </w14:solidFill>
                </w14:textFill>
              </w:rPr>
              <w:t>5/套</w:t>
            </w:r>
          </w:p>
          <w:p w14:paraId="00A908D8">
            <w:pPr>
              <w:pStyle w:val="70"/>
              <w:rPr>
                <w:color w:val="000000" w:themeColor="text1"/>
                <w14:textFill>
                  <w14:solidFill>
                    <w14:schemeClr w14:val="tx1"/>
                  </w14:solidFill>
                </w14:textFill>
              </w:rPr>
            </w:pPr>
            <w:r>
              <w:rPr>
                <w:color w:val="000000" w:themeColor="text1"/>
                <w14:textFill>
                  <w14:solidFill>
                    <w14:schemeClr w14:val="tx1"/>
                  </w14:solidFill>
                </w14:textFill>
              </w:rPr>
              <w:t>（罐区）</w:t>
            </w:r>
          </w:p>
        </w:tc>
        <w:tc>
          <w:tcPr>
            <w:tcW w:w="2071" w:type="dxa"/>
            <w:vAlign w:val="center"/>
          </w:tcPr>
          <w:p w14:paraId="7ACF1DF2">
            <w:pPr>
              <w:pStyle w:val="70"/>
              <w:rPr>
                <w:color w:val="000000" w:themeColor="text1"/>
                <w14:textFill>
                  <w14:solidFill>
                    <w14:schemeClr w14:val="tx1"/>
                  </w14:solidFill>
                </w14:textFill>
              </w:rPr>
            </w:pPr>
            <w:r>
              <w:rPr>
                <w:color w:val="000000" w:themeColor="text1"/>
                <w14:textFill>
                  <w14:solidFill>
                    <w14:schemeClr w14:val="tx1"/>
                  </w14:solidFill>
                </w14:textFill>
              </w:rPr>
              <w:t>项目不涉及相关行业</w:t>
            </w:r>
          </w:p>
        </w:tc>
        <w:tc>
          <w:tcPr>
            <w:tcW w:w="609" w:type="dxa"/>
            <w:vAlign w:val="center"/>
          </w:tcPr>
          <w:p w14:paraId="6A4E5939">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r>
      <w:tr w14:paraId="49E160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124" w:type="dxa"/>
            <w:vAlign w:val="center"/>
          </w:tcPr>
          <w:p w14:paraId="20F125C6">
            <w:pPr>
              <w:pStyle w:val="70"/>
              <w:rPr>
                <w:color w:val="000000" w:themeColor="text1"/>
                <w14:textFill>
                  <w14:solidFill>
                    <w14:schemeClr w14:val="tx1"/>
                  </w14:solidFill>
                </w14:textFill>
              </w:rPr>
            </w:pPr>
            <w:r>
              <w:rPr>
                <w:color w:val="000000" w:themeColor="text1"/>
                <w14:textFill>
                  <w14:solidFill>
                    <w14:schemeClr w14:val="tx1"/>
                  </w14:solidFill>
                </w14:textFill>
              </w:rPr>
              <w:t>管道、港口/码头等</w:t>
            </w:r>
          </w:p>
        </w:tc>
        <w:tc>
          <w:tcPr>
            <w:tcW w:w="3810" w:type="dxa"/>
            <w:vAlign w:val="center"/>
          </w:tcPr>
          <w:p w14:paraId="1C05DFAF">
            <w:pPr>
              <w:pStyle w:val="70"/>
              <w:rPr>
                <w:color w:val="000000" w:themeColor="text1"/>
                <w14:textFill>
                  <w14:solidFill>
                    <w14:schemeClr w14:val="tx1"/>
                  </w14:solidFill>
                </w14:textFill>
              </w:rPr>
            </w:pPr>
            <w:r>
              <w:rPr>
                <w:color w:val="000000" w:themeColor="text1"/>
                <w14:textFill>
                  <w14:solidFill>
                    <w14:schemeClr w14:val="tx1"/>
                  </w14:solidFill>
                </w14:textFill>
              </w:rPr>
              <w:t>涉及危险物质管道运输项目、港口/码头等</w:t>
            </w:r>
          </w:p>
        </w:tc>
        <w:tc>
          <w:tcPr>
            <w:tcW w:w="662" w:type="dxa"/>
            <w:vAlign w:val="center"/>
          </w:tcPr>
          <w:p w14:paraId="61029246">
            <w:pPr>
              <w:pStyle w:val="70"/>
              <w:rPr>
                <w:color w:val="000000" w:themeColor="text1"/>
                <w14:textFill>
                  <w14:solidFill>
                    <w14:schemeClr w14:val="tx1"/>
                  </w14:solidFill>
                </w14:textFill>
              </w:rPr>
            </w:pPr>
            <w:r>
              <w:rPr>
                <w:color w:val="000000" w:themeColor="text1"/>
                <w14:textFill>
                  <w14:solidFill>
                    <w14:schemeClr w14:val="tx1"/>
                  </w14:solidFill>
                </w14:textFill>
              </w:rPr>
              <w:t>10</w:t>
            </w:r>
          </w:p>
        </w:tc>
        <w:tc>
          <w:tcPr>
            <w:tcW w:w="2071" w:type="dxa"/>
            <w:vAlign w:val="center"/>
          </w:tcPr>
          <w:p w14:paraId="43060119">
            <w:pPr>
              <w:pStyle w:val="70"/>
              <w:rPr>
                <w:color w:val="000000" w:themeColor="text1"/>
                <w14:textFill>
                  <w14:solidFill>
                    <w14:schemeClr w14:val="tx1"/>
                  </w14:solidFill>
                </w14:textFill>
              </w:rPr>
            </w:pPr>
            <w:r>
              <w:rPr>
                <w:color w:val="000000" w:themeColor="text1"/>
                <w14:textFill>
                  <w14:solidFill>
                    <w14:schemeClr w14:val="tx1"/>
                  </w14:solidFill>
                </w14:textFill>
              </w:rPr>
              <w:t>项目属于液体化工码头</w:t>
            </w:r>
          </w:p>
        </w:tc>
        <w:tc>
          <w:tcPr>
            <w:tcW w:w="609" w:type="dxa"/>
            <w:vAlign w:val="center"/>
          </w:tcPr>
          <w:p w14:paraId="35F93D1E">
            <w:pPr>
              <w:pStyle w:val="70"/>
              <w:rPr>
                <w:color w:val="000000" w:themeColor="text1"/>
                <w14:textFill>
                  <w14:solidFill>
                    <w14:schemeClr w14:val="tx1"/>
                  </w14:solidFill>
                </w14:textFill>
              </w:rPr>
            </w:pPr>
            <w:r>
              <w:rPr>
                <w:color w:val="000000" w:themeColor="text1"/>
                <w14:textFill>
                  <w14:solidFill>
                    <w14:schemeClr w14:val="tx1"/>
                  </w14:solidFill>
                </w14:textFill>
              </w:rPr>
              <w:t>10</w:t>
            </w:r>
          </w:p>
        </w:tc>
      </w:tr>
      <w:tr w14:paraId="37E81C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124" w:type="dxa"/>
            <w:vAlign w:val="center"/>
          </w:tcPr>
          <w:p w14:paraId="7638F6F2">
            <w:pPr>
              <w:pStyle w:val="70"/>
              <w:rPr>
                <w:color w:val="000000" w:themeColor="text1"/>
                <w14:textFill>
                  <w14:solidFill>
                    <w14:schemeClr w14:val="tx1"/>
                  </w14:solidFill>
                </w14:textFill>
              </w:rPr>
            </w:pPr>
            <w:r>
              <w:rPr>
                <w:color w:val="000000" w:themeColor="text1"/>
                <w14:textFill>
                  <w14:solidFill>
                    <w14:schemeClr w14:val="tx1"/>
                  </w14:solidFill>
                </w14:textFill>
              </w:rPr>
              <w:t>石油天然气</w:t>
            </w:r>
          </w:p>
        </w:tc>
        <w:tc>
          <w:tcPr>
            <w:tcW w:w="3810" w:type="dxa"/>
            <w:vAlign w:val="center"/>
          </w:tcPr>
          <w:p w14:paraId="1FEB198B">
            <w:pPr>
              <w:pStyle w:val="70"/>
              <w:rPr>
                <w:color w:val="000000" w:themeColor="text1"/>
                <w14:textFill>
                  <w14:solidFill>
                    <w14:schemeClr w14:val="tx1"/>
                  </w14:solidFill>
                </w14:textFill>
              </w:rPr>
            </w:pPr>
            <w:r>
              <w:rPr>
                <w:color w:val="000000" w:themeColor="text1"/>
                <w14:textFill>
                  <w14:solidFill>
                    <w14:schemeClr w14:val="tx1"/>
                  </w14:solidFill>
                </w14:textFill>
              </w:rPr>
              <w:t>石油、天然气、页岩气开采（含净化），气库（不含加气站的气库），油库（不含加气站的油库）、油气管线</w:t>
            </w:r>
            <w:r>
              <w:rPr>
                <w:color w:val="000000" w:themeColor="text1"/>
                <w:vertAlign w:val="superscript"/>
                <w14:textFill>
                  <w14:solidFill>
                    <w14:schemeClr w14:val="tx1"/>
                  </w14:solidFill>
                </w14:textFill>
              </w:rPr>
              <w:t>b</w:t>
            </w:r>
            <w:r>
              <w:rPr>
                <w:color w:val="000000" w:themeColor="text1"/>
                <w14:textFill>
                  <w14:solidFill>
                    <w14:schemeClr w14:val="tx1"/>
                  </w14:solidFill>
                </w14:textFill>
              </w:rPr>
              <w:t>（不含城镇燃气管线）</w:t>
            </w:r>
          </w:p>
        </w:tc>
        <w:tc>
          <w:tcPr>
            <w:tcW w:w="662" w:type="dxa"/>
            <w:vAlign w:val="center"/>
          </w:tcPr>
          <w:p w14:paraId="7F01425C">
            <w:pPr>
              <w:pStyle w:val="70"/>
              <w:rPr>
                <w:color w:val="000000" w:themeColor="text1"/>
                <w14:textFill>
                  <w14:solidFill>
                    <w14:schemeClr w14:val="tx1"/>
                  </w14:solidFill>
                </w14:textFill>
              </w:rPr>
            </w:pPr>
            <w:r>
              <w:rPr>
                <w:color w:val="000000" w:themeColor="text1"/>
                <w14:textFill>
                  <w14:solidFill>
                    <w14:schemeClr w14:val="tx1"/>
                  </w14:solidFill>
                </w14:textFill>
              </w:rPr>
              <w:t>10</w:t>
            </w:r>
          </w:p>
        </w:tc>
        <w:tc>
          <w:tcPr>
            <w:tcW w:w="2071" w:type="dxa"/>
            <w:vAlign w:val="center"/>
          </w:tcPr>
          <w:p w14:paraId="23AAFCCA">
            <w:pPr>
              <w:pStyle w:val="70"/>
              <w:rPr>
                <w:color w:val="000000" w:themeColor="text1"/>
                <w14:textFill>
                  <w14:solidFill>
                    <w14:schemeClr w14:val="tx1"/>
                  </w14:solidFill>
                </w14:textFill>
              </w:rPr>
            </w:pPr>
            <w:r>
              <w:rPr>
                <w:color w:val="000000" w:themeColor="text1"/>
                <w14:textFill>
                  <w14:solidFill>
                    <w14:schemeClr w14:val="tx1"/>
                  </w14:solidFill>
                </w14:textFill>
              </w:rPr>
              <w:t>项目不涉及相关行业</w:t>
            </w:r>
          </w:p>
        </w:tc>
        <w:tc>
          <w:tcPr>
            <w:tcW w:w="609" w:type="dxa"/>
            <w:vAlign w:val="center"/>
          </w:tcPr>
          <w:p w14:paraId="4E2E156A">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r>
      <w:tr w14:paraId="3807BF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124" w:type="dxa"/>
            <w:vAlign w:val="center"/>
          </w:tcPr>
          <w:p w14:paraId="32F27B6E">
            <w:pPr>
              <w:pStyle w:val="70"/>
              <w:rPr>
                <w:color w:val="000000" w:themeColor="text1"/>
                <w14:textFill>
                  <w14:solidFill>
                    <w14:schemeClr w14:val="tx1"/>
                  </w14:solidFill>
                </w14:textFill>
              </w:rPr>
            </w:pPr>
            <w:r>
              <w:rPr>
                <w:color w:val="000000" w:themeColor="text1"/>
                <w14:textFill>
                  <w14:solidFill>
                    <w14:schemeClr w14:val="tx1"/>
                  </w14:solidFill>
                </w14:textFill>
              </w:rPr>
              <w:t>其他</w:t>
            </w:r>
          </w:p>
        </w:tc>
        <w:tc>
          <w:tcPr>
            <w:tcW w:w="3810" w:type="dxa"/>
            <w:vAlign w:val="center"/>
          </w:tcPr>
          <w:p w14:paraId="59E71D53">
            <w:pPr>
              <w:pStyle w:val="70"/>
              <w:rPr>
                <w:color w:val="000000" w:themeColor="text1"/>
                <w14:textFill>
                  <w14:solidFill>
                    <w14:schemeClr w14:val="tx1"/>
                  </w14:solidFill>
                </w14:textFill>
              </w:rPr>
            </w:pPr>
            <w:r>
              <w:rPr>
                <w:color w:val="000000" w:themeColor="text1"/>
                <w14:textFill>
                  <w14:solidFill>
                    <w14:schemeClr w14:val="tx1"/>
                  </w14:solidFill>
                </w14:textFill>
              </w:rPr>
              <w:t>涉及危险物质使用、贮存的项目</w:t>
            </w:r>
          </w:p>
        </w:tc>
        <w:tc>
          <w:tcPr>
            <w:tcW w:w="662" w:type="dxa"/>
            <w:vAlign w:val="center"/>
          </w:tcPr>
          <w:p w14:paraId="4066AA3B">
            <w:pPr>
              <w:pStyle w:val="70"/>
              <w:rPr>
                <w:color w:val="000000" w:themeColor="text1"/>
                <w14:textFill>
                  <w14:solidFill>
                    <w14:schemeClr w14:val="tx1"/>
                  </w14:solidFill>
                </w14:textFill>
              </w:rPr>
            </w:pPr>
            <w:r>
              <w:rPr>
                <w:color w:val="000000" w:themeColor="text1"/>
                <w14:textFill>
                  <w14:solidFill>
                    <w14:schemeClr w14:val="tx1"/>
                  </w14:solidFill>
                </w14:textFill>
              </w:rPr>
              <w:t>5</w:t>
            </w:r>
          </w:p>
        </w:tc>
        <w:tc>
          <w:tcPr>
            <w:tcW w:w="2071" w:type="dxa"/>
            <w:vAlign w:val="center"/>
          </w:tcPr>
          <w:p w14:paraId="742F37F1">
            <w:pPr>
              <w:pStyle w:val="70"/>
              <w:rPr>
                <w:color w:val="000000" w:themeColor="text1"/>
                <w:u w:val="single"/>
                <w14:textFill>
                  <w14:solidFill>
                    <w14:schemeClr w14:val="tx1"/>
                  </w14:solidFill>
                </w14:textFill>
              </w:rPr>
            </w:pPr>
          </w:p>
        </w:tc>
        <w:tc>
          <w:tcPr>
            <w:tcW w:w="609" w:type="dxa"/>
            <w:vAlign w:val="center"/>
          </w:tcPr>
          <w:p w14:paraId="6AACF0B5">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r>
      <w:tr w14:paraId="01A1B5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8276" w:type="dxa"/>
            <w:gridSpan w:val="5"/>
            <w:vAlign w:val="center"/>
          </w:tcPr>
          <w:p w14:paraId="61536F77">
            <w:pPr>
              <w:pStyle w:val="70"/>
              <w:rPr>
                <w:color w:val="000000" w:themeColor="text1"/>
                <w14:textFill>
                  <w14:solidFill>
                    <w14:schemeClr w14:val="tx1"/>
                  </w14:solidFill>
                </w14:textFill>
              </w:rPr>
            </w:pPr>
            <w:r>
              <w:rPr>
                <w:color w:val="000000" w:themeColor="text1"/>
                <w:vertAlign w:val="superscript"/>
                <w14:textFill>
                  <w14:solidFill>
                    <w14:schemeClr w14:val="tx1"/>
                  </w14:solidFill>
                </w14:textFill>
              </w:rPr>
              <w:t>a</w:t>
            </w:r>
            <w:r>
              <w:rPr>
                <w:color w:val="000000" w:themeColor="text1"/>
                <w14:textFill>
                  <w14:solidFill>
                    <w14:schemeClr w14:val="tx1"/>
                  </w14:solidFill>
                </w14:textFill>
              </w:rPr>
              <w:t>：高温指工艺温度≥300℃，高压指压力容器的设计压力（p）≥10.0MPa；</w:t>
            </w:r>
          </w:p>
          <w:p w14:paraId="44D7CE6D">
            <w:pPr>
              <w:pStyle w:val="70"/>
              <w:rPr>
                <w:color w:val="000000" w:themeColor="text1"/>
                <w14:textFill>
                  <w14:solidFill>
                    <w14:schemeClr w14:val="tx1"/>
                  </w14:solidFill>
                </w14:textFill>
              </w:rPr>
            </w:pPr>
            <w:r>
              <w:rPr>
                <w:color w:val="000000" w:themeColor="text1"/>
                <w:vertAlign w:val="superscript"/>
                <w14:textFill>
                  <w14:solidFill>
                    <w14:schemeClr w14:val="tx1"/>
                  </w14:solidFill>
                </w14:textFill>
              </w:rPr>
              <w:t>b</w:t>
            </w:r>
            <w:r>
              <w:rPr>
                <w:color w:val="000000" w:themeColor="text1"/>
                <w14:textFill>
                  <w14:solidFill>
                    <w14:schemeClr w14:val="tx1"/>
                  </w14:solidFill>
                </w14:textFill>
              </w:rPr>
              <w:t>：长输管道运输项目应按站场、管线分段进行评价。</w:t>
            </w:r>
          </w:p>
        </w:tc>
      </w:tr>
    </w:tbl>
    <w:p w14:paraId="6C68F8ED">
      <w:pPr>
        <w:pStyle w:val="6"/>
        <w:rPr>
          <w:color w:val="000000" w:themeColor="text1"/>
          <w14:textFill>
            <w14:solidFill>
              <w14:schemeClr w14:val="tx1"/>
            </w14:solidFill>
          </w14:textFill>
        </w:rPr>
      </w:pPr>
      <w:r>
        <w:rPr>
          <w:color w:val="000000" w:themeColor="text1"/>
          <w14:textFill>
            <w14:solidFill>
              <w14:schemeClr w14:val="tx1"/>
            </w14:solidFill>
          </w14:textFill>
        </w:rPr>
        <w:t>危险物质及工艺系统危险性P分级</w:t>
      </w:r>
    </w:p>
    <w:p w14:paraId="5E93B3F2">
      <w:pPr>
        <w:ind w:firstLine="480"/>
        <w:rPr>
          <w:color w:val="000000" w:themeColor="text1"/>
          <w14:textFill>
            <w14:solidFill>
              <w14:schemeClr w14:val="tx1"/>
            </w14:solidFill>
          </w14:textFill>
        </w:rPr>
      </w:pPr>
      <w:r>
        <w:rPr>
          <w:color w:val="000000" w:themeColor="text1"/>
          <w14:textFill>
            <w14:solidFill>
              <w14:schemeClr w14:val="tx1"/>
            </w14:solidFill>
          </w14:textFill>
        </w:rPr>
        <w:t>根据确定的危险物质在项目厂区存储的数量与其规定的临界量比值和所属行业及生产工艺特点（M），确定项目危险物质及工艺系统危险性P等级为P2。</w:t>
      </w:r>
    </w:p>
    <w:p w14:paraId="4E7E20C1">
      <w:pPr>
        <w:pStyle w:val="7"/>
        <w:rPr>
          <w:color w:val="000000" w:themeColor="text1"/>
          <w14:textFill>
            <w14:solidFill>
              <w14:schemeClr w14:val="tx1"/>
            </w14:solidFill>
          </w14:textFill>
        </w:rPr>
      </w:pPr>
      <w:r>
        <w:rPr>
          <w:color w:val="000000" w:themeColor="text1"/>
          <w14:textFill>
            <w14:solidFill>
              <w14:schemeClr w14:val="tx1"/>
            </w14:solidFill>
          </w14:textFill>
        </w:rPr>
        <w:t>危险物质及工艺系统危险性等级判断（P）</w:t>
      </w:r>
    </w:p>
    <w:tbl>
      <w:tblPr>
        <w:tblStyle w:val="43"/>
        <w:tblW w:w="82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38"/>
        <w:gridCol w:w="1571"/>
        <w:gridCol w:w="1655"/>
        <w:gridCol w:w="1655"/>
        <w:gridCol w:w="1657"/>
      </w:tblGrid>
      <w:tr w14:paraId="70E2A0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1738" w:type="dxa"/>
            <w:vMerge w:val="restart"/>
            <w:vAlign w:val="center"/>
          </w:tcPr>
          <w:p w14:paraId="32953760">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危险物质数量与临界量比值（Q）</w:t>
            </w:r>
          </w:p>
        </w:tc>
        <w:tc>
          <w:tcPr>
            <w:tcW w:w="6538" w:type="dxa"/>
            <w:gridSpan w:val="4"/>
            <w:vAlign w:val="center"/>
          </w:tcPr>
          <w:p w14:paraId="7C5A3595">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行业及生产工艺（M）</w:t>
            </w:r>
          </w:p>
        </w:tc>
      </w:tr>
      <w:tr w14:paraId="4D633B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1738" w:type="dxa"/>
            <w:vMerge w:val="continue"/>
            <w:vAlign w:val="center"/>
          </w:tcPr>
          <w:p w14:paraId="6C2DDC9D">
            <w:pPr>
              <w:pStyle w:val="70"/>
              <w:rPr>
                <w:b/>
                <w:bCs/>
                <w:color w:val="000000" w:themeColor="text1"/>
                <w14:textFill>
                  <w14:solidFill>
                    <w14:schemeClr w14:val="tx1"/>
                  </w14:solidFill>
                </w14:textFill>
              </w:rPr>
            </w:pPr>
          </w:p>
        </w:tc>
        <w:tc>
          <w:tcPr>
            <w:tcW w:w="1571" w:type="dxa"/>
            <w:vAlign w:val="center"/>
          </w:tcPr>
          <w:p w14:paraId="3D7CDB31">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M1</w:t>
            </w:r>
          </w:p>
        </w:tc>
        <w:tc>
          <w:tcPr>
            <w:tcW w:w="1655" w:type="dxa"/>
            <w:vAlign w:val="center"/>
          </w:tcPr>
          <w:p w14:paraId="0423F00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M2</w:t>
            </w:r>
          </w:p>
        </w:tc>
        <w:tc>
          <w:tcPr>
            <w:tcW w:w="1655" w:type="dxa"/>
            <w:vAlign w:val="center"/>
          </w:tcPr>
          <w:p w14:paraId="53A0F68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M3</w:t>
            </w:r>
          </w:p>
        </w:tc>
        <w:tc>
          <w:tcPr>
            <w:tcW w:w="1657" w:type="dxa"/>
            <w:vAlign w:val="center"/>
          </w:tcPr>
          <w:p w14:paraId="3DFDF28B">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M4</w:t>
            </w:r>
          </w:p>
        </w:tc>
      </w:tr>
      <w:tr w14:paraId="4E36EB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1738" w:type="dxa"/>
            <w:vAlign w:val="center"/>
          </w:tcPr>
          <w:p w14:paraId="664B1650">
            <w:pPr>
              <w:pStyle w:val="70"/>
              <w:rPr>
                <w:color w:val="000000" w:themeColor="text1"/>
                <w14:textFill>
                  <w14:solidFill>
                    <w14:schemeClr w14:val="tx1"/>
                  </w14:solidFill>
                </w14:textFill>
              </w:rPr>
            </w:pPr>
            <w:r>
              <w:rPr>
                <w:color w:val="000000" w:themeColor="text1"/>
                <w14:textFill>
                  <w14:solidFill>
                    <w14:schemeClr w14:val="tx1"/>
                  </w14:solidFill>
                </w14:textFill>
              </w:rPr>
              <w:t>Q≥100</w:t>
            </w:r>
          </w:p>
        </w:tc>
        <w:tc>
          <w:tcPr>
            <w:tcW w:w="1571" w:type="dxa"/>
            <w:vAlign w:val="center"/>
          </w:tcPr>
          <w:p w14:paraId="40DDC017">
            <w:pPr>
              <w:pStyle w:val="70"/>
              <w:rPr>
                <w:color w:val="000000" w:themeColor="text1"/>
                <w14:textFill>
                  <w14:solidFill>
                    <w14:schemeClr w14:val="tx1"/>
                  </w14:solidFill>
                </w14:textFill>
              </w:rPr>
            </w:pPr>
            <w:r>
              <w:rPr>
                <w:color w:val="000000" w:themeColor="text1"/>
                <w14:textFill>
                  <w14:solidFill>
                    <w14:schemeClr w14:val="tx1"/>
                  </w14:solidFill>
                </w14:textFill>
              </w:rPr>
              <w:t>P1</w:t>
            </w:r>
          </w:p>
        </w:tc>
        <w:tc>
          <w:tcPr>
            <w:tcW w:w="1655" w:type="dxa"/>
            <w:vAlign w:val="center"/>
          </w:tcPr>
          <w:p w14:paraId="0E47F527">
            <w:pPr>
              <w:pStyle w:val="70"/>
              <w:rPr>
                <w:color w:val="000000" w:themeColor="text1"/>
                <w14:textFill>
                  <w14:solidFill>
                    <w14:schemeClr w14:val="tx1"/>
                  </w14:solidFill>
                </w14:textFill>
              </w:rPr>
            </w:pPr>
            <w:r>
              <w:rPr>
                <w:color w:val="000000" w:themeColor="text1"/>
                <w14:textFill>
                  <w14:solidFill>
                    <w14:schemeClr w14:val="tx1"/>
                  </w14:solidFill>
                </w14:textFill>
              </w:rPr>
              <w:t>P1</w:t>
            </w:r>
          </w:p>
        </w:tc>
        <w:tc>
          <w:tcPr>
            <w:tcW w:w="1655" w:type="dxa"/>
            <w:shd w:val="clear" w:color="auto" w:fill="A6A6A6"/>
            <w:vAlign w:val="center"/>
          </w:tcPr>
          <w:p w14:paraId="19064133">
            <w:pPr>
              <w:pStyle w:val="70"/>
              <w:rPr>
                <w:color w:val="000000" w:themeColor="text1"/>
                <w14:textFill>
                  <w14:solidFill>
                    <w14:schemeClr w14:val="tx1"/>
                  </w14:solidFill>
                </w14:textFill>
              </w:rPr>
            </w:pPr>
            <w:r>
              <w:rPr>
                <w:color w:val="000000" w:themeColor="text1"/>
                <w14:textFill>
                  <w14:solidFill>
                    <w14:schemeClr w14:val="tx1"/>
                  </w14:solidFill>
                </w14:textFill>
              </w:rPr>
              <w:t>P2</w:t>
            </w:r>
          </w:p>
        </w:tc>
        <w:tc>
          <w:tcPr>
            <w:tcW w:w="1657" w:type="dxa"/>
            <w:vAlign w:val="center"/>
          </w:tcPr>
          <w:p w14:paraId="09E4C187">
            <w:pPr>
              <w:pStyle w:val="70"/>
              <w:rPr>
                <w:color w:val="000000" w:themeColor="text1"/>
                <w14:textFill>
                  <w14:solidFill>
                    <w14:schemeClr w14:val="tx1"/>
                  </w14:solidFill>
                </w14:textFill>
              </w:rPr>
            </w:pPr>
            <w:r>
              <w:rPr>
                <w:color w:val="000000" w:themeColor="text1"/>
                <w14:textFill>
                  <w14:solidFill>
                    <w14:schemeClr w14:val="tx1"/>
                  </w14:solidFill>
                </w14:textFill>
              </w:rPr>
              <w:t>P3</w:t>
            </w:r>
          </w:p>
        </w:tc>
      </w:tr>
      <w:tr w14:paraId="367289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1738" w:type="dxa"/>
            <w:vAlign w:val="center"/>
          </w:tcPr>
          <w:p w14:paraId="6C216A9B">
            <w:pPr>
              <w:pStyle w:val="70"/>
              <w:rPr>
                <w:color w:val="000000" w:themeColor="text1"/>
                <w14:textFill>
                  <w14:solidFill>
                    <w14:schemeClr w14:val="tx1"/>
                  </w14:solidFill>
                </w14:textFill>
              </w:rPr>
            </w:pPr>
            <w:r>
              <w:rPr>
                <w:color w:val="000000" w:themeColor="text1"/>
                <w14:textFill>
                  <w14:solidFill>
                    <w14:schemeClr w14:val="tx1"/>
                  </w14:solidFill>
                </w14:textFill>
              </w:rPr>
              <w:t>10≤Q＜100</w:t>
            </w:r>
          </w:p>
        </w:tc>
        <w:tc>
          <w:tcPr>
            <w:tcW w:w="1571" w:type="dxa"/>
            <w:vAlign w:val="center"/>
          </w:tcPr>
          <w:p w14:paraId="6C18E6F6">
            <w:pPr>
              <w:pStyle w:val="70"/>
              <w:rPr>
                <w:color w:val="000000" w:themeColor="text1"/>
                <w14:textFill>
                  <w14:solidFill>
                    <w14:schemeClr w14:val="tx1"/>
                  </w14:solidFill>
                </w14:textFill>
              </w:rPr>
            </w:pPr>
            <w:r>
              <w:rPr>
                <w:color w:val="000000" w:themeColor="text1"/>
                <w14:textFill>
                  <w14:solidFill>
                    <w14:schemeClr w14:val="tx1"/>
                  </w14:solidFill>
                </w14:textFill>
              </w:rPr>
              <w:t>P1</w:t>
            </w:r>
          </w:p>
        </w:tc>
        <w:tc>
          <w:tcPr>
            <w:tcW w:w="1655" w:type="dxa"/>
            <w:vAlign w:val="center"/>
          </w:tcPr>
          <w:p w14:paraId="6D62C969">
            <w:pPr>
              <w:pStyle w:val="70"/>
              <w:rPr>
                <w:color w:val="000000" w:themeColor="text1"/>
                <w14:textFill>
                  <w14:solidFill>
                    <w14:schemeClr w14:val="tx1"/>
                  </w14:solidFill>
                </w14:textFill>
              </w:rPr>
            </w:pPr>
            <w:r>
              <w:rPr>
                <w:color w:val="000000" w:themeColor="text1"/>
                <w14:textFill>
                  <w14:solidFill>
                    <w14:schemeClr w14:val="tx1"/>
                  </w14:solidFill>
                </w14:textFill>
              </w:rPr>
              <w:t>P2</w:t>
            </w:r>
          </w:p>
        </w:tc>
        <w:tc>
          <w:tcPr>
            <w:tcW w:w="1655" w:type="dxa"/>
            <w:vAlign w:val="center"/>
          </w:tcPr>
          <w:p w14:paraId="76F8CC65">
            <w:pPr>
              <w:pStyle w:val="70"/>
              <w:rPr>
                <w:color w:val="000000" w:themeColor="text1"/>
                <w14:textFill>
                  <w14:solidFill>
                    <w14:schemeClr w14:val="tx1"/>
                  </w14:solidFill>
                </w14:textFill>
              </w:rPr>
            </w:pPr>
            <w:r>
              <w:rPr>
                <w:color w:val="000000" w:themeColor="text1"/>
                <w14:textFill>
                  <w14:solidFill>
                    <w14:schemeClr w14:val="tx1"/>
                  </w14:solidFill>
                </w14:textFill>
              </w:rPr>
              <w:t>P3</w:t>
            </w:r>
          </w:p>
        </w:tc>
        <w:tc>
          <w:tcPr>
            <w:tcW w:w="1657" w:type="dxa"/>
            <w:vAlign w:val="center"/>
          </w:tcPr>
          <w:p w14:paraId="4D8418D6">
            <w:pPr>
              <w:pStyle w:val="70"/>
              <w:rPr>
                <w:color w:val="000000" w:themeColor="text1"/>
                <w14:textFill>
                  <w14:solidFill>
                    <w14:schemeClr w14:val="tx1"/>
                  </w14:solidFill>
                </w14:textFill>
              </w:rPr>
            </w:pPr>
            <w:r>
              <w:rPr>
                <w:color w:val="000000" w:themeColor="text1"/>
                <w14:textFill>
                  <w14:solidFill>
                    <w14:schemeClr w14:val="tx1"/>
                  </w14:solidFill>
                </w14:textFill>
              </w:rPr>
              <w:t>P4</w:t>
            </w:r>
          </w:p>
        </w:tc>
      </w:tr>
      <w:tr w14:paraId="6A731B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1738" w:type="dxa"/>
            <w:vAlign w:val="center"/>
          </w:tcPr>
          <w:p w14:paraId="21DAD1F6">
            <w:pPr>
              <w:pStyle w:val="70"/>
              <w:rPr>
                <w:color w:val="000000" w:themeColor="text1"/>
                <w14:textFill>
                  <w14:solidFill>
                    <w14:schemeClr w14:val="tx1"/>
                  </w14:solidFill>
                </w14:textFill>
              </w:rPr>
            </w:pPr>
            <w:r>
              <w:rPr>
                <w:color w:val="000000" w:themeColor="text1"/>
                <w14:textFill>
                  <w14:solidFill>
                    <w14:schemeClr w14:val="tx1"/>
                  </w14:solidFill>
                </w14:textFill>
              </w:rPr>
              <w:t>1≤Q＜10</w:t>
            </w:r>
          </w:p>
        </w:tc>
        <w:tc>
          <w:tcPr>
            <w:tcW w:w="1571" w:type="dxa"/>
            <w:vAlign w:val="center"/>
          </w:tcPr>
          <w:p w14:paraId="025318BA">
            <w:pPr>
              <w:pStyle w:val="70"/>
              <w:rPr>
                <w:color w:val="000000" w:themeColor="text1"/>
                <w14:textFill>
                  <w14:solidFill>
                    <w14:schemeClr w14:val="tx1"/>
                  </w14:solidFill>
                </w14:textFill>
              </w:rPr>
            </w:pPr>
            <w:r>
              <w:rPr>
                <w:color w:val="000000" w:themeColor="text1"/>
                <w14:textFill>
                  <w14:solidFill>
                    <w14:schemeClr w14:val="tx1"/>
                  </w14:solidFill>
                </w14:textFill>
              </w:rPr>
              <w:t>P2</w:t>
            </w:r>
          </w:p>
        </w:tc>
        <w:tc>
          <w:tcPr>
            <w:tcW w:w="1655" w:type="dxa"/>
            <w:vAlign w:val="center"/>
          </w:tcPr>
          <w:p w14:paraId="33BD9D8F">
            <w:pPr>
              <w:pStyle w:val="70"/>
              <w:rPr>
                <w:color w:val="000000" w:themeColor="text1"/>
                <w14:textFill>
                  <w14:solidFill>
                    <w14:schemeClr w14:val="tx1"/>
                  </w14:solidFill>
                </w14:textFill>
              </w:rPr>
            </w:pPr>
            <w:r>
              <w:rPr>
                <w:color w:val="000000" w:themeColor="text1"/>
                <w14:textFill>
                  <w14:solidFill>
                    <w14:schemeClr w14:val="tx1"/>
                  </w14:solidFill>
                </w14:textFill>
              </w:rPr>
              <w:t>P3</w:t>
            </w:r>
          </w:p>
        </w:tc>
        <w:tc>
          <w:tcPr>
            <w:tcW w:w="1655" w:type="dxa"/>
            <w:vAlign w:val="center"/>
          </w:tcPr>
          <w:p w14:paraId="11D3EC37">
            <w:pPr>
              <w:pStyle w:val="70"/>
              <w:rPr>
                <w:color w:val="000000" w:themeColor="text1"/>
                <w14:textFill>
                  <w14:solidFill>
                    <w14:schemeClr w14:val="tx1"/>
                  </w14:solidFill>
                </w14:textFill>
              </w:rPr>
            </w:pPr>
            <w:r>
              <w:rPr>
                <w:color w:val="000000" w:themeColor="text1"/>
                <w14:textFill>
                  <w14:solidFill>
                    <w14:schemeClr w14:val="tx1"/>
                  </w14:solidFill>
                </w14:textFill>
              </w:rPr>
              <w:t>P4</w:t>
            </w:r>
          </w:p>
        </w:tc>
        <w:tc>
          <w:tcPr>
            <w:tcW w:w="1657" w:type="dxa"/>
            <w:vAlign w:val="center"/>
          </w:tcPr>
          <w:p w14:paraId="5D524EF3">
            <w:pPr>
              <w:pStyle w:val="70"/>
              <w:rPr>
                <w:color w:val="000000" w:themeColor="text1"/>
                <w14:textFill>
                  <w14:solidFill>
                    <w14:schemeClr w14:val="tx1"/>
                  </w14:solidFill>
                </w14:textFill>
              </w:rPr>
            </w:pPr>
            <w:r>
              <w:rPr>
                <w:color w:val="000000" w:themeColor="text1"/>
                <w14:textFill>
                  <w14:solidFill>
                    <w14:schemeClr w14:val="tx1"/>
                  </w14:solidFill>
                </w14:textFill>
              </w:rPr>
              <w:t>P4</w:t>
            </w:r>
          </w:p>
        </w:tc>
      </w:tr>
    </w:tbl>
    <w:p w14:paraId="153220EF">
      <w:pPr>
        <w:pStyle w:val="6"/>
        <w:rPr>
          <w:color w:val="000000" w:themeColor="text1"/>
          <w14:textFill>
            <w14:solidFill>
              <w14:schemeClr w14:val="tx1"/>
            </w14:solidFill>
          </w14:textFill>
        </w:rPr>
      </w:pPr>
      <w:r>
        <w:rPr>
          <w:color w:val="000000" w:themeColor="text1"/>
          <w14:textFill>
            <w14:solidFill>
              <w14:schemeClr w14:val="tx1"/>
            </w14:solidFill>
          </w14:textFill>
        </w:rPr>
        <w:t>环境敏感程度E的分级确定</w:t>
      </w:r>
    </w:p>
    <w:p w14:paraId="26B53681">
      <w:pPr>
        <w:ind w:firstLine="480"/>
        <w:rPr>
          <w:color w:val="000000" w:themeColor="text1"/>
          <w14:textFill>
            <w14:solidFill>
              <w14:schemeClr w14:val="tx1"/>
            </w14:solidFill>
          </w14:textFill>
        </w:rPr>
      </w:pPr>
      <w:r>
        <w:rPr>
          <w:color w:val="000000" w:themeColor="text1"/>
          <w14:textFill>
            <w14:solidFill>
              <w14:schemeClr w14:val="tx1"/>
            </w14:solidFill>
          </w14:textFill>
        </w:rPr>
        <w:t>（1）大气环境</w:t>
      </w:r>
    </w:p>
    <w:p w14:paraId="4DB4A0A5">
      <w:pPr>
        <w:ind w:firstLine="480"/>
        <w:rPr>
          <w:color w:val="000000" w:themeColor="text1"/>
          <w14:textFill>
            <w14:solidFill>
              <w14:schemeClr w14:val="tx1"/>
            </w14:solidFill>
          </w14:textFill>
        </w:rPr>
      </w:pPr>
      <w:r>
        <w:rPr>
          <w:color w:val="000000" w:themeColor="text1"/>
          <w14:textFill>
            <w14:solidFill>
              <w14:schemeClr w14:val="tx1"/>
            </w14:solidFill>
          </w14:textFill>
        </w:rPr>
        <w:t>根据《建设项目环境风险评价技术导则》（HJ169-2018）附录D，周边5km范围内居住区、医疗卫生、文化教育、科研、行政办公等机构人口总数大于1万人，小于5万人，为环境低度敏感区（E2）。本项目周边5km范围内人口总数大于1万人，小于5万人，故本项目大气环境敏感度为E2。</w:t>
      </w:r>
    </w:p>
    <w:p w14:paraId="53D4D7A1">
      <w:pPr>
        <w:ind w:firstLine="480"/>
        <w:rPr>
          <w:color w:val="000000" w:themeColor="text1"/>
          <w14:textFill>
            <w14:solidFill>
              <w14:schemeClr w14:val="tx1"/>
            </w14:solidFill>
          </w14:textFill>
        </w:rPr>
      </w:pPr>
      <w:r>
        <w:rPr>
          <w:color w:val="000000" w:themeColor="text1"/>
          <w14:textFill>
            <w14:solidFill>
              <w14:schemeClr w14:val="tx1"/>
            </w14:solidFill>
          </w14:textFill>
        </w:rPr>
        <w:t>（2）地表水环境</w:t>
      </w:r>
    </w:p>
    <w:p w14:paraId="1E7DEA69">
      <w:pPr>
        <w:ind w:firstLine="480"/>
        <w:rPr>
          <w:color w:val="000000" w:themeColor="text1"/>
          <w14:textFill>
            <w14:solidFill>
              <w14:schemeClr w14:val="tx1"/>
            </w14:solidFill>
          </w14:textFill>
        </w:rPr>
      </w:pPr>
      <w:r>
        <w:rPr>
          <w:color w:val="000000" w:themeColor="text1"/>
          <w14:textFill>
            <w14:solidFill>
              <w14:schemeClr w14:val="tx1"/>
            </w14:solidFill>
          </w14:textFill>
        </w:rPr>
        <w:t>依据事故情况下危险物质泄漏到水体的排放点收纳地表水体功能敏感性，与下游环境敏感目标情况，共分为三种类型，E1为环境高度敏感区，E2为环境中度敏感区，E3为环境低度敏感区，分级原则见表5.2-3。其中地表水功能敏感性分区和环境敏感目标分级分别见表5.4-4、表5.2-5。</w:t>
      </w:r>
    </w:p>
    <w:p w14:paraId="5CD9A1F5">
      <w:pPr>
        <w:ind w:firstLine="480"/>
        <w:rPr>
          <w:color w:val="000000" w:themeColor="text1"/>
          <w14:textFill>
            <w14:solidFill>
              <w14:schemeClr w14:val="tx1"/>
            </w14:solidFill>
          </w14:textFill>
        </w:rPr>
      </w:pPr>
      <w:r>
        <w:rPr>
          <w:color w:val="000000" w:themeColor="text1"/>
          <w14:textFill>
            <w14:solidFill>
              <w14:schemeClr w14:val="tx1"/>
            </w14:solidFill>
          </w14:textFill>
        </w:rPr>
        <w:t>项目无外排废水，码头前沿水域海水水质为第四类，地表水环境敏感特征为低敏感度F3。根据水环境风险预测结果，一个潮周期水质点可能到达水平距离两倍范围内分布有金鼓江红树林分布区，环境敏感目标分级为S1。项目地表水环境敏感程度为中渡敏感区（E2）。</w:t>
      </w:r>
    </w:p>
    <w:p w14:paraId="0C84E64B">
      <w:pPr>
        <w:pStyle w:val="7"/>
        <w:rPr>
          <w:color w:val="000000" w:themeColor="text1"/>
          <w14:textFill>
            <w14:solidFill>
              <w14:schemeClr w14:val="tx1"/>
            </w14:solidFill>
          </w14:textFill>
        </w:rPr>
      </w:pPr>
      <w:r>
        <w:rPr>
          <w:color w:val="000000" w:themeColor="text1"/>
          <w14:textFill>
            <w14:solidFill>
              <w14:schemeClr w14:val="tx1"/>
            </w14:solidFill>
          </w14:textFill>
        </w:rPr>
        <w:t>地表水环境敏感程度分级</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069"/>
        <w:gridCol w:w="2069"/>
        <w:gridCol w:w="2069"/>
        <w:gridCol w:w="2069"/>
      </w:tblGrid>
      <w:tr w14:paraId="157D3E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69" w:type="dxa"/>
            <w:vMerge w:val="restart"/>
            <w:vAlign w:val="center"/>
          </w:tcPr>
          <w:p w14:paraId="1021091C">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环境敏感目标</w:t>
            </w:r>
          </w:p>
        </w:tc>
        <w:tc>
          <w:tcPr>
            <w:tcW w:w="6207" w:type="dxa"/>
            <w:gridSpan w:val="3"/>
            <w:vAlign w:val="center"/>
          </w:tcPr>
          <w:p w14:paraId="2029F41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地表水功能敏感性</w:t>
            </w:r>
          </w:p>
        </w:tc>
      </w:tr>
      <w:tr w14:paraId="655650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69" w:type="dxa"/>
            <w:vMerge w:val="continue"/>
            <w:vAlign w:val="center"/>
          </w:tcPr>
          <w:p w14:paraId="090C1D30">
            <w:pPr>
              <w:pStyle w:val="70"/>
              <w:rPr>
                <w:b/>
                <w:bCs/>
                <w:color w:val="000000" w:themeColor="text1"/>
                <w14:textFill>
                  <w14:solidFill>
                    <w14:schemeClr w14:val="tx1"/>
                  </w14:solidFill>
                </w14:textFill>
              </w:rPr>
            </w:pPr>
          </w:p>
        </w:tc>
        <w:tc>
          <w:tcPr>
            <w:tcW w:w="2069" w:type="dxa"/>
            <w:vAlign w:val="center"/>
          </w:tcPr>
          <w:p w14:paraId="3EE26A1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F1</w:t>
            </w:r>
          </w:p>
        </w:tc>
        <w:tc>
          <w:tcPr>
            <w:tcW w:w="2069" w:type="dxa"/>
            <w:vAlign w:val="center"/>
          </w:tcPr>
          <w:p w14:paraId="273AC774">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F2</w:t>
            </w:r>
          </w:p>
        </w:tc>
        <w:tc>
          <w:tcPr>
            <w:tcW w:w="2069" w:type="dxa"/>
            <w:vAlign w:val="center"/>
          </w:tcPr>
          <w:p w14:paraId="7A3D3392">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F3</w:t>
            </w:r>
          </w:p>
        </w:tc>
      </w:tr>
      <w:tr w14:paraId="74FBDA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69" w:type="dxa"/>
            <w:vAlign w:val="center"/>
          </w:tcPr>
          <w:p w14:paraId="51E1DFB6">
            <w:pPr>
              <w:pStyle w:val="70"/>
              <w:rPr>
                <w:color w:val="000000" w:themeColor="text1"/>
                <w14:textFill>
                  <w14:solidFill>
                    <w14:schemeClr w14:val="tx1"/>
                  </w14:solidFill>
                </w14:textFill>
              </w:rPr>
            </w:pPr>
            <w:r>
              <w:rPr>
                <w:color w:val="000000" w:themeColor="text1"/>
                <w14:textFill>
                  <w14:solidFill>
                    <w14:schemeClr w14:val="tx1"/>
                  </w14:solidFill>
                </w14:textFill>
              </w:rPr>
              <w:t>S1</w:t>
            </w:r>
          </w:p>
        </w:tc>
        <w:tc>
          <w:tcPr>
            <w:tcW w:w="2069" w:type="dxa"/>
            <w:vAlign w:val="center"/>
          </w:tcPr>
          <w:p w14:paraId="508D0C16">
            <w:pPr>
              <w:pStyle w:val="70"/>
              <w:rPr>
                <w:color w:val="000000" w:themeColor="text1"/>
                <w14:textFill>
                  <w14:solidFill>
                    <w14:schemeClr w14:val="tx1"/>
                  </w14:solidFill>
                </w14:textFill>
              </w:rPr>
            </w:pPr>
            <w:r>
              <w:rPr>
                <w:color w:val="000000" w:themeColor="text1"/>
                <w14:textFill>
                  <w14:solidFill>
                    <w14:schemeClr w14:val="tx1"/>
                  </w14:solidFill>
                </w14:textFill>
              </w:rPr>
              <w:t>E1</w:t>
            </w:r>
          </w:p>
        </w:tc>
        <w:tc>
          <w:tcPr>
            <w:tcW w:w="2069" w:type="dxa"/>
            <w:vAlign w:val="center"/>
          </w:tcPr>
          <w:p w14:paraId="6E4AFDEA">
            <w:pPr>
              <w:pStyle w:val="70"/>
              <w:rPr>
                <w:color w:val="000000" w:themeColor="text1"/>
                <w14:textFill>
                  <w14:solidFill>
                    <w14:schemeClr w14:val="tx1"/>
                  </w14:solidFill>
                </w14:textFill>
              </w:rPr>
            </w:pPr>
            <w:r>
              <w:rPr>
                <w:color w:val="000000" w:themeColor="text1"/>
                <w14:textFill>
                  <w14:solidFill>
                    <w14:schemeClr w14:val="tx1"/>
                  </w14:solidFill>
                </w14:textFill>
              </w:rPr>
              <w:t>E1</w:t>
            </w:r>
          </w:p>
        </w:tc>
        <w:tc>
          <w:tcPr>
            <w:tcW w:w="2069" w:type="dxa"/>
            <w:shd w:val="clear" w:color="auto" w:fill="D8D8D8" w:themeFill="background1" w:themeFillShade="D9"/>
            <w:vAlign w:val="center"/>
          </w:tcPr>
          <w:p w14:paraId="3E509FF1">
            <w:pPr>
              <w:pStyle w:val="70"/>
              <w:rPr>
                <w:color w:val="000000" w:themeColor="text1"/>
                <w14:textFill>
                  <w14:solidFill>
                    <w14:schemeClr w14:val="tx1"/>
                  </w14:solidFill>
                </w14:textFill>
              </w:rPr>
            </w:pPr>
            <w:r>
              <w:rPr>
                <w:color w:val="000000" w:themeColor="text1"/>
                <w14:textFill>
                  <w14:solidFill>
                    <w14:schemeClr w14:val="tx1"/>
                  </w14:solidFill>
                </w14:textFill>
              </w:rPr>
              <w:t>E2</w:t>
            </w:r>
          </w:p>
        </w:tc>
      </w:tr>
      <w:tr w14:paraId="363686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69" w:type="dxa"/>
            <w:vAlign w:val="center"/>
          </w:tcPr>
          <w:p w14:paraId="7354C1B9">
            <w:pPr>
              <w:pStyle w:val="70"/>
              <w:rPr>
                <w:color w:val="000000" w:themeColor="text1"/>
                <w14:textFill>
                  <w14:solidFill>
                    <w14:schemeClr w14:val="tx1"/>
                  </w14:solidFill>
                </w14:textFill>
              </w:rPr>
            </w:pPr>
            <w:r>
              <w:rPr>
                <w:color w:val="000000" w:themeColor="text1"/>
                <w14:textFill>
                  <w14:solidFill>
                    <w14:schemeClr w14:val="tx1"/>
                  </w14:solidFill>
                </w14:textFill>
              </w:rPr>
              <w:t>S2</w:t>
            </w:r>
          </w:p>
        </w:tc>
        <w:tc>
          <w:tcPr>
            <w:tcW w:w="2069" w:type="dxa"/>
            <w:vAlign w:val="center"/>
          </w:tcPr>
          <w:p w14:paraId="614D62A3">
            <w:pPr>
              <w:pStyle w:val="70"/>
              <w:rPr>
                <w:color w:val="000000" w:themeColor="text1"/>
                <w14:textFill>
                  <w14:solidFill>
                    <w14:schemeClr w14:val="tx1"/>
                  </w14:solidFill>
                </w14:textFill>
              </w:rPr>
            </w:pPr>
            <w:r>
              <w:rPr>
                <w:color w:val="000000" w:themeColor="text1"/>
                <w14:textFill>
                  <w14:solidFill>
                    <w14:schemeClr w14:val="tx1"/>
                  </w14:solidFill>
                </w14:textFill>
              </w:rPr>
              <w:t>E1</w:t>
            </w:r>
          </w:p>
        </w:tc>
        <w:tc>
          <w:tcPr>
            <w:tcW w:w="2069" w:type="dxa"/>
            <w:vAlign w:val="center"/>
          </w:tcPr>
          <w:p w14:paraId="775F27C6">
            <w:pPr>
              <w:pStyle w:val="70"/>
              <w:rPr>
                <w:color w:val="000000" w:themeColor="text1"/>
                <w14:textFill>
                  <w14:solidFill>
                    <w14:schemeClr w14:val="tx1"/>
                  </w14:solidFill>
                </w14:textFill>
              </w:rPr>
            </w:pPr>
            <w:r>
              <w:rPr>
                <w:color w:val="000000" w:themeColor="text1"/>
                <w14:textFill>
                  <w14:solidFill>
                    <w14:schemeClr w14:val="tx1"/>
                  </w14:solidFill>
                </w14:textFill>
              </w:rPr>
              <w:t>E2</w:t>
            </w:r>
          </w:p>
        </w:tc>
        <w:tc>
          <w:tcPr>
            <w:tcW w:w="2069" w:type="dxa"/>
            <w:vAlign w:val="center"/>
          </w:tcPr>
          <w:p w14:paraId="301A1EC8">
            <w:pPr>
              <w:pStyle w:val="70"/>
              <w:rPr>
                <w:color w:val="000000" w:themeColor="text1"/>
                <w14:textFill>
                  <w14:solidFill>
                    <w14:schemeClr w14:val="tx1"/>
                  </w14:solidFill>
                </w14:textFill>
              </w:rPr>
            </w:pPr>
            <w:r>
              <w:rPr>
                <w:color w:val="000000" w:themeColor="text1"/>
                <w14:textFill>
                  <w14:solidFill>
                    <w14:schemeClr w14:val="tx1"/>
                  </w14:solidFill>
                </w14:textFill>
              </w:rPr>
              <w:t>E3</w:t>
            </w:r>
          </w:p>
        </w:tc>
      </w:tr>
      <w:tr w14:paraId="531105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69" w:type="dxa"/>
            <w:vAlign w:val="center"/>
          </w:tcPr>
          <w:p w14:paraId="63ED2636">
            <w:pPr>
              <w:pStyle w:val="70"/>
              <w:rPr>
                <w:color w:val="000000" w:themeColor="text1"/>
                <w14:textFill>
                  <w14:solidFill>
                    <w14:schemeClr w14:val="tx1"/>
                  </w14:solidFill>
                </w14:textFill>
              </w:rPr>
            </w:pPr>
            <w:r>
              <w:rPr>
                <w:color w:val="000000" w:themeColor="text1"/>
                <w14:textFill>
                  <w14:solidFill>
                    <w14:schemeClr w14:val="tx1"/>
                  </w14:solidFill>
                </w14:textFill>
              </w:rPr>
              <w:t>S3</w:t>
            </w:r>
          </w:p>
        </w:tc>
        <w:tc>
          <w:tcPr>
            <w:tcW w:w="2069" w:type="dxa"/>
            <w:vAlign w:val="center"/>
          </w:tcPr>
          <w:p w14:paraId="0EBB07DF">
            <w:pPr>
              <w:pStyle w:val="70"/>
              <w:rPr>
                <w:color w:val="000000" w:themeColor="text1"/>
                <w14:textFill>
                  <w14:solidFill>
                    <w14:schemeClr w14:val="tx1"/>
                  </w14:solidFill>
                </w14:textFill>
              </w:rPr>
            </w:pPr>
            <w:r>
              <w:rPr>
                <w:color w:val="000000" w:themeColor="text1"/>
                <w14:textFill>
                  <w14:solidFill>
                    <w14:schemeClr w14:val="tx1"/>
                  </w14:solidFill>
                </w14:textFill>
              </w:rPr>
              <w:t>E1</w:t>
            </w:r>
          </w:p>
        </w:tc>
        <w:tc>
          <w:tcPr>
            <w:tcW w:w="2069" w:type="dxa"/>
            <w:vAlign w:val="center"/>
          </w:tcPr>
          <w:p w14:paraId="6366C699">
            <w:pPr>
              <w:pStyle w:val="70"/>
              <w:rPr>
                <w:color w:val="000000" w:themeColor="text1"/>
                <w14:textFill>
                  <w14:solidFill>
                    <w14:schemeClr w14:val="tx1"/>
                  </w14:solidFill>
                </w14:textFill>
              </w:rPr>
            </w:pPr>
            <w:r>
              <w:rPr>
                <w:color w:val="000000" w:themeColor="text1"/>
                <w14:textFill>
                  <w14:solidFill>
                    <w14:schemeClr w14:val="tx1"/>
                  </w14:solidFill>
                </w14:textFill>
              </w:rPr>
              <w:t>E2</w:t>
            </w:r>
          </w:p>
        </w:tc>
        <w:tc>
          <w:tcPr>
            <w:tcW w:w="2069" w:type="dxa"/>
            <w:vAlign w:val="center"/>
          </w:tcPr>
          <w:p w14:paraId="4321AEA6">
            <w:pPr>
              <w:pStyle w:val="70"/>
              <w:rPr>
                <w:color w:val="000000" w:themeColor="text1"/>
                <w14:textFill>
                  <w14:solidFill>
                    <w14:schemeClr w14:val="tx1"/>
                  </w14:solidFill>
                </w14:textFill>
              </w:rPr>
            </w:pPr>
            <w:r>
              <w:rPr>
                <w:color w:val="000000" w:themeColor="text1"/>
                <w14:textFill>
                  <w14:solidFill>
                    <w14:schemeClr w14:val="tx1"/>
                  </w14:solidFill>
                </w14:textFill>
              </w:rPr>
              <w:t>E3</w:t>
            </w:r>
          </w:p>
        </w:tc>
      </w:tr>
    </w:tbl>
    <w:p w14:paraId="0F363374">
      <w:pPr>
        <w:pStyle w:val="7"/>
        <w:rPr>
          <w:color w:val="000000" w:themeColor="text1"/>
          <w14:textFill>
            <w14:solidFill>
              <w14:schemeClr w14:val="tx1"/>
            </w14:solidFill>
          </w14:textFill>
        </w:rPr>
      </w:pPr>
      <w:r>
        <w:rPr>
          <w:color w:val="000000" w:themeColor="text1"/>
          <w14:textFill>
            <w14:solidFill>
              <w14:schemeClr w14:val="tx1"/>
            </w14:solidFill>
          </w14:textFill>
        </w:rPr>
        <w:t>地表水功能敏感性分区</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82"/>
        <w:gridCol w:w="7294"/>
      </w:tblGrid>
      <w:tr w14:paraId="5BC48F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82" w:type="dxa"/>
            <w:vAlign w:val="center"/>
          </w:tcPr>
          <w:p w14:paraId="19422D8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敏感性</w:t>
            </w:r>
          </w:p>
        </w:tc>
        <w:tc>
          <w:tcPr>
            <w:tcW w:w="7294" w:type="dxa"/>
            <w:vAlign w:val="center"/>
          </w:tcPr>
          <w:p w14:paraId="78FCF19A">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地表水环境敏感特征</w:t>
            </w:r>
          </w:p>
        </w:tc>
      </w:tr>
      <w:tr w14:paraId="7B6C49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82" w:type="dxa"/>
            <w:vAlign w:val="center"/>
          </w:tcPr>
          <w:p w14:paraId="3F95DCF2">
            <w:pPr>
              <w:pStyle w:val="70"/>
              <w:rPr>
                <w:color w:val="000000" w:themeColor="text1"/>
                <w14:textFill>
                  <w14:solidFill>
                    <w14:schemeClr w14:val="tx1"/>
                  </w14:solidFill>
                </w14:textFill>
              </w:rPr>
            </w:pPr>
            <w:r>
              <w:rPr>
                <w:color w:val="000000" w:themeColor="text1"/>
                <w14:textFill>
                  <w14:solidFill>
                    <w14:schemeClr w14:val="tx1"/>
                  </w14:solidFill>
                </w14:textFill>
              </w:rPr>
              <w:t>敏感F1</w:t>
            </w:r>
          </w:p>
        </w:tc>
        <w:tc>
          <w:tcPr>
            <w:tcW w:w="7294" w:type="dxa"/>
            <w:vAlign w:val="center"/>
          </w:tcPr>
          <w:p w14:paraId="5FE6A966">
            <w:pPr>
              <w:pStyle w:val="70"/>
              <w:rPr>
                <w:color w:val="000000" w:themeColor="text1"/>
                <w14:textFill>
                  <w14:solidFill>
                    <w14:schemeClr w14:val="tx1"/>
                  </w14:solidFill>
                </w14:textFill>
              </w:rPr>
            </w:pPr>
            <w:r>
              <w:rPr>
                <w:color w:val="000000" w:themeColor="text1"/>
                <w14:textFill>
                  <w14:solidFill>
                    <w14:schemeClr w14:val="tx1"/>
                  </w14:solidFill>
                </w14:textFill>
              </w:rPr>
              <w:t>排放点进入地表水水域环境功能为Ⅱ类及以上，或海水水质分类第一类；或以发生事故时，危险物质泄漏到水体的排放点算起，排放进入受纳河流最大流速时，24h流经范围内涉跨国界的</w:t>
            </w:r>
          </w:p>
        </w:tc>
      </w:tr>
      <w:tr w14:paraId="0C572C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82" w:type="dxa"/>
            <w:vAlign w:val="center"/>
          </w:tcPr>
          <w:p w14:paraId="2E9E3FED">
            <w:pPr>
              <w:pStyle w:val="70"/>
              <w:rPr>
                <w:color w:val="000000" w:themeColor="text1"/>
                <w14:textFill>
                  <w14:solidFill>
                    <w14:schemeClr w14:val="tx1"/>
                  </w14:solidFill>
                </w14:textFill>
              </w:rPr>
            </w:pPr>
            <w:r>
              <w:rPr>
                <w:color w:val="000000" w:themeColor="text1"/>
                <w14:textFill>
                  <w14:solidFill>
                    <w14:schemeClr w14:val="tx1"/>
                  </w14:solidFill>
                </w14:textFill>
              </w:rPr>
              <w:t>较敏感F2</w:t>
            </w:r>
          </w:p>
        </w:tc>
        <w:tc>
          <w:tcPr>
            <w:tcW w:w="7294" w:type="dxa"/>
            <w:vAlign w:val="center"/>
          </w:tcPr>
          <w:p w14:paraId="2C3D8B4B">
            <w:pPr>
              <w:pStyle w:val="70"/>
              <w:rPr>
                <w:color w:val="000000" w:themeColor="text1"/>
                <w14:textFill>
                  <w14:solidFill>
                    <w14:schemeClr w14:val="tx1"/>
                  </w14:solidFill>
                </w14:textFill>
              </w:rPr>
            </w:pPr>
            <w:r>
              <w:rPr>
                <w:color w:val="000000" w:themeColor="text1"/>
                <w14:textFill>
                  <w14:solidFill>
                    <w14:schemeClr w14:val="tx1"/>
                  </w14:solidFill>
                </w14:textFill>
              </w:rPr>
              <w:t>排放点进入地表水水域环境功能为Ⅲ类,或海水水质分类第二类；或以发生事故时，危险物质泄漏到水体的排放点算起，排放进入受纳河流最大流速时，24h流经范围内涉跨省界的</w:t>
            </w:r>
          </w:p>
        </w:tc>
      </w:tr>
      <w:tr w14:paraId="541403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82" w:type="dxa"/>
            <w:shd w:val="clear" w:color="auto" w:fill="D8D8D8" w:themeFill="background1" w:themeFillShade="D9"/>
            <w:vAlign w:val="center"/>
          </w:tcPr>
          <w:p w14:paraId="26622D3F">
            <w:pPr>
              <w:pStyle w:val="70"/>
              <w:rPr>
                <w:color w:val="000000" w:themeColor="text1"/>
                <w14:textFill>
                  <w14:solidFill>
                    <w14:schemeClr w14:val="tx1"/>
                  </w14:solidFill>
                </w14:textFill>
              </w:rPr>
            </w:pPr>
            <w:r>
              <w:rPr>
                <w:color w:val="000000" w:themeColor="text1"/>
                <w14:textFill>
                  <w14:solidFill>
                    <w14:schemeClr w14:val="tx1"/>
                  </w14:solidFill>
                </w14:textFill>
              </w:rPr>
              <w:t>低敏感F3</w:t>
            </w:r>
          </w:p>
        </w:tc>
        <w:tc>
          <w:tcPr>
            <w:tcW w:w="7294" w:type="dxa"/>
            <w:shd w:val="clear" w:color="auto" w:fill="D8D8D8" w:themeFill="background1" w:themeFillShade="D9"/>
            <w:vAlign w:val="center"/>
          </w:tcPr>
          <w:p w14:paraId="65DDF524">
            <w:pPr>
              <w:pStyle w:val="70"/>
              <w:rPr>
                <w:color w:val="000000" w:themeColor="text1"/>
                <w14:textFill>
                  <w14:solidFill>
                    <w14:schemeClr w14:val="tx1"/>
                  </w14:solidFill>
                </w14:textFill>
              </w:rPr>
            </w:pPr>
            <w:r>
              <w:rPr>
                <w:color w:val="000000" w:themeColor="text1"/>
                <w14:textFill>
                  <w14:solidFill>
                    <w14:schemeClr w14:val="tx1"/>
                  </w14:solidFill>
                </w14:textFill>
              </w:rPr>
              <w:t>上述地区之外的其他地区</w:t>
            </w:r>
          </w:p>
        </w:tc>
      </w:tr>
    </w:tbl>
    <w:p w14:paraId="463C8B24">
      <w:pPr>
        <w:pStyle w:val="7"/>
        <w:rPr>
          <w:color w:val="000000" w:themeColor="text1"/>
          <w14:textFill>
            <w14:solidFill>
              <w14:schemeClr w14:val="tx1"/>
            </w14:solidFill>
          </w14:textFill>
        </w:rPr>
      </w:pPr>
      <w:r>
        <w:rPr>
          <w:color w:val="000000" w:themeColor="text1"/>
          <w14:textFill>
            <w14:solidFill>
              <w14:schemeClr w14:val="tx1"/>
            </w14:solidFill>
          </w14:textFill>
        </w:rPr>
        <w:t>环境敏感目标分级</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82"/>
        <w:gridCol w:w="7294"/>
      </w:tblGrid>
      <w:tr w14:paraId="32BC6B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82" w:type="dxa"/>
            <w:tcMar>
              <w:left w:w="0" w:type="dxa"/>
              <w:right w:w="0" w:type="dxa"/>
            </w:tcMar>
            <w:vAlign w:val="center"/>
          </w:tcPr>
          <w:p w14:paraId="16EED07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分级</w:t>
            </w:r>
          </w:p>
        </w:tc>
        <w:tc>
          <w:tcPr>
            <w:tcW w:w="7294" w:type="dxa"/>
            <w:tcMar>
              <w:left w:w="0" w:type="dxa"/>
              <w:right w:w="0" w:type="dxa"/>
            </w:tcMar>
            <w:vAlign w:val="center"/>
          </w:tcPr>
          <w:p w14:paraId="369F4651">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环境敏感点目标</w:t>
            </w:r>
          </w:p>
        </w:tc>
      </w:tr>
      <w:tr w14:paraId="0DB678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82" w:type="dxa"/>
            <w:shd w:val="clear" w:color="auto" w:fill="D8D8D8" w:themeFill="background1" w:themeFillShade="D9"/>
            <w:tcMar>
              <w:left w:w="0" w:type="dxa"/>
              <w:right w:w="0" w:type="dxa"/>
            </w:tcMar>
            <w:vAlign w:val="center"/>
          </w:tcPr>
          <w:p w14:paraId="6D3971BC">
            <w:pPr>
              <w:pStyle w:val="70"/>
              <w:rPr>
                <w:color w:val="000000" w:themeColor="text1"/>
                <w14:textFill>
                  <w14:solidFill>
                    <w14:schemeClr w14:val="tx1"/>
                  </w14:solidFill>
                </w14:textFill>
              </w:rPr>
            </w:pPr>
            <w:r>
              <w:rPr>
                <w:color w:val="000000" w:themeColor="text1"/>
                <w14:textFill>
                  <w14:solidFill>
                    <w14:schemeClr w14:val="tx1"/>
                  </w14:solidFill>
                </w14:textFill>
              </w:rPr>
              <w:t>S1</w:t>
            </w:r>
          </w:p>
        </w:tc>
        <w:tc>
          <w:tcPr>
            <w:tcW w:w="7294" w:type="dxa"/>
            <w:shd w:val="clear" w:color="auto" w:fill="D8D8D8" w:themeFill="background1" w:themeFillShade="D9"/>
            <w:tcMar>
              <w:left w:w="0" w:type="dxa"/>
              <w:right w:w="0" w:type="dxa"/>
            </w:tcMar>
            <w:vAlign w:val="center"/>
          </w:tcPr>
          <w:p w14:paraId="38CB3D9B">
            <w:pPr>
              <w:pStyle w:val="70"/>
              <w:rPr>
                <w:color w:val="000000" w:themeColor="text1"/>
                <w14:textFill>
                  <w14:solidFill>
                    <w14:schemeClr w14:val="tx1"/>
                  </w14:solidFill>
                </w14:textFill>
              </w:rPr>
            </w:pPr>
            <w:r>
              <w:rPr>
                <w:color w:val="000000" w:themeColor="text1"/>
                <w14:textFill>
                  <w14:solidFill>
                    <w14:schemeClr w14:val="tx1"/>
                  </w14:solidFill>
                </w14:textFill>
              </w:rPr>
              <w:t>发生事故时，危险物质泄漏到内陆水体的排放点下游(顺水流向)10km范围内、近岸海域一个潮周期水质点可能达到的最大水平距离的两倍范围内，有如下一类或多类环境风险受体：集中式地表水饮用水水源保护区(包括一级保护区、二级保护区及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瀕危海洋生物的天然集中分布区；海洋特别保护区；海上自然保护区；盐场保护区；海水浴场：海洋自然历史遗迹；风景名胜区；或其他特殊重要保护区域</w:t>
            </w:r>
          </w:p>
        </w:tc>
      </w:tr>
      <w:tr w14:paraId="148DB3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82" w:type="dxa"/>
            <w:tcMar>
              <w:left w:w="0" w:type="dxa"/>
              <w:right w:w="0" w:type="dxa"/>
            </w:tcMar>
            <w:vAlign w:val="center"/>
          </w:tcPr>
          <w:p w14:paraId="7712F918">
            <w:pPr>
              <w:pStyle w:val="70"/>
              <w:rPr>
                <w:color w:val="000000" w:themeColor="text1"/>
                <w14:textFill>
                  <w14:solidFill>
                    <w14:schemeClr w14:val="tx1"/>
                  </w14:solidFill>
                </w14:textFill>
              </w:rPr>
            </w:pPr>
            <w:r>
              <w:rPr>
                <w:color w:val="000000" w:themeColor="text1"/>
                <w14:textFill>
                  <w14:solidFill>
                    <w14:schemeClr w14:val="tx1"/>
                  </w14:solidFill>
                </w14:textFill>
              </w:rPr>
              <w:t>S2</w:t>
            </w:r>
          </w:p>
        </w:tc>
        <w:tc>
          <w:tcPr>
            <w:tcW w:w="7294" w:type="dxa"/>
            <w:tcMar>
              <w:left w:w="0" w:type="dxa"/>
              <w:right w:w="0" w:type="dxa"/>
            </w:tcMar>
            <w:vAlign w:val="center"/>
          </w:tcPr>
          <w:p w14:paraId="74A29BC9">
            <w:pPr>
              <w:pStyle w:val="70"/>
              <w:rPr>
                <w:color w:val="000000" w:themeColor="text1"/>
                <w14:textFill>
                  <w14:solidFill>
                    <w14:schemeClr w14:val="tx1"/>
                  </w14:solidFill>
                </w14:textFill>
              </w:rPr>
            </w:pPr>
            <w:r>
              <w:rPr>
                <w:color w:val="000000" w:themeColor="text1"/>
                <w14:textFill>
                  <w14:solidFill>
                    <w14:schemeClr w14:val="tx1"/>
                  </w14:solidFill>
                </w14:textFill>
              </w:rPr>
              <w:t>发生事故时，危险物质泄漏到内陆水体的排放点下游(顺水流向)10km范围内、近岸海域一个潮周期水质点可能达到的最大水平距离的两倍范围内,有如下一类或多类环境风险受体的：水产养殖区；天然渔场；森林公园；地质公园；海滨风景游览区；具有重要经济价值的海洋生物生存</w:t>
            </w:r>
            <w:r>
              <w:rPr>
                <w:rFonts w:hint="eastAsia"/>
                <w:color w:val="000000" w:themeColor="text1"/>
                <w:lang w:eastAsia="zh-CN"/>
                <w14:textFill>
                  <w14:solidFill>
                    <w14:schemeClr w14:val="tx1"/>
                  </w14:solidFill>
                </w14:textFill>
              </w:rPr>
              <w:t>区域</w:t>
            </w:r>
          </w:p>
        </w:tc>
      </w:tr>
      <w:tr w14:paraId="638860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82" w:type="dxa"/>
            <w:tcMar>
              <w:left w:w="0" w:type="dxa"/>
              <w:right w:w="0" w:type="dxa"/>
            </w:tcMar>
            <w:vAlign w:val="center"/>
          </w:tcPr>
          <w:p w14:paraId="23A83B27">
            <w:pPr>
              <w:pStyle w:val="70"/>
              <w:rPr>
                <w:color w:val="000000" w:themeColor="text1"/>
                <w14:textFill>
                  <w14:solidFill>
                    <w14:schemeClr w14:val="tx1"/>
                  </w14:solidFill>
                </w14:textFill>
              </w:rPr>
            </w:pPr>
            <w:r>
              <w:rPr>
                <w:color w:val="000000" w:themeColor="text1"/>
                <w14:textFill>
                  <w14:solidFill>
                    <w14:schemeClr w14:val="tx1"/>
                  </w14:solidFill>
                </w14:textFill>
              </w:rPr>
              <w:t>S3</w:t>
            </w:r>
          </w:p>
        </w:tc>
        <w:tc>
          <w:tcPr>
            <w:tcW w:w="7294" w:type="dxa"/>
            <w:tcMar>
              <w:left w:w="0" w:type="dxa"/>
              <w:right w:w="0" w:type="dxa"/>
            </w:tcMar>
            <w:vAlign w:val="center"/>
          </w:tcPr>
          <w:p w14:paraId="390E19C4">
            <w:pPr>
              <w:pStyle w:val="70"/>
              <w:rPr>
                <w:color w:val="000000" w:themeColor="text1"/>
                <w14:textFill>
                  <w14:solidFill>
                    <w14:schemeClr w14:val="tx1"/>
                  </w14:solidFill>
                </w14:textFill>
              </w:rPr>
            </w:pPr>
            <w:r>
              <w:rPr>
                <w:color w:val="000000" w:themeColor="text1"/>
                <w14:textFill>
                  <w14:solidFill>
                    <w14:schemeClr w14:val="tx1"/>
                  </w14:solidFill>
                </w14:textFill>
              </w:rPr>
              <w:t>排放点下游(顺水流向)10km范围、近岸海域一个潮周期水质点可能达到的最大水平距离的两倍范围内无上述类型1和类型2包括的敏感保护目标</w:t>
            </w:r>
          </w:p>
        </w:tc>
      </w:tr>
    </w:tbl>
    <w:p w14:paraId="0A2D1BD3">
      <w:pPr>
        <w:ind w:firstLine="480"/>
        <w:rPr>
          <w:color w:val="000000" w:themeColor="text1"/>
          <w14:textFill>
            <w14:solidFill>
              <w14:schemeClr w14:val="tx1"/>
            </w14:solidFill>
          </w14:textFill>
        </w:rPr>
      </w:pPr>
    </w:p>
    <w:p w14:paraId="4C8266EB">
      <w:pPr>
        <w:ind w:firstLine="480"/>
        <w:rPr>
          <w:color w:val="000000" w:themeColor="text1"/>
          <w14:textFill>
            <w14:solidFill>
              <w14:schemeClr w14:val="tx1"/>
            </w14:solidFill>
          </w14:textFill>
        </w:rPr>
      </w:pPr>
      <w:r>
        <w:rPr>
          <w:color w:val="000000" w:themeColor="text1"/>
          <w14:textFill>
            <w14:solidFill>
              <w14:schemeClr w14:val="tx1"/>
            </w14:solidFill>
          </w14:textFill>
        </w:rPr>
        <w:t>（3）地下水环境</w:t>
      </w:r>
    </w:p>
    <w:p w14:paraId="7515BC90">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本项目不涉及在陆域公共管廊上新增管道施工。项目只涉及海域不涉及陆域，且本项目位于区域地下水下游，本次不评价地下水环境风险。</w:t>
      </w:r>
    </w:p>
    <w:p w14:paraId="5DD7AC54">
      <w:pPr>
        <w:pStyle w:val="4"/>
        <w:rPr>
          <w:color w:val="000000" w:themeColor="text1"/>
          <w14:textFill>
            <w14:solidFill>
              <w14:schemeClr w14:val="tx1"/>
            </w14:solidFill>
          </w14:textFill>
        </w:rPr>
      </w:pPr>
      <w:r>
        <w:rPr>
          <w:color w:val="000000" w:themeColor="text1"/>
          <w14:textFill>
            <w14:solidFill>
              <w14:schemeClr w14:val="tx1"/>
            </w14:solidFill>
          </w14:textFill>
        </w:rPr>
        <w:t>环境风险潜势判断</w:t>
      </w:r>
    </w:p>
    <w:p w14:paraId="2B1B7FA0">
      <w:pPr>
        <w:ind w:firstLine="480"/>
        <w:rPr>
          <w:color w:val="000000" w:themeColor="text1"/>
          <w14:textFill>
            <w14:solidFill>
              <w14:schemeClr w14:val="tx1"/>
            </w14:solidFill>
          </w14:textFill>
        </w:rPr>
      </w:pPr>
      <w:r>
        <w:rPr>
          <w:color w:val="000000" w:themeColor="text1"/>
          <w14:textFill>
            <w14:solidFill>
              <w14:schemeClr w14:val="tx1"/>
            </w14:solidFill>
          </w14:textFill>
        </w:rPr>
        <w:t>根据《建设项目环境风险评价技术导则》（HJ/169-2018）中建设项目环境风险潜势划分如表5.2-9所示。</w:t>
      </w:r>
    </w:p>
    <w:p w14:paraId="480BA6D9">
      <w:pPr>
        <w:pStyle w:val="7"/>
        <w:rPr>
          <w:color w:val="000000" w:themeColor="text1"/>
          <w14:textFill>
            <w14:solidFill>
              <w14:schemeClr w14:val="tx1"/>
            </w14:solidFill>
          </w14:textFill>
        </w:rPr>
      </w:pPr>
      <w:r>
        <w:rPr>
          <w:color w:val="000000" w:themeColor="text1"/>
          <w14:textFill>
            <w14:solidFill>
              <w14:schemeClr w14:val="tx1"/>
            </w14:solidFill>
          </w14:textFill>
        </w:rPr>
        <w:t>建设项目环境风险潜势划分</w:t>
      </w:r>
    </w:p>
    <w:tbl>
      <w:tblPr>
        <w:tblStyle w:val="43"/>
        <w:tblW w:w="82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254"/>
        <w:gridCol w:w="1556"/>
        <w:gridCol w:w="1556"/>
        <w:gridCol w:w="1556"/>
        <w:gridCol w:w="1354"/>
      </w:tblGrid>
      <w:tr w14:paraId="176BAC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254" w:type="dxa"/>
            <w:vMerge w:val="restart"/>
            <w:tcMar>
              <w:left w:w="0" w:type="dxa"/>
              <w:right w:w="0" w:type="dxa"/>
            </w:tcMar>
            <w:vAlign w:val="center"/>
          </w:tcPr>
          <w:p w14:paraId="6268206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环境敏感程度（E）</w:t>
            </w:r>
          </w:p>
        </w:tc>
        <w:tc>
          <w:tcPr>
            <w:tcW w:w="6022" w:type="dxa"/>
            <w:gridSpan w:val="4"/>
            <w:tcMar>
              <w:left w:w="0" w:type="dxa"/>
              <w:right w:w="0" w:type="dxa"/>
            </w:tcMar>
            <w:vAlign w:val="center"/>
          </w:tcPr>
          <w:p w14:paraId="53C94241">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危险物质及工艺系统危险性（P）</w:t>
            </w:r>
          </w:p>
        </w:tc>
      </w:tr>
      <w:tr w14:paraId="751349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254" w:type="dxa"/>
            <w:vMerge w:val="continue"/>
            <w:tcMar>
              <w:left w:w="0" w:type="dxa"/>
              <w:right w:w="0" w:type="dxa"/>
            </w:tcMar>
            <w:vAlign w:val="center"/>
          </w:tcPr>
          <w:p w14:paraId="058687A1">
            <w:pPr>
              <w:pStyle w:val="70"/>
              <w:rPr>
                <w:b/>
                <w:bCs/>
                <w:color w:val="000000" w:themeColor="text1"/>
                <w14:textFill>
                  <w14:solidFill>
                    <w14:schemeClr w14:val="tx1"/>
                  </w14:solidFill>
                </w14:textFill>
              </w:rPr>
            </w:pPr>
          </w:p>
        </w:tc>
        <w:tc>
          <w:tcPr>
            <w:tcW w:w="1556" w:type="dxa"/>
            <w:tcMar>
              <w:left w:w="0" w:type="dxa"/>
              <w:right w:w="0" w:type="dxa"/>
            </w:tcMar>
            <w:vAlign w:val="center"/>
          </w:tcPr>
          <w:p w14:paraId="2DB015A0">
            <w:pPr>
              <w:pStyle w:val="70"/>
              <w:rPr>
                <w:b/>
                <w:bCs/>
                <w:color w:val="000000" w:themeColor="text1"/>
                <w:spacing w:val="-10"/>
                <w14:textFill>
                  <w14:solidFill>
                    <w14:schemeClr w14:val="tx1"/>
                  </w14:solidFill>
                </w14:textFill>
              </w:rPr>
            </w:pPr>
            <w:r>
              <w:rPr>
                <w:b/>
                <w:bCs/>
                <w:color w:val="000000" w:themeColor="text1"/>
                <w:spacing w:val="-10"/>
                <w14:textFill>
                  <w14:solidFill>
                    <w14:schemeClr w14:val="tx1"/>
                  </w14:solidFill>
                </w14:textFill>
              </w:rPr>
              <w:t>极高危害（P1）</w:t>
            </w:r>
          </w:p>
        </w:tc>
        <w:tc>
          <w:tcPr>
            <w:tcW w:w="1556" w:type="dxa"/>
            <w:tcMar>
              <w:left w:w="0" w:type="dxa"/>
              <w:right w:w="0" w:type="dxa"/>
            </w:tcMar>
            <w:vAlign w:val="center"/>
          </w:tcPr>
          <w:p w14:paraId="5E4990B3">
            <w:pPr>
              <w:pStyle w:val="70"/>
              <w:rPr>
                <w:b/>
                <w:bCs/>
                <w:color w:val="000000" w:themeColor="text1"/>
                <w:spacing w:val="-10"/>
                <w14:textFill>
                  <w14:solidFill>
                    <w14:schemeClr w14:val="tx1"/>
                  </w14:solidFill>
                </w14:textFill>
              </w:rPr>
            </w:pPr>
            <w:r>
              <w:rPr>
                <w:b/>
                <w:bCs/>
                <w:color w:val="000000" w:themeColor="text1"/>
                <w:spacing w:val="-10"/>
                <w14:textFill>
                  <w14:solidFill>
                    <w14:schemeClr w14:val="tx1"/>
                  </w14:solidFill>
                </w14:textFill>
              </w:rPr>
              <w:t>高度危害（P2）</w:t>
            </w:r>
          </w:p>
        </w:tc>
        <w:tc>
          <w:tcPr>
            <w:tcW w:w="1556" w:type="dxa"/>
            <w:tcMar>
              <w:left w:w="0" w:type="dxa"/>
              <w:right w:w="0" w:type="dxa"/>
            </w:tcMar>
            <w:vAlign w:val="center"/>
          </w:tcPr>
          <w:p w14:paraId="0A8CFD5F">
            <w:pPr>
              <w:pStyle w:val="70"/>
              <w:rPr>
                <w:b/>
                <w:bCs/>
                <w:color w:val="000000" w:themeColor="text1"/>
                <w:spacing w:val="-10"/>
                <w14:textFill>
                  <w14:solidFill>
                    <w14:schemeClr w14:val="tx1"/>
                  </w14:solidFill>
                </w14:textFill>
              </w:rPr>
            </w:pPr>
            <w:r>
              <w:rPr>
                <w:b/>
                <w:bCs/>
                <w:color w:val="000000" w:themeColor="text1"/>
                <w:spacing w:val="-10"/>
                <w14:textFill>
                  <w14:solidFill>
                    <w14:schemeClr w14:val="tx1"/>
                  </w14:solidFill>
                </w14:textFill>
              </w:rPr>
              <w:t>中度危害（P3）</w:t>
            </w:r>
          </w:p>
        </w:tc>
        <w:tc>
          <w:tcPr>
            <w:tcW w:w="1354" w:type="dxa"/>
            <w:tcMar>
              <w:left w:w="0" w:type="dxa"/>
              <w:right w:w="0" w:type="dxa"/>
            </w:tcMar>
            <w:vAlign w:val="center"/>
          </w:tcPr>
          <w:p w14:paraId="79381519">
            <w:pPr>
              <w:pStyle w:val="70"/>
              <w:rPr>
                <w:b/>
                <w:bCs/>
                <w:color w:val="000000" w:themeColor="text1"/>
                <w:spacing w:val="-10"/>
                <w14:textFill>
                  <w14:solidFill>
                    <w14:schemeClr w14:val="tx1"/>
                  </w14:solidFill>
                </w14:textFill>
              </w:rPr>
            </w:pPr>
            <w:r>
              <w:rPr>
                <w:b/>
                <w:bCs/>
                <w:color w:val="000000" w:themeColor="text1"/>
                <w:spacing w:val="-10"/>
                <w14:textFill>
                  <w14:solidFill>
                    <w14:schemeClr w14:val="tx1"/>
                  </w14:solidFill>
                </w14:textFill>
              </w:rPr>
              <w:t>轻度危害（P4）</w:t>
            </w:r>
          </w:p>
        </w:tc>
      </w:tr>
      <w:tr w14:paraId="7DE933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254" w:type="dxa"/>
            <w:tcMar>
              <w:left w:w="0" w:type="dxa"/>
              <w:right w:w="0" w:type="dxa"/>
            </w:tcMar>
            <w:vAlign w:val="center"/>
          </w:tcPr>
          <w:p w14:paraId="79216F03">
            <w:pPr>
              <w:pStyle w:val="70"/>
              <w:rPr>
                <w:color w:val="000000" w:themeColor="text1"/>
                <w14:textFill>
                  <w14:solidFill>
                    <w14:schemeClr w14:val="tx1"/>
                  </w14:solidFill>
                </w14:textFill>
              </w:rPr>
            </w:pPr>
            <w:r>
              <w:rPr>
                <w:color w:val="000000" w:themeColor="text1"/>
                <w14:textFill>
                  <w14:solidFill>
                    <w14:schemeClr w14:val="tx1"/>
                  </w14:solidFill>
                </w14:textFill>
              </w:rPr>
              <w:t>环境高度敏感区（E1）</w:t>
            </w:r>
          </w:p>
        </w:tc>
        <w:tc>
          <w:tcPr>
            <w:tcW w:w="1556" w:type="dxa"/>
            <w:tcMar>
              <w:left w:w="0" w:type="dxa"/>
              <w:right w:w="0" w:type="dxa"/>
            </w:tcMar>
            <w:vAlign w:val="center"/>
          </w:tcPr>
          <w:p w14:paraId="5D627C65">
            <w:pPr>
              <w:pStyle w:val="70"/>
              <w:rPr>
                <w:color w:val="000000" w:themeColor="text1"/>
                <w14:textFill>
                  <w14:solidFill>
                    <w14:schemeClr w14:val="tx1"/>
                  </w14:solidFill>
                </w14:textFill>
              </w:rPr>
            </w:pPr>
            <w:r>
              <w:rPr>
                <w:color w:val="000000" w:themeColor="text1"/>
                <w14:textFill>
                  <w14:solidFill>
                    <w14:schemeClr w14:val="tx1"/>
                  </w14:solidFill>
                </w14:textFill>
              </w:rPr>
              <w:t>Ⅳ</w:t>
            </w:r>
            <w:r>
              <w:rPr>
                <w:color w:val="000000" w:themeColor="text1"/>
                <w:vertAlign w:val="superscript"/>
                <w14:textFill>
                  <w14:solidFill>
                    <w14:schemeClr w14:val="tx1"/>
                  </w14:solidFill>
                </w14:textFill>
              </w:rPr>
              <w:t>+</w:t>
            </w:r>
          </w:p>
        </w:tc>
        <w:tc>
          <w:tcPr>
            <w:tcW w:w="1556" w:type="dxa"/>
            <w:tcMar>
              <w:left w:w="0" w:type="dxa"/>
              <w:right w:w="0" w:type="dxa"/>
            </w:tcMar>
            <w:vAlign w:val="center"/>
          </w:tcPr>
          <w:p w14:paraId="312582F2">
            <w:pPr>
              <w:pStyle w:val="70"/>
              <w:rPr>
                <w:color w:val="000000" w:themeColor="text1"/>
                <w14:textFill>
                  <w14:solidFill>
                    <w14:schemeClr w14:val="tx1"/>
                  </w14:solidFill>
                </w14:textFill>
              </w:rPr>
            </w:pPr>
            <w:r>
              <w:rPr>
                <w:color w:val="000000" w:themeColor="text1"/>
                <w14:textFill>
                  <w14:solidFill>
                    <w14:schemeClr w14:val="tx1"/>
                  </w14:solidFill>
                </w14:textFill>
              </w:rPr>
              <w:t>Ⅳ</w:t>
            </w:r>
          </w:p>
        </w:tc>
        <w:tc>
          <w:tcPr>
            <w:tcW w:w="1556" w:type="dxa"/>
            <w:tcMar>
              <w:left w:w="0" w:type="dxa"/>
              <w:right w:w="0" w:type="dxa"/>
            </w:tcMar>
            <w:vAlign w:val="center"/>
          </w:tcPr>
          <w:p w14:paraId="79B101F7">
            <w:pPr>
              <w:pStyle w:val="70"/>
              <w:rPr>
                <w:color w:val="000000" w:themeColor="text1"/>
                <w14:textFill>
                  <w14:solidFill>
                    <w14:schemeClr w14:val="tx1"/>
                  </w14:solidFill>
                </w14:textFill>
              </w:rPr>
            </w:pPr>
            <w:r>
              <w:rPr>
                <w:color w:val="000000" w:themeColor="text1"/>
                <w14:textFill>
                  <w14:solidFill>
                    <w14:schemeClr w14:val="tx1"/>
                  </w14:solidFill>
                </w14:textFill>
              </w:rPr>
              <w:t>Ⅲ</w:t>
            </w:r>
          </w:p>
        </w:tc>
        <w:tc>
          <w:tcPr>
            <w:tcW w:w="1354" w:type="dxa"/>
            <w:tcMar>
              <w:left w:w="0" w:type="dxa"/>
              <w:right w:w="0" w:type="dxa"/>
            </w:tcMar>
            <w:vAlign w:val="center"/>
          </w:tcPr>
          <w:p w14:paraId="72D6C5F5">
            <w:pPr>
              <w:pStyle w:val="70"/>
              <w:rPr>
                <w:color w:val="000000" w:themeColor="text1"/>
                <w14:textFill>
                  <w14:solidFill>
                    <w14:schemeClr w14:val="tx1"/>
                  </w14:solidFill>
                </w14:textFill>
              </w:rPr>
            </w:pPr>
            <w:r>
              <w:rPr>
                <w:color w:val="000000" w:themeColor="text1"/>
                <w14:textFill>
                  <w14:solidFill>
                    <w14:schemeClr w14:val="tx1"/>
                  </w14:solidFill>
                </w14:textFill>
              </w:rPr>
              <w:t>Ⅲ</w:t>
            </w:r>
          </w:p>
        </w:tc>
      </w:tr>
      <w:tr w14:paraId="1F0BD9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254" w:type="dxa"/>
            <w:tcMar>
              <w:left w:w="0" w:type="dxa"/>
              <w:right w:w="0" w:type="dxa"/>
            </w:tcMar>
            <w:vAlign w:val="center"/>
          </w:tcPr>
          <w:p w14:paraId="17441EB9">
            <w:pPr>
              <w:pStyle w:val="70"/>
              <w:rPr>
                <w:color w:val="000000" w:themeColor="text1"/>
                <w14:textFill>
                  <w14:solidFill>
                    <w14:schemeClr w14:val="tx1"/>
                  </w14:solidFill>
                </w14:textFill>
              </w:rPr>
            </w:pPr>
            <w:r>
              <w:rPr>
                <w:color w:val="000000" w:themeColor="text1"/>
                <w14:textFill>
                  <w14:solidFill>
                    <w14:schemeClr w14:val="tx1"/>
                  </w14:solidFill>
                </w14:textFill>
              </w:rPr>
              <w:t>环境中度敏感区（E2）</w:t>
            </w:r>
          </w:p>
        </w:tc>
        <w:tc>
          <w:tcPr>
            <w:tcW w:w="1556" w:type="dxa"/>
            <w:tcMar>
              <w:left w:w="0" w:type="dxa"/>
              <w:right w:w="0" w:type="dxa"/>
            </w:tcMar>
            <w:vAlign w:val="center"/>
          </w:tcPr>
          <w:p w14:paraId="730AAA38">
            <w:pPr>
              <w:pStyle w:val="70"/>
              <w:rPr>
                <w:color w:val="000000" w:themeColor="text1"/>
                <w14:textFill>
                  <w14:solidFill>
                    <w14:schemeClr w14:val="tx1"/>
                  </w14:solidFill>
                </w14:textFill>
              </w:rPr>
            </w:pPr>
            <w:r>
              <w:rPr>
                <w:color w:val="000000" w:themeColor="text1"/>
                <w14:textFill>
                  <w14:solidFill>
                    <w14:schemeClr w14:val="tx1"/>
                  </w14:solidFill>
                </w14:textFill>
              </w:rPr>
              <w:t>Ⅳ</w:t>
            </w:r>
          </w:p>
        </w:tc>
        <w:tc>
          <w:tcPr>
            <w:tcW w:w="1556" w:type="dxa"/>
            <w:tcMar>
              <w:left w:w="0" w:type="dxa"/>
              <w:right w:w="0" w:type="dxa"/>
            </w:tcMar>
            <w:vAlign w:val="center"/>
          </w:tcPr>
          <w:p w14:paraId="4F76CE6D">
            <w:pPr>
              <w:pStyle w:val="70"/>
              <w:rPr>
                <w:color w:val="000000" w:themeColor="text1"/>
                <w14:textFill>
                  <w14:solidFill>
                    <w14:schemeClr w14:val="tx1"/>
                  </w14:solidFill>
                </w14:textFill>
              </w:rPr>
            </w:pPr>
            <w:r>
              <w:rPr>
                <w:color w:val="000000" w:themeColor="text1"/>
                <w14:textFill>
                  <w14:solidFill>
                    <w14:schemeClr w14:val="tx1"/>
                  </w14:solidFill>
                </w14:textFill>
              </w:rPr>
              <w:t>Ⅲ</w:t>
            </w:r>
          </w:p>
        </w:tc>
        <w:tc>
          <w:tcPr>
            <w:tcW w:w="1556" w:type="dxa"/>
            <w:tcMar>
              <w:left w:w="0" w:type="dxa"/>
              <w:right w:w="0" w:type="dxa"/>
            </w:tcMar>
            <w:vAlign w:val="center"/>
          </w:tcPr>
          <w:p w14:paraId="6A0857D7">
            <w:pPr>
              <w:pStyle w:val="70"/>
              <w:rPr>
                <w:color w:val="000000" w:themeColor="text1"/>
                <w14:textFill>
                  <w14:solidFill>
                    <w14:schemeClr w14:val="tx1"/>
                  </w14:solidFill>
                </w14:textFill>
              </w:rPr>
            </w:pPr>
            <w:r>
              <w:rPr>
                <w:color w:val="000000" w:themeColor="text1"/>
                <w14:textFill>
                  <w14:solidFill>
                    <w14:schemeClr w14:val="tx1"/>
                  </w14:solidFill>
                </w14:textFill>
              </w:rPr>
              <w:t>Ⅲ</w:t>
            </w:r>
          </w:p>
        </w:tc>
        <w:tc>
          <w:tcPr>
            <w:tcW w:w="1354" w:type="dxa"/>
            <w:tcMar>
              <w:left w:w="0" w:type="dxa"/>
              <w:right w:w="0" w:type="dxa"/>
            </w:tcMar>
            <w:vAlign w:val="center"/>
          </w:tcPr>
          <w:p w14:paraId="55F739EB">
            <w:pPr>
              <w:pStyle w:val="70"/>
              <w:rPr>
                <w:color w:val="000000" w:themeColor="text1"/>
                <w14:textFill>
                  <w14:solidFill>
                    <w14:schemeClr w14:val="tx1"/>
                  </w14:solidFill>
                </w14:textFill>
              </w:rPr>
            </w:pPr>
            <w:r>
              <w:rPr>
                <w:color w:val="000000" w:themeColor="text1"/>
                <w14:textFill>
                  <w14:solidFill>
                    <w14:schemeClr w14:val="tx1"/>
                  </w14:solidFill>
                </w14:textFill>
              </w:rPr>
              <w:t>Ⅱ</w:t>
            </w:r>
          </w:p>
        </w:tc>
      </w:tr>
      <w:tr w14:paraId="272FEB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254" w:type="dxa"/>
            <w:tcMar>
              <w:left w:w="0" w:type="dxa"/>
              <w:right w:w="0" w:type="dxa"/>
            </w:tcMar>
            <w:vAlign w:val="center"/>
          </w:tcPr>
          <w:p w14:paraId="3A83ED3B">
            <w:pPr>
              <w:pStyle w:val="70"/>
              <w:rPr>
                <w:color w:val="000000" w:themeColor="text1"/>
                <w14:textFill>
                  <w14:solidFill>
                    <w14:schemeClr w14:val="tx1"/>
                  </w14:solidFill>
                </w14:textFill>
              </w:rPr>
            </w:pPr>
            <w:r>
              <w:rPr>
                <w:color w:val="000000" w:themeColor="text1"/>
                <w14:textFill>
                  <w14:solidFill>
                    <w14:schemeClr w14:val="tx1"/>
                  </w14:solidFill>
                </w14:textFill>
              </w:rPr>
              <w:t>环境低度敏感区（E3）</w:t>
            </w:r>
          </w:p>
        </w:tc>
        <w:tc>
          <w:tcPr>
            <w:tcW w:w="1556" w:type="dxa"/>
            <w:tcMar>
              <w:left w:w="0" w:type="dxa"/>
              <w:right w:w="0" w:type="dxa"/>
            </w:tcMar>
            <w:vAlign w:val="center"/>
          </w:tcPr>
          <w:p w14:paraId="6F886B64">
            <w:pPr>
              <w:pStyle w:val="70"/>
              <w:rPr>
                <w:color w:val="000000" w:themeColor="text1"/>
                <w14:textFill>
                  <w14:solidFill>
                    <w14:schemeClr w14:val="tx1"/>
                  </w14:solidFill>
                </w14:textFill>
              </w:rPr>
            </w:pPr>
            <w:r>
              <w:rPr>
                <w:color w:val="000000" w:themeColor="text1"/>
                <w14:textFill>
                  <w14:solidFill>
                    <w14:schemeClr w14:val="tx1"/>
                  </w14:solidFill>
                </w14:textFill>
              </w:rPr>
              <w:t>Ⅲ</w:t>
            </w:r>
          </w:p>
        </w:tc>
        <w:tc>
          <w:tcPr>
            <w:tcW w:w="1556" w:type="dxa"/>
            <w:tcMar>
              <w:left w:w="0" w:type="dxa"/>
              <w:right w:w="0" w:type="dxa"/>
            </w:tcMar>
            <w:vAlign w:val="center"/>
          </w:tcPr>
          <w:p w14:paraId="4A5D4C34">
            <w:pPr>
              <w:pStyle w:val="70"/>
              <w:rPr>
                <w:color w:val="000000" w:themeColor="text1"/>
                <w14:textFill>
                  <w14:solidFill>
                    <w14:schemeClr w14:val="tx1"/>
                  </w14:solidFill>
                </w14:textFill>
              </w:rPr>
            </w:pPr>
            <w:r>
              <w:rPr>
                <w:color w:val="000000" w:themeColor="text1"/>
                <w14:textFill>
                  <w14:solidFill>
                    <w14:schemeClr w14:val="tx1"/>
                  </w14:solidFill>
                </w14:textFill>
              </w:rPr>
              <w:t>Ⅲ</w:t>
            </w:r>
          </w:p>
        </w:tc>
        <w:tc>
          <w:tcPr>
            <w:tcW w:w="1556" w:type="dxa"/>
            <w:tcMar>
              <w:left w:w="0" w:type="dxa"/>
              <w:right w:w="0" w:type="dxa"/>
            </w:tcMar>
            <w:vAlign w:val="center"/>
          </w:tcPr>
          <w:p w14:paraId="471BADD2">
            <w:pPr>
              <w:pStyle w:val="70"/>
              <w:rPr>
                <w:color w:val="000000" w:themeColor="text1"/>
                <w14:textFill>
                  <w14:solidFill>
                    <w14:schemeClr w14:val="tx1"/>
                  </w14:solidFill>
                </w14:textFill>
              </w:rPr>
            </w:pPr>
            <w:r>
              <w:rPr>
                <w:color w:val="000000" w:themeColor="text1"/>
                <w14:textFill>
                  <w14:solidFill>
                    <w14:schemeClr w14:val="tx1"/>
                  </w14:solidFill>
                </w14:textFill>
              </w:rPr>
              <w:t>Ⅱ</w:t>
            </w:r>
          </w:p>
        </w:tc>
        <w:tc>
          <w:tcPr>
            <w:tcW w:w="1354" w:type="dxa"/>
            <w:tcMar>
              <w:left w:w="0" w:type="dxa"/>
              <w:right w:w="0" w:type="dxa"/>
            </w:tcMar>
            <w:vAlign w:val="center"/>
          </w:tcPr>
          <w:p w14:paraId="151A8D5E">
            <w:pPr>
              <w:pStyle w:val="70"/>
              <w:rPr>
                <w:color w:val="000000" w:themeColor="text1"/>
                <w14:textFill>
                  <w14:solidFill>
                    <w14:schemeClr w14:val="tx1"/>
                  </w14:solidFill>
                </w14:textFill>
              </w:rPr>
            </w:pPr>
            <w:r>
              <w:rPr>
                <w:color w:val="000000" w:themeColor="text1"/>
                <w14:textFill>
                  <w14:solidFill>
                    <w14:schemeClr w14:val="tx1"/>
                  </w14:solidFill>
                </w14:textFill>
              </w:rPr>
              <w:t>Ⅰ</w:t>
            </w:r>
          </w:p>
        </w:tc>
      </w:tr>
      <w:tr w14:paraId="4F86DF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276" w:type="dxa"/>
            <w:gridSpan w:val="5"/>
            <w:tcMar>
              <w:left w:w="0" w:type="dxa"/>
              <w:right w:w="0" w:type="dxa"/>
            </w:tcMar>
            <w:vAlign w:val="center"/>
          </w:tcPr>
          <w:p w14:paraId="0BE27654">
            <w:pPr>
              <w:pStyle w:val="70"/>
              <w:rPr>
                <w:color w:val="000000" w:themeColor="text1"/>
                <w14:textFill>
                  <w14:solidFill>
                    <w14:schemeClr w14:val="tx1"/>
                  </w14:solidFill>
                </w14:textFill>
              </w:rPr>
            </w:pPr>
            <w:r>
              <w:rPr>
                <w:color w:val="000000" w:themeColor="text1"/>
                <w14:textFill>
                  <w14:solidFill>
                    <w14:schemeClr w14:val="tx1"/>
                  </w14:solidFill>
                </w14:textFill>
              </w:rPr>
              <w:t>注：Ⅳ</w:t>
            </w:r>
            <w:r>
              <w:rPr>
                <w:color w:val="000000" w:themeColor="text1"/>
                <w:vertAlign w:val="superscript"/>
                <w14:textFill>
                  <w14:solidFill>
                    <w14:schemeClr w14:val="tx1"/>
                  </w14:solidFill>
                </w14:textFill>
              </w:rPr>
              <w:t>+</w:t>
            </w:r>
            <w:r>
              <w:rPr>
                <w:color w:val="000000" w:themeColor="text1"/>
                <w14:textFill>
                  <w14:solidFill>
                    <w14:schemeClr w14:val="tx1"/>
                  </w14:solidFill>
                </w14:textFill>
              </w:rPr>
              <w:t>为极高环境风险</w:t>
            </w:r>
          </w:p>
        </w:tc>
      </w:tr>
    </w:tbl>
    <w:p w14:paraId="43285AC6">
      <w:pPr>
        <w:ind w:firstLine="480"/>
        <w:rPr>
          <w:color w:val="000000" w:themeColor="text1"/>
          <w14:textFill>
            <w14:solidFill>
              <w14:schemeClr w14:val="tx1"/>
            </w14:solidFill>
          </w14:textFill>
        </w:rPr>
      </w:pPr>
      <w:r>
        <w:rPr>
          <w:color w:val="000000" w:themeColor="text1"/>
          <w14:textFill>
            <w14:solidFill>
              <w14:schemeClr w14:val="tx1"/>
            </w14:solidFill>
          </w14:textFill>
        </w:rPr>
        <w:t>环境风险潜势综合等级选择大气、地表水等各要素等级的相对高值进行判断，按照下表确定本项目环境风险潜势综合等级为III。</w:t>
      </w:r>
    </w:p>
    <w:p w14:paraId="230A9F48">
      <w:pPr>
        <w:pStyle w:val="7"/>
        <w:rPr>
          <w:color w:val="000000" w:themeColor="text1"/>
          <w14:textFill>
            <w14:solidFill>
              <w14:schemeClr w14:val="tx1"/>
            </w14:solidFill>
          </w14:textFill>
        </w:rPr>
      </w:pPr>
      <w:r>
        <w:rPr>
          <w:color w:val="000000" w:themeColor="text1"/>
          <w14:textFill>
            <w14:solidFill>
              <w14:schemeClr w14:val="tx1"/>
            </w14:solidFill>
          </w14:textFill>
        </w:rPr>
        <w:t>项目环境风险潜势判断结果</w:t>
      </w:r>
    </w:p>
    <w:tbl>
      <w:tblPr>
        <w:tblStyle w:val="43"/>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504"/>
        <w:gridCol w:w="2006"/>
        <w:gridCol w:w="2004"/>
        <w:gridCol w:w="2006"/>
      </w:tblGrid>
      <w:tr w14:paraId="2C1A0E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5" w:hRule="atLeast"/>
          <w:jc w:val="center"/>
        </w:trPr>
        <w:tc>
          <w:tcPr>
            <w:tcW w:w="1470" w:type="pct"/>
            <w:vAlign w:val="center"/>
          </w:tcPr>
          <w:p w14:paraId="42AFBB72">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环境风险因素</w:t>
            </w:r>
          </w:p>
        </w:tc>
        <w:tc>
          <w:tcPr>
            <w:tcW w:w="1177" w:type="pct"/>
            <w:vAlign w:val="center"/>
          </w:tcPr>
          <w:p w14:paraId="4F76931C">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环境敏感度（E）</w:t>
            </w:r>
          </w:p>
        </w:tc>
        <w:tc>
          <w:tcPr>
            <w:tcW w:w="1176" w:type="pct"/>
            <w:vAlign w:val="center"/>
          </w:tcPr>
          <w:p w14:paraId="26F575D8">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危险物质及工艺系统危险性（P）</w:t>
            </w:r>
          </w:p>
        </w:tc>
        <w:tc>
          <w:tcPr>
            <w:tcW w:w="1178" w:type="pct"/>
            <w:vAlign w:val="center"/>
          </w:tcPr>
          <w:p w14:paraId="26B80D17">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风险潜势</w:t>
            </w:r>
          </w:p>
        </w:tc>
      </w:tr>
      <w:tr w14:paraId="686EFB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1470" w:type="pct"/>
            <w:vAlign w:val="center"/>
          </w:tcPr>
          <w:p w14:paraId="24B50224">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大气环境</w:t>
            </w:r>
          </w:p>
        </w:tc>
        <w:tc>
          <w:tcPr>
            <w:tcW w:w="1177" w:type="pct"/>
            <w:vAlign w:val="center"/>
          </w:tcPr>
          <w:p w14:paraId="0AB8567F">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E2</w:t>
            </w:r>
          </w:p>
        </w:tc>
        <w:tc>
          <w:tcPr>
            <w:tcW w:w="1176" w:type="pct"/>
            <w:vMerge w:val="restart"/>
            <w:vAlign w:val="center"/>
          </w:tcPr>
          <w:p w14:paraId="70F87B99">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P2</w:t>
            </w:r>
          </w:p>
        </w:tc>
        <w:tc>
          <w:tcPr>
            <w:tcW w:w="1178" w:type="pct"/>
            <w:vAlign w:val="center"/>
          </w:tcPr>
          <w:p w14:paraId="32938765">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Ⅲ级</w:t>
            </w:r>
          </w:p>
        </w:tc>
      </w:tr>
      <w:tr w14:paraId="556FF6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7" w:hRule="atLeast"/>
          <w:jc w:val="center"/>
        </w:trPr>
        <w:tc>
          <w:tcPr>
            <w:tcW w:w="1470" w:type="pct"/>
            <w:vAlign w:val="center"/>
          </w:tcPr>
          <w:p w14:paraId="2184C5FA">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地表水环境</w:t>
            </w:r>
          </w:p>
        </w:tc>
        <w:tc>
          <w:tcPr>
            <w:tcW w:w="1177" w:type="pct"/>
            <w:vAlign w:val="center"/>
          </w:tcPr>
          <w:p w14:paraId="04DC5F53">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E2</w:t>
            </w:r>
          </w:p>
        </w:tc>
        <w:tc>
          <w:tcPr>
            <w:tcW w:w="1176" w:type="pct"/>
            <w:vMerge w:val="continue"/>
            <w:vAlign w:val="center"/>
          </w:tcPr>
          <w:p w14:paraId="06EFA6CC">
            <w:pPr>
              <w:spacing w:line="240" w:lineRule="auto"/>
              <w:ind w:firstLine="420"/>
              <w:jc w:val="center"/>
              <w:rPr>
                <w:color w:val="000000" w:themeColor="text1"/>
                <w:sz w:val="21"/>
                <w:szCs w:val="21"/>
                <w14:textFill>
                  <w14:solidFill>
                    <w14:schemeClr w14:val="tx1"/>
                  </w14:solidFill>
                </w14:textFill>
              </w:rPr>
            </w:pPr>
          </w:p>
        </w:tc>
        <w:tc>
          <w:tcPr>
            <w:tcW w:w="1178" w:type="pct"/>
            <w:vAlign w:val="center"/>
          </w:tcPr>
          <w:p w14:paraId="45FA09A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Ⅲ级</w:t>
            </w:r>
          </w:p>
        </w:tc>
      </w:tr>
      <w:tr w14:paraId="49DA10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0" w:hRule="atLeast"/>
          <w:jc w:val="center"/>
        </w:trPr>
        <w:tc>
          <w:tcPr>
            <w:tcW w:w="1470" w:type="pct"/>
            <w:vAlign w:val="center"/>
          </w:tcPr>
          <w:p w14:paraId="441B8CFE">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地下水环境</w:t>
            </w:r>
          </w:p>
        </w:tc>
        <w:tc>
          <w:tcPr>
            <w:tcW w:w="1177" w:type="pct"/>
            <w:vAlign w:val="center"/>
          </w:tcPr>
          <w:p w14:paraId="3171AE4F">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176" w:type="pct"/>
            <w:vMerge w:val="continue"/>
            <w:vAlign w:val="center"/>
          </w:tcPr>
          <w:p w14:paraId="75D00F60">
            <w:pPr>
              <w:spacing w:line="240" w:lineRule="auto"/>
              <w:ind w:firstLine="420"/>
              <w:jc w:val="center"/>
              <w:rPr>
                <w:color w:val="000000" w:themeColor="text1"/>
                <w:sz w:val="21"/>
                <w:szCs w:val="21"/>
                <w14:textFill>
                  <w14:solidFill>
                    <w14:schemeClr w14:val="tx1"/>
                  </w14:solidFill>
                </w14:textFill>
              </w:rPr>
            </w:pPr>
          </w:p>
        </w:tc>
        <w:tc>
          <w:tcPr>
            <w:tcW w:w="1178" w:type="pct"/>
            <w:vAlign w:val="center"/>
          </w:tcPr>
          <w:p w14:paraId="128A552B">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r>
    </w:tbl>
    <w:p w14:paraId="75C95641">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评价工作等级和评价范围</w:t>
      </w:r>
    </w:p>
    <w:p w14:paraId="474844BC">
      <w:pPr>
        <w:ind w:firstLine="480"/>
        <w:rPr>
          <w:b/>
          <w:bCs/>
          <w:color w:val="000000" w:themeColor="text1"/>
          <w:kern w:val="0"/>
          <w:szCs w:val="20"/>
          <w:u w:val="single"/>
          <w14:textFill>
            <w14:solidFill>
              <w14:schemeClr w14:val="tx1"/>
            </w14:solidFill>
          </w14:textFill>
        </w:rPr>
      </w:pPr>
      <w:r>
        <w:rPr>
          <w:color w:val="000000" w:themeColor="text1"/>
          <w:kern w:val="0"/>
          <w:szCs w:val="20"/>
          <w:u w:val="single"/>
          <w14:textFill>
            <w14:solidFill>
              <w14:schemeClr w14:val="tx1"/>
            </w14:solidFill>
          </w14:textFill>
        </w:rPr>
        <w:t>根据《建设项目环境风险评价技术导则》（HJ/T169-2018），环境风险评价工作等级划分为一级、二级、三级。根据建设项目涉及的物质及工艺系统和危险性和所在地的环境敏感性确定环境风险潜势，按表5.</w:t>
      </w:r>
      <w:r>
        <w:rPr>
          <w:rFonts w:hint="eastAsia"/>
          <w:color w:val="000000" w:themeColor="text1"/>
          <w:kern w:val="0"/>
          <w:szCs w:val="20"/>
          <w:u w:val="single"/>
          <w14:textFill>
            <w14:solidFill>
              <w14:schemeClr w14:val="tx1"/>
            </w14:solidFill>
          </w14:textFill>
        </w:rPr>
        <w:t>2-11</w:t>
      </w:r>
      <w:r>
        <w:rPr>
          <w:color w:val="000000" w:themeColor="text1"/>
          <w:kern w:val="0"/>
          <w:szCs w:val="20"/>
          <w:u w:val="single"/>
          <w14:textFill>
            <w14:solidFill>
              <w14:schemeClr w14:val="tx1"/>
            </w14:solidFill>
          </w14:textFill>
        </w:rPr>
        <w:t>确定工作等级。</w:t>
      </w:r>
    </w:p>
    <w:p w14:paraId="13F10288">
      <w:pPr>
        <w:pStyle w:val="7"/>
        <w:rPr>
          <w:color w:val="000000" w:themeColor="text1"/>
          <w:u w:val="single"/>
          <w14:textFill>
            <w14:solidFill>
              <w14:schemeClr w14:val="tx1"/>
            </w14:solidFill>
          </w14:textFill>
        </w:rPr>
      </w:pPr>
      <w:r>
        <w:rPr>
          <w:color w:val="000000" w:themeColor="text1"/>
          <w:u w:val="single"/>
          <w14:textFill>
            <w14:solidFill>
              <w14:schemeClr w14:val="tx1"/>
            </w14:solidFill>
          </w14:textFill>
        </w:rPr>
        <w:t>环境风险评价工作等级划分表</w:t>
      </w:r>
    </w:p>
    <w:tbl>
      <w:tblPr>
        <w:tblStyle w:val="125"/>
        <w:tblW w:w="8508" w:type="dxa"/>
        <w:tblInd w:w="12"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1635"/>
        <w:gridCol w:w="1661"/>
        <w:gridCol w:w="2052"/>
        <w:gridCol w:w="1554"/>
        <w:gridCol w:w="1606"/>
      </w:tblGrid>
      <w:tr w14:paraId="29A172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92" w:hRule="atLeast"/>
        </w:trPr>
        <w:tc>
          <w:tcPr>
            <w:tcW w:w="1635" w:type="dxa"/>
            <w:vAlign w:val="center"/>
          </w:tcPr>
          <w:p w14:paraId="4BC2D7A0">
            <w:pPr>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环境风险潜势</w:t>
            </w:r>
          </w:p>
        </w:tc>
        <w:tc>
          <w:tcPr>
            <w:tcW w:w="1661" w:type="dxa"/>
            <w:vAlign w:val="center"/>
          </w:tcPr>
          <w:p w14:paraId="24EC6158">
            <w:pPr>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Ⅳ、Ⅳ+</w:t>
            </w:r>
          </w:p>
        </w:tc>
        <w:tc>
          <w:tcPr>
            <w:tcW w:w="2052" w:type="dxa"/>
            <w:vAlign w:val="center"/>
          </w:tcPr>
          <w:p w14:paraId="37641410">
            <w:pPr>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Ⅲ</w:t>
            </w:r>
          </w:p>
        </w:tc>
        <w:tc>
          <w:tcPr>
            <w:tcW w:w="1554" w:type="dxa"/>
            <w:vAlign w:val="center"/>
          </w:tcPr>
          <w:p w14:paraId="6DB5C3D6">
            <w:pPr>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Ⅱ</w:t>
            </w:r>
          </w:p>
        </w:tc>
        <w:tc>
          <w:tcPr>
            <w:tcW w:w="1606" w:type="dxa"/>
            <w:vAlign w:val="center"/>
          </w:tcPr>
          <w:p w14:paraId="06711BF5">
            <w:pPr>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Ⅰ</w:t>
            </w:r>
          </w:p>
        </w:tc>
      </w:tr>
      <w:tr w14:paraId="3EF165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53" w:hRule="atLeast"/>
        </w:trPr>
        <w:tc>
          <w:tcPr>
            <w:tcW w:w="1635" w:type="dxa"/>
            <w:vAlign w:val="center"/>
          </w:tcPr>
          <w:p w14:paraId="7ECCF479">
            <w:pPr>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评价工作等级</w:t>
            </w:r>
          </w:p>
        </w:tc>
        <w:tc>
          <w:tcPr>
            <w:tcW w:w="1661" w:type="dxa"/>
            <w:vAlign w:val="center"/>
          </w:tcPr>
          <w:p w14:paraId="3A6BBB8C">
            <w:pPr>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一</w:t>
            </w:r>
          </w:p>
        </w:tc>
        <w:tc>
          <w:tcPr>
            <w:tcW w:w="2052" w:type="dxa"/>
            <w:vAlign w:val="center"/>
          </w:tcPr>
          <w:p w14:paraId="21FDB270">
            <w:pPr>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二</w:t>
            </w:r>
          </w:p>
        </w:tc>
        <w:tc>
          <w:tcPr>
            <w:tcW w:w="1554" w:type="dxa"/>
            <w:vAlign w:val="center"/>
          </w:tcPr>
          <w:p w14:paraId="6BA84D01">
            <w:pPr>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三</w:t>
            </w:r>
          </w:p>
        </w:tc>
        <w:tc>
          <w:tcPr>
            <w:tcW w:w="1606" w:type="dxa"/>
            <w:vAlign w:val="center"/>
          </w:tcPr>
          <w:p w14:paraId="648AA438">
            <w:pPr>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简单分析</w:t>
            </w:r>
          </w:p>
        </w:tc>
      </w:tr>
    </w:tbl>
    <w:p w14:paraId="5808800C">
      <w:pPr>
        <w:ind w:firstLine="480"/>
        <w:rPr>
          <w:color w:val="000000" w:themeColor="text1"/>
          <w:kern w:val="0"/>
          <w:u w:val="single"/>
          <w14:textFill>
            <w14:solidFill>
              <w14:schemeClr w14:val="tx1"/>
            </w14:solidFill>
          </w14:textFill>
        </w:rPr>
      </w:pPr>
      <w:r>
        <w:rPr>
          <w:color w:val="000000" w:themeColor="text1"/>
          <w:kern w:val="0"/>
          <w:szCs w:val="20"/>
          <w:u w:val="single"/>
          <w14:textFill>
            <w14:solidFill>
              <w14:schemeClr w14:val="tx1"/>
            </w14:solidFill>
          </w14:textFill>
        </w:rPr>
        <w:t>综上，本项目环境风险大气环境敏感区为E2，地表水环境敏感区为E</w:t>
      </w:r>
      <w:r>
        <w:rPr>
          <w:rFonts w:hint="eastAsia"/>
          <w:color w:val="000000" w:themeColor="text1"/>
          <w:kern w:val="0"/>
          <w:szCs w:val="20"/>
          <w:u w:val="single"/>
          <w14:textFill>
            <w14:solidFill>
              <w14:schemeClr w14:val="tx1"/>
            </w14:solidFill>
          </w14:textFill>
        </w:rPr>
        <w:t>2</w:t>
      </w:r>
      <w:r>
        <w:rPr>
          <w:color w:val="000000" w:themeColor="text1"/>
          <w:kern w:val="0"/>
          <w:szCs w:val="20"/>
          <w:u w:val="single"/>
          <w14:textFill>
            <w14:solidFill>
              <w14:schemeClr w14:val="tx1"/>
            </w14:solidFill>
          </w14:textFill>
        </w:rPr>
        <w:t>；本项目危险物质及工艺系统危险性等级为P2，故按《建设项目环境风险评价技术导则》（HJ/169-2018），项目环境风险潜势等级为Ⅲ级，确定风险评价工作级别为二级。其中环境风险大气环境风险潜势为Ⅲ</w:t>
      </w:r>
      <w:r>
        <w:rPr>
          <w:rFonts w:hint="eastAsia"/>
          <w:color w:val="000000" w:themeColor="text1"/>
          <w:kern w:val="0"/>
          <w:szCs w:val="20"/>
          <w:u w:val="single"/>
          <w14:textFill>
            <w14:solidFill>
              <w14:schemeClr w14:val="tx1"/>
            </w14:solidFill>
          </w14:textFill>
        </w:rPr>
        <w:t>，</w:t>
      </w:r>
      <w:r>
        <w:rPr>
          <w:color w:val="000000" w:themeColor="text1"/>
          <w:kern w:val="0"/>
          <w:szCs w:val="20"/>
          <w:u w:val="single"/>
          <w14:textFill>
            <w14:solidFill>
              <w14:schemeClr w14:val="tx1"/>
            </w14:solidFill>
          </w14:textFill>
        </w:rPr>
        <w:t>评价等级为二级；</w:t>
      </w:r>
      <w:r>
        <w:rPr>
          <w:rFonts w:hint="eastAsia"/>
          <w:color w:val="000000" w:themeColor="text1"/>
          <w:kern w:val="0"/>
          <w:u w:val="single"/>
          <w14:textFill>
            <w14:solidFill>
              <w14:schemeClr w14:val="tx1"/>
            </w14:solidFill>
          </w14:textFill>
        </w:rPr>
        <w:t>地表水环境风险潜势等级为</w:t>
      </w:r>
      <w:r>
        <w:rPr>
          <w:color w:val="000000" w:themeColor="text1"/>
          <w:kern w:val="0"/>
          <w:szCs w:val="20"/>
          <w:u w:val="single"/>
          <w14:textFill>
            <w14:solidFill>
              <w14:schemeClr w14:val="tx1"/>
            </w14:solidFill>
          </w14:textFill>
        </w:rPr>
        <w:t>Ⅲ</w:t>
      </w:r>
      <w:r>
        <w:rPr>
          <w:rFonts w:hint="eastAsia"/>
          <w:color w:val="000000" w:themeColor="text1"/>
          <w:spacing w:val="-2"/>
          <w:kern w:val="0"/>
          <w:u w:val="single"/>
          <w14:textFill>
            <w14:solidFill>
              <w14:schemeClr w14:val="tx1"/>
            </w14:solidFill>
          </w14:textFill>
        </w:rPr>
        <w:t>，</w:t>
      </w:r>
      <w:r>
        <w:rPr>
          <w:rFonts w:hint="eastAsia"/>
          <w:color w:val="000000" w:themeColor="text1"/>
          <w:kern w:val="0"/>
          <w:u w:val="single"/>
          <w14:textFill>
            <w14:solidFill>
              <w14:schemeClr w14:val="tx1"/>
            </w14:solidFill>
          </w14:textFill>
        </w:rPr>
        <w:t>因本工程为码头工程，涉及地表水环境为海域环境，风险类型为船舶污染海洋环境；故水域环境风险等级判定参照《船舶污染海洋环境风险评价技术规范（试行）》，本扩建项目所在码头为液体化工码头，地表水环境风险评价等级定为一级。</w:t>
      </w:r>
    </w:p>
    <w:p w14:paraId="4CEA92F9">
      <w:pPr>
        <w:pStyle w:val="7"/>
        <w:rPr>
          <w:color w:val="000000" w:themeColor="text1"/>
          <w:u w:val="single"/>
          <w14:textFill>
            <w14:solidFill>
              <w14:schemeClr w14:val="tx1"/>
            </w14:solidFill>
          </w14:textFill>
        </w:rPr>
      </w:pPr>
      <w:r>
        <w:rPr>
          <w:color w:val="000000" w:themeColor="text1"/>
          <w:u w:val="single"/>
          <w14:textFill>
            <w14:solidFill>
              <w14:schemeClr w14:val="tx1"/>
            </w14:solidFill>
          </w14:textFill>
        </w:rPr>
        <w:t>本项目环境风险评价等级</w:t>
      </w:r>
    </w:p>
    <w:tbl>
      <w:tblPr>
        <w:tblStyle w:val="126"/>
        <w:tblW w:w="5000" w:type="pct"/>
        <w:tblInd w:w="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3762"/>
        <w:gridCol w:w="2590"/>
        <w:gridCol w:w="1984"/>
      </w:tblGrid>
      <w:tr w14:paraId="2E22E7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2256" w:type="pct"/>
            <w:vAlign w:val="center"/>
          </w:tcPr>
          <w:p w14:paraId="5C42390E">
            <w:pPr>
              <w:adjustRightInd w:val="0"/>
              <w:snapToGrid w:val="0"/>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环境风险因素</w:t>
            </w:r>
          </w:p>
        </w:tc>
        <w:tc>
          <w:tcPr>
            <w:tcW w:w="1553" w:type="pct"/>
            <w:vAlign w:val="center"/>
          </w:tcPr>
          <w:p w14:paraId="72FE4D8E">
            <w:pPr>
              <w:adjustRightInd w:val="0"/>
              <w:snapToGrid w:val="0"/>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风险潜势</w:t>
            </w:r>
          </w:p>
        </w:tc>
        <w:tc>
          <w:tcPr>
            <w:tcW w:w="1190" w:type="pct"/>
            <w:vAlign w:val="center"/>
          </w:tcPr>
          <w:p w14:paraId="2C049666">
            <w:pPr>
              <w:adjustRightInd w:val="0"/>
              <w:snapToGrid w:val="0"/>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评价等级</w:t>
            </w:r>
          </w:p>
        </w:tc>
      </w:tr>
      <w:tr w14:paraId="100A27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2256" w:type="pct"/>
            <w:vAlign w:val="center"/>
          </w:tcPr>
          <w:p w14:paraId="68009406">
            <w:pPr>
              <w:adjustRightInd w:val="0"/>
              <w:snapToGrid w:val="0"/>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大气环境</w:t>
            </w:r>
          </w:p>
        </w:tc>
        <w:tc>
          <w:tcPr>
            <w:tcW w:w="1553" w:type="pct"/>
            <w:vAlign w:val="center"/>
          </w:tcPr>
          <w:p w14:paraId="088AEC1C">
            <w:pPr>
              <w:adjustRightInd w:val="0"/>
              <w:snapToGrid w:val="0"/>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Ⅲ级</w:t>
            </w:r>
          </w:p>
        </w:tc>
        <w:tc>
          <w:tcPr>
            <w:tcW w:w="1190" w:type="pct"/>
            <w:vAlign w:val="center"/>
          </w:tcPr>
          <w:p w14:paraId="557F432A">
            <w:pPr>
              <w:adjustRightInd w:val="0"/>
              <w:snapToGrid w:val="0"/>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二级</w:t>
            </w:r>
          </w:p>
        </w:tc>
      </w:tr>
      <w:tr w14:paraId="664064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2256" w:type="pct"/>
            <w:vAlign w:val="center"/>
          </w:tcPr>
          <w:p w14:paraId="58BD721C">
            <w:pPr>
              <w:adjustRightInd w:val="0"/>
              <w:snapToGrid w:val="0"/>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地表水环境</w:t>
            </w:r>
          </w:p>
        </w:tc>
        <w:tc>
          <w:tcPr>
            <w:tcW w:w="1553" w:type="pct"/>
            <w:vAlign w:val="center"/>
          </w:tcPr>
          <w:p w14:paraId="20E1DE0D">
            <w:pPr>
              <w:adjustRightInd w:val="0"/>
              <w:snapToGrid w:val="0"/>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Ⅲ级</w:t>
            </w:r>
          </w:p>
        </w:tc>
        <w:tc>
          <w:tcPr>
            <w:tcW w:w="1190" w:type="pct"/>
            <w:vAlign w:val="center"/>
          </w:tcPr>
          <w:p w14:paraId="4DA0547E">
            <w:pPr>
              <w:adjustRightInd w:val="0"/>
              <w:snapToGrid w:val="0"/>
              <w:spacing w:line="240" w:lineRule="auto"/>
              <w:ind w:firstLine="0" w:firstLineChars="0"/>
              <w:jc w:val="center"/>
              <w:rPr>
                <w:color w:val="000000" w:themeColor="text1"/>
                <w:kern w:val="0"/>
                <w:sz w:val="21"/>
                <w:szCs w:val="21"/>
                <w:u w:val="single"/>
                <w14:textFill>
                  <w14:solidFill>
                    <w14:schemeClr w14:val="tx1"/>
                  </w14:solidFill>
                </w14:textFill>
              </w:rPr>
            </w:pPr>
            <w:r>
              <w:rPr>
                <w:rFonts w:hint="eastAsia"/>
                <w:color w:val="000000" w:themeColor="text1"/>
                <w:kern w:val="0"/>
                <w:sz w:val="21"/>
                <w:szCs w:val="21"/>
                <w:u w:val="single"/>
                <w14:textFill>
                  <w14:solidFill>
                    <w14:schemeClr w14:val="tx1"/>
                  </w14:solidFill>
                </w14:textFill>
              </w:rPr>
              <w:t>一</w:t>
            </w:r>
            <w:r>
              <w:rPr>
                <w:color w:val="000000" w:themeColor="text1"/>
                <w:kern w:val="0"/>
                <w:sz w:val="21"/>
                <w:szCs w:val="21"/>
                <w:u w:val="single"/>
                <w14:textFill>
                  <w14:solidFill>
                    <w14:schemeClr w14:val="tx1"/>
                  </w14:solidFill>
                </w14:textFill>
              </w:rPr>
              <w:t>级</w:t>
            </w:r>
          </w:p>
        </w:tc>
      </w:tr>
      <w:tr w14:paraId="5C9D5A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2256" w:type="pct"/>
            <w:vAlign w:val="center"/>
          </w:tcPr>
          <w:p w14:paraId="6965FCB5">
            <w:pPr>
              <w:adjustRightInd w:val="0"/>
              <w:snapToGrid w:val="0"/>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地下水环境</w:t>
            </w:r>
          </w:p>
        </w:tc>
        <w:tc>
          <w:tcPr>
            <w:tcW w:w="1553" w:type="pct"/>
            <w:vAlign w:val="center"/>
          </w:tcPr>
          <w:p w14:paraId="32F3CC91">
            <w:pPr>
              <w:adjustRightInd w:val="0"/>
              <w:snapToGrid w:val="0"/>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w:t>
            </w:r>
          </w:p>
        </w:tc>
        <w:tc>
          <w:tcPr>
            <w:tcW w:w="1190" w:type="pct"/>
            <w:vAlign w:val="center"/>
          </w:tcPr>
          <w:p w14:paraId="226F8F4C">
            <w:pPr>
              <w:adjustRightInd w:val="0"/>
              <w:snapToGrid w:val="0"/>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w:t>
            </w:r>
          </w:p>
        </w:tc>
      </w:tr>
    </w:tbl>
    <w:p w14:paraId="4B78E558">
      <w:pPr>
        <w:ind w:firstLine="480"/>
        <w:rPr>
          <w:color w:val="000000" w:themeColor="text1"/>
          <w:kern w:val="0"/>
          <w:szCs w:val="20"/>
          <w:u w:val="single"/>
          <w14:textFill>
            <w14:solidFill>
              <w14:schemeClr w14:val="tx1"/>
            </w14:solidFill>
          </w14:textFill>
        </w:rPr>
      </w:pPr>
      <w:r>
        <w:rPr>
          <w:color w:val="000000" w:themeColor="text1"/>
          <w:kern w:val="0"/>
          <w:szCs w:val="20"/>
          <w:u w:val="single"/>
          <w14:textFill>
            <w14:solidFill>
              <w14:schemeClr w14:val="tx1"/>
            </w14:solidFill>
          </w14:textFill>
        </w:rPr>
        <w:t>根据《建设项目环境风险评价技术导则》（HJ/T169-2018），本项目为化学品工艺管线项目，按大气环境、地表水环境风险评价范围分别为：</w:t>
      </w:r>
    </w:p>
    <w:p w14:paraId="7FD365C2">
      <w:pPr>
        <w:ind w:firstLine="480"/>
        <w:rPr>
          <w:color w:val="000000" w:themeColor="text1"/>
          <w:kern w:val="0"/>
          <w:szCs w:val="20"/>
          <w:u w:val="single"/>
          <w14:textFill>
            <w14:solidFill>
              <w14:schemeClr w14:val="tx1"/>
            </w14:solidFill>
          </w14:textFill>
        </w:rPr>
      </w:pPr>
      <w:r>
        <w:rPr>
          <w:rFonts w:hint="eastAsia" w:ascii="宋体" w:hAnsi="宋体" w:cs="宋体"/>
          <w:color w:val="000000" w:themeColor="text1"/>
          <w:kern w:val="0"/>
          <w:szCs w:val="20"/>
          <w:u w:val="single"/>
          <w14:textFill>
            <w14:solidFill>
              <w14:schemeClr w14:val="tx1"/>
            </w14:solidFill>
          </w14:textFill>
        </w:rPr>
        <w:t>①</w:t>
      </w:r>
      <w:r>
        <w:rPr>
          <w:color w:val="000000" w:themeColor="text1"/>
          <w:kern w:val="0"/>
          <w:szCs w:val="20"/>
          <w:u w:val="single"/>
          <w14:textFill>
            <w14:solidFill>
              <w14:schemeClr w14:val="tx1"/>
            </w14:solidFill>
          </w14:textFill>
        </w:rPr>
        <w:t>大气环境风险评价范围：确定项目大气评价范围为二级评价，距离项目边界5km范围；</w:t>
      </w:r>
    </w:p>
    <w:p w14:paraId="072F1E7B">
      <w:pPr>
        <w:ind w:firstLine="480"/>
        <w:rPr>
          <w:rFonts w:hint="eastAsia"/>
          <w:color w:val="000000" w:themeColor="text1"/>
          <w:szCs w:val="28"/>
          <w:u w:val="single"/>
          <w14:textFill>
            <w14:solidFill>
              <w14:schemeClr w14:val="tx1"/>
            </w14:solidFill>
          </w14:textFill>
        </w:rPr>
      </w:pPr>
      <w:r>
        <w:rPr>
          <w:rFonts w:hint="eastAsia" w:ascii="宋体" w:hAnsi="宋体" w:cs="宋体"/>
          <w:color w:val="000000" w:themeColor="text1"/>
          <w:kern w:val="0"/>
          <w:szCs w:val="20"/>
          <w:u w:val="single"/>
          <w14:textFill>
            <w14:solidFill>
              <w14:schemeClr w14:val="tx1"/>
            </w14:solidFill>
          </w14:textFill>
        </w:rPr>
        <w:t>②</w:t>
      </w:r>
      <w:r>
        <w:rPr>
          <w:color w:val="000000" w:themeColor="text1"/>
          <w:kern w:val="0"/>
          <w:szCs w:val="20"/>
          <w:u w:val="single"/>
          <w14:textFill>
            <w14:solidFill>
              <w14:schemeClr w14:val="tx1"/>
            </w14:solidFill>
          </w14:textFill>
        </w:rPr>
        <w:t>地表水环境风险评价范围：</w:t>
      </w:r>
      <w:r>
        <w:rPr>
          <w:rFonts w:hint="eastAsia"/>
          <w:color w:val="000000" w:themeColor="text1"/>
          <w:szCs w:val="28"/>
          <w:u w:val="single"/>
          <w14:textFill>
            <w14:solidFill>
              <w14:schemeClr w14:val="tx1"/>
            </w14:solidFill>
          </w14:textFill>
        </w:rPr>
        <w:t>根据</w:t>
      </w:r>
      <w:r>
        <w:rPr>
          <w:color w:val="000000" w:themeColor="text1"/>
          <w:kern w:val="0"/>
          <w:szCs w:val="20"/>
          <w:u w:val="single"/>
          <w14:textFill>
            <w14:solidFill>
              <w14:schemeClr w14:val="tx1"/>
            </w14:solidFill>
          </w14:textFill>
        </w:rPr>
        <w:t>《建设项目环境风险评价技术导则》（HJ 169-2018）</w:t>
      </w:r>
      <w:r>
        <w:rPr>
          <w:rFonts w:hint="eastAsia"/>
          <w:color w:val="000000" w:themeColor="text1"/>
          <w:kern w:val="0"/>
          <w:szCs w:val="20"/>
          <w:u w:val="single"/>
          <w14:textFill>
            <w14:solidFill>
              <w14:schemeClr w14:val="tx1"/>
            </w14:solidFill>
          </w14:textFill>
        </w:rPr>
        <w:t>，本项目地表水环境风险评价范围</w:t>
      </w:r>
      <w:r>
        <w:rPr>
          <w:rFonts w:hint="eastAsia"/>
          <w:color w:val="000000" w:themeColor="text1"/>
          <w:szCs w:val="28"/>
          <w:u w:val="single"/>
          <w14:textFill>
            <w14:solidFill>
              <w14:schemeClr w14:val="tx1"/>
            </w14:solidFill>
          </w14:textFill>
        </w:rPr>
        <w:t>覆盖环境风险影响范围所及的水环境保护目标水域。</w:t>
      </w:r>
    </w:p>
    <w:p w14:paraId="44B73960">
      <w:pPr>
        <w:pStyle w:val="7"/>
        <w:rPr>
          <w:rFonts w:hint="eastAsia"/>
          <w:color w:val="000000" w:themeColor="text1"/>
          <w:szCs w:val="28"/>
          <w:u w:val="none"/>
          <w14:textFill>
            <w14:solidFill>
              <w14:schemeClr w14:val="tx1"/>
            </w14:solidFill>
          </w14:textFill>
        </w:rPr>
      </w:pPr>
      <w:r>
        <w:rPr>
          <w:rFonts w:hint="eastAsia"/>
          <w:color w:val="000000" w:themeColor="text1"/>
          <w:u w:val="none"/>
          <w:lang w:val="en-US" w:eastAsia="zh-CN"/>
          <w14:textFill>
            <w14:solidFill>
              <w14:schemeClr w14:val="tx1"/>
            </w14:solidFill>
          </w14:textFill>
        </w:rPr>
        <w:t>水环境保护目标</w:t>
      </w:r>
    </w:p>
    <w:tbl>
      <w:tblPr>
        <w:tblStyle w:val="4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3"/>
        <w:gridCol w:w="1243"/>
        <w:gridCol w:w="1245"/>
        <w:gridCol w:w="4791"/>
      </w:tblGrid>
      <w:tr w14:paraId="24D91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3" w:type="dxa"/>
            <w:tcBorders>
              <w:top w:val="single" w:color="auto" w:sz="12" w:space="0"/>
              <w:left w:val="single" w:color="auto" w:sz="12" w:space="0"/>
            </w:tcBorders>
          </w:tcPr>
          <w:p w14:paraId="2B27EBC9">
            <w:pPr>
              <w:adjustRightInd w:val="0"/>
              <w:snapToGrid w:val="0"/>
              <w:spacing w:line="240" w:lineRule="auto"/>
              <w:ind w:firstLine="0" w:firstLineChars="0"/>
              <w:jc w:val="center"/>
              <w:rPr>
                <w:rFonts w:hint="eastAsia"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序号</w:t>
            </w:r>
          </w:p>
        </w:tc>
        <w:tc>
          <w:tcPr>
            <w:tcW w:w="1243" w:type="dxa"/>
            <w:tcBorders>
              <w:top w:val="single" w:color="auto" w:sz="12" w:space="0"/>
            </w:tcBorders>
          </w:tcPr>
          <w:p w14:paraId="05049BBF">
            <w:pPr>
              <w:adjustRightInd w:val="0"/>
              <w:snapToGrid w:val="0"/>
              <w:spacing w:line="240" w:lineRule="auto"/>
              <w:ind w:firstLine="0" w:firstLineChars="0"/>
              <w:jc w:val="center"/>
              <w:rPr>
                <w:rFonts w:hint="eastAsia"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方位</w:t>
            </w:r>
          </w:p>
        </w:tc>
        <w:tc>
          <w:tcPr>
            <w:tcW w:w="1245" w:type="dxa"/>
            <w:tcBorders>
              <w:top w:val="single" w:color="auto" w:sz="12" w:space="0"/>
            </w:tcBorders>
          </w:tcPr>
          <w:p w14:paraId="4BDEDDEF">
            <w:pPr>
              <w:adjustRightInd w:val="0"/>
              <w:snapToGrid w:val="0"/>
              <w:spacing w:line="240" w:lineRule="auto"/>
              <w:ind w:firstLine="0" w:firstLineChars="0"/>
              <w:jc w:val="center"/>
              <w:rPr>
                <w:rFonts w:hint="eastAsia"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距离</w:t>
            </w:r>
          </w:p>
        </w:tc>
        <w:tc>
          <w:tcPr>
            <w:tcW w:w="4791" w:type="dxa"/>
            <w:tcBorders>
              <w:top w:val="single" w:color="auto" w:sz="12" w:space="0"/>
              <w:right w:val="single" w:color="auto" w:sz="12" w:space="0"/>
            </w:tcBorders>
          </w:tcPr>
          <w:p w14:paraId="7143B6B0">
            <w:pPr>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水环境保护目标</w:t>
            </w:r>
          </w:p>
        </w:tc>
      </w:tr>
      <w:tr w14:paraId="25EC0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3" w:type="dxa"/>
            <w:tcBorders>
              <w:left w:val="single" w:color="auto" w:sz="12" w:space="0"/>
            </w:tcBorders>
          </w:tcPr>
          <w:p w14:paraId="5E6D78A4">
            <w:pPr>
              <w:adjustRightInd w:val="0"/>
              <w:snapToGrid w:val="0"/>
              <w:spacing w:line="240" w:lineRule="auto"/>
              <w:ind w:firstLine="0" w:firstLineChars="0"/>
              <w:jc w:val="cente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1243" w:type="dxa"/>
          </w:tcPr>
          <w:p w14:paraId="751C0CE9">
            <w:pPr>
              <w:adjustRightInd w:val="0"/>
              <w:snapToGrid w:val="0"/>
              <w:spacing w:line="240" w:lineRule="auto"/>
              <w:ind w:firstLine="0" w:firstLineChars="0"/>
              <w:jc w:val="cente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W</w:t>
            </w:r>
          </w:p>
        </w:tc>
        <w:tc>
          <w:tcPr>
            <w:tcW w:w="1245" w:type="dxa"/>
          </w:tcPr>
          <w:p w14:paraId="60DDBA19">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3.8km</w:t>
            </w:r>
          </w:p>
        </w:tc>
        <w:tc>
          <w:tcPr>
            <w:tcW w:w="4791" w:type="dxa"/>
            <w:tcBorders>
              <w:right w:val="single" w:color="auto" w:sz="12" w:space="0"/>
            </w:tcBorders>
          </w:tcPr>
          <w:p w14:paraId="62C849E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广西茅尾海红树林自治区自然保护区</w:t>
            </w:r>
          </w:p>
        </w:tc>
      </w:tr>
      <w:tr w14:paraId="36061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3" w:type="dxa"/>
            <w:tcBorders>
              <w:left w:val="single" w:color="auto" w:sz="12" w:space="0"/>
            </w:tcBorders>
          </w:tcPr>
          <w:p w14:paraId="7BF43B0F">
            <w:pPr>
              <w:adjustRightInd w:val="0"/>
              <w:snapToGrid w:val="0"/>
              <w:spacing w:line="240" w:lineRule="auto"/>
              <w:ind w:firstLine="0" w:firstLineChars="0"/>
              <w:jc w:val="cente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1243" w:type="dxa"/>
          </w:tcPr>
          <w:p w14:paraId="52DAD32D">
            <w:pPr>
              <w:adjustRightInd w:val="0"/>
              <w:snapToGrid w:val="0"/>
              <w:spacing w:line="240" w:lineRule="auto"/>
              <w:ind w:firstLine="0" w:firstLineChars="0"/>
              <w:jc w:val="cente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S</w:t>
            </w:r>
          </w:p>
        </w:tc>
        <w:tc>
          <w:tcPr>
            <w:tcW w:w="1245" w:type="dxa"/>
          </w:tcPr>
          <w:p w14:paraId="70987BA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5.9km</w:t>
            </w:r>
          </w:p>
        </w:tc>
        <w:tc>
          <w:tcPr>
            <w:tcW w:w="4791" w:type="dxa"/>
            <w:tcBorders>
              <w:right w:val="single" w:color="auto" w:sz="12" w:space="0"/>
            </w:tcBorders>
          </w:tcPr>
          <w:p w14:paraId="51517BE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钦州港青菜头南浅海滩涂养殖区</w:t>
            </w:r>
          </w:p>
        </w:tc>
      </w:tr>
      <w:tr w14:paraId="2B0CF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3" w:type="dxa"/>
            <w:tcBorders>
              <w:left w:val="single" w:color="auto" w:sz="12" w:space="0"/>
            </w:tcBorders>
          </w:tcPr>
          <w:p w14:paraId="247A9453">
            <w:pPr>
              <w:adjustRightInd w:val="0"/>
              <w:snapToGrid w:val="0"/>
              <w:spacing w:line="240" w:lineRule="auto"/>
              <w:ind w:firstLine="0" w:firstLineChars="0"/>
              <w:jc w:val="cente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3</w:t>
            </w:r>
          </w:p>
        </w:tc>
        <w:tc>
          <w:tcPr>
            <w:tcW w:w="1243" w:type="dxa"/>
          </w:tcPr>
          <w:p w14:paraId="6C4A4CCA">
            <w:pPr>
              <w:adjustRightInd w:val="0"/>
              <w:snapToGrid w:val="0"/>
              <w:spacing w:line="240" w:lineRule="auto"/>
              <w:ind w:firstLine="0" w:firstLineChars="0"/>
              <w:jc w:val="cente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N</w:t>
            </w:r>
          </w:p>
        </w:tc>
        <w:tc>
          <w:tcPr>
            <w:tcW w:w="1245" w:type="dxa"/>
          </w:tcPr>
          <w:p w14:paraId="3983E703">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3.8km</w:t>
            </w:r>
          </w:p>
        </w:tc>
        <w:tc>
          <w:tcPr>
            <w:tcW w:w="4791" w:type="dxa"/>
            <w:tcBorders>
              <w:right w:val="single" w:color="auto" w:sz="12" w:space="0"/>
            </w:tcBorders>
          </w:tcPr>
          <w:p w14:paraId="32EFD1AD">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红树林集中分布斑块</w:t>
            </w:r>
          </w:p>
        </w:tc>
      </w:tr>
      <w:tr w14:paraId="6787D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43" w:type="dxa"/>
            <w:tcBorders>
              <w:left w:val="single" w:color="auto" w:sz="12" w:space="0"/>
              <w:bottom w:val="single" w:color="auto" w:sz="12" w:space="0"/>
            </w:tcBorders>
          </w:tcPr>
          <w:p w14:paraId="17662E5A">
            <w:pPr>
              <w:adjustRightInd w:val="0"/>
              <w:snapToGrid w:val="0"/>
              <w:spacing w:line="240" w:lineRule="auto"/>
              <w:ind w:firstLine="0" w:firstLineChars="0"/>
              <w:jc w:val="cente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4</w:t>
            </w:r>
          </w:p>
        </w:tc>
        <w:tc>
          <w:tcPr>
            <w:tcW w:w="1243" w:type="dxa"/>
            <w:tcBorders>
              <w:bottom w:val="single" w:color="auto" w:sz="12" w:space="0"/>
            </w:tcBorders>
          </w:tcPr>
          <w:p w14:paraId="2768208F">
            <w:pPr>
              <w:adjustRightInd w:val="0"/>
              <w:snapToGrid w:val="0"/>
              <w:spacing w:line="240" w:lineRule="auto"/>
              <w:ind w:firstLine="0" w:firstLineChars="0"/>
              <w:jc w:val="cente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W</w:t>
            </w:r>
          </w:p>
        </w:tc>
        <w:tc>
          <w:tcPr>
            <w:tcW w:w="1245" w:type="dxa"/>
            <w:tcBorders>
              <w:bottom w:val="single" w:color="auto" w:sz="12" w:space="0"/>
            </w:tcBorders>
          </w:tcPr>
          <w:p w14:paraId="03B09D2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3.6km</w:t>
            </w:r>
          </w:p>
        </w:tc>
        <w:tc>
          <w:tcPr>
            <w:tcW w:w="4791" w:type="dxa"/>
            <w:tcBorders>
              <w:bottom w:val="single" w:color="auto" w:sz="12" w:space="0"/>
              <w:right w:val="single" w:color="auto" w:sz="12" w:space="0"/>
            </w:tcBorders>
          </w:tcPr>
          <w:p w14:paraId="38C5C252">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蚝排养殖区</w:t>
            </w:r>
          </w:p>
        </w:tc>
      </w:tr>
    </w:tbl>
    <w:p w14:paraId="144E4312">
      <w:pPr>
        <w:pStyle w:val="5"/>
        <w:rPr>
          <w:color w:val="000000" w:themeColor="text1"/>
          <w14:textFill>
            <w14:solidFill>
              <w14:schemeClr w14:val="tx1"/>
            </w14:solidFill>
          </w14:textFill>
        </w:rPr>
      </w:pPr>
      <w:r>
        <w:rPr>
          <w:color w:val="000000" w:themeColor="text1"/>
          <w14:textFill>
            <w14:solidFill>
              <w14:schemeClr w14:val="tx1"/>
            </w14:solidFill>
          </w14:textFill>
        </w:rPr>
        <w:t>风险识别</w:t>
      </w:r>
    </w:p>
    <w:p w14:paraId="1C8C4865">
      <w:pPr>
        <w:pStyle w:val="4"/>
        <w:rPr>
          <w:color w:val="000000" w:themeColor="text1"/>
          <w14:textFill>
            <w14:solidFill>
              <w14:schemeClr w14:val="tx1"/>
            </w14:solidFill>
          </w14:textFill>
        </w:rPr>
      </w:pPr>
      <w:r>
        <w:rPr>
          <w:color w:val="000000" w:themeColor="text1"/>
          <w14:textFill>
            <w14:solidFill>
              <w14:schemeClr w14:val="tx1"/>
            </w14:solidFill>
          </w14:textFill>
        </w:rPr>
        <w:t>事故资料统计</w:t>
      </w:r>
    </w:p>
    <w:p w14:paraId="0F2347BD">
      <w:pPr>
        <w:ind w:firstLine="480"/>
        <w:rPr>
          <w:color w:val="000000" w:themeColor="text1"/>
          <w14:textFill>
            <w14:solidFill>
              <w14:schemeClr w14:val="tx1"/>
            </w14:solidFill>
          </w14:textFill>
        </w:rPr>
      </w:pPr>
      <w:r>
        <w:rPr>
          <w:color w:val="000000" w:themeColor="text1"/>
          <w14:textFill>
            <w14:solidFill>
              <w14:schemeClr w14:val="tx1"/>
            </w14:solidFill>
          </w14:textFill>
        </w:rPr>
        <w:t>风险评价以概率论为理论基础，将受体特征（如水体、大气环境特征或生物群种特征）和影响物特征（数量、持续时间、转归途径及形式等）视为在一定范围内随机变动的变量，即随机变量，从而进行环境风险评价。因此工业系统及其各个行业系统，历史的事故统计及其概率是预测本项目的重要依据。本评价对码头系统有关的事故资料进行归纳统计。</w:t>
      </w:r>
    </w:p>
    <w:p w14:paraId="354DFD0C">
      <w:pPr>
        <w:pStyle w:val="6"/>
        <w:rPr>
          <w:color w:val="000000" w:themeColor="text1"/>
          <w14:textFill>
            <w14:solidFill>
              <w14:schemeClr w14:val="tx1"/>
            </w14:solidFill>
          </w14:textFill>
        </w:rPr>
      </w:pPr>
      <w:r>
        <w:rPr>
          <w:color w:val="000000" w:themeColor="text1"/>
          <w14:textFill>
            <w14:solidFill>
              <w14:schemeClr w14:val="tx1"/>
            </w14:solidFill>
          </w14:textFill>
        </w:rPr>
        <w:t>码头风险事故统计分析</w:t>
      </w:r>
    </w:p>
    <w:p w14:paraId="7A086924">
      <w:pPr>
        <w:ind w:firstLine="482"/>
        <w:rPr>
          <w:b/>
          <w:color w:val="000000" w:themeColor="text1"/>
          <w14:textFill>
            <w14:solidFill>
              <w14:schemeClr w14:val="tx1"/>
            </w14:solidFill>
          </w14:textFill>
        </w:rPr>
      </w:pPr>
      <w:r>
        <w:rPr>
          <w:b/>
          <w:color w:val="000000" w:themeColor="text1"/>
          <w14:textFill>
            <w14:solidFill>
              <w14:schemeClr w14:val="tx1"/>
            </w14:solidFill>
          </w14:textFill>
        </w:rPr>
        <w:t>一、全球船舶溢油事故统计</w:t>
      </w:r>
    </w:p>
    <w:p w14:paraId="0AD212FA">
      <w:pPr>
        <w:ind w:firstLine="480"/>
        <w:rPr>
          <w:color w:val="000000" w:themeColor="text1"/>
          <w14:textFill>
            <w14:solidFill>
              <w14:schemeClr w14:val="tx1"/>
            </w14:solidFill>
          </w14:textFill>
        </w:rPr>
      </w:pPr>
      <w:r>
        <w:rPr>
          <w:color w:val="000000" w:themeColor="text1"/>
          <w14:textFill>
            <w14:solidFill>
              <w14:schemeClr w14:val="tx1"/>
            </w14:solidFill>
          </w14:textFill>
        </w:rPr>
        <w:t>（1）溢油事故的次数</w:t>
      </w:r>
    </w:p>
    <w:p w14:paraId="088460AE">
      <w:pPr>
        <w:pStyle w:val="74"/>
        <w:rPr>
          <w:color w:val="000000" w:themeColor="text1"/>
          <w14:textFill>
            <w14:solidFill>
              <w14:schemeClr w14:val="tx1"/>
            </w14:solidFill>
          </w14:textFill>
        </w:rPr>
      </w:pPr>
      <w:r>
        <w:rPr>
          <w:color w:val="000000" w:themeColor="text1"/>
          <w14:textFill>
            <w14:solidFill>
              <w14:schemeClr w14:val="tx1"/>
            </w14:solidFill>
          </w14:textFill>
        </w:rPr>
        <w:t>据ITOPF1974~2015年的统计资料，46年来溢油量7吨及以上溢油事故共1823起。图5.4-1为从1970到2015年各年代（十年）中型（7-700吨）和大型（＞700吨）的事故发生次数。从图中可以看出，在过去35年，超过700吨的溢油事故的平均数逐步下降，55%的大规模溢油事件发生在七十年代，从2010年起稳定在平均一年1.8次。2015年两起大的泄漏事件都是由于碰撞引起的溢油，第一起于1月份发生在新加坡，造成4500吨原油泄漏，第二起发生在土耳其，造成1400吨石油泄漏。</w:t>
      </w:r>
    </w:p>
    <w:p w14:paraId="2FA5203C">
      <w:pPr>
        <w:ind w:firstLine="48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965065" cy="2332355"/>
            <wp:effectExtent l="0" t="0" r="698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4965065" cy="2332355"/>
                    </a:xfrm>
                    <a:prstGeom prst="rect">
                      <a:avLst/>
                    </a:prstGeom>
                    <a:noFill/>
                    <a:ln>
                      <a:noFill/>
                    </a:ln>
                  </pic:spPr>
                </pic:pic>
              </a:graphicData>
            </a:graphic>
          </wp:inline>
        </w:drawing>
      </w:r>
    </w:p>
    <w:p w14:paraId="56214A43">
      <w:pPr>
        <w:pStyle w:val="8"/>
        <w:rPr>
          <w:color w:val="000000" w:themeColor="text1"/>
          <w14:textFill>
            <w14:solidFill>
              <w14:schemeClr w14:val="tx1"/>
            </w14:solidFill>
          </w14:textFill>
        </w:rPr>
      </w:pPr>
      <w:r>
        <w:rPr>
          <w:color w:val="000000" w:themeColor="text1"/>
          <w14:textFill>
            <w14:solidFill>
              <w14:schemeClr w14:val="tx1"/>
            </w14:solidFill>
          </w14:textFill>
        </w:rPr>
        <w:t>各年代中型（7-700吨）和大型（＞700吨）的溢油事故发生次数</w:t>
      </w:r>
    </w:p>
    <w:p w14:paraId="1C4A516E">
      <w:pPr>
        <w:ind w:firstLine="480"/>
        <w:rPr>
          <w:color w:val="000000" w:themeColor="text1"/>
          <w14:textFill>
            <w14:solidFill>
              <w14:schemeClr w14:val="tx1"/>
            </w14:solidFill>
          </w14:textFill>
        </w:rPr>
      </w:pPr>
      <w:r>
        <w:rPr>
          <w:color w:val="000000" w:themeColor="text1"/>
          <w14:textFill>
            <w14:solidFill>
              <w14:schemeClr w14:val="tx1"/>
            </w14:solidFill>
          </w14:textFill>
        </w:rPr>
        <w:t>（2）溢油的数量</w:t>
      </w:r>
    </w:p>
    <w:p w14:paraId="13A8EE5B">
      <w:pPr>
        <w:ind w:firstLine="480"/>
        <w:rPr>
          <w:color w:val="000000" w:themeColor="text1"/>
          <w14:textFill>
            <w14:solidFill>
              <w14:schemeClr w14:val="tx1"/>
            </w14:solidFill>
          </w14:textFill>
        </w:rPr>
      </w:pPr>
      <w:r>
        <w:rPr>
          <w:color w:val="000000" w:themeColor="text1"/>
          <w14:textFill>
            <w14:solidFill>
              <w14:schemeClr w14:val="tx1"/>
            </w14:solidFill>
          </w14:textFill>
        </w:rPr>
        <w:t>1970年到2015年间，各起油轮事故（7吨及以上）导致总溢油约572万吨，如图5.4-2所示，几十年来油轮溢油量有明显改善，几十年前有好几个单独的年份的年漏油量甚至超过2000年-2009年间的总漏油量（196000吨）。2015年泄漏到环境的石油数量大约7000吨，其中</w:t>
      </w:r>
      <w:r>
        <w:rPr>
          <w:rFonts w:hint="eastAsia"/>
          <w:color w:val="000000" w:themeColor="text1"/>
          <w:lang w:eastAsia="zh-CN"/>
          <w14:textFill>
            <w14:solidFill>
              <w14:schemeClr w14:val="tx1"/>
            </w14:solidFill>
          </w14:textFill>
        </w:rPr>
        <w:t>绝大多数</w:t>
      </w:r>
      <w:r>
        <w:rPr>
          <w:color w:val="000000" w:themeColor="text1"/>
          <w14:textFill>
            <w14:solidFill>
              <w14:schemeClr w14:val="tx1"/>
            </w14:solidFill>
          </w14:textFill>
        </w:rPr>
        <w:t>可以归于记录在1月和6月两起大型泄漏事故（＞700吨）。</w:t>
      </w:r>
    </w:p>
    <w:p w14:paraId="32C2E380">
      <w:pPr>
        <w:ind w:firstLine="48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757420" cy="2235200"/>
            <wp:effectExtent l="0" t="0" r="508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4757420" cy="2235200"/>
                    </a:xfrm>
                    <a:prstGeom prst="rect">
                      <a:avLst/>
                    </a:prstGeom>
                    <a:noFill/>
                    <a:ln>
                      <a:noFill/>
                    </a:ln>
                  </pic:spPr>
                </pic:pic>
              </a:graphicData>
            </a:graphic>
          </wp:inline>
        </w:drawing>
      </w:r>
    </w:p>
    <w:p w14:paraId="5ABD2A9F">
      <w:pPr>
        <w:pStyle w:val="8"/>
        <w:rPr>
          <w:color w:val="000000" w:themeColor="text1"/>
          <w14:textFill>
            <w14:solidFill>
              <w14:schemeClr w14:val="tx1"/>
            </w14:solidFill>
          </w14:textFill>
        </w:rPr>
      </w:pPr>
      <w:r>
        <w:rPr>
          <w:color w:val="000000" w:themeColor="text1"/>
          <w14:textFill>
            <w14:solidFill>
              <w14:schemeClr w14:val="tx1"/>
            </w14:solidFill>
          </w14:textFill>
        </w:rPr>
        <w:t>1970年至2015年7吨以上的年度总溢油量</w:t>
      </w:r>
    </w:p>
    <w:p w14:paraId="042A2802">
      <w:pPr>
        <w:ind w:firstLine="480"/>
        <w:rPr>
          <w:color w:val="000000" w:themeColor="text1"/>
          <w14:textFill>
            <w14:solidFill>
              <w14:schemeClr w14:val="tx1"/>
            </w14:solidFill>
          </w14:textFill>
        </w:rPr>
      </w:pPr>
      <w:r>
        <w:rPr>
          <w:color w:val="000000" w:themeColor="text1"/>
          <w14:textFill>
            <w14:solidFill>
              <w14:schemeClr w14:val="tx1"/>
            </w14:solidFill>
          </w14:textFill>
        </w:rPr>
        <w:t>（3）大型的溢油</w:t>
      </w:r>
    </w:p>
    <w:p w14:paraId="7BA13DF3">
      <w:pPr>
        <w:ind w:firstLine="480"/>
        <w:rPr>
          <w:color w:val="000000" w:themeColor="text1"/>
          <w14:textFill>
            <w14:solidFill>
              <w14:schemeClr w14:val="tx1"/>
            </w14:solidFill>
          </w14:textFill>
        </w:rPr>
      </w:pPr>
      <w:r>
        <w:rPr>
          <w:color w:val="000000" w:themeColor="text1"/>
          <w14:textFill>
            <w14:solidFill>
              <w14:schemeClr w14:val="tx1"/>
            </w14:solidFill>
          </w14:textFill>
        </w:rPr>
        <w:t>从溢油的数量和频率来看，几次特大型的漏油事故造成了绝大多数的总泄漏量。在1990年代发生358起7吨以上的事故，导致溢油1133000吨，其中73%的总溢油量源于10起事故；在本世纪初发生181次7吨及以上的事故，溢油196000吨，其中75%的总溢油量源于10起事故；在2010-2018年的九年期间，发生了59起7吨及以上的溢油事故，造成16.3万吨的石油损失；仅在10起事件中，有92％发生了泄漏。十年间，一次事故造成了大约70％的石油泄漏量。</w:t>
      </w:r>
    </w:p>
    <w:p w14:paraId="7FFFD4CB">
      <w:pPr>
        <w:ind w:firstLine="480"/>
        <w:rPr>
          <w:color w:val="000000" w:themeColor="text1"/>
          <w14:textFill>
            <w14:solidFill>
              <w14:schemeClr w14:val="tx1"/>
            </w14:solidFill>
          </w14:textFill>
        </w:rPr>
      </w:pPr>
      <w:r>
        <w:rPr>
          <w:color w:val="000000" w:themeColor="text1"/>
          <w14:textFill>
            <w14:solidFill>
              <w14:schemeClr w14:val="tx1"/>
            </w14:solidFill>
          </w14:textFill>
        </w:rPr>
        <w:t>（4）事故原因</w:t>
      </w:r>
    </w:p>
    <w:p w14:paraId="3A9FD4D0">
      <w:pPr>
        <w:ind w:firstLine="480"/>
        <w:rPr>
          <w:color w:val="000000" w:themeColor="text1"/>
          <w14:textFill>
            <w14:solidFill>
              <w14:schemeClr w14:val="tx1"/>
            </w14:solidFill>
          </w14:textFill>
        </w:rPr>
      </w:pPr>
      <w:r>
        <w:rPr>
          <w:color w:val="000000" w:themeColor="text1"/>
          <w14:textFill>
            <w14:solidFill>
              <w14:schemeClr w14:val="tx1"/>
            </w14:solidFill>
          </w14:textFill>
        </w:rPr>
        <w:t>主要事故原因归为碰撞、搁浅、船体故障、设备故障、火灾及爆炸，和其他/未知。小型和中型的中小型事故次数占所有事故次数95%；这些事故中很大一部分，40%和29%，发生在通常用在港口和码头进行货物装卸操作过程中。46%的中小型事故由于设备故障和船体故障造成。大型事故发生频率占所有事故的5%，这些事故的发生频率在过去46年内已大幅度减少，其中50%的大型事故发生于开放水域的在航操作，其中56%的事故由碰撞、搁浅造成。当船只在内陆或受限水域（包括港口和口岸）在航时，碰撞和搁浅甚至造成更高的比例，99%的事故与此有关。</w:t>
      </w:r>
    </w:p>
    <w:p w14:paraId="1189C956">
      <w:pPr>
        <w:ind w:firstLine="482"/>
        <w:rPr>
          <w:b/>
          <w:color w:val="000000" w:themeColor="text1"/>
          <w14:textFill>
            <w14:solidFill>
              <w14:schemeClr w14:val="tx1"/>
            </w14:solidFill>
          </w14:textFill>
        </w:rPr>
      </w:pPr>
      <w:r>
        <w:rPr>
          <w:b/>
          <w:color w:val="000000" w:themeColor="text1"/>
          <w14:textFill>
            <w14:solidFill>
              <w14:schemeClr w14:val="tx1"/>
            </w14:solidFill>
          </w14:textFill>
        </w:rPr>
        <w:t>二、国内船舶溢油事故统计</w:t>
      </w:r>
    </w:p>
    <w:p w14:paraId="2A09497A">
      <w:pPr>
        <w:ind w:firstLine="480"/>
        <w:rPr>
          <w:color w:val="000000" w:themeColor="text1"/>
          <w14:textFill>
            <w14:solidFill>
              <w14:schemeClr w14:val="tx1"/>
            </w14:solidFill>
          </w14:textFill>
        </w:rPr>
      </w:pPr>
      <w:r>
        <w:rPr>
          <w:color w:val="000000" w:themeColor="text1"/>
          <w14:textFill>
            <w14:solidFill>
              <w14:schemeClr w14:val="tx1"/>
            </w14:solidFill>
          </w14:textFill>
        </w:rPr>
        <w:t>（1）50吨以上事故统计</w:t>
      </w:r>
    </w:p>
    <w:p w14:paraId="403192E6">
      <w:pPr>
        <w:ind w:firstLine="480"/>
        <w:rPr>
          <w:color w:val="000000" w:themeColor="text1"/>
          <w14:textFill>
            <w14:solidFill>
              <w14:schemeClr w14:val="tx1"/>
            </w14:solidFill>
          </w14:textFill>
        </w:rPr>
      </w:pPr>
      <w:r>
        <w:rPr>
          <w:color w:val="000000" w:themeColor="text1"/>
          <w14:textFill>
            <w14:solidFill>
              <w14:schemeClr w14:val="tx1"/>
            </w14:solidFill>
          </w14:textFill>
        </w:rPr>
        <w:t>根据我国沿海50吨以上溢油事故统计资料，1973-2002年共发生50吨以上溢油事故76起，总溢油量39415吨，平均518吨/起，单次最大溢油量为8000吨。泄漏油品中原油14起，泄漏量19472吨，平均1391吨/起；燃油28起，泄漏量6707吨，平均240吨/起；其他货油34起，泄漏量13236吨，平均389吨/起。</w:t>
      </w:r>
    </w:p>
    <w:p w14:paraId="509BB3A8">
      <w:pPr>
        <w:ind w:firstLine="480"/>
        <w:rPr>
          <w:color w:val="000000" w:themeColor="text1"/>
          <w14:textFill>
            <w14:solidFill>
              <w14:schemeClr w14:val="tx1"/>
            </w14:solidFill>
          </w14:textFill>
        </w:rPr>
      </w:pPr>
      <w:r>
        <w:rPr>
          <w:color w:val="000000" w:themeColor="text1"/>
          <w14:textFill>
            <w14:solidFill>
              <w14:schemeClr w14:val="tx1"/>
            </w14:solidFill>
          </w14:textFill>
        </w:rPr>
        <w:t>（2）1997-2002年事故统计</w:t>
      </w:r>
    </w:p>
    <w:p w14:paraId="07FEB3E3">
      <w:pPr>
        <w:ind w:firstLine="480"/>
        <w:rPr>
          <w:color w:val="000000" w:themeColor="text1"/>
          <w14:textFill>
            <w14:solidFill>
              <w14:schemeClr w14:val="tx1"/>
            </w14:solidFill>
          </w14:textFill>
        </w:rPr>
      </w:pPr>
      <w:r>
        <w:rPr>
          <w:color w:val="000000" w:themeColor="text1"/>
          <w14:textFill>
            <w14:solidFill>
              <w14:schemeClr w14:val="tx1"/>
            </w14:solidFill>
          </w14:textFill>
        </w:rPr>
        <w:t>根据我国沿海1997-2002年统计资料，统计期间发生453起溢油事故中，碰撞和搁浅造成的事故占总事故的55.3%，相应的溢油量占总溢油量的43.6%。</w:t>
      </w:r>
    </w:p>
    <w:p w14:paraId="47BC2408">
      <w:pPr>
        <w:ind w:firstLine="480"/>
        <w:rPr>
          <w:color w:val="000000" w:themeColor="text1"/>
          <w14:textFill>
            <w14:solidFill>
              <w14:schemeClr w14:val="tx1"/>
            </w14:solidFill>
          </w14:textFill>
        </w:rPr>
      </w:pPr>
      <w:r>
        <w:rPr>
          <w:color w:val="000000" w:themeColor="text1"/>
          <w14:textFill>
            <w14:solidFill>
              <w14:schemeClr w14:val="tx1"/>
            </w14:solidFill>
          </w14:textFill>
        </w:rPr>
        <w:t>溢油规模在1吨以上的溢油事件178起，其中操作性事故145其，事故性事故33起，分别占总溢油事故的82%、18%。按溢油量计算，145起操作性事故的溢油量为648吨，平均每起溢油量4.47吨；33起事故性溢油量7735吨，平均每起溢油量为234吨。</w:t>
      </w:r>
    </w:p>
    <w:p w14:paraId="6A8860AE">
      <w:pPr>
        <w:ind w:firstLine="482"/>
        <w:rPr>
          <w:b/>
          <w:color w:val="000000" w:themeColor="text1"/>
          <w14:textFill>
            <w14:solidFill>
              <w14:schemeClr w14:val="tx1"/>
            </w14:solidFill>
          </w14:textFill>
        </w:rPr>
      </w:pPr>
      <w:r>
        <w:rPr>
          <w:b/>
          <w:color w:val="000000" w:themeColor="text1"/>
          <w14:textFill>
            <w14:solidFill>
              <w14:schemeClr w14:val="tx1"/>
            </w14:solidFill>
          </w14:textFill>
        </w:rPr>
        <w:t>三、钦州港船舶事故统计分析</w:t>
      </w:r>
    </w:p>
    <w:p w14:paraId="74C866E6">
      <w:pPr>
        <w:ind w:firstLine="480"/>
        <w:rPr>
          <w:color w:val="000000" w:themeColor="text1"/>
          <w14:textFill>
            <w14:solidFill>
              <w14:schemeClr w14:val="tx1"/>
            </w14:solidFill>
          </w14:textFill>
        </w:rPr>
      </w:pPr>
      <w:r>
        <w:rPr>
          <w:color w:val="000000" w:themeColor="text1"/>
          <w14:textFill>
            <w14:solidFill>
              <w14:schemeClr w14:val="tx1"/>
            </w14:solidFill>
          </w14:textFill>
        </w:rPr>
        <w:t>（1）船舶交通事故</w:t>
      </w:r>
    </w:p>
    <w:p w14:paraId="19471DA5">
      <w:pPr>
        <w:ind w:firstLine="480"/>
        <w:rPr>
          <w:color w:val="000000" w:themeColor="text1"/>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2002~2020年，钦州港及其附近海域共发生船舶交通事故157起，主要以小事故为主，事故原因主要包括碰撞、搁浅、触损和自沉等</w:t>
      </w:r>
      <w:r>
        <w:rPr>
          <w:color w:val="000000" w:themeColor="text1"/>
          <w14:textFill>
            <w14:solidFill>
              <w14:schemeClr w14:val="tx1"/>
            </w14:solidFill>
          </w14:textFill>
        </w:rPr>
        <w:t>。</w:t>
      </w:r>
      <w:r>
        <w:rPr>
          <w:rFonts w:ascii="Times New Roman" w:hAnsi="Times New Roman" w:eastAsia="宋体"/>
          <w:color w:val="000000" w:themeColor="text1"/>
          <w:spacing w:val="0"/>
          <w:w w:val="100"/>
          <w:position w:val="0"/>
          <w:u w:val="none" w:color="auto"/>
          <w14:textFill>
            <w14:solidFill>
              <w14:schemeClr w14:val="tx1"/>
            </w14:solidFill>
          </w14:textFill>
        </w:rPr>
        <w:t>钦州港及其附近海域发生的各种船舶交通事故统计分析详见表</w:t>
      </w:r>
      <w:r>
        <w:rPr>
          <w:rFonts w:hint="eastAsia" w:eastAsia="宋体"/>
          <w:color w:val="000000" w:themeColor="text1"/>
          <w:spacing w:val="0"/>
          <w:w w:val="100"/>
          <w:position w:val="0"/>
          <w:u w:val="none" w:color="auto"/>
          <w:lang w:val="en-US" w:eastAsia="zh-CN"/>
          <w14:textFill>
            <w14:solidFill>
              <w14:schemeClr w14:val="tx1"/>
            </w14:solidFill>
          </w14:textFill>
        </w:rPr>
        <w:t>5.3-2</w:t>
      </w:r>
      <w:r>
        <w:rPr>
          <w:color w:val="000000" w:themeColor="text1"/>
          <w14:textFill>
            <w14:solidFill>
              <w14:schemeClr w14:val="tx1"/>
            </w14:solidFill>
          </w14:textFill>
        </w:rPr>
        <w:t>。</w:t>
      </w:r>
    </w:p>
    <w:p w14:paraId="2D7FE185">
      <w:pPr>
        <w:pStyle w:val="7"/>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2002~2020年钦州港及其附近海域船舶交通事故原因统计分析</w:t>
      </w:r>
    </w:p>
    <w:tbl>
      <w:tblPr>
        <w:tblStyle w:val="44"/>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835"/>
        <w:gridCol w:w="840"/>
        <w:gridCol w:w="840"/>
        <w:gridCol w:w="842"/>
        <w:gridCol w:w="842"/>
        <w:gridCol w:w="842"/>
        <w:gridCol w:w="842"/>
        <w:gridCol w:w="842"/>
        <w:gridCol w:w="842"/>
        <w:gridCol w:w="845"/>
      </w:tblGrid>
      <w:tr w14:paraId="2CE4C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496" w:type="pct"/>
            <w:tcBorders>
              <w:top w:val="single" w:color="auto" w:sz="12" w:space="0"/>
              <w:left w:val="single" w:color="auto" w:sz="12" w:space="0"/>
            </w:tcBorders>
            <w:noWrap w:val="0"/>
            <w:vAlign w:val="center"/>
          </w:tcPr>
          <w:p w14:paraId="2D78FE7C">
            <w:pPr>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年份</w:t>
            </w:r>
          </w:p>
        </w:tc>
        <w:tc>
          <w:tcPr>
            <w:tcW w:w="499" w:type="pct"/>
            <w:tcBorders>
              <w:top w:val="single" w:color="auto" w:sz="12" w:space="0"/>
            </w:tcBorders>
            <w:noWrap w:val="0"/>
            <w:vAlign w:val="center"/>
          </w:tcPr>
          <w:p w14:paraId="1422B343">
            <w:pPr>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碰撞</w:t>
            </w:r>
          </w:p>
        </w:tc>
        <w:tc>
          <w:tcPr>
            <w:tcW w:w="499" w:type="pct"/>
            <w:tcBorders>
              <w:top w:val="single" w:color="auto" w:sz="12" w:space="0"/>
            </w:tcBorders>
            <w:noWrap w:val="0"/>
            <w:vAlign w:val="center"/>
          </w:tcPr>
          <w:p w14:paraId="35DA36A2">
            <w:pPr>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触损</w:t>
            </w:r>
          </w:p>
        </w:tc>
        <w:tc>
          <w:tcPr>
            <w:tcW w:w="500" w:type="pct"/>
            <w:tcBorders>
              <w:top w:val="single" w:color="auto" w:sz="12" w:space="0"/>
            </w:tcBorders>
            <w:noWrap w:val="0"/>
            <w:vAlign w:val="center"/>
          </w:tcPr>
          <w:p w14:paraId="047ED733">
            <w:pPr>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搁浅</w:t>
            </w:r>
          </w:p>
        </w:tc>
        <w:tc>
          <w:tcPr>
            <w:tcW w:w="500" w:type="pct"/>
            <w:tcBorders>
              <w:top w:val="single" w:color="auto" w:sz="12" w:space="0"/>
            </w:tcBorders>
            <w:noWrap w:val="0"/>
            <w:vAlign w:val="center"/>
          </w:tcPr>
          <w:p w14:paraId="25F4FC87">
            <w:pPr>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自沉</w:t>
            </w:r>
          </w:p>
        </w:tc>
        <w:tc>
          <w:tcPr>
            <w:tcW w:w="500" w:type="pct"/>
            <w:tcBorders>
              <w:top w:val="single" w:color="auto" w:sz="12" w:space="0"/>
            </w:tcBorders>
            <w:noWrap w:val="0"/>
            <w:vAlign w:val="center"/>
          </w:tcPr>
          <w:p w14:paraId="071CCC1D">
            <w:pPr>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火灾</w:t>
            </w:r>
          </w:p>
        </w:tc>
        <w:tc>
          <w:tcPr>
            <w:tcW w:w="500" w:type="pct"/>
            <w:tcBorders>
              <w:top w:val="single" w:color="auto" w:sz="12" w:space="0"/>
            </w:tcBorders>
            <w:noWrap w:val="0"/>
            <w:vAlign w:val="center"/>
          </w:tcPr>
          <w:p w14:paraId="23ABB2CB">
            <w:pPr>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风灾</w:t>
            </w:r>
          </w:p>
        </w:tc>
        <w:tc>
          <w:tcPr>
            <w:tcW w:w="500" w:type="pct"/>
            <w:tcBorders>
              <w:top w:val="single" w:color="auto" w:sz="12" w:space="0"/>
            </w:tcBorders>
            <w:noWrap w:val="0"/>
            <w:vAlign w:val="center"/>
          </w:tcPr>
          <w:p w14:paraId="44F60D78">
            <w:pPr>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触礁</w:t>
            </w:r>
          </w:p>
        </w:tc>
        <w:tc>
          <w:tcPr>
            <w:tcW w:w="500" w:type="pct"/>
            <w:tcBorders>
              <w:top w:val="single" w:color="auto" w:sz="12" w:space="0"/>
            </w:tcBorders>
            <w:noWrap w:val="0"/>
            <w:vAlign w:val="center"/>
          </w:tcPr>
          <w:p w14:paraId="461CAC92">
            <w:pPr>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其他</w:t>
            </w:r>
          </w:p>
        </w:tc>
        <w:tc>
          <w:tcPr>
            <w:tcW w:w="501" w:type="pct"/>
            <w:tcBorders>
              <w:top w:val="single" w:color="auto" w:sz="12" w:space="0"/>
              <w:right w:val="single" w:color="auto" w:sz="12" w:space="0"/>
            </w:tcBorders>
            <w:noWrap w:val="0"/>
            <w:vAlign w:val="center"/>
          </w:tcPr>
          <w:p w14:paraId="16CA7584">
            <w:pPr>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小计</w:t>
            </w:r>
          </w:p>
        </w:tc>
      </w:tr>
      <w:tr w14:paraId="1A57B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694A12C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2002</w:t>
            </w:r>
          </w:p>
        </w:tc>
        <w:tc>
          <w:tcPr>
            <w:tcW w:w="499" w:type="pct"/>
            <w:noWrap w:val="0"/>
            <w:vAlign w:val="center"/>
          </w:tcPr>
          <w:p w14:paraId="67C978B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499" w:type="pct"/>
            <w:noWrap w:val="0"/>
            <w:vAlign w:val="center"/>
          </w:tcPr>
          <w:p w14:paraId="4E8A5F1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4F7D9DC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17D1EFA2">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07F6161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5D02D31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01F8805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64873D3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1" w:type="pct"/>
            <w:tcBorders>
              <w:right w:val="single" w:color="auto" w:sz="12" w:space="0"/>
            </w:tcBorders>
            <w:noWrap w:val="0"/>
            <w:vAlign w:val="center"/>
          </w:tcPr>
          <w:p w14:paraId="34C1F87D">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5</w:t>
            </w:r>
          </w:p>
        </w:tc>
      </w:tr>
      <w:tr w14:paraId="112D8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6516965E">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2003</w:t>
            </w:r>
          </w:p>
        </w:tc>
        <w:tc>
          <w:tcPr>
            <w:tcW w:w="499" w:type="pct"/>
            <w:noWrap w:val="0"/>
            <w:vAlign w:val="center"/>
          </w:tcPr>
          <w:p w14:paraId="7F87005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3</w:t>
            </w:r>
          </w:p>
        </w:tc>
        <w:tc>
          <w:tcPr>
            <w:tcW w:w="499" w:type="pct"/>
            <w:noWrap w:val="0"/>
            <w:vAlign w:val="center"/>
          </w:tcPr>
          <w:p w14:paraId="7D8AF7F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355987A9">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54C023D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0503629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3D9EC393">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57541EA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16895871">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1" w:type="pct"/>
            <w:tcBorders>
              <w:right w:val="single" w:color="auto" w:sz="12" w:space="0"/>
            </w:tcBorders>
            <w:noWrap w:val="0"/>
            <w:vAlign w:val="center"/>
          </w:tcPr>
          <w:p w14:paraId="3DB16E3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9</w:t>
            </w:r>
          </w:p>
        </w:tc>
      </w:tr>
      <w:tr w14:paraId="28955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6841CD0E">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2004</w:t>
            </w:r>
          </w:p>
        </w:tc>
        <w:tc>
          <w:tcPr>
            <w:tcW w:w="499" w:type="pct"/>
            <w:noWrap w:val="0"/>
            <w:vAlign w:val="center"/>
          </w:tcPr>
          <w:p w14:paraId="1B9D5713">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499" w:type="pct"/>
            <w:noWrap w:val="0"/>
            <w:vAlign w:val="center"/>
          </w:tcPr>
          <w:p w14:paraId="3BA9CA62">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4649D58D">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7E99E146">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2B8F7042">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443E1A7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0521568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76B576EE">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1" w:type="pct"/>
            <w:tcBorders>
              <w:right w:val="single" w:color="auto" w:sz="12" w:space="0"/>
            </w:tcBorders>
            <w:noWrap w:val="0"/>
            <w:vAlign w:val="center"/>
          </w:tcPr>
          <w:p w14:paraId="4793A0E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7</w:t>
            </w:r>
          </w:p>
        </w:tc>
      </w:tr>
      <w:tr w14:paraId="084574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474F836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2005</w:t>
            </w:r>
          </w:p>
        </w:tc>
        <w:tc>
          <w:tcPr>
            <w:tcW w:w="499" w:type="pct"/>
            <w:noWrap w:val="0"/>
            <w:vAlign w:val="center"/>
          </w:tcPr>
          <w:p w14:paraId="0351320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499" w:type="pct"/>
            <w:noWrap w:val="0"/>
            <w:vAlign w:val="center"/>
          </w:tcPr>
          <w:p w14:paraId="51FAAF8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1CE5594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738E2E21">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414C968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67EACE1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0D9A903E">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76A711C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1" w:type="pct"/>
            <w:tcBorders>
              <w:right w:val="single" w:color="auto" w:sz="12" w:space="0"/>
            </w:tcBorders>
            <w:noWrap w:val="0"/>
            <w:vAlign w:val="center"/>
          </w:tcPr>
          <w:p w14:paraId="4150398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6</w:t>
            </w:r>
          </w:p>
        </w:tc>
      </w:tr>
      <w:tr w14:paraId="29D94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7199314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2006</w:t>
            </w:r>
          </w:p>
        </w:tc>
        <w:tc>
          <w:tcPr>
            <w:tcW w:w="499" w:type="pct"/>
            <w:noWrap w:val="0"/>
            <w:vAlign w:val="center"/>
          </w:tcPr>
          <w:p w14:paraId="0222F7D3">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499" w:type="pct"/>
            <w:noWrap w:val="0"/>
            <w:vAlign w:val="center"/>
          </w:tcPr>
          <w:p w14:paraId="55F4E21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682A236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702E750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13E721D0">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4066317D">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4B0663A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3AD97BA0">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1" w:type="pct"/>
            <w:tcBorders>
              <w:right w:val="single" w:color="auto" w:sz="12" w:space="0"/>
            </w:tcBorders>
            <w:noWrap w:val="0"/>
            <w:vAlign w:val="center"/>
          </w:tcPr>
          <w:p w14:paraId="2519262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6</w:t>
            </w:r>
          </w:p>
        </w:tc>
      </w:tr>
      <w:tr w14:paraId="1E118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19B97D1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2007</w:t>
            </w:r>
          </w:p>
        </w:tc>
        <w:tc>
          <w:tcPr>
            <w:tcW w:w="499" w:type="pct"/>
            <w:noWrap w:val="0"/>
            <w:vAlign w:val="center"/>
          </w:tcPr>
          <w:p w14:paraId="1C36B060">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499" w:type="pct"/>
            <w:noWrap w:val="0"/>
            <w:vAlign w:val="center"/>
          </w:tcPr>
          <w:p w14:paraId="0DD056A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71D77691">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15C0B5E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1F67DEBE">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437095F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31E382A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219DFD41">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1" w:type="pct"/>
            <w:tcBorders>
              <w:right w:val="single" w:color="auto" w:sz="12" w:space="0"/>
            </w:tcBorders>
            <w:noWrap w:val="0"/>
            <w:vAlign w:val="center"/>
          </w:tcPr>
          <w:p w14:paraId="7ACD819D">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5</w:t>
            </w:r>
          </w:p>
        </w:tc>
      </w:tr>
      <w:tr w14:paraId="77FA0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59F82C63">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2008</w:t>
            </w:r>
          </w:p>
        </w:tc>
        <w:tc>
          <w:tcPr>
            <w:tcW w:w="499" w:type="pct"/>
            <w:noWrap w:val="0"/>
            <w:vAlign w:val="center"/>
          </w:tcPr>
          <w:p w14:paraId="20A2772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3</w:t>
            </w:r>
          </w:p>
        </w:tc>
        <w:tc>
          <w:tcPr>
            <w:tcW w:w="499" w:type="pct"/>
            <w:noWrap w:val="0"/>
            <w:vAlign w:val="center"/>
          </w:tcPr>
          <w:p w14:paraId="428B9F2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52560C6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2269B87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34E92B96">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78DD83A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269A982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57FDC66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3</w:t>
            </w:r>
          </w:p>
        </w:tc>
        <w:tc>
          <w:tcPr>
            <w:tcW w:w="501" w:type="pct"/>
            <w:tcBorders>
              <w:right w:val="single" w:color="auto" w:sz="12" w:space="0"/>
            </w:tcBorders>
            <w:noWrap w:val="0"/>
            <w:vAlign w:val="center"/>
          </w:tcPr>
          <w:p w14:paraId="1B28E8A3">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9</w:t>
            </w:r>
          </w:p>
        </w:tc>
      </w:tr>
      <w:tr w14:paraId="14313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1066A6B9">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2009</w:t>
            </w:r>
          </w:p>
        </w:tc>
        <w:tc>
          <w:tcPr>
            <w:tcW w:w="499" w:type="pct"/>
            <w:noWrap w:val="0"/>
            <w:vAlign w:val="center"/>
          </w:tcPr>
          <w:p w14:paraId="2C295EB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3</w:t>
            </w:r>
          </w:p>
        </w:tc>
        <w:tc>
          <w:tcPr>
            <w:tcW w:w="499" w:type="pct"/>
            <w:noWrap w:val="0"/>
            <w:vAlign w:val="center"/>
          </w:tcPr>
          <w:p w14:paraId="353AE0D3">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22263D1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404305E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3</w:t>
            </w:r>
          </w:p>
        </w:tc>
        <w:tc>
          <w:tcPr>
            <w:tcW w:w="500" w:type="pct"/>
            <w:noWrap w:val="0"/>
            <w:vAlign w:val="center"/>
          </w:tcPr>
          <w:p w14:paraId="44A6D2D3">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6926C8E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0EE4EC90">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5BB04F8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1" w:type="pct"/>
            <w:tcBorders>
              <w:right w:val="single" w:color="auto" w:sz="12" w:space="0"/>
            </w:tcBorders>
            <w:noWrap w:val="0"/>
            <w:vAlign w:val="center"/>
          </w:tcPr>
          <w:p w14:paraId="1AB782E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8</w:t>
            </w:r>
          </w:p>
        </w:tc>
      </w:tr>
      <w:tr w14:paraId="766BD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4EF9521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2010</w:t>
            </w:r>
          </w:p>
        </w:tc>
        <w:tc>
          <w:tcPr>
            <w:tcW w:w="499" w:type="pct"/>
            <w:noWrap w:val="0"/>
            <w:vAlign w:val="center"/>
          </w:tcPr>
          <w:p w14:paraId="5003EF81">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499" w:type="pct"/>
            <w:noWrap w:val="0"/>
            <w:vAlign w:val="center"/>
          </w:tcPr>
          <w:p w14:paraId="2FEAB6E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634BC3F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7B71DA9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4C506CF1">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3F48054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4CD8F539">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1554AA7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1" w:type="pct"/>
            <w:tcBorders>
              <w:right w:val="single" w:color="auto" w:sz="12" w:space="0"/>
            </w:tcBorders>
            <w:noWrap w:val="0"/>
            <w:vAlign w:val="center"/>
          </w:tcPr>
          <w:p w14:paraId="252E399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3</w:t>
            </w:r>
          </w:p>
        </w:tc>
      </w:tr>
      <w:tr w14:paraId="69F5C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7D3549F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2011</w:t>
            </w:r>
          </w:p>
        </w:tc>
        <w:tc>
          <w:tcPr>
            <w:tcW w:w="499" w:type="pct"/>
            <w:noWrap w:val="0"/>
            <w:vAlign w:val="center"/>
          </w:tcPr>
          <w:p w14:paraId="337119F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6</w:t>
            </w:r>
          </w:p>
        </w:tc>
        <w:tc>
          <w:tcPr>
            <w:tcW w:w="499" w:type="pct"/>
            <w:noWrap w:val="0"/>
            <w:vAlign w:val="center"/>
          </w:tcPr>
          <w:p w14:paraId="2EAA008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44C5491D">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13980E7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18E685F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55DE92D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1CE46ECE">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000AFCC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1" w:type="pct"/>
            <w:tcBorders>
              <w:right w:val="single" w:color="auto" w:sz="12" w:space="0"/>
            </w:tcBorders>
            <w:noWrap w:val="0"/>
            <w:vAlign w:val="center"/>
          </w:tcPr>
          <w:p w14:paraId="7EFDA1BE">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8</w:t>
            </w:r>
          </w:p>
        </w:tc>
      </w:tr>
      <w:tr w14:paraId="4AE2F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73DA316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2012</w:t>
            </w:r>
          </w:p>
        </w:tc>
        <w:tc>
          <w:tcPr>
            <w:tcW w:w="499" w:type="pct"/>
            <w:noWrap w:val="0"/>
            <w:vAlign w:val="center"/>
          </w:tcPr>
          <w:p w14:paraId="274D8B2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499" w:type="pct"/>
            <w:noWrap w:val="0"/>
            <w:vAlign w:val="center"/>
          </w:tcPr>
          <w:p w14:paraId="63E1A40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0F3D2E4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3</w:t>
            </w:r>
          </w:p>
        </w:tc>
        <w:tc>
          <w:tcPr>
            <w:tcW w:w="500" w:type="pct"/>
            <w:noWrap w:val="0"/>
            <w:vAlign w:val="center"/>
          </w:tcPr>
          <w:p w14:paraId="61BA3DF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0D0ACB8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423BB5F9">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62D60CA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5C611B22">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1" w:type="pct"/>
            <w:tcBorders>
              <w:right w:val="single" w:color="auto" w:sz="12" w:space="0"/>
            </w:tcBorders>
            <w:noWrap w:val="0"/>
            <w:vAlign w:val="center"/>
          </w:tcPr>
          <w:p w14:paraId="6C0CD1BE">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5</w:t>
            </w:r>
          </w:p>
        </w:tc>
      </w:tr>
      <w:tr w14:paraId="231D8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4899F1D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2013</w:t>
            </w:r>
          </w:p>
        </w:tc>
        <w:tc>
          <w:tcPr>
            <w:tcW w:w="499" w:type="pct"/>
            <w:noWrap w:val="0"/>
            <w:vAlign w:val="center"/>
          </w:tcPr>
          <w:p w14:paraId="572E278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499" w:type="pct"/>
            <w:noWrap w:val="0"/>
            <w:vAlign w:val="center"/>
          </w:tcPr>
          <w:p w14:paraId="0CE85AF3">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05496C0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01DD44A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3D6891F0">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1B338949">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083E61CE">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275769E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1" w:type="pct"/>
            <w:tcBorders>
              <w:right w:val="single" w:color="auto" w:sz="12" w:space="0"/>
            </w:tcBorders>
            <w:noWrap w:val="0"/>
            <w:vAlign w:val="center"/>
          </w:tcPr>
          <w:p w14:paraId="6615361E">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9</w:t>
            </w:r>
          </w:p>
        </w:tc>
      </w:tr>
      <w:tr w14:paraId="4774C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4FFED1CD">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2014</w:t>
            </w:r>
          </w:p>
        </w:tc>
        <w:tc>
          <w:tcPr>
            <w:tcW w:w="499" w:type="pct"/>
            <w:noWrap w:val="0"/>
            <w:vAlign w:val="center"/>
          </w:tcPr>
          <w:p w14:paraId="24FEB49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5</w:t>
            </w:r>
          </w:p>
        </w:tc>
        <w:tc>
          <w:tcPr>
            <w:tcW w:w="499" w:type="pct"/>
            <w:noWrap w:val="0"/>
            <w:vAlign w:val="center"/>
          </w:tcPr>
          <w:p w14:paraId="195E24C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5A5EC430">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4</w:t>
            </w:r>
          </w:p>
        </w:tc>
        <w:tc>
          <w:tcPr>
            <w:tcW w:w="500" w:type="pct"/>
            <w:noWrap w:val="0"/>
            <w:vAlign w:val="center"/>
          </w:tcPr>
          <w:p w14:paraId="50FD798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6341343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45579C3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73B411D3">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62941D7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1" w:type="pct"/>
            <w:tcBorders>
              <w:right w:val="single" w:color="auto" w:sz="12" w:space="0"/>
            </w:tcBorders>
            <w:noWrap w:val="0"/>
            <w:vAlign w:val="center"/>
          </w:tcPr>
          <w:p w14:paraId="47DE298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11</w:t>
            </w:r>
          </w:p>
        </w:tc>
      </w:tr>
      <w:tr w14:paraId="29902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75A6908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2015</w:t>
            </w:r>
          </w:p>
        </w:tc>
        <w:tc>
          <w:tcPr>
            <w:tcW w:w="499" w:type="pct"/>
            <w:noWrap w:val="0"/>
            <w:vAlign w:val="center"/>
          </w:tcPr>
          <w:p w14:paraId="1178DC7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499" w:type="pct"/>
            <w:noWrap w:val="0"/>
            <w:vAlign w:val="center"/>
          </w:tcPr>
          <w:p w14:paraId="59B814D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525682B9">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27E555C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7D0FE65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6A5E4B0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435A0E96">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208735B3">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1" w:type="pct"/>
            <w:tcBorders>
              <w:right w:val="single" w:color="auto" w:sz="12" w:space="0"/>
            </w:tcBorders>
            <w:noWrap w:val="0"/>
            <w:vAlign w:val="center"/>
          </w:tcPr>
          <w:p w14:paraId="14C8E09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7</w:t>
            </w:r>
          </w:p>
        </w:tc>
      </w:tr>
      <w:tr w14:paraId="53688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0C241556">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2016</w:t>
            </w:r>
          </w:p>
        </w:tc>
        <w:tc>
          <w:tcPr>
            <w:tcW w:w="499" w:type="pct"/>
            <w:noWrap w:val="0"/>
            <w:vAlign w:val="center"/>
          </w:tcPr>
          <w:p w14:paraId="2009AD39">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3</w:t>
            </w:r>
          </w:p>
        </w:tc>
        <w:tc>
          <w:tcPr>
            <w:tcW w:w="499" w:type="pct"/>
            <w:noWrap w:val="0"/>
            <w:vAlign w:val="center"/>
          </w:tcPr>
          <w:p w14:paraId="0A84E35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3</w:t>
            </w:r>
          </w:p>
        </w:tc>
        <w:tc>
          <w:tcPr>
            <w:tcW w:w="500" w:type="pct"/>
            <w:noWrap w:val="0"/>
            <w:vAlign w:val="center"/>
          </w:tcPr>
          <w:p w14:paraId="53D5657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4BD5BCE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29860919">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3E8D2FD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22746E6E">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6D727191">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1" w:type="pct"/>
            <w:tcBorders>
              <w:right w:val="single" w:color="auto" w:sz="12" w:space="0"/>
            </w:tcBorders>
            <w:noWrap w:val="0"/>
            <w:vAlign w:val="center"/>
          </w:tcPr>
          <w:p w14:paraId="3610ADC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12</w:t>
            </w:r>
          </w:p>
        </w:tc>
      </w:tr>
      <w:tr w14:paraId="7BDA9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5EF755E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2017</w:t>
            </w:r>
          </w:p>
        </w:tc>
        <w:tc>
          <w:tcPr>
            <w:tcW w:w="499" w:type="pct"/>
            <w:noWrap w:val="0"/>
            <w:vAlign w:val="center"/>
          </w:tcPr>
          <w:p w14:paraId="4B4B661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6</w:t>
            </w:r>
          </w:p>
        </w:tc>
        <w:tc>
          <w:tcPr>
            <w:tcW w:w="499" w:type="pct"/>
            <w:noWrap w:val="0"/>
            <w:vAlign w:val="center"/>
          </w:tcPr>
          <w:p w14:paraId="40CA807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2E91AC53">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322D158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5</w:t>
            </w:r>
          </w:p>
        </w:tc>
        <w:tc>
          <w:tcPr>
            <w:tcW w:w="500" w:type="pct"/>
            <w:noWrap w:val="0"/>
            <w:vAlign w:val="center"/>
          </w:tcPr>
          <w:p w14:paraId="623B48A9">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4C55A22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54AABF4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05602B7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1" w:type="pct"/>
            <w:tcBorders>
              <w:right w:val="single" w:color="auto" w:sz="12" w:space="0"/>
            </w:tcBorders>
            <w:noWrap w:val="0"/>
            <w:vAlign w:val="center"/>
          </w:tcPr>
          <w:p w14:paraId="7259668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13</w:t>
            </w:r>
          </w:p>
        </w:tc>
      </w:tr>
      <w:tr w14:paraId="13085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233660CE">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2018</w:t>
            </w:r>
          </w:p>
        </w:tc>
        <w:tc>
          <w:tcPr>
            <w:tcW w:w="499" w:type="pct"/>
            <w:noWrap w:val="0"/>
            <w:vAlign w:val="center"/>
          </w:tcPr>
          <w:p w14:paraId="085436B9">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499" w:type="pct"/>
            <w:noWrap w:val="0"/>
            <w:vAlign w:val="center"/>
          </w:tcPr>
          <w:p w14:paraId="020E19E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4696A960">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69EEE55D">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3252817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71A0E5B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2C4F453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041E1F0D">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1" w:type="pct"/>
            <w:tcBorders>
              <w:right w:val="single" w:color="auto" w:sz="12" w:space="0"/>
            </w:tcBorders>
            <w:noWrap w:val="0"/>
            <w:vAlign w:val="center"/>
          </w:tcPr>
          <w:p w14:paraId="3F98917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7</w:t>
            </w:r>
          </w:p>
        </w:tc>
      </w:tr>
      <w:tr w14:paraId="1487C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54CDE26D">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2019</w:t>
            </w:r>
          </w:p>
        </w:tc>
        <w:tc>
          <w:tcPr>
            <w:tcW w:w="499" w:type="pct"/>
            <w:noWrap w:val="0"/>
            <w:vAlign w:val="center"/>
          </w:tcPr>
          <w:p w14:paraId="31858D7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499" w:type="pct"/>
            <w:noWrap w:val="0"/>
            <w:vAlign w:val="center"/>
          </w:tcPr>
          <w:p w14:paraId="2B261F02">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3</w:t>
            </w:r>
          </w:p>
        </w:tc>
        <w:tc>
          <w:tcPr>
            <w:tcW w:w="500" w:type="pct"/>
            <w:noWrap w:val="0"/>
            <w:vAlign w:val="center"/>
          </w:tcPr>
          <w:p w14:paraId="6EE4A7D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6</w:t>
            </w:r>
          </w:p>
        </w:tc>
        <w:tc>
          <w:tcPr>
            <w:tcW w:w="500" w:type="pct"/>
            <w:noWrap w:val="0"/>
            <w:vAlign w:val="center"/>
          </w:tcPr>
          <w:p w14:paraId="08B09F46">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5649898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04909940">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64EBDF9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135EC250">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1" w:type="pct"/>
            <w:tcBorders>
              <w:right w:val="single" w:color="auto" w:sz="12" w:space="0"/>
            </w:tcBorders>
            <w:noWrap w:val="0"/>
            <w:vAlign w:val="center"/>
          </w:tcPr>
          <w:p w14:paraId="6902ACA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13</w:t>
            </w:r>
          </w:p>
        </w:tc>
      </w:tr>
      <w:tr w14:paraId="2E570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09505FA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2020</w:t>
            </w:r>
          </w:p>
        </w:tc>
        <w:tc>
          <w:tcPr>
            <w:tcW w:w="499" w:type="pct"/>
            <w:noWrap w:val="0"/>
            <w:vAlign w:val="center"/>
          </w:tcPr>
          <w:p w14:paraId="08960B1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499" w:type="pct"/>
            <w:noWrap w:val="0"/>
            <w:vAlign w:val="center"/>
          </w:tcPr>
          <w:p w14:paraId="58A141F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201D035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8</w:t>
            </w:r>
          </w:p>
        </w:tc>
        <w:tc>
          <w:tcPr>
            <w:tcW w:w="500" w:type="pct"/>
            <w:noWrap w:val="0"/>
            <w:vAlign w:val="center"/>
          </w:tcPr>
          <w:p w14:paraId="6F9AC9A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16E9FD5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7C2D653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70F5BCE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3942861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1" w:type="pct"/>
            <w:tcBorders>
              <w:right w:val="single" w:color="auto" w:sz="12" w:space="0"/>
            </w:tcBorders>
            <w:noWrap w:val="0"/>
            <w:vAlign w:val="center"/>
          </w:tcPr>
          <w:p w14:paraId="40A6D59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14</w:t>
            </w:r>
          </w:p>
        </w:tc>
      </w:tr>
      <w:tr w14:paraId="56932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bottom w:val="single" w:color="auto" w:sz="12" w:space="0"/>
            </w:tcBorders>
            <w:noWrap w:val="0"/>
            <w:vAlign w:val="center"/>
          </w:tcPr>
          <w:p w14:paraId="0FBBD5F2">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合计</w:t>
            </w:r>
          </w:p>
        </w:tc>
        <w:tc>
          <w:tcPr>
            <w:tcW w:w="499" w:type="pct"/>
            <w:tcBorders>
              <w:bottom w:val="single" w:color="auto" w:sz="12" w:space="0"/>
            </w:tcBorders>
            <w:noWrap w:val="0"/>
            <w:vAlign w:val="center"/>
          </w:tcPr>
          <w:p w14:paraId="3B8FFB32">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47</w:t>
            </w:r>
          </w:p>
        </w:tc>
        <w:tc>
          <w:tcPr>
            <w:tcW w:w="499" w:type="pct"/>
            <w:tcBorders>
              <w:bottom w:val="single" w:color="auto" w:sz="12" w:space="0"/>
            </w:tcBorders>
            <w:noWrap w:val="0"/>
            <w:vAlign w:val="center"/>
          </w:tcPr>
          <w:p w14:paraId="11036D90">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22</w:t>
            </w:r>
          </w:p>
        </w:tc>
        <w:tc>
          <w:tcPr>
            <w:tcW w:w="500" w:type="pct"/>
            <w:tcBorders>
              <w:bottom w:val="single" w:color="auto" w:sz="12" w:space="0"/>
            </w:tcBorders>
            <w:noWrap w:val="0"/>
            <w:vAlign w:val="center"/>
          </w:tcPr>
          <w:p w14:paraId="36F3F7A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41</w:t>
            </w:r>
          </w:p>
        </w:tc>
        <w:tc>
          <w:tcPr>
            <w:tcW w:w="500" w:type="pct"/>
            <w:tcBorders>
              <w:bottom w:val="single" w:color="auto" w:sz="12" w:space="0"/>
            </w:tcBorders>
            <w:noWrap w:val="0"/>
            <w:vAlign w:val="center"/>
          </w:tcPr>
          <w:p w14:paraId="1BA492E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19</w:t>
            </w:r>
          </w:p>
        </w:tc>
        <w:tc>
          <w:tcPr>
            <w:tcW w:w="500" w:type="pct"/>
            <w:tcBorders>
              <w:bottom w:val="single" w:color="auto" w:sz="12" w:space="0"/>
            </w:tcBorders>
            <w:noWrap w:val="0"/>
            <w:vAlign w:val="center"/>
          </w:tcPr>
          <w:p w14:paraId="17C63862">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9</w:t>
            </w:r>
          </w:p>
        </w:tc>
        <w:tc>
          <w:tcPr>
            <w:tcW w:w="500" w:type="pct"/>
            <w:tcBorders>
              <w:bottom w:val="single" w:color="auto" w:sz="12" w:space="0"/>
            </w:tcBorders>
            <w:noWrap w:val="0"/>
            <w:vAlign w:val="center"/>
          </w:tcPr>
          <w:p w14:paraId="678BE79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tcBorders>
              <w:bottom w:val="single" w:color="auto" w:sz="12" w:space="0"/>
            </w:tcBorders>
            <w:noWrap w:val="0"/>
            <w:vAlign w:val="center"/>
          </w:tcPr>
          <w:p w14:paraId="7F19398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3</w:t>
            </w:r>
          </w:p>
        </w:tc>
        <w:tc>
          <w:tcPr>
            <w:tcW w:w="500" w:type="pct"/>
            <w:tcBorders>
              <w:bottom w:val="single" w:color="auto" w:sz="12" w:space="0"/>
            </w:tcBorders>
            <w:noWrap w:val="0"/>
            <w:vAlign w:val="center"/>
          </w:tcPr>
          <w:p w14:paraId="43E55F30">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14</w:t>
            </w:r>
          </w:p>
        </w:tc>
        <w:tc>
          <w:tcPr>
            <w:tcW w:w="501" w:type="pct"/>
            <w:tcBorders>
              <w:bottom w:val="single" w:color="auto" w:sz="12" w:space="0"/>
              <w:right w:val="single" w:color="auto" w:sz="12" w:space="0"/>
            </w:tcBorders>
            <w:noWrap w:val="0"/>
            <w:vAlign w:val="center"/>
          </w:tcPr>
          <w:p w14:paraId="1E7A4FE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157</w:t>
            </w:r>
          </w:p>
        </w:tc>
      </w:tr>
    </w:tbl>
    <w:p w14:paraId="25DC00A6">
      <w:pPr>
        <w:ind w:firstLine="480"/>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发生事故的船种有大中型散货船、杂货船、中小型集装箱船、渔船、油轮和化学品船，其中以中小型杂散货船、渔船为主。</w:t>
      </w:r>
    </w:p>
    <w:p w14:paraId="3681F4D6">
      <w:pPr>
        <w:ind w:firstLine="480"/>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根据对钦州港辖区2002~2020年157起事故的致因分析，大致可以将事故的致因归纳为以下因素：</w:t>
      </w:r>
    </w:p>
    <w:p w14:paraId="759378F7">
      <w:pPr>
        <w:ind w:firstLine="480"/>
        <w:rPr>
          <w:color w:val="000000" w:themeColor="text1"/>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一是人为因素：船员素质差，工作责任心不强，不按照规定航速行驶，不按照规定进行避让，存在违章航行现象；安全观念淡薄，风险意识、安全意识较差，在恶劣的气象海况下仍冒险航行，</w:t>
      </w:r>
      <w:r>
        <w:rPr>
          <w:rFonts w:hint="eastAsia" w:ascii="Times New Roman" w:hAnsi="Times New Roman" w:eastAsia="宋体"/>
          <w:color w:val="000000" w:themeColor="text1"/>
          <w:spacing w:val="0"/>
          <w:w w:val="100"/>
          <w:position w:val="0"/>
          <w:u w:val="none" w:color="auto"/>
          <w:lang w:eastAsia="zh-CN"/>
          <w14:textFill>
            <w14:solidFill>
              <w14:schemeClr w14:val="tx1"/>
            </w14:solidFill>
          </w14:textFill>
        </w:rPr>
        <w:t>以致</w:t>
      </w:r>
      <w:r>
        <w:rPr>
          <w:rFonts w:ascii="Times New Roman" w:hAnsi="Times New Roman" w:eastAsia="宋体"/>
          <w:color w:val="000000" w:themeColor="text1"/>
          <w:spacing w:val="0"/>
          <w:w w:val="100"/>
          <w:position w:val="0"/>
          <w:u w:val="none" w:color="auto"/>
          <w14:textFill>
            <w14:solidFill>
              <w14:schemeClr w14:val="tx1"/>
            </w14:solidFill>
          </w14:textFill>
        </w:rPr>
        <w:t>造成事故的发生；二是环境因素：受西南风浪及台风等恶劣天气海况的影响，船舶躲避不及时或应急反应能力较差，没有做好相应的防范措施；三是船舶因素：一些小公司的老旧船舶船龄长、船状差、技术缺陷多，但仍在承担着繁重的运输任务；四是船公司管理。安全管理体系的职责没有落实到位，对船员的培训、教育缺失，重眼前利益，轻安全的思想依然存在。</w:t>
      </w:r>
    </w:p>
    <w:p w14:paraId="606509CF">
      <w:pPr>
        <w:ind w:firstLine="480"/>
        <w:rPr>
          <w:color w:val="000000" w:themeColor="text1"/>
          <w14:textFill>
            <w14:solidFill>
              <w14:schemeClr w14:val="tx1"/>
            </w14:solidFill>
          </w14:textFill>
        </w:rPr>
      </w:pPr>
      <w:r>
        <w:rPr>
          <w:color w:val="000000" w:themeColor="text1"/>
          <w14:textFill>
            <w14:solidFill>
              <w14:schemeClr w14:val="tx1"/>
            </w14:solidFill>
          </w14:textFill>
        </w:rPr>
        <w:t>（2）船舶污染事故</w:t>
      </w:r>
    </w:p>
    <w:p w14:paraId="7FFD3758">
      <w:pPr>
        <w:ind w:firstLine="480"/>
        <w:rPr>
          <w:color w:val="000000" w:themeColor="text1"/>
          <w14:textFill>
            <w14:solidFill>
              <w14:schemeClr w14:val="tx1"/>
            </w14:solidFill>
          </w14:textFill>
        </w:rPr>
        <w:sectPr>
          <w:pgSz w:w="11906" w:h="16838"/>
          <w:pgMar w:top="1440" w:right="1800" w:bottom="1440" w:left="1800" w:header="851" w:footer="680" w:gutter="0"/>
          <w:pgBorders>
            <w:top w:val="none" w:sz="0" w:space="0"/>
            <w:left w:val="none" w:sz="0" w:space="0"/>
            <w:bottom w:val="none" w:sz="0" w:space="0"/>
            <w:right w:val="none" w:sz="0" w:space="0"/>
          </w:pgBorders>
          <w:pgNumType w:fmt="numberInDash"/>
          <w:cols w:space="720" w:num="1"/>
          <w:docGrid w:type="lines" w:linePitch="312" w:charSpace="0"/>
        </w:sectPr>
      </w:pPr>
      <w:r>
        <w:rPr>
          <w:rFonts w:ascii="Times New Roman" w:hAnsi="Times New Roman" w:eastAsia="宋体"/>
          <w:color w:val="000000" w:themeColor="text1"/>
          <w:spacing w:val="0"/>
          <w:w w:val="100"/>
          <w:position w:val="0"/>
          <w:u w:val="none" w:color="auto"/>
          <w14:textFill>
            <w14:solidFill>
              <w14:schemeClr w14:val="tx1"/>
            </w14:solidFill>
          </w14:textFill>
        </w:rPr>
        <w:t>根据广西海事局提供资料，2002年至2020年间，钦州辖区共发生17起船舶污染事故（其中2010~2020年未发生过船舶污染事故），平均发生船舶污染事故0.89起/年；其中14起污染事故的泄漏量都没有详细统计，只有2004年12月18日、2008年8月12日和2009年3月12日的污染事故对泄漏量有统计，有污染量统计数据的船舶污染事故发生概率为0.16起/年。具体事故统计情况见表</w:t>
      </w:r>
      <w:r>
        <w:rPr>
          <w:rFonts w:hint="eastAsia" w:eastAsia="宋体"/>
          <w:color w:val="000000" w:themeColor="text1"/>
          <w:spacing w:val="0"/>
          <w:w w:val="100"/>
          <w:position w:val="0"/>
          <w:u w:val="none" w:color="auto"/>
          <w:lang w:val="en-US" w:eastAsia="zh-CN"/>
          <w14:textFill>
            <w14:solidFill>
              <w14:schemeClr w14:val="tx1"/>
            </w14:solidFill>
          </w14:textFill>
        </w:rPr>
        <w:t>5.3-3</w:t>
      </w:r>
      <w:r>
        <w:rPr>
          <w:color w:val="000000" w:themeColor="text1"/>
          <w14:textFill>
            <w14:solidFill>
              <w14:schemeClr w14:val="tx1"/>
            </w14:solidFill>
          </w14:textFill>
        </w:rPr>
        <w:t>。</w:t>
      </w:r>
    </w:p>
    <w:p w14:paraId="339B8147">
      <w:pPr>
        <w:pStyle w:val="7"/>
        <w:rPr>
          <w:color w:val="000000" w:themeColor="text1"/>
          <w14:textFill>
            <w14:solidFill>
              <w14:schemeClr w14:val="tx1"/>
            </w14:solidFill>
          </w14:textFill>
        </w:rPr>
      </w:pPr>
      <w:r>
        <w:rPr>
          <w:color w:val="000000" w:themeColor="text1"/>
          <w14:textFill>
            <w14:solidFill>
              <w14:schemeClr w14:val="tx1"/>
            </w14:solidFill>
          </w14:textFill>
        </w:rPr>
        <w:t>钦州辖区近年来的污染事故统计</w:t>
      </w:r>
    </w:p>
    <w:tbl>
      <w:tblPr>
        <w:tblStyle w:val="43"/>
        <w:tblW w:w="139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26"/>
        <w:gridCol w:w="1161"/>
        <w:gridCol w:w="2372"/>
        <w:gridCol w:w="1043"/>
        <w:gridCol w:w="837"/>
        <w:gridCol w:w="3726"/>
        <w:gridCol w:w="3349"/>
        <w:gridCol w:w="1014"/>
      </w:tblGrid>
      <w:tr w14:paraId="744EAB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73F8735A">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序号</w:t>
            </w:r>
          </w:p>
        </w:tc>
        <w:tc>
          <w:tcPr>
            <w:tcW w:w="1161" w:type="dxa"/>
            <w:tcMar>
              <w:left w:w="0" w:type="dxa"/>
              <w:right w:w="0" w:type="dxa"/>
            </w:tcMar>
            <w:vAlign w:val="center"/>
          </w:tcPr>
          <w:p w14:paraId="1888A19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事故事件</w:t>
            </w:r>
          </w:p>
        </w:tc>
        <w:tc>
          <w:tcPr>
            <w:tcW w:w="2372" w:type="dxa"/>
            <w:tcMar>
              <w:left w:w="0" w:type="dxa"/>
              <w:right w:w="0" w:type="dxa"/>
            </w:tcMar>
            <w:vAlign w:val="center"/>
          </w:tcPr>
          <w:p w14:paraId="2E30D4B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事故名称</w:t>
            </w:r>
          </w:p>
        </w:tc>
        <w:tc>
          <w:tcPr>
            <w:tcW w:w="1043" w:type="dxa"/>
            <w:tcMar>
              <w:left w:w="0" w:type="dxa"/>
              <w:right w:w="0" w:type="dxa"/>
            </w:tcMar>
            <w:vAlign w:val="center"/>
          </w:tcPr>
          <w:p w14:paraId="7FF4952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事故等级</w:t>
            </w:r>
          </w:p>
        </w:tc>
        <w:tc>
          <w:tcPr>
            <w:tcW w:w="837" w:type="dxa"/>
            <w:tcMar>
              <w:left w:w="0" w:type="dxa"/>
              <w:right w:w="0" w:type="dxa"/>
            </w:tcMar>
            <w:vAlign w:val="center"/>
          </w:tcPr>
          <w:p w14:paraId="6D9368A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事故类型</w:t>
            </w:r>
          </w:p>
        </w:tc>
        <w:tc>
          <w:tcPr>
            <w:tcW w:w="3726" w:type="dxa"/>
            <w:tcMar>
              <w:left w:w="0" w:type="dxa"/>
              <w:right w:w="0" w:type="dxa"/>
            </w:tcMar>
            <w:vAlign w:val="center"/>
          </w:tcPr>
          <w:p w14:paraId="540365FE">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事故原因</w:t>
            </w:r>
          </w:p>
        </w:tc>
        <w:tc>
          <w:tcPr>
            <w:tcW w:w="3349" w:type="dxa"/>
            <w:tcMar>
              <w:left w:w="0" w:type="dxa"/>
              <w:right w:w="0" w:type="dxa"/>
            </w:tcMar>
            <w:vAlign w:val="center"/>
          </w:tcPr>
          <w:p w14:paraId="59EFCCC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发生地点（经纬度）</w:t>
            </w:r>
          </w:p>
        </w:tc>
        <w:tc>
          <w:tcPr>
            <w:tcW w:w="1014" w:type="dxa"/>
            <w:tcMar>
              <w:left w:w="0" w:type="dxa"/>
              <w:right w:w="0" w:type="dxa"/>
            </w:tcMar>
            <w:vAlign w:val="center"/>
          </w:tcPr>
          <w:p w14:paraId="74FFC59D">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溢油吨数（t）</w:t>
            </w:r>
          </w:p>
        </w:tc>
      </w:tr>
      <w:tr w14:paraId="036902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3AB10F28">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c>
          <w:tcPr>
            <w:tcW w:w="1161" w:type="dxa"/>
            <w:tcMar>
              <w:left w:w="0" w:type="dxa"/>
              <w:right w:w="0" w:type="dxa"/>
            </w:tcMar>
            <w:vAlign w:val="center"/>
          </w:tcPr>
          <w:p w14:paraId="1E4CFBE9">
            <w:pPr>
              <w:pStyle w:val="70"/>
              <w:rPr>
                <w:color w:val="000000" w:themeColor="text1"/>
                <w14:textFill>
                  <w14:solidFill>
                    <w14:schemeClr w14:val="tx1"/>
                  </w14:solidFill>
                </w14:textFill>
              </w:rPr>
            </w:pPr>
            <w:r>
              <w:rPr>
                <w:color w:val="000000" w:themeColor="text1"/>
                <w14:textFill>
                  <w14:solidFill>
                    <w14:schemeClr w14:val="tx1"/>
                  </w14:solidFill>
                </w14:textFill>
              </w:rPr>
              <w:t>2002.9.3</w:t>
            </w:r>
          </w:p>
        </w:tc>
        <w:tc>
          <w:tcPr>
            <w:tcW w:w="2372" w:type="dxa"/>
            <w:tcMar>
              <w:left w:w="0" w:type="dxa"/>
              <w:right w:w="0" w:type="dxa"/>
            </w:tcMar>
            <w:vAlign w:val="center"/>
          </w:tcPr>
          <w:p w14:paraId="7F0CED2B">
            <w:pPr>
              <w:pStyle w:val="70"/>
              <w:rPr>
                <w:color w:val="000000" w:themeColor="text1"/>
                <w14:textFill>
                  <w14:solidFill>
                    <w14:schemeClr w14:val="tx1"/>
                  </w14:solidFill>
                </w14:textFill>
              </w:rPr>
            </w:pPr>
            <w:r>
              <w:rPr>
                <w:color w:val="000000" w:themeColor="text1"/>
                <w14:textFill>
                  <w14:solidFill>
                    <w14:schemeClr w14:val="tx1"/>
                  </w14:solidFill>
                </w14:textFill>
              </w:rPr>
              <w:t>浙兴1</w:t>
            </w:r>
          </w:p>
        </w:tc>
        <w:tc>
          <w:tcPr>
            <w:tcW w:w="1043" w:type="dxa"/>
            <w:tcMar>
              <w:left w:w="0" w:type="dxa"/>
              <w:right w:w="0" w:type="dxa"/>
            </w:tcMar>
            <w:vAlign w:val="center"/>
          </w:tcPr>
          <w:p w14:paraId="2C2E7874">
            <w:pPr>
              <w:pStyle w:val="70"/>
              <w:rPr>
                <w:color w:val="000000" w:themeColor="text1"/>
                <w14:textFill>
                  <w14:solidFill>
                    <w14:schemeClr w14:val="tx1"/>
                  </w14:solidFill>
                </w14:textFill>
              </w:rPr>
            </w:pPr>
            <w:r>
              <w:rPr>
                <w:color w:val="000000" w:themeColor="text1"/>
                <w14:textFill>
                  <w14:solidFill>
                    <w14:schemeClr w14:val="tx1"/>
                  </w14:solidFill>
                </w14:textFill>
              </w:rPr>
              <w:t>小事故</w:t>
            </w:r>
          </w:p>
        </w:tc>
        <w:tc>
          <w:tcPr>
            <w:tcW w:w="837" w:type="dxa"/>
            <w:tcMar>
              <w:left w:w="0" w:type="dxa"/>
              <w:right w:w="0" w:type="dxa"/>
            </w:tcMar>
            <w:vAlign w:val="center"/>
          </w:tcPr>
          <w:p w14:paraId="611648D2">
            <w:pPr>
              <w:pStyle w:val="70"/>
              <w:rPr>
                <w:color w:val="000000" w:themeColor="text1"/>
                <w14:textFill>
                  <w14:solidFill>
                    <w14:schemeClr w14:val="tx1"/>
                  </w14:solidFill>
                </w14:textFill>
              </w:rPr>
            </w:pPr>
            <w:r>
              <w:rPr>
                <w:color w:val="000000" w:themeColor="text1"/>
                <w14:textFill>
                  <w14:solidFill>
                    <w14:schemeClr w14:val="tx1"/>
                  </w14:solidFill>
                </w14:textFill>
              </w:rPr>
              <w:t>操作</w:t>
            </w:r>
          </w:p>
        </w:tc>
        <w:tc>
          <w:tcPr>
            <w:tcW w:w="3726" w:type="dxa"/>
            <w:tcMar>
              <w:left w:w="0" w:type="dxa"/>
              <w:right w:w="0" w:type="dxa"/>
            </w:tcMar>
            <w:vAlign w:val="center"/>
          </w:tcPr>
          <w:p w14:paraId="172FC30B">
            <w:pPr>
              <w:pStyle w:val="70"/>
              <w:rPr>
                <w:color w:val="000000" w:themeColor="text1"/>
                <w14:textFill>
                  <w14:solidFill>
                    <w14:schemeClr w14:val="tx1"/>
                  </w14:solidFill>
                </w14:textFill>
              </w:rPr>
            </w:pPr>
            <w:r>
              <w:rPr>
                <w:color w:val="000000" w:themeColor="text1"/>
                <w14:textFill>
                  <w14:solidFill>
                    <w14:schemeClr w14:val="tx1"/>
                  </w14:solidFill>
                </w14:textFill>
              </w:rPr>
              <w:t>在港内冲洗油船甲板</w:t>
            </w:r>
          </w:p>
        </w:tc>
        <w:tc>
          <w:tcPr>
            <w:tcW w:w="3349" w:type="dxa"/>
            <w:tcMar>
              <w:left w:w="0" w:type="dxa"/>
              <w:right w:w="0" w:type="dxa"/>
            </w:tcMar>
            <w:vAlign w:val="center"/>
          </w:tcPr>
          <w:p w14:paraId="2FC4D918">
            <w:pPr>
              <w:pStyle w:val="70"/>
              <w:rPr>
                <w:color w:val="000000" w:themeColor="text1"/>
                <w14:textFill>
                  <w14:solidFill>
                    <w14:schemeClr w14:val="tx1"/>
                  </w14:solidFill>
                </w14:textFill>
              </w:rPr>
            </w:pPr>
            <w:r>
              <w:rPr>
                <w:color w:val="000000" w:themeColor="text1"/>
                <w14:textFill>
                  <w14:solidFill>
                    <w14:schemeClr w14:val="tx1"/>
                  </w14:solidFill>
                </w14:textFill>
              </w:rPr>
              <w:t>钦州中石化码头</w:t>
            </w:r>
          </w:p>
        </w:tc>
        <w:tc>
          <w:tcPr>
            <w:tcW w:w="1014" w:type="dxa"/>
            <w:tcMar>
              <w:left w:w="0" w:type="dxa"/>
              <w:right w:w="0" w:type="dxa"/>
            </w:tcMar>
            <w:vAlign w:val="center"/>
          </w:tcPr>
          <w:p w14:paraId="13549B49">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39CCBE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3DEE7A6F">
            <w:pPr>
              <w:pStyle w:val="70"/>
              <w:rPr>
                <w:color w:val="000000" w:themeColor="text1"/>
                <w14:textFill>
                  <w14:solidFill>
                    <w14:schemeClr w14:val="tx1"/>
                  </w14:solidFill>
                </w14:textFill>
              </w:rPr>
            </w:pPr>
            <w:r>
              <w:rPr>
                <w:color w:val="000000" w:themeColor="text1"/>
                <w14:textFill>
                  <w14:solidFill>
                    <w14:schemeClr w14:val="tx1"/>
                  </w14:solidFill>
                </w14:textFill>
              </w:rPr>
              <w:t>2</w:t>
            </w:r>
          </w:p>
        </w:tc>
        <w:tc>
          <w:tcPr>
            <w:tcW w:w="1161" w:type="dxa"/>
            <w:tcMar>
              <w:left w:w="0" w:type="dxa"/>
              <w:right w:w="0" w:type="dxa"/>
            </w:tcMar>
            <w:vAlign w:val="center"/>
          </w:tcPr>
          <w:p w14:paraId="6A70DADC">
            <w:pPr>
              <w:pStyle w:val="70"/>
              <w:rPr>
                <w:color w:val="000000" w:themeColor="text1"/>
                <w14:textFill>
                  <w14:solidFill>
                    <w14:schemeClr w14:val="tx1"/>
                  </w14:solidFill>
                </w14:textFill>
              </w:rPr>
            </w:pPr>
            <w:r>
              <w:rPr>
                <w:color w:val="000000" w:themeColor="text1"/>
                <w14:textFill>
                  <w14:solidFill>
                    <w14:schemeClr w14:val="tx1"/>
                  </w14:solidFill>
                </w14:textFill>
              </w:rPr>
              <w:t>2003.12.9</w:t>
            </w:r>
          </w:p>
        </w:tc>
        <w:tc>
          <w:tcPr>
            <w:tcW w:w="2372" w:type="dxa"/>
            <w:tcMar>
              <w:left w:w="0" w:type="dxa"/>
              <w:right w:w="0" w:type="dxa"/>
            </w:tcMar>
            <w:vAlign w:val="center"/>
          </w:tcPr>
          <w:p w14:paraId="3D7EBBC1">
            <w:pPr>
              <w:pStyle w:val="70"/>
              <w:rPr>
                <w:color w:val="000000" w:themeColor="text1"/>
                <w14:textFill>
                  <w14:solidFill>
                    <w14:schemeClr w14:val="tx1"/>
                  </w14:solidFill>
                </w14:textFill>
              </w:rPr>
            </w:pPr>
            <w:r>
              <w:rPr>
                <w:color w:val="000000" w:themeColor="text1"/>
                <w14:textFill>
                  <w14:solidFill>
                    <w14:schemeClr w14:val="tx1"/>
                  </w14:solidFill>
                </w14:textFill>
              </w:rPr>
              <w:t>恒盛兴177</w:t>
            </w:r>
          </w:p>
        </w:tc>
        <w:tc>
          <w:tcPr>
            <w:tcW w:w="1043" w:type="dxa"/>
            <w:tcMar>
              <w:left w:w="0" w:type="dxa"/>
              <w:right w:w="0" w:type="dxa"/>
            </w:tcMar>
            <w:vAlign w:val="center"/>
          </w:tcPr>
          <w:p w14:paraId="46AE084A">
            <w:pPr>
              <w:pStyle w:val="70"/>
              <w:rPr>
                <w:color w:val="000000" w:themeColor="text1"/>
                <w14:textFill>
                  <w14:solidFill>
                    <w14:schemeClr w14:val="tx1"/>
                  </w14:solidFill>
                </w14:textFill>
              </w:rPr>
            </w:pPr>
            <w:r>
              <w:rPr>
                <w:color w:val="000000" w:themeColor="text1"/>
                <w14:textFill>
                  <w14:solidFill>
                    <w14:schemeClr w14:val="tx1"/>
                  </w14:solidFill>
                </w14:textFill>
              </w:rPr>
              <w:t>小事故</w:t>
            </w:r>
          </w:p>
        </w:tc>
        <w:tc>
          <w:tcPr>
            <w:tcW w:w="837" w:type="dxa"/>
            <w:tcMar>
              <w:left w:w="0" w:type="dxa"/>
              <w:right w:w="0" w:type="dxa"/>
            </w:tcMar>
            <w:vAlign w:val="center"/>
          </w:tcPr>
          <w:p w14:paraId="3F2A2EE2">
            <w:pPr>
              <w:pStyle w:val="70"/>
              <w:rPr>
                <w:color w:val="000000" w:themeColor="text1"/>
                <w14:textFill>
                  <w14:solidFill>
                    <w14:schemeClr w14:val="tx1"/>
                  </w14:solidFill>
                </w14:textFill>
              </w:rPr>
            </w:pPr>
            <w:r>
              <w:rPr>
                <w:color w:val="000000" w:themeColor="text1"/>
                <w14:textFill>
                  <w14:solidFill>
                    <w14:schemeClr w14:val="tx1"/>
                  </w14:solidFill>
                </w14:textFill>
              </w:rPr>
              <w:t>操作</w:t>
            </w:r>
          </w:p>
        </w:tc>
        <w:tc>
          <w:tcPr>
            <w:tcW w:w="3726" w:type="dxa"/>
            <w:tcMar>
              <w:left w:w="0" w:type="dxa"/>
              <w:right w:w="0" w:type="dxa"/>
            </w:tcMar>
            <w:vAlign w:val="center"/>
          </w:tcPr>
          <w:p w14:paraId="3A4391A3">
            <w:pPr>
              <w:pStyle w:val="70"/>
              <w:rPr>
                <w:color w:val="000000" w:themeColor="text1"/>
                <w14:textFill>
                  <w14:solidFill>
                    <w14:schemeClr w14:val="tx1"/>
                  </w14:solidFill>
                </w14:textFill>
              </w:rPr>
            </w:pPr>
            <w:r>
              <w:rPr>
                <w:color w:val="000000" w:themeColor="text1"/>
                <w14:textFill>
                  <w14:solidFill>
                    <w14:schemeClr w14:val="tx1"/>
                  </w14:solidFill>
                </w14:textFill>
              </w:rPr>
              <w:t>排放污油</w:t>
            </w:r>
          </w:p>
        </w:tc>
        <w:tc>
          <w:tcPr>
            <w:tcW w:w="3349" w:type="dxa"/>
            <w:tcMar>
              <w:left w:w="0" w:type="dxa"/>
              <w:right w:w="0" w:type="dxa"/>
            </w:tcMar>
            <w:vAlign w:val="center"/>
          </w:tcPr>
          <w:p w14:paraId="6730AADE">
            <w:pPr>
              <w:pStyle w:val="70"/>
              <w:rPr>
                <w:color w:val="000000" w:themeColor="text1"/>
                <w14:textFill>
                  <w14:solidFill>
                    <w14:schemeClr w14:val="tx1"/>
                  </w14:solidFill>
                </w14:textFill>
              </w:rPr>
            </w:pPr>
            <w:r>
              <w:rPr>
                <w:color w:val="000000" w:themeColor="text1"/>
                <w14:textFill>
                  <w14:solidFill>
                    <w14:schemeClr w14:val="tx1"/>
                  </w14:solidFill>
                </w14:textFill>
              </w:rPr>
              <w:t>钦州水产码头</w:t>
            </w:r>
          </w:p>
        </w:tc>
        <w:tc>
          <w:tcPr>
            <w:tcW w:w="1014" w:type="dxa"/>
            <w:tcMar>
              <w:left w:w="0" w:type="dxa"/>
              <w:right w:w="0" w:type="dxa"/>
            </w:tcMar>
            <w:vAlign w:val="center"/>
          </w:tcPr>
          <w:p w14:paraId="36F71F87">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38BD0B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6BC9B86D">
            <w:pPr>
              <w:pStyle w:val="7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161" w:type="dxa"/>
            <w:tcMar>
              <w:left w:w="0" w:type="dxa"/>
              <w:right w:w="0" w:type="dxa"/>
            </w:tcMar>
            <w:vAlign w:val="center"/>
          </w:tcPr>
          <w:p w14:paraId="00EA49D8">
            <w:pPr>
              <w:pStyle w:val="70"/>
              <w:rPr>
                <w:color w:val="000000" w:themeColor="text1"/>
                <w14:textFill>
                  <w14:solidFill>
                    <w14:schemeClr w14:val="tx1"/>
                  </w14:solidFill>
                </w14:textFill>
              </w:rPr>
            </w:pPr>
            <w:r>
              <w:rPr>
                <w:color w:val="000000" w:themeColor="text1"/>
                <w14:textFill>
                  <w14:solidFill>
                    <w14:schemeClr w14:val="tx1"/>
                  </w14:solidFill>
                </w14:textFill>
              </w:rPr>
              <w:t>2004.4.11</w:t>
            </w:r>
          </w:p>
        </w:tc>
        <w:tc>
          <w:tcPr>
            <w:tcW w:w="2372" w:type="dxa"/>
            <w:tcMar>
              <w:left w:w="0" w:type="dxa"/>
              <w:right w:w="0" w:type="dxa"/>
            </w:tcMar>
            <w:vAlign w:val="center"/>
          </w:tcPr>
          <w:p w14:paraId="6F4D934B">
            <w:pPr>
              <w:pStyle w:val="70"/>
              <w:rPr>
                <w:color w:val="000000" w:themeColor="text1"/>
                <w14:textFill>
                  <w14:solidFill>
                    <w14:schemeClr w14:val="tx1"/>
                  </w14:solidFill>
                </w14:textFill>
              </w:rPr>
            </w:pPr>
            <w:r>
              <w:rPr>
                <w:color w:val="000000" w:themeColor="text1"/>
                <w14:textFill>
                  <w14:solidFill>
                    <w14:schemeClr w14:val="tx1"/>
                  </w14:solidFill>
                </w14:textFill>
              </w:rPr>
              <w:t>湛南128与桂钦15808碰撞</w:t>
            </w:r>
          </w:p>
        </w:tc>
        <w:tc>
          <w:tcPr>
            <w:tcW w:w="1043" w:type="dxa"/>
            <w:tcMar>
              <w:left w:w="0" w:type="dxa"/>
              <w:right w:w="0" w:type="dxa"/>
            </w:tcMar>
            <w:vAlign w:val="center"/>
          </w:tcPr>
          <w:p w14:paraId="5A7A3C33">
            <w:pPr>
              <w:pStyle w:val="70"/>
              <w:rPr>
                <w:color w:val="000000" w:themeColor="text1"/>
                <w14:textFill>
                  <w14:solidFill>
                    <w14:schemeClr w14:val="tx1"/>
                  </w14:solidFill>
                </w14:textFill>
              </w:rPr>
            </w:pPr>
            <w:r>
              <w:rPr>
                <w:color w:val="000000" w:themeColor="text1"/>
                <w14:textFill>
                  <w14:solidFill>
                    <w14:schemeClr w14:val="tx1"/>
                  </w14:solidFill>
                </w14:textFill>
              </w:rPr>
              <w:t>小事故</w:t>
            </w:r>
          </w:p>
        </w:tc>
        <w:tc>
          <w:tcPr>
            <w:tcW w:w="837" w:type="dxa"/>
            <w:tcMar>
              <w:left w:w="0" w:type="dxa"/>
              <w:right w:w="0" w:type="dxa"/>
            </w:tcMar>
            <w:vAlign w:val="center"/>
          </w:tcPr>
          <w:p w14:paraId="14B21D0A">
            <w:pPr>
              <w:pStyle w:val="70"/>
              <w:rPr>
                <w:color w:val="000000" w:themeColor="text1"/>
                <w14:textFill>
                  <w14:solidFill>
                    <w14:schemeClr w14:val="tx1"/>
                  </w14:solidFill>
                </w14:textFill>
              </w:rPr>
            </w:pPr>
            <w:r>
              <w:rPr>
                <w:color w:val="000000" w:themeColor="text1"/>
                <w14:textFill>
                  <w14:solidFill>
                    <w14:schemeClr w14:val="tx1"/>
                  </w14:solidFill>
                </w14:textFill>
              </w:rPr>
              <w:t>碰撞</w:t>
            </w:r>
          </w:p>
        </w:tc>
        <w:tc>
          <w:tcPr>
            <w:tcW w:w="3726" w:type="dxa"/>
            <w:tcMar>
              <w:left w:w="0" w:type="dxa"/>
              <w:right w:w="0" w:type="dxa"/>
            </w:tcMar>
            <w:vAlign w:val="center"/>
          </w:tcPr>
          <w:p w14:paraId="6A73C291">
            <w:pPr>
              <w:pStyle w:val="70"/>
              <w:rPr>
                <w:color w:val="000000" w:themeColor="text1"/>
                <w14:textFill>
                  <w14:solidFill>
                    <w14:schemeClr w14:val="tx1"/>
                  </w14:solidFill>
                </w14:textFill>
              </w:rPr>
            </w:pPr>
            <w:r>
              <w:rPr>
                <w:color w:val="000000" w:themeColor="text1"/>
                <w14:textFill>
                  <w14:solidFill>
                    <w14:schemeClr w14:val="tx1"/>
                  </w14:solidFill>
                </w14:textFill>
              </w:rPr>
              <w:t>不明</w:t>
            </w:r>
          </w:p>
        </w:tc>
        <w:tc>
          <w:tcPr>
            <w:tcW w:w="3349" w:type="dxa"/>
            <w:tcMar>
              <w:left w:w="0" w:type="dxa"/>
              <w:right w:w="0" w:type="dxa"/>
            </w:tcMar>
            <w:vAlign w:val="center"/>
          </w:tcPr>
          <w:p w14:paraId="64AFCFEF">
            <w:pPr>
              <w:pStyle w:val="70"/>
              <w:rPr>
                <w:color w:val="000000" w:themeColor="text1"/>
                <w14:textFill>
                  <w14:solidFill>
                    <w14:schemeClr w14:val="tx1"/>
                  </w14:solidFill>
                </w14:textFill>
              </w:rPr>
            </w:pPr>
            <w:r>
              <w:rPr>
                <w:color w:val="000000" w:themeColor="text1"/>
                <w14:textFill>
                  <w14:solidFill>
                    <w14:schemeClr w14:val="tx1"/>
                  </w14:solidFill>
                </w14:textFill>
              </w:rPr>
              <w:t>21</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40＇818N/108</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36＇058E</w:t>
            </w:r>
          </w:p>
        </w:tc>
        <w:tc>
          <w:tcPr>
            <w:tcW w:w="1014" w:type="dxa"/>
            <w:tcMar>
              <w:left w:w="0" w:type="dxa"/>
              <w:right w:w="0" w:type="dxa"/>
            </w:tcMar>
            <w:vAlign w:val="center"/>
          </w:tcPr>
          <w:p w14:paraId="1738FF33">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7A49F8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2B9CF323">
            <w:pPr>
              <w:pStyle w:val="70"/>
              <w:rPr>
                <w:color w:val="000000" w:themeColor="text1"/>
                <w14:textFill>
                  <w14:solidFill>
                    <w14:schemeClr w14:val="tx1"/>
                  </w14:solidFill>
                </w14:textFill>
              </w:rPr>
            </w:pPr>
            <w:r>
              <w:rPr>
                <w:color w:val="000000" w:themeColor="text1"/>
                <w14:textFill>
                  <w14:solidFill>
                    <w14:schemeClr w14:val="tx1"/>
                  </w14:solidFill>
                </w14:textFill>
              </w:rPr>
              <w:t>4</w:t>
            </w:r>
          </w:p>
        </w:tc>
        <w:tc>
          <w:tcPr>
            <w:tcW w:w="1161" w:type="dxa"/>
            <w:tcMar>
              <w:left w:w="0" w:type="dxa"/>
              <w:right w:w="0" w:type="dxa"/>
            </w:tcMar>
            <w:vAlign w:val="center"/>
          </w:tcPr>
          <w:p w14:paraId="17EB0042">
            <w:pPr>
              <w:pStyle w:val="70"/>
              <w:rPr>
                <w:color w:val="000000" w:themeColor="text1"/>
                <w14:textFill>
                  <w14:solidFill>
                    <w14:schemeClr w14:val="tx1"/>
                  </w14:solidFill>
                </w14:textFill>
              </w:rPr>
            </w:pPr>
            <w:r>
              <w:rPr>
                <w:color w:val="000000" w:themeColor="text1"/>
                <w14:textFill>
                  <w14:solidFill>
                    <w14:schemeClr w14:val="tx1"/>
                  </w14:solidFill>
                </w14:textFill>
              </w:rPr>
              <w:t>2004.12.18</w:t>
            </w:r>
          </w:p>
        </w:tc>
        <w:tc>
          <w:tcPr>
            <w:tcW w:w="2372" w:type="dxa"/>
            <w:tcMar>
              <w:left w:w="0" w:type="dxa"/>
              <w:right w:w="0" w:type="dxa"/>
            </w:tcMar>
            <w:vAlign w:val="center"/>
          </w:tcPr>
          <w:p w14:paraId="3E932A4C">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c>
          <w:tcPr>
            <w:tcW w:w="1043" w:type="dxa"/>
            <w:tcMar>
              <w:left w:w="0" w:type="dxa"/>
              <w:right w:w="0" w:type="dxa"/>
            </w:tcMar>
            <w:vAlign w:val="center"/>
          </w:tcPr>
          <w:p w14:paraId="142C503D">
            <w:pPr>
              <w:pStyle w:val="70"/>
              <w:rPr>
                <w:color w:val="000000" w:themeColor="text1"/>
                <w14:textFill>
                  <w14:solidFill>
                    <w14:schemeClr w14:val="tx1"/>
                  </w14:solidFill>
                </w14:textFill>
              </w:rPr>
            </w:pPr>
            <w:r>
              <w:rPr>
                <w:color w:val="000000" w:themeColor="text1"/>
                <w14:textFill>
                  <w14:solidFill>
                    <w14:schemeClr w14:val="tx1"/>
                  </w14:solidFill>
                </w14:textFill>
              </w:rPr>
              <w:t>一般事故</w:t>
            </w:r>
          </w:p>
        </w:tc>
        <w:tc>
          <w:tcPr>
            <w:tcW w:w="837" w:type="dxa"/>
            <w:tcMar>
              <w:left w:w="0" w:type="dxa"/>
              <w:right w:w="0" w:type="dxa"/>
            </w:tcMar>
            <w:vAlign w:val="center"/>
          </w:tcPr>
          <w:p w14:paraId="0F03D244">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c>
          <w:tcPr>
            <w:tcW w:w="3726" w:type="dxa"/>
            <w:tcMar>
              <w:left w:w="0" w:type="dxa"/>
              <w:right w:w="0" w:type="dxa"/>
            </w:tcMar>
            <w:vAlign w:val="center"/>
          </w:tcPr>
          <w:p w14:paraId="22C02580">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c>
          <w:tcPr>
            <w:tcW w:w="3349" w:type="dxa"/>
            <w:tcMar>
              <w:left w:w="0" w:type="dxa"/>
              <w:right w:w="0" w:type="dxa"/>
            </w:tcMar>
            <w:vAlign w:val="center"/>
          </w:tcPr>
          <w:p w14:paraId="608B6592">
            <w:pPr>
              <w:pStyle w:val="70"/>
              <w:rPr>
                <w:color w:val="000000" w:themeColor="text1"/>
                <w14:textFill>
                  <w14:solidFill>
                    <w14:schemeClr w14:val="tx1"/>
                  </w14:solidFill>
                </w14:textFill>
              </w:rPr>
            </w:pPr>
            <w:r>
              <w:rPr>
                <w:color w:val="000000" w:themeColor="text1"/>
                <w14:textFill>
                  <w14:solidFill>
                    <w14:schemeClr w14:val="tx1"/>
                  </w14:solidFill>
                </w14:textFill>
              </w:rPr>
              <w:t>钦州港宏基码头附近水域</w:t>
            </w:r>
          </w:p>
        </w:tc>
        <w:tc>
          <w:tcPr>
            <w:tcW w:w="1014" w:type="dxa"/>
            <w:tcMar>
              <w:left w:w="0" w:type="dxa"/>
              <w:right w:w="0" w:type="dxa"/>
            </w:tcMar>
            <w:vAlign w:val="center"/>
          </w:tcPr>
          <w:p w14:paraId="56BE2139">
            <w:pPr>
              <w:pStyle w:val="70"/>
              <w:rPr>
                <w:color w:val="000000" w:themeColor="text1"/>
                <w14:textFill>
                  <w14:solidFill>
                    <w14:schemeClr w14:val="tx1"/>
                  </w14:solidFill>
                </w14:textFill>
              </w:rPr>
            </w:pPr>
            <w:r>
              <w:rPr>
                <w:color w:val="000000" w:themeColor="text1"/>
                <w14:textFill>
                  <w14:solidFill>
                    <w14:schemeClr w14:val="tx1"/>
                  </w14:solidFill>
                </w14:textFill>
              </w:rPr>
              <w:t>0#柴油，约1t</w:t>
            </w:r>
          </w:p>
        </w:tc>
      </w:tr>
      <w:tr w14:paraId="1AE8E3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2B6A4A8D">
            <w:pPr>
              <w:pStyle w:val="70"/>
              <w:rPr>
                <w:color w:val="000000" w:themeColor="text1"/>
                <w14:textFill>
                  <w14:solidFill>
                    <w14:schemeClr w14:val="tx1"/>
                  </w14:solidFill>
                </w14:textFill>
              </w:rPr>
            </w:pPr>
            <w:r>
              <w:rPr>
                <w:color w:val="000000" w:themeColor="text1"/>
                <w14:textFill>
                  <w14:solidFill>
                    <w14:schemeClr w14:val="tx1"/>
                  </w14:solidFill>
                </w14:textFill>
              </w:rPr>
              <w:t>5</w:t>
            </w:r>
          </w:p>
        </w:tc>
        <w:tc>
          <w:tcPr>
            <w:tcW w:w="1161" w:type="dxa"/>
            <w:tcMar>
              <w:left w:w="0" w:type="dxa"/>
              <w:right w:w="0" w:type="dxa"/>
            </w:tcMar>
            <w:vAlign w:val="center"/>
          </w:tcPr>
          <w:p w14:paraId="2664909C">
            <w:pPr>
              <w:pStyle w:val="70"/>
              <w:rPr>
                <w:color w:val="000000" w:themeColor="text1"/>
                <w14:textFill>
                  <w14:solidFill>
                    <w14:schemeClr w14:val="tx1"/>
                  </w14:solidFill>
                </w14:textFill>
              </w:rPr>
            </w:pPr>
            <w:r>
              <w:rPr>
                <w:color w:val="000000" w:themeColor="text1"/>
                <w14:textFill>
                  <w14:solidFill>
                    <w14:schemeClr w14:val="tx1"/>
                  </w14:solidFill>
                </w14:textFill>
              </w:rPr>
              <w:t>2005.1.19</w:t>
            </w:r>
          </w:p>
        </w:tc>
        <w:tc>
          <w:tcPr>
            <w:tcW w:w="2372" w:type="dxa"/>
            <w:tcMar>
              <w:left w:w="0" w:type="dxa"/>
              <w:right w:w="0" w:type="dxa"/>
            </w:tcMar>
            <w:vAlign w:val="center"/>
          </w:tcPr>
          <w:p w14:paraId="55409287">
            <w:pPr>
              <w:pStyle w:val="70"/>
              <w:rPr>
                <w:color w:val="000000" w:themeColor="text1"/>
                <w14:textFill>
                  <w14:solidFill>
                    <w14:schemeClr w14:val="tx1"/>
                  </w14:solidFill>
                </w14:textFill>
              </w:rPr>
            </w:pPr>
            <w:r>
              <w:rPr>
                <w:color w:val="000000" w:themeColor="text1"/>
                <w14:textFill>
                  <w14:solidFill>
                    <w14:schemeClr w14:val="tx1"/>
                  </w14:solidFill>
                </w14:textFill>
              </w:rPr>
              <w:t>永德胜689碰撞桂钦渔11632</w:t>
            </w:r>
          </w:p>
        </w:tc>
        <w:tc>
          <w:tcPr>
            <w:tcW w:w="1043" w:type="dxa"/>
            <w:tcMar>
              <w:left w:w="0" w:type="dxa"/>
              <w:right w:w="0" w:type="dxa"/>
            </w:tcMar>
            <w:vAlign w:val="center"/>
          </w:tcPr>
          <w:p w14:paraId="4373683C">
            <w:pPr>
              <w:pStyle w:val="70"/>
              <w:rPr>
                <w:color w:val="000000" w:themeColor="text1"/>
                <w14:textFill>
                  <w14:solidFill>
                    <w14:schemeClr w14:val="tx1"/>
                  </w14:solidFill>
                </w14:textFill>
              </w:rPr>
            </w:pPr>
            <w:r>
              <w:rPr>
                <w:color w:val="000000" w:themeColor="text1"/>
                <w14:textFill>
                  <w14:solidFill>
                    <w14:schemeClr w14:val="tx1"/>
                  </w14:solidFill>
                </w14:textFill>
              </w:rPr>
              <w:t>一般事故</w:t>
            </w:r>
          </w:p>
        </w:tc>
        <w:tc>
          <w:tcPr>
            <w:tcW w:w="837" w:type="dxa"/>
            <w:tcMar>
              <w:left w:w="0" w:type="dxa"/>
              <w:right w:w="0" w:type="dxa"/>
            </w:tcMar>
            <w:vAlign w:val="center"/>
          </w:tcPr>
          <w:p w14:paraId="61A259D5">
            <w:pPr>
              <w:pStyle w:val="70"/>
              <w:rPr>
                <w:color w:val="000000" w:themeColor="text1"/>
                <w14:textFill>
                  <w14:solidFill>
                    <w14:schemeClr w14:val="tx1"/>
                  </w14:solidFill>
                </w14:textFill>
              </w:rPr>
            </w:pPr>
            <w:r>
              <w:rPr>
                <w:color w:val="000000" w:themeColor="text1"/>
                <w14:textFill>
                  <w14:solidFill>
                    <w14:schemeClr w14:val="tx1"/>
                  </w14:solidFill>
                </w14:textFill>
              </w:rPr>
              <w:t>碰撞</w:t>
            </w:r>
          </w:p>
        </w:tc>
        <w:tc>
          <w:tcPr>
            <w:tcW w:w="3726" w:type="dxa"/>
            <w:tcMar>
              <w:left w:w="0" w:type="dxa"/>
              <w:right w:w="0" w:type="dxa"/>
            </w:tcMar>
            <w:vAlign w:val="center"/>
          </w:tcPr>
          <w:p w14:paraId="1ABC9373">
            <w:pPr>
              <w:pStyle w:val="70"/>
              <w:rPr>
                <w:color w:val="000000" w:themeColor="text1"/>
                <w14:textFill>
                  <w14:solidFill>
                    <w14:schemeClr w14:val="tx1"/>
                  </w14:solidFill>
                </w14:textFill>
              </w:rPr>
            </w:pPr>
            <w:r>
              <w:rPr>
                <w:color w:val="000000" w:themeColor="text1"/>
                <w14:textFill>
                  <w14:solidFill>
                    <w14:schemeClr w14:val="tx1"/>
                  </w14:solidFill>
                </w14:textFill>
              </w:rPr>
              <w:t>未采用安全航速，为保持正规瞭望，避开措施错误</w:t>
            </w:r>
          </w:p>
        </w:tc>
        <w:tc>
          <w:tcPr>
            <w:tcW w:w="3349" w:type="dxa"/>
            <w:tcMar>
              <w:left w:w="0" w:type="dxa"/>
              <w:right w:w="0" w:type="dxa"/>
            </w:tcMar>
            <w:vAlign w:val="center"/>
          </w:tcPr>
          <w:p w14:paraId="79DE03CB">
            <w:pPr>
              <w:pStyle w:val="70"/>
              <w:rPr>
                <w:color w:val="000000" w:themeColor="text1"/>
                <w14:textFill>
                  <w14:solidFill>
                    <w14:schemeClr w14:val="tx1"/>
                  </w14:solidFill>
                </w14:textFill>
              </w:rPr>
            </w:pPr>
            <w:r>
              <w:rPr>
                <w:color w:val="000000" w:themeColor="text1"/>
                <w14:textFill>
                  <w14:solidFill>
                    <w14:schemeClr w14:val="tx1"/>
                  </w14:solidFill>
                </w14:textFill>
              </w:rPr>
              <w:t>21</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41＇027N/108</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35＇171E</w:t>
            </w:r>
          </w:p>
        </w:tc>
        <w:tc>
          <w:tcPr>
            <w:tcW w:w="1014" w:type="dxa"/>
            <w:tcMar>
              <w:left w:w="0" w:type="dxa"/>
              <w:right w:w="0" w:type="dxa"/>
            </w:tcMar>
            <w:vAlign w:val="center"/>
          </w:tcPr>
          <w:p w14:paraId="6A9EB0B7">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3EFF4A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446F90B5">
            <w:pPr>
              <w:pStyle w:val="70"/>
              <w:rPr>
                <w:color w:val="000000" w:themeColor="text1"/>
                <w14:textFill>
                  <w14:solidFill>
                    <w14:schemeClr w14:val="tx1"/>
                  </w14:solidFill>
                </w14:textFill>
              </w:rPr>
            </w:pPr>
            <w:r>
              <w:rPr>
                <w:color w:val="000000" w:themeColor="text1"/>
                <w14:textFill>
                  <w14:solidFill>
                    <w14:schemeClr w14:val="tx1"/>
                  </w14:solidFill>
                </w14:textFill>
              </w:rPr>
              <w:t>6</w:t>
            </w:r>
          </w:p>
        </w:tc>
        <w:tc>
          <w:tcPr>
            <w:tcW w:w="1161" w:type="dxa"/>
            <w:tcMar>
              <w:left w:w="0" w:type="dxa"/>
              <w:right w:w="0" w:type="dxa"/>
            </w:tcMar>
            <w:vAlign w:val="center"/>
          </w:tcPr>
          <w:p w14:paraId="7A1BE451">
            <w:pPr>
              <w:pStyle w:val="70"/>
              <w:rPr>
                <w:color w:val="000000" w:themeColor="text1"/>
                <w14:textFill>
                  <w14:solidFill>
                    <w14:schemeClr w14:val="tx1"/>
                  </w14:solidFill>
                </w14:textFill>
              </w:rPr>
            </w:pPr>
            <w:r>
              <w:rPr>
                <w:color w:val="000000" w:themeColor="text1"/>
                <w14:textFill>
                  <w14:solidFill>
                    <w14:schemeClr w14:val="tx1"/>
                  </w14:solidFill>
                </w14:textFill>
              </w:rPr>
              <w:t>2005.1.25</w:t>
            </w:r>
          </w:p>
        </w:tc>
        <w:tc>
          <w:tcPr>
            <w:tcW w:w="2372" w:type="dxa"/>
            <w:tcMar>
              <w:left w:w="0" w:type="dxa"/>
              <w:right w:w="0" w:type="dxa"/>
            </w:tcMar>
            <w:vAlign w:val="center"/>
          </w:tcPr>
          <w:p w14:paraId="19249C91">
            <w:pPr>
              <w:pStyle w:val="70"/>
              <w:rPr>
                <w:color w:val="000000" w:themeColor="text1"/>
                <w14:textFill>
                  <w14:solidFill>
                    <w14:schemeClr w14:val="tx1"/>
                  </w14:solidFill>
                </w14:textFill>
              </w:rPr>
            </w:pPr>
            <w:r>
              <w:rPr>
                <w:color w:val="000000" w:themeColor="text1"/>
                <w14:textFill>
                  <w14:solidFill>
                    <w14:schemeClr w14:val="tx1"/>
                  </w14:solidFill>
                </w14:textFill>
              </w:rPr>
              <w:t>徐和108自沉事故</w:t>
            </w:r>
          </w:p>
        </w:tc>
        <w:tc>
          <w:tcPr>
            <w:tcW w:w="1043" w:type="dxa"/>
            <w:tcMar>
              <w:left w:w="0" w:type="dxa"/>
              <w:right w:w="0" w:type="dxa"/>
            </w:tcMar>
            <w:vAlign w:val="center"/>
          </w:tcPr>
          <w:p w14:paraId="1306AE6E">
            <w:pPr>
              <w:pStyle w:val="70"/>
              <w:rPr>
                <w:color w:val="000000" w:themeColor="text1"/>
                <w14:textFill>
                  <w14:solidFill>
                    <w14:schemeClr w14:val="tx1"/>
                  </w14:solidFill>
                </w14:textFill>
              </w:rPr>
            </w:pPr>
            <w:r>
              <w:rPr>
                <w:color w:val="000000" w:themeColor="text1"/>
                <w14:textFill>
                  <w14:solidFill>
                    <w14:schemeClr w14:val="tx1"/>
                  </w14:solidFill>
                </w14:textFill>
              </w:rPr>
              <w:t>一般事故</w:t>
            </w:r>
          </w:p>
        </w:tc>
        <w:tc>
          <w:tcPr>
            <w:tcW w:w="837" w:type="dxa"/>
            <w:tcMar>
              <w:left w:w="0" w:type="dxa"/>
              <w:right w:w="0" w:type="dxa"/>
            </w:tcMar>
            <w:vAlign w:val="center"/>
          </w:tcPr>
          <w:p w14:paraId="0646AAF9">
            <w:pPr>
              <w:pStyle w:val="70"/>
              <w:rPr>
                <w:color w:val="000000" w:themeColor="text1"/>
                <w14:textFill>
                  <w14:solidFill>
                    <w14:schemeClr w14:val="tx1"/>
                  </w14:solidFill>
                </w14:textFill>
              </w:rPr>
            </w:pPr>
            <w:r>
              <w:rPr>
                <w:color w:val="000000" w:themeColor="text1"/>
                <w14:textFill>
                  <w14:solidFill>
                    <w14:schemeClr w14:val="tx1"/>
                  </w14:solidFill>
                </w14:textFill>
              </w:rPr>
              <w:t>自沉</w:t>
            </w:r>
          </w:p>
        </w:tc>
        <w:tc>
          <w:tcPr>
            <w:tcW w:w="3726" w:type="dxa"/>
            <w:tcMar>
              <w:left w:w="0" w:type="dxa"/>
              <w:right w:w="0" w:type="dxa"/>
            </w:tcMar>
            <w:vAlign w:val="center"/>
          </w:tcPr>
          <w:p w14:paraId="47C35832">
            <w:pPr>
              <w:pStyle w:val="70"/>
              <w:rPr>
                <w:color w:val="000000" w:themeColor="text1"/>
                <w14:textFill>
                  <w14:solidFill>
                    <w14:schemeClr w14:val="tx1"/>
                  </w14:solidFill>
                </w14:textFill>
              </w:rPr>
            </w:pPr>
            <w:r>
              <w:rPr>
                <w:color w:val="000000" w:themeColor="text1"/>
                <w14:textFill>
                  <w14:solidFill>
                    <w14:schemeClr w14:val="tx1"/>
                  </w14:solidFill>
                </w14:textFill>
              </w:rPr>
              <w:t>不明</w:t>
            </w:r>
          </w:p>
        </w:tc>
        <w:tc>
          <w:tcPr>
            <w:tcW w:w="3349" w:type="dxa"/>
            <w:tcMar>
              <w:left w:w="0" w:type="dxa"/>
              <w:right w:w="0" w:type="dxa"/>
            </w:tcMar>
            <w:vAlign w:val="center"/>
          </w:tcPr>
          <w:p w14:paraId="1383C20A">
            <w:pPr>
              <w:pStyle w:val="70"/>
              <w:rPr>
                <w:color w:val="000000" w:themeColor="text1"/>
                <w14:textFill>
                  <w14:solidFill>
                    <w14:schemeClr w14:val="tx1"/>
                  </w14:solidFill>
                </w14:textFill>
              </w:rPr>
            </w:pPr>
            <w:r>
              <w:rPr>
                <w:color w:val="000000" w:themeColor="text1"/>
                <w14:textFill>
                  <w14:solidFill>
                    <w14:schemeClr w14:val="tx1"/>
                  </w14:solidFill>
                </w14:textFill>
              </w:rPr>
              <w:t>21</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41＇027N/108</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35＇171E</w:t>
            </w:r>
          </w:p>
        </w:tc>
        <w:tc>
          <w:tcPr>
            <w:tcW w:w="1014" w:type="dxa"/>
            <w:tcMar>
              <w:left w:w="0" w:type="dxa"/>
              <w:right w:w="0" w:type="dxa"/>
            </w:tcMar>
            <w:vAlign w:val="center"/>
          </w:tcPr>
          <w:p w14:paraId="58E5CF79">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7C510B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035399FD">
            <w:pPr>
              <w:pStyle w:val="70"/>
              <w:rPr>
                <w:color w:val="000000" w:themeColor="text1"/>
                <w14:textFill>
                  <w14:solidFill>
                    <w14:schemeClr w14:val="tx1"/>
                  </w14:solidFill>
                </w14:textFill>
              </w:rPr>
            </w:pPr>
            <w:r>
              <w:rPr>
                <w:color w:val="000000" w:themeColor="text1"/>
                <w14:textFill>
                  <w14:solidFill>
                    <w14:schemeClr w14:val="tx1"/>
                  </w14:solidFill>
                </w14:textFill>
              </w:rPr>
              <w:t>7</w:t>
            </w:r>
          </w:p>
        </w:tc>
        <w:tc>
          <w:tcPr>
            <w:tcW w:w="1161" w:type="dxa"/>
            <w:tcMar>
              <w:left w:w="0" w:type="dxa"/>
              <w:right w:w="0" w:type="dxa"/>
            </w:tcMar>
            <w:vAlign w:val="center"/>
          </w:tcPr>
          <w:p w14:paraId="04AA6E4E">
            <w:pPr>
              <w:pStyle w:val="70"/>
              <w:rPr>
                <w:color w:val="000000" w:themeColor="text1"/>
                <w14:textFill>
                  <w14:solidFill>
                    <w14:schemeClr w14:val="tx1"/>
                  </w14:solidFill>
                </w14:textFill>
              </w:rPr>
            </w:pPr>
            <w:r>
              <w:rPr>
                <w:color w:val="000000" w:themeColor="text1"/>
                <w14:textFill>
                  <w14:solidFill>
                    <w14:schemeClr w14:val="tx1"/>
                  </w14:solidFill>
                </w14:textFill>
              </w:rPr>
              <w:t>2005.2.19</w:t>
            </w:r>
          </w:p>
        </w:tc>
        <w:tc>
          <w:tcPr>
            <w:tcW w:w="2372" w:type="dxa"/>
            <w:tcMar>
              <w:left w:w="0" w:type="dxa"/>
              <w:right w:w="0" w:type="dxa"/>
            </w:tcMar>
            <w:vAlign w:val="center"/>
          </w:tcPr>
          <w:p w14:paraId="4D6332F0">
            <w:pPr>
              <w:pStyle w:val="70"/>
              <w:rPr>
                <w:color w:val="000000" w:themeColor="text1"/>
                <w14:textFill>
                  <w14:solidFill>
                    <w14:schemeClr w14:val="tx1"/>
                  </w14:solidFill>
                </w14:textFill>
              </w:rPr>
            </w:pPr>
            <w:r>
              <w:rPr>
                <w:color w:val="000000" w:themeColor="text1"/>
                <w14:textFill>
                  <w14:solidFill>
                    <w14:schemeClr w14:val="tx1"/>
                  </w14:solidFill>
                </w14:textFill>
              </w:rPr>
              <w:t>浙海308大风浪中翻沉</w:t>
            </w:r>
          </w:p>
        </w:tc>
        <w:tc>
          <w:tcPr>
            <w:tcW w:w="1043" w:type="dxa"/>
            <w:tcMar>
              <w:left w:w="0" w:type="dxa"/>
              <w:right w:w="0" w:type="dxa"/>
            </w:tcMar>
            <w:vAlign w:val="center"/>
          </w:tcPr>
          <w:p w14:paraId="13BFB053">
            <w:pPr>
              <w:pStyle w:val="70"/>
              <w:rPr>
                <w:color w:val="000000" w:themeColor="text1"/>
                <w14:textFill>
                  <w14:solidFill>
                    <w14:schemeClr w14:val="tx1"/>
                  </w14:solidFill>
                </w14:textFill>
              </w:rPr>
            </w:pPr>
            <w:r>
              <w:rPr>
                <w:color w:val="000000" w:themeColor="text1"/>
                <w14:textFill>
                  <w14:solidFill>
                    <w14:schemeClr w14:val="tx1"/>
                  </w14:solidFill>
                </w14:textFill>
              </w:rPr>
              <w:t>重大</w:t>
            </w:r>
          </w:p>
        </w:tc>
        <w:tc>
          <w:tcPr>
            <w:tcW w:w="837" w:type="dxa"/>
            <w:tcMar>
              <w:left w:w="0" w:type="dxa"/>
              <w:right w:w="0" w:type="dxa"/>
            </w:tcMar>
            <w:vAlign w:val="center"/>
          </w:tcPr>
          <w:p w14:paraId="2F2ACA6D">
            <w:pPr>
              <w:pStyle w:val="70"/>
              <w:rPr>
                <w:color w:val="000000" w:themeColor="text1"/>
                <w14:textFill>
                  <w14:solidFill>
                    <w14:schemeClr w14:val="tx1"/>
                  </w14:solidFill>
                </w14:textFill>
              </w:rPr>
            </w:pPr>
            <w:r>
              <w:rPr>
                <w:color w:val="000000" w:themeColor="text1"/>
                <w14:textFill>
                  <w14:solidFill>
                    <w14:schemeClr w14:val="tx1"/>
                  </w14:solidFill>
                </w14:textFill>
              </w:rPr>
              <w:t>风灾</w:t>
            </w:r>
          </w:p>
        </w:tc>
        <w:tc>
          <w:tcPr>
            <w:tcW w:w="3726" w:type="dxa"/>
            <w:tcMar>
              <w:left w:w="0" w:type="dxa"/>
              <w:right w:w="0" w:type="dxa"/>
            </w:tcMar>
            <w:vAlign w:val="center"/>
          </w:tcPr>
          <w:p w14:paraId="111F827C">
            <w:pPr>
              <w:pStyle w:val="70"/>
              <w:rPr>
                <w:color w:val="000000" w:themeColor="text1"/>
                <w14:textFill>
                  <w14:solidFill>
                    <w14:schemeClr w14:val="tx1"/>
                  </w14:solidFill>
                </w14:textFill>
              </w:rPr>
            </w:pPr>
            <w:r>
              <w:rPr>
                <w:color w:val="000000" w:themeColor="text1"/>
                <w14:textFill>
                  <w14:solidFill>
                    <w14:schemeClr w14:val="tx1"/>
                  </w14:solidFill>
                </w14:textFill>
              </w:rPr>
              <w:t>不明</w:t>
            </w:r>
          </w:p>
        </w:tc>
        <w:tc>
          <w:tcPr>
            <w:tcW w:w="3349" w:type="dxa"/>
            <w:tcMar>
              <w:left w:w="0" w:type="dxa"/>
              <w:right w:w="0" w:type="dxa"/>
            </w:tcMar>
            <w:vAlign w:val="center"/>
          </w:tcPr>
          <w:p w14:paraId="270CDAB1">
            <w:pPr>
              <w:pStyle w:val="70"/>
              <w:rPr>
                <w:color w:val="000000" w:themeColor="text1"/>
                <w14:textFill>
                  <w14:solidFill>
                    <w14:schemeClr w14:val="tx1"/>
                  </w14:solidFill>
                </w14:textFill>
              </w:rPr>
            </w:pPr>
            <w:r>
              <w:rPr>
                <w:color w:val="000000" w:themeColor="text1"/>
                <w14:textFill>
                  <w14:solidFill>
                    <w14:schemeClr w14:val="tx1"/>
                  </w14:solidFill>
                </w14:textFill>
              </w:rPr>
              <w:t>具体遇险位置不详</w:t>
            </w:r>
          </w:p>
        </w:tc>
        <w:tc>
          <w:tcPr>
            <w:tcW w:w="1014" w:type="dxa"/>
            <w:tcMar>
              <w:left w:w="0" w:type="dxa"/>
              <w:right w:w="0" w:type="dxa"/>
            </w:tcMar>
            <w:vAlign w:val="center"/>
          </w:tcPr>
          <w:p w14:paraId="62A9CC7D">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28A056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07D3052E">
            <w:pPr>
              <w:pStyle w:val="70"/>
              <w:rPr>
                <w:color w:val="000000" w:themeColor="text1"/>
                <w14:textFill>
                  <w14:solidFill>
                    <w14:schemeClr w14:val="tx1"/>
                  </w14:solidFill>
                </w14:textFill>
              </w:rPr>
            </w:pPr>
            <w:r>
              <w:rPr>
                <w:color w:val="000000" w:themeColor="text1"/>
                <w14:textFill>
                  <w14:solidFill>
                    <w14:schemeClr w14:val="tx1"/>
                  </w14:solidFill>
                </w14:textFill>
              </w:rPr>
              <w:t>8</w:t>
            </w:r>
          </w:p>
        </w:tc>
        <w:tc>
          <w:tcPr>
            <w:tcW w:w="1161" w:type="dxa"/>
            <w:tcMar>
              <w:left w:w="0" w:type="dxa"/>
              <w:right w:w="0" w:type="dxa"/>
            </w:tcMar>
            <w:vAlign w:val="center"/>
          </w:tcPr>
          <w:p w14:paraId="2C013670">
            <w:pPr>
              <w:pStyle w:val="70"/>
              <w:rPr>
                <w:color w:val="000000" w:themeColor="text1"/>
                <w14:textFill>
                  <w14:solidFill>
                    <w14:schemeClr w14:val="tx1"/>
                  </w14:solidFill>
                </w14:textFill>
              </w:rPr>
            </w:pPr>
            <w:r>
              <w:rPr>
                <w:color w:val="000000" w:themeColor="text1"/>
                <w14:textFill>
                  <w14:solidFill>
                    <w14:schemeClr w14:val="tx1"/>
                  </w14:solidFill>
                </w14:textFill>
              </w:rPr>
              <w:t>2006.5.29</w:t>
            </w:r>
          </w:p>
        </w:tc>
        <w:tc>
          <w:tcPr>
            <w:tcW w:w="2372" w:type="dxa"/>
            <w:tcMar>
              <w:left w:w="0" w:type="dxa"/>
              <w:right w:w="0" w:type="dxa"/>
            </w:tcMar>
            <w:vAlign w:val="center"/>
          </w:tcPr>
          <w:p w14:paraId="6DBFCD1E">
            <w:pPr>
              <w:pStyle w:val="70"/>
              <w:rPr>
                <w:color w:val="000000" w:themeColor="text1"/>
                <w14:textFill>
                  <w14:solidFill>
                    <w14:schemeClr w14:val="tx1"/>
                  </w14:solidFill>
                </w14:textFill>
              </w:rPr>
            </w:pPr>
            <w:r>
              <w:rPr>
                <w:color w:val="000000" w:themeColor="text1"/>
                <w14:textFill>
                  <w14:solidFill>
                    <w14:schemeClr w14:val="tx1"/>
                  </w14:solidFill>
                </w14:textFill>
              </w:rPr>
              <w:t>云麟轮与桂北渔20045碰撞</w:t>
            </w:r>
          </w:p>
        </w:tc>
        <w:tc>
          <w:tcPr>
            <w:tcW w:w="1043" w:type="dxa"/>
            <w:tcMar>
              <w:left w:w="0" w:type="dxa"/>
              <w:right w:w="0" w:type="dxa"/>
            </w:tcMar>
            <w:vAlign w:val="center"/>
          </w:tcPr>
          <w:p w14:paraId="7F6DD495">
            <w:pPr>
              <w:pStyle w:val="70"/>
              <w:rPr>
                <w:color w:val="000000" w:themeColor="text1"/>
                <w14:textFill>
                  <w14:solidFill>
                    <w14:schemeClr w14:val="tx1"/>
                  </w14:solidFill>
                </w14:textFill>
              </w:rPr>
            </w:pPr>
            <w:r>
              <w:rPr>
                <w:color w:val="000000" w:themeColor="text1"/>
                <w14:textFill>
                  <w14:solidFill>
                    <w14:schemeClr w14:val="tx1"/>
                  </w14:solidFill>
                </w14:textFill>
              </w:rPr>
              <w:t>小事故</w:t>
            </w:r>
          </w:p>
        </w:tc>
        <w:tc>
          <w:tcPr>
            <w:tcW w:w="837" w:type="dxa"/>
            <w:tcMar>
              <w:left w:w="0" w:type="dxa"/>
              <w:right w:w="0" w:type="dxa"/>
            </w:tcMar>
            <w:vAlign w:val="center"/>
          </w:tcPr>
          <w:p w14:paraId="20B22F5D">
            <w:pPr>
              <w:pStyle w:val="70"/>
              <w:rPr>
                <w:color w:val="000000" w:themeColor="text1"/>
                <w14:textFill>
                  <w14:solidFill>
                    <w14:schemeClr w14:val="tx1"/>
                  </w14:solidFill>
                </w14:textFill>
              </w:rPr>
            </w:pPr>
            <w:r>
              <w:rPr>
                <w:color w:val="000000" w:themeColor="text1"/>
                <w14:textFill>
                  <w14:solidFill>
                    <w14:schemeClr w14:val="tx1"/>
                  </w14:solidFill>
                </w14:textFill>
              </w:rPr>
              <w:t>碰撞</w:t>
            </w:r>
          </w:p>
        </w:tc>
        <w:tc>
          <w:tcPr>
            <w:tcW w:w="3726" w:type="dxa"/>
            <w:tcMar>
              <w:left w:w="0" w:type="dxa"/>
              <w:right w:w="0" w:type="dxa"/>
            </w:tcMar>
            <w:vAlign w:val="center"/>
          </w:tcPr>
          <w:p w14:paraId="77EA0EB8">
            <w:pPr>
              <w:pStyle w:val="70"/>
              <w:rPr>
                <w:color w:val="000000" w:themeColor="text1"/>
                <w14:textFill>
                  <w14:solidFill>
                    <w14:schemeClr w14:val="tx1"/>
                  </w14:solidFill>
                </w14:textFill>
              </w:rPr>
            </w:pPr>
            <w:r>
              <w:rPr>
                <w:color w:val="000000" w:themeColor="text1"/>
                <w14:textFill>
                  <w14:solidFill>
                    <w14:schemeClr w14:val="tx1"/>
                  </w14:solidFill>
                </w14:textFill>
              </w:rPr>
              <w:t>判断错误、未保持正规瞭望</w:t>
            </w:r>
          </w:p>
        </w:tc>
        <w:tc>
          <w:tcPr>
            <w:tcW w:w="3349" w:type="dxa"/>
            <w:tcMar>
              <w:left w:w="0" w:type="dxa"/>
              <w:right w:w="0" w:type="dxa"/>
            </w:tcMar>
            <w:vAlign w:val="center"/>
          </w:tcPr>
          <w:p w14:paraId="4CB2CB0D">
            <w:pPr>
              <w:pStyle w:val="70"/>
              <w:rPr>
                <w:color w:val="000000" w:themeColor="text1"/>
                <w14:textFill>
                  <w14:solidFill>
                    <w14:schemeClr w14:val="tx1"/>
                  </w14:solidFill>
                </w14:textFill>
              </w:rPr>
            </w:pPr>
            <w:r>
              <w:rPr>
                <w:color w:val="000000" w:themeColor="text1"/>
                <w14:textFill>
                  <w14:solidFill>
                    <w14:schemeClr w14:val="tx1"/>
                  </w14:solidFill>
                </w14:textFill>
              </w:rPr>
              <w:t>21</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15＇10N/108</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46＇50E</w:t>
            </w:r>
          </w:p>
        </w:tc>
        <w:tc>
          <w:tcPr>
            <w:tcW w:w="1014" w:type="dxa"/>
            <w:tcMar>
              <w:left w:w="0" w:type="dxa"/>
              <w:right w:w="0" w:type="dxa"/>
            </w:tcMar>
            <w:vAlign w:val="center"/>
          </w:tcPr>
          <w:p w14:paraId="1B0B65FC">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135607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7D768EB9">
            <w:pPr>
              <w:pStyle w:val="70"/>
              <w:rPr>
                <w:color w:val="000000" w:themeColor="text1"/>
                <w14:textFill>
                  <w14:solidFill>
                    <w14:schemeClr w14:val="tx1"/>
                  </w14:solidFill>
                </w14:textFill>
              </w:rPr>
            </w:pPr>
            <w:r>
              <w:rPr>
                <w:color w:val="000000" w:themeColor="text1"/>
                <w14:textFill>
                  <w14:solidFill>
                    <w14:schemeClr w14:val="tx1"/>
                  </w14:solidFill>
                </w14:textFill>
              </w:rPr>
              <w:t>9</w:t>
            </w:r>
          </w:p>
        </w:tc>
        <w:tc>
          <w:tcPr>
            <w:tcW w:w="1161" w:type="dxa"/>
            <w:tcMar>
              <w:left w:w="0" w:type="dxa"/>
              <w:right w:w="0" w:type="dxa"/>
            </w:tcMar>
            <w:vAlign w:val="center"/>
          </w:tcPr>
          <w:p w14:paraId="697EEA6B">
            <w:pPr>
              <w:pStyle w:val="70"/>
              <w:rPr>
                <w:color w:val="000000" w:themeColor="text1"/>
                <w14:textFill>
                  <w14:solidFill>
                    <w14:schemeClr w14:val="tx1"/>
                  </w14:solidFill>
                </w14:textFill>
              </w:rPr>
            </w:pPr>
            <w:r>
              <w:rPr>
                <w:color w:val="000000" w:themeColor="text1"/>
                <w14:textFill>
                  <w14:solidFill>
                    <w14:schemeClr w14:val="tx1"/>
                  </w14:solidFill>
                </w14:textFill>
              </w:rPr>
              <w:t>2006.6.7</w:t>
            </w:r>
          </w:p>
        </w:tc>
        <w:tc>
          <w:tcPr>
            <w:tcW w:w="2372" w:type="dxa"/>
            <w:tcMar>
              <w:left w:w="0" w:type="dxa"/>
              <w:right w:w="0" w:type="dxa"/>
            </w:tcMar>
            <w:vAlign w:val="center"/>
          </w:tcPr>
          <w:p w14:paraId="02E57DC8">
            <w:pPr>
              <w:pStyle w:val="70"/>
              <w:rPr>
                <w:color w:val="000000" w:themeColor="text1"/>
                <w14:textFill>
                  <w14:solidFill>
                    <w14:schemeClr w14:val="tx1"/>
                  </w14:solidFill>
                </w14:textFill>
              </w:rPr>
            </w:pPr>
            <w:r>
              <w:rPr>
                <w:color w:val="000000" w:themeColor="text1"/>
                <w14:textFill>
                  <w14:solidFill>
                    <w14:schemeClr w14:val="tx1"/>
                  </w14:solidFill>
                </w14:textFill>
              </w:rPr>
              <w:t>越南船NO.1654沉没</w:t>
            </w:r>
          </w:p>
        </w:tc>
        <w:tc>
          <w:tcPr>
            <w:tcW w:w="1043" w:type="dxa"/>
            <w:tcMar>
              <w:left w:w="0" w:type="dxa"/>
              <w:right w:w="0" w:type="dxa"/>
            </w:tcMar>
            <w:vAlign w:val="center"/>
          </w:tcPr>
          <w:p w14:paraId="62235932">
            <w:pPr>
              <w:pStyle w:val="70"/>
              <w:rPr>
                <w:color w:val="000000" w:themeColor="text1"/>
                <w14:textFill>
                  <w14:solidFill>
                    <w14:schemeClr w14:val="tx1"/>
                  </w14:solidFill>
                </w14:textFill>
              </w:rPr>
            </w:pPr>
            <w:r>
              <w:rPr>
                <w:color w:val="000000" w:themeColor="text1"/>
                <w14:textFill>
                  <w14:solidFill>
                    <w14:schemeClr w14:val="tx1"/>
                  </w14:solidFill>
                </w14:textFill>
              </w:rPr>
              <w:t>小事故</w:t>
            </w:r>
          </w:p>
        </w:tc>
        <w:tc>
          <w:tcPr>
            <w:tcW w:w="837" w:type="dxa"/>
            <w:tcMar>
              <w:left w:w="0" w:type="dxa"/>
              <w:right w:w="0" w:type="dxa"/>
            </w:tcMar>
            <w:vAlign w:val="center"/>
          </w:tcPr>
          <w:p w14:paraId="589F4789">
            <w:pPr>
              <w:pStyle w:val="70"/>
              <w:rPr>
                <w:color w:val="000000" w:themeColor="text1"/>
                <w14:textFill>
                  <w14:solidFill>
                    <w14:schemeClr w14:val="tx1"/>
                  </w14:solidFill>
                </w14:textFill>
              </w:rPr>
            </w:pPr>
            <w:r>
              <w:rPr>
                <w:color w:val="000000" w:themeColor="text1"/>
                <w14:textFill>
                  <w14:solidFill>
                    <w14:schemeClr w14:val="tx1"/>
                  </w14:solidFill>
                </w14:textFill>
              </w:rPr>
              <w:t>自沉</w:t>
            </w:r>
          </w:p>
        </w:tc>
        <w:tc>
          <w:tcPr>
            <w:tcW w:w="3726" w:type="dxa"/>
            <w:tcMar>
              <w:left w:w="0" w:type="dxa"/>
              <w:right w:w="0" w:type="dxa"/>
            </w:tcMar>
            <w:vAlign w:val="center"/>
          </w:tcPr>
          <w:p w14:paraId="4E17FA83">
            <w:pPr>
              <w:pStyle w:val="70"/>
              <w:rPr>
                <w:color w:val="000000" w:themeColor="text1"/>
                <w14:textFill>
                  <w14:solidFill>
                    <w14:schemeClr w14:val="tx1"/>
                  </w14:solidFill>
                </w14:textFill>
              </w:rPr>
            </w:pPr>
            <w:r>
              <w:rPr>
                <w:color w:val="000000" w:themeColor="text1"/>
                <w14:textFill>
                  <w14:solidFill>
                    <w14:schemeClr w14:val="tx1"/>
                  </w14:solidFill>
                </w14:textFill>
              </w:rPr>
              <w:t>不明</w:t>
            </w:r>
          </w:p>
        </w:tc>
        <w:tc>
          <w:tcPr>
            <w:tcW w:w="3349" w:type="dxa"/>
            <w:tcMar>
              <w:left w:w="0" w:type="dxa"/>
              <w:right w:w="0" w:type="dxa"/>
            </w:tcMar>
            <w:vAlign w:val="center"/>
          </w:tcPr>
          <w:p w14:paraId="6DDDA74F">
            <w:pPr>
              <w:pStyle w:val="70"/>
              <w:rPr>
                <w:color w:val="000000" w:themeColor="text1"/>
                <w14:textFill>
                  <w14:solidFill>
                    <w14:schemeClr w14:val="tx1"/>
                  </w14:solidFill>
                </w14:textFill>
              </w:rPr>
            </w:pPr>
            <w:r>
              <w:rPr>
                <w:color w:val="000000" w:themeColor="text1"/>
                <w14:textFill>
                  <w14:solidFill>
                    <w14:schemeClr w14:val="tx1"/>
                  </w14:solidFill>
                </w14:textFill>
              </w:rPr>
              <w:t>钦州港区绿水鼓</w:t>
            </w:r>
          </w:p>
        </w:tc>
        <w:tc>
          <w:tcPr>
            <w:tcW w:w="1014" w:type="dxa"/>
            <w:tcMar>
              <w:left w:w="0" w:type="dxa"/>
              <w:right w:w="0" w:type="dxa"/>
            </w:tcMar>
            <w:vAlign w:val="center"/>
          </w:tcPr>
          <w:p w14:paraId="780CB453">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6941A9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51C6BFEC">
            <w:pPr>
              <w:pStyle w:val="70"/>
              <w:rPr>
                <w:color w:val="000000" w:themeColor="text1"/>
                <w14:textFill>
                  <w14:solidFill>
                    <w14:schemeClr w14:val="tx1"/>
                  </w14:solidFill>
                </w14:textFill>
              </w:rPr>
            </w:pPr>
            <w:r>
              <w:rPr>
                <w:color w:val="000000" w:themeColor="text1"/>
                <w14:textFill>
                  <w14:solidFill>
                    <w14:schemeClr w14:val="tx1"/>
                  </w14:solidFill>
                </w14:textFill>
              </w:rPr>
              <w:t>10</w:t>
            </w:r>
          </w:p>
        </w:tc>
        <w:tc>
          <w:tcPr>
            <w:tcW w:w="1161" w:type="dxa"/>
            <w:tcMar>
              <w:left w:w="0" w:type="dxa"/>
              <w:right w:w="0" w:type="dxa"/>
            </w:tcMar>
            <w:vAlign w:val="center"/>
          </w:tcPr>
          <w:p w14:paraId="0C067C53">
            <w:pPr>
              <w:pStyle w:val="70"/>
              <w:rPr>
                <w:color w:val="000000" w:themeColor="text1"/>
                <w14:textFill>
                  <w14:solidFill>
                    <w14:schemeClr w14:val="tx1"/>
                  </w14:solidFill>
                </w14:textFill>
              </w:rPr>
            </w:pPr>
            <w:r>
              <w:rPr>
                <w:color w:val="000000" w:themeColor="text1"/>
                <w14:textFill>
                  <w14:solidFill>
                    <w14:schemeClr w14:val="tx1"/>
                  </w14:solidFill>
                </w14:textFill>
              </w:rPr>
              <w:t>2006.7.25</w:t>
            </w:r>
          </w:p>
        </w:tc>
        <w:tc>
          <w:tcPr>
            <w:tcW w:w="2372" w:type="dxa"/>
            <w:tcMar>
              <w:left w:w="0" w:type="dxa"/>
              <w:right w:w="0" w:type="dxa"/>
            </w:tcMar>
            <w:vAlign w:val="center"/>
          </w:tcPr>
          <w:p w14:paraId="63360FFD">
            <w:pPr>
              <w:pStyle w:val="70"/>
              <w:rPr>
                <w:color w:val="000000" w:themeColor="text1"/>
                <w14:textFill>
                  <w14:solidFill>
                    <w14:schemeClr w14:val="tx1"/>
                  </w14:solidFill>
                </w14:textFill>
              </w:rPr>
            </w:pPr>
            <w:r>
              <w:rPr>
                <w:color w:val="000000" w:themeColor="text1"/>
                <w14:textFill>
                  <w14:solidFill>
                    <w14:schemeClr w14:val="tx1"/>
                  </w14:solidFill>
                </w14:textFill>
              </w:rPr>
              <w:t>新购蚝柱运输船沉没</w:t>
            </w:r>
          </w:p>
        </w:tc>
        <w:tc>
          <w:tcPr>
            <w:tcW w:w="1043" w:type="dxa"/>
            <w:tcMar>
              <w:left w:w="0" w:type="dxa"/>
              <w:right w:w="0" w:type="dxa"/>
            </w:tcMar>
            <w:vAlign w:val="center"/>
          </w:tcPr>
          <w:p w14:paraId="62096F3B">
            <w:pPr>
              <w:pStyle w:val="70"/>
              <w:rPr>
                <w:color w:val="000000" w:themeColor="text1"/>
                <w14:textFill>
                  <w14:solidFill>
                    <w14:schemeClr w14:val="tx1"/>
                  </w14:solidFill>
                </w14:textFill>
              </w:rPr>
            </w:pPr>
            <w:r>
              <w:rPr>
                <w:color w:val="000000" w:themeColor="text1"/>
                <w14:textFill>
                  <w14:solidFill>
                    <w14:schemeClr w14:val="tx1"/>
                  </w14:solidFill>
                </w14:textFill>
              </w:rPr>
              <w:t>小事故</w:t>
            </w:r>
          </w:p>
        </w:tc>
        <w:tc>
          <w:tcPr>
            <w:tcW w:w="837" w:type="dxa"/>
            <w:tcMar>
              <w:left w:w="0" w:type="dxa"/>
              <w:right w:w="0" w:type="dxa"/>
            </w:tcMar>
            <w:vAlign w:val="center"/>
          </w:tcPr>
          <w:p w14:paraId="3E3202C0">
            <w:pPr>
              <w:pStyle w:val="70"/>
              <w:rPr>
                <w:color w:val="000000" w:themeColor="text1"/>
                <w14:textFill>
                  <w14:solidFill>
                    <w14:schemeClr w14:val="tx1"/>
                  </w14:solidFill>
                </w14:textFill>
              </w:rPr>
            </w:pPr>
            <w:r>
              <w:rPr>
                <w:color w:val="000000" w:themeColor="text1"/>
                <w14:textFill>
                  <w14:solidFill>
                    <w14:schemeClr w14:val="tx1"/>
                  </w14:solidFill>
                </w14:textFill>
              </w:rPr>
              <w:t>自沉</w:t>
            </w:r>
          </w:p>
        </w:tc>
        <w:tc>
          <w:tcPr>
            <w:tcW w:w="3726" w:type="dxa"/>
            <w:tcMar>
              <w:left w:w="0" w:type="dxa"/>
              <w:right w:w="0" w:type="dxa"/>
            </w:tcMar>
            <w:vAlign w:val="center"/>
          </w:tcPr>
          <w:p w14:paraId="1545A958">
            <w:pPr>
              <w:pStyle w:val="70"/>
              <w:rPr>
                <w:color w:val="000000" w:themeColor="text1"/>
                <w14:textFill>
                  <w14:solidFill>
                    <w14:schemeClr w14:val="tx1"/>
                  </w14:solidFill>
                </w14:textFill>
              </w:rPr>
            </w:pPr>
            <w:r>
              <w:rPr>
                <w:color w:val="000000" w:themeColor="text1"/>
                <w14:textFill>
                  <w14:solidFill>
                    <w14:schemeClr w14:val="tx1"/>
                  </w14:solidFill>
                </w14:textFill>
              </w:rPr>
              <w:t>不明</w:t>
            </w:r>
          </w:p>
        </w:tc>
        <w:tc>
          <w:tcPr>
            <w:tcW w:w="3349" w:type="dxa"/>
            <w:tcMar>
              <w:left w:w="0" w:type="dxa"/>
              <w:right w:w="0" w:type="dxa"/>
            </w:tcMar>
            <w:vAlign w:val="center"/>
          </w:tcPr>
          <w:p w14:paraId="301AF2F2">
            <w:pPr>
              <w:pStyle w:val="70"/>
              <w:rPr>
                <w:color w:val="000000" w:themeColor="text1"/>
                <w14:textFill>
                  <w14:solidFill>
                    <w14:schemeClr w14:val="tx1"/>
                  </w14:solidFill>
                </w14:textFill>
              </w:rPr>
            </w:pPr>
            <w:r>
              <w:rPr>
                <w:color w:val="000000" w:themeColor="text1"/>
                <w14:textFill>
                  <w14:solidFill>
                    <w14:schemeClr w14:val="tx1"/>
                  </w14:solidFill>
                </w14:textFill>
              </w:rPr>
              <w:t>21</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42＇56N/108</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34＇598E</w:t>
            </w:r>
          </w:p>
        </w:tc>
        <w:tc>
          <w:tcPr>
            <w:tcW w:w="1014" w:type="dxa"/>
            <w:tcMar>
              <w:left w:w="0" w:type="dxa"/>
              <w:right w:w="0" w:type="dxa"/>
            </w:tcMar>
            <w:vAlign w:val="center"/>
          </w:tcPr>
          <w:p w14:paraId="6719DEE9">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7D6065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6F403643">
            <w:pPr>
              <w:pStyle w:val="70"/>
              <w:rPr>
                <w:color w:val="000000" w:themeColor="text1"/>
                <w14:textFill>
                  <w14:solidFill>
                    <w14:schemeClr w14:val="tx1"/>
                  </w14:solidFill>
                </w14:textFill>
              </w:rPr>
            </w:pPr>
            <w:r>
              <w:rPr>
                <w:color w:val="000000" w:themeColor="text1"/>
                <w14:textFill>
                  <w14:solidFill>
                    <w14:schemeClr w14:val="tx1"/>
                  </w14:solidFill>
                </w14:textFill>
              </w:rPr>
              <w:t>11</w:t>
            </w:r>
          </w:p>
        </w:tc>
        <w:tc>
          <w:tcPr>
            <w:tcW w:w="1161" w:type="dxa"/>
            <w:tcMar>
              <w:left w:w="0" w:type="dxa"/>
              <w:right w:w="0" w:type="dxa"/>
            </w:tcMar>
            <w:vAlign w:val="center"/>
          </w:tcPr>
          <w:p w14:paraId="18AF95FE">
            <w:pPr>
              <w:pStyle w:val="70"/>
              <w:rPr>
                <w:color w:val="000000" w:themeColor="text1"/>
                <w14:textFill>
                  <w14:solidFill>
                    <w14:schemeClr w14:val="tx1"/>
                  </w14:solidFill>
                </w14:textFill>
              </w:rPr>
            </w:pPr>
            <w:r>
              <w:rPr>
                <w:color w:val="000000" w:themeColor="text1"/>
                <w14:textFill>
                  <w14:solidFill>
                    <w14:schemeClr w14:val="tx1"/>
                  </w14:solidFill>
                </w14:textFill>
              </w:rPr>
              <w:t>2006.9.20</w:t>
            </w:r>
          </w:p>
        </w:tc>
        <w:tc>
          <w:tcPr>
            <w:tcW w:w="2372" w:type="dxa"/>
            <w:tcMar>
              <w:left w:w="0" w:type="dxa"/>
              <w:right w:w="0" w:type="dxa"/>
            </w:tcMar>
            <w:vAlign w:val="center"/>
          </w:tcPr>
          <w:p w14:paraId="2E36C27E">
            <w:pPr>
              <w:pStyle w:val="70"/>
              <w:rPr>
                <w:color w:val="000000" w:themeColor="text1"/>
                <w14:textFill>
                  <w14:solidFill>
                    <w14:schemeClr w14:val="tx1"/>
                  </w14:solidFill>
                </w14:textFill>
              </w:rPr>
            </w:pPr>
            <w:r>
              <w:rPr>
                <w:color w:val="000000" w:themeColor="text1"/>
                <w14:textFill>
                  <w14:solidFill>
                    <w14:schemeClr w14:val="tx1"/>
                  </w14:solidFill>
                </w14:textFill>
              </w:rPr>
              <w:t>越南货船北方01撞沉桂钦渔27088</w:t>
            </w:r>
          </w:p>
        </w:tc>
        <w:tc>
          <w:tcPr>
            <w:tcW w:w="1043" w:type="dxa"/>
            <w:tcMar>
              <w:left w:w="0" w:type="dxa"/>
              <w:right w:w="0" w:type="dxa"/>
            </w:tcMar>
            <w:vAlign w:val="center"/>
          </w:tcPr>
          <w:p w14:paraId="6E627BA9">
            <w:pPr>
              <w:pStyle w:val="70"/>
              <w:rPr>
                <w:color w:val="000000" w:themeColor="text1"/>
                <w14:textFill>
                  <w14:solidFill>
                    <w14:schemeClr w14:val="tx1"/>
                  </w14:solidFill>
                </w14:textFill>
              </w:rPr>
            </w:pPr>
            <w:r>
              <w:rPr>
                <w:color w:val="000000" w:themeColor="text1"/>
                <w14:textFill>
                  <w14:solidFill>
                    <w14:schemeClr w14:val="tx1"/>
                  </w14:solidFill>
                </w14:textFill>
              </w:rPr>
              <w:t>一般事故</w:t>
            </w:r>
          </w:p>
        </w:tc>
        <w:tc>
          <w:tcPr>
            <w:tcW w:w="837" w:type="dxa"/>
            <w:tcMar>
              <w:left w:w="0" w:type="dxa"/>
              <w:right w:w="0" w:type="dxa"/>
            </w:tcMar>
            <w:vAlign w:val="center"/>
          </w:tcPr>
          <w:p w14:paraId="54AF2264">
            <w:pPr>
              <w:pStyle w:val="70"/>
              <w:rPr>
                <w:color w:val="000000" w:themeColor="text1"/>
                <w14:textFill>
                  <w14:solidFill>
                    <w14:schemeClr w14:val="tx1"/>
                  </w14:solidFill>
                </w14:textFill>
              </w:rPr>
            </w:pPr>
            <w:r>
              <w:rPr>
                <w:color w:val="000000" w:themeColor="text1"/>
                <w14:textFill>
                  <w14:solidFill>
                    <w14:schemeClr w14:val="tx1"/>
                  </w14:solidFill>
                </w14:textFill>
              </w:rPr>
              <w:t>碰撞</w:t>
            </w:r>
          </w:p>
        </w:tc>
        <w:tc>
          <w:tcPr>
            <w:tcW w:w="3726" w:type="dxa"/>
            <w:tcMar>
              <w:left w:w="0" w:type="dxa"/>
              <w:right w:w="0" w:type="dxa"/>
            </w:tcMar>
            <w:vAlign w:val="center"/>
          </w:tcPr>
          <w:p w14:paraId="09C3BBCD">
            <w:pPr>
              <w:pStyle w:val="70"/>
              <w:rPr>
                <w:color w:val="000000" w:themeColor="text1"/>
                <w14:textFill>
                  <w14:solidFill>
                    <w14:schemeClr w14:val="tx1"/>
                  </w14:solidFill>
                </w14:textFill>
              </w:rPr>
            </w:pPr>
            <w:r>
              <w:rPr>
                <w:color w:val="000000" w:themeColor="text1"/>
                <w14:textFill>
                  <w14:solidFill>
                    <w14:schemeClr w14:val="tx1"/>
                  </w14:solidFill>
                </w14:textFill>
              </w:rPr>
              <w:t>货船没有宽让他船，麻痹大意，舵机失灵</w:t>
            </w:r>
          </w:p>
        </w:tc>
        <w:tc>
          <w:tcPr>
            <w:tcW w:w="3349" w:type="dxa"/>
            <w:tcMar>
              <w:left w:w="0" w:type="dxa"/>
              <w:right w:w="0" w:type="dxa"/>
            </w:tcMar>
            <w:vAlign w:val="center"/>
          </w:tcPr>
          <w:p w14:paraId="5DC5A569">
            <w:pPr>
              <w:pStyle w:val="70"/>
              <w:rPr>
                <w:color w:val="000000" w:themeColor="text1"/>
                <w14:textFill>
                  <w14:solidFill>
                    <w14:schemeClr w14:val="tx1"/>
                  </w14:solidFill>
                </w14:textFill>
              </w:rPr>
            </w:pPr>
            <w:r>
              <w:rPr>
                <w:color w:val="000000" w:themeColor="text1"/>
                <w14:textFill>
                  <w14:solidFill>
                    <w14:schemeClr w14:val="tx1"/>
                  </w14:solidFill>
                </w14:textFill>
              </w:rPr>
              <w:t>21</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10＇N/108</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42＇5E</w:t>
            </w:r>
          </w:p>
        </w:tc>
        <w:tc>
          <w:tcPr>
            <w:tcW w:w="1014" w:type="dxa"/>
            <w:tcMar>
              <w:left w:w="0" w:type="dxa"/>
              <w:right w:w="0" w:type="dxa"/>
            </w:tcMar>
            <w:vAlign w:val="center"/>
          </w:tcPr>
          <w:p w14:paraId="3936C4CA">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60A2EA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5E96628C">
            <w:pPr>
              <w:pStyle w:val="70"/>
              <w:rPr>
                <w:color w:val="000000" w:themeColor="text1"/>
                <w14:textFill>
                  <w14:solidFill>
                    <w14:schemeClr w14:val="tx1"/>
                  </w14:solidFill>
                </w14:textFill>
              </w:rPr>
            </w:pPr>
            <w:r>
              <w:rPr>
                <w:color w:val="000000" w:themeColor="text1"/>
                <w14:textFill>
                  <w14:solidFill>
                    <w14:schemeClr w14:val="tx1"/>
                  </w14:solidFill>
                </w14:textFill>
              </w:rPr>
              <w:t>12</w:t>
            </w:r>
          </w:p>
        </w:tc>
        <w:tc>
          <w:tcPr>
            <w:tcW w:w="1161" w:type="dxa"/>
            <w:tcMar>
              <w:left w:w="0" w:type="dxa"/>
              <w:right w:w="0" w:type="dxa"/>
            </w:tcMar>
            <w:vAlign w:val="center"/>
          </w:tcPr>
          <w:p w14:paraId="43E1DD09">
            <w:pPr>
              <w:pStyle w:val="70"/>
              <w:rPr>
                <w:color w:val="000000" w:themeColor="text1"/>
                <w14:textFill>
                  <w14:solidFill>
                    <w14:schemeClr w14:val="tx1"/>
                  </w14:solidFill>
                </w14:textFill>
              </w:rPr>
            </w:pPr>
            <w:r>
              <w:rPr>
                <w:color w:val="000000" w:themeColor="text1"/>
                <w14:textFill>
                  <w14:solidFill>
                    <w14:schemeClr w14:val="tx1"/>
                  </w14:solidFill>
                </w14:textFill>
              </w:rPr>
              <w:t>2007.3.26</w:t>
            </w:r>
          </w:p>
        </w:tc>
        <w:tc>
          <w:tcPr>
            <w:tcW w:w="2372" w:type="dxa"/>
            <w:tcMar>
              <w:left w:w="0" w:type="dxa"/>
              <w:right w:w="0" w:type="dxa"/>
            </w:tcMar>
            <w:vAlign w:val="center"/>
          </w:tcPr>
          <w:p w14:paraId="09AAD891">
            <w:pPr>
              <w:pStyle w:val="70"/>
              <w:rPr>
                <w:color w:val="000000" w:themeColor="text1"/>
                <w14:textFill>
                  <w14:solidFill>
                    <w14:schemeClr w14:val="tx1"/>
                  </w14:solidFill>
                </w14:textFill>
              </w:rPr>
            </w:pPr>
            <w:r>
              <w:rPr>
                <w:color w:val="000000" w:themeColor="text1"/>
                <w14:textFill>
                  <w14:solidFill>
                    <w14:schemeClr w14:val="tx1"/>
                  </w14:solidFill>
                </w14:textFill>
              </w:rPr>
              <w:t>越南船QN368与ND1691碰撞</w:t>
            </w:r>
          </w:p>
        </w:tc>
        <w:tc>
          <w:tcPr>
            <w:tcW w:w="1043" w:type="dxa"/>
            <w:tcMar>
              <w:left w:w="0" w:type="dxa"/>
              <w:right w:w="0" w:type="dxa"/>
            </w:tcMar>
            <w:vAlign w:val="center"/>
          </w:tcPr>
          <w:p w14:paraId="31659FA6">
            <w:pPr>
              <w:pStyle w:val="70"/>
              <w:rPr>
                <w:color w:val="000000" w:themeColor="text1"/>
                <w14:textFill>
                  <w14:solidFill>
                    <w14:schemeClr w14:val="tx1"/>
                  </w14:solidFill>
                </w14:textFill>
              </w:rPr>
            </w:pPr>
            <w:r>
              <w:rPr>
                <w:color w:val="000000" w:themeColor="text1"/>
                <w14:textFill>
                  <w14:solidFill>
                    <w14:schemeClr w14:val="tx1"/>
                  </w14:solidFill>
                </w14:textFill>
              </w:rPr>
              <w:t>小事故</w:t>
            </w:r>
          </w:p>
        </w:tc>
        <w:tc>
          <w:tcPr>
            <w:tcW w:w="837" w:type="dxa"/>
            <w:tcMar>
              <w:left w:w="0" w:type="dxa"/>
              <w:right w:w="0" w:type="dxa"/>
            </w:tcMar>
            <w:vAlign w:val="center"/>
          </w:tcPr>
          <w:p w14:paraId="78BC899F">
            <w:pPr>
              <w:pStyle w:val="70"/>
              <w:rPr>
                <w:color w:val="000000" w:themeColor="text1"/>
                <w14:textFill>
                  <w14:solidFill>
                    <w14:schemeClr w14:val="tx1"/>
                  </w14:solidFill>
                </w14:textFill>
              </w:rPr>
            </w:pPr>
            <w:r>
              <w:rPr>
                <w:color w:val="000000" w:themeColor="text1"/>
                <w14:textFill>
                  <w14:solidFill>
                    <w14:schemeClr w14:val="tx1"/>
                  </w14:solidFill>
                </w14:textFill>
              </w:rPr>
              <w:t>碰撞</w:t>
            </w:r>
          </w:p>
        </w:tc>
        <w:tc>
          <w:tcPr>
            <w:tcW w:w="3726" w:type="dxa"/>
            <w:tcMar>
              <w:left w:w="0" w:type="dxa"/>
              <w:right w:w="0" w:type="dxa"/>
            </w:tcMar>
            <w:vAlign w:val="center"/>
          </w:tcPr>
          <w:p w14:paraId="4363D7BB">
            <w:pPr>
              <w:pStyle w:val="70"/>
              <w:rPr>
                <w:color w:val="000000" w:themeColor="text1"/>
                <w14:textFill>
                  <w14:solidFill>
                    <w14:schemeClr w14:val="tx1"/>
                  </w14:solidFill>
                </w14:textFill>
              </w:rPr>
            </w:pPr>
            <w:r>
              <w:rPr>
                <w:color w:val="000000" w:themeColor="text1"/>
                <w14:textFill>
                  <w14:solidFill>
                    <w14:schemeClr w14:val="tx1"/>
                  </w14:solidFill>
                </w14:textFill>
              </w:rPr>
              <w:t>未保持正规瞭望，未及时采取避让措施，未配备导航设备，配员不符合要求</w:t>
            </w:r>
          </w:p>
        </w:tc>
        <w:tc>
          <w:tcPr>
            <w:tcW w:w="3349" w:type="dxa"/>
            <w:tcMar>
              <w:left w:w="0" w:type="dxa"/>
              <w:right w:w="0" w:type="dxa"/>
            </w:tcMar>
            <w:vAlign w:val="center"/>
          </w:tcPr>
          <w:p w14:paraId="0FB4F4B6">
            <w:pPr>
              <w:pStyle w:val="70"/>
              <w:rPr>
                <w:color w:val="000000" w:themeColor="text1"/>
                <w14:textFill>
                  <w14:solidFill>
                    <w14:schemeClr w14:val="tx1"/>
                  </w14:solidFill>
                </w14:textFill>
              </w:rPr>
            </w:pPr>
            <w:r>
              <w:rPr>
                <w:color w:val="000000" w:themeColor="text1"/>
                <w14:textFill>
                  <w14:solidFill>
                    <w14:schemeClr w14:val="tx1"/>
                  </w14:solidFill>
                </w14:textFill>
              </w:rPr>
              <w:t>21</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33＇548N/108</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34＇431E</w:t>
            </w:r>
          </w:p>
        </w:tc>
        <w:tc>
          <w:tcPr>
            <w:tcW w:w="1014" w:type="dxa"/>
            <w:tcMar>
              <w:left w:w="0" w:type="dxa"/>
              <w:right w:w="0" w:type="dxa"/>
            </w:tcMar>
            <w:vAlign w:val="center"/>
          </w:tcPr>
          <w:p w14:paraId="1C95A135">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3D7D5A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78047345">
            <w:pPr>
              <w:pStyle w:val="70"/>
              <w:rPr>
                <w:color w:val="000000" w:themeColor="text1"/>
                <w14:textFill>
                  <w14:solidFill>
                    <w14:schemeClr w14:val="tx1"/>
                  </w14:solidFill>
                </w14:textFill>
              </w:rPr>
            </w:pPr>
            <w:r>
              <w:rPr>
                <w:color w:val="000000" w:themeColor="text1"/>
                <w14:textFill>
                  <w14:solidFill>
                    <w14:schemeClr w14:val="tx1"/>
                  </w14:solidFill>
                </w14:textFill>
              </w:rPr>
              <w:t>13</w:t>
            </w:r>
          </w:p>
        </w:tc>
        <w:tc>
          <w:tcPr>
            <w:tcW w:w="1161" w:type="dxa"/>
            <w:tcMar>
              <w:left w:w="0" w:type="dxa"/>
              <w:right w:w="0" w:type="dxa"/>
            </w:tcMar>
            <w:vAlign w:val="center"/>
          </w:tcPr>
          <w:p w14:paraId="7228DCBA">
            <w:pPr>
              <w:pStyle w:val="70"/>
              <w:rPr>
                <w:color w:val="000000" w:themeColor="text1"/>
                <w14:textFill>
                  <w14:solidFill>
                    <w14:schemeClr w14:val="tx1"/>
                  </w14:solidFill>
                </w14:textFill>
              </w:rPr>
            </w:pPr>
            <w:r>
              <w:rPr>
                <w:color w:val="000000" w:themeColor="text1"/>
                <w14:textFill>
                  <w14:solidFill>
                    <w14:schemeClr w14:val="tx1"/>
                  </w14:solidFill>
                </w14:textFill>
              </w:rPr>
              <w:t>2007.7.11</w:t>
            </w:r>
          </w:p>
        </w:tc>
        <w:tc>
          <w:tcPr>
            <w:tcW w:w="2372" w:type="dxa"/>
            <w:tcMar>
              <w:left w:w="0" w:type="dxa"/>
              <w:right w:w="0" w:type="dxa"/>
            </w:tcMar>
            <w:vAlign w:val="center"/>
          </w:tcPr>
          <w:p w14:paraId="6D08710F">
            <w:pPr>
              <w:pStyle w:val="70"/>
              <w:rPr>
                <w:color w:val="000000" w:themeColor="text1"/>
                <w14:textFill>
                  <w14:solidFill>
                    <w14:schemeClr w14:val="tx1"/>
                  </w14:solidFill>
                </w14:textFill>
              </w:rPr>
            </w:pPr>
            <w:r>
              <w:rPr>
                <w:color w:val="000000" w:themeColor="text1"/>
                <w14:textFill>
                  <w14:solidFill>
                    <w14:schemeClr w14:val="tx1"/>
                  </w14:solidFill>
                </w14:textFill>
              </w:rPr>
              <w:t>粤湛江04035渔船事故</w:t>
            </w:r>
          </w:p>
        </w:tc>
        <w:tc>
          <w:tcPr>
            <w:tcW w:w="1043" w:type="dxa"/>
            <w:tcMar>
              <w:left w:w="0" w:type="dxa"/>
              <w:right w:w="0" w:type="dxa"/>
            </w:tcMar>
            <w:vAlign w:val="center"/>
          </w:tcPr>
          <w:p w14:paraId="38CFD6BE">
            <w:pPr>
              <w:pStyle w:val="70"/>
              <w:rPr>
                <w:color w:val="000000" w:themeColor="text1"/>
                <w14:textFill>
                  <w14:solidFill>
                    <w14:schemeClr w14:val="tx1"/>
                  </w14:solidFill>
                </w14:textFill>
              </w:rPr>
            </w:pPr>
            <w:r>
              <w:rPr>
                <w:color w:val="000000" w:themeColor="text1"/>
                <w14:textFill>
                  <w14:solidFill>
                    <w14:schemeClr w14:val="tx1"/>
                  </w14:solidFill>
                </w14:textFill>
              </w:rPr>
              <w:t>重大事故</w:t>
            </w:r>
          </w:p>
        </w:tc>
        <w:tc>
          <w:tcPr>
            <w:tcW w:w="837" w:type="dxa"/>
            <w:tcMar>
              <w:left w:w="0" w:type="dxa"/>
              <w:right w:w="0" w:type="dxa"/>
            </w:tcMar>
            <w:vAlign w:val="center"/>
          </w:tcPr>
          <w:p w14:paraId="16A00CEA">
            <w:pPr>
              <w:pStyle w:val="70"/>
              <w:rPr>
                <w:color w:val="000000" w:themeColor="text1"/>
                <w14:textFill>
                  <w14:solidFill>
                    <w14:schemeClr w14:val="tx1"/>
                  </w14:solidFill>
                </w14:textFill>
              </w:rPr>
            </w:pPr>
            <w:r>
              <w:rPr>
                <w:color w:val="000000" w:themeColor="text1"/>
                <w14:textFill>
                  <w14:solidFill>
                    <w14:schemeClr w14:val="tx1"/>
                  </w14:solidFill>
                </w14:textFill>
              </w:rPr>
              <w:t>碰撞</w:t>
            </w:r>
          </w:p>
        </w:tc>
        <w:tc>
          <w:tcPr>
            <w:tcW w:w="3726" w:type="dxa"/>
            <w:tcMar>
              <w:left w:w="0" w:type="dxa"/>
              <w:right w:w="0" w:type="dxa"/>
            </w:tcMar>
            <w:vAlign w:val="center"/>
          </w:tcPr>
          <w:p w14:paraId="3590DE1F">
            <w:pPr>
              <w:pStyle w:val="70"/>
              <w:rPr>
                <w:color w:val="000000" w:themeColor="text1"/>
                <w14:textFill>
                  <w14:solidFill>
                    <w14:schemeClr w14:val="tx1"/>
                  </w14:solidFill>
                </w14:textFill>
              </w:rPr>
            </w:pPr>
            <w:r>
              <w:rPr>
                <w:color w:val="000000" w:themeColor="text1"/>
                <w14:textFill>
                  <w14:solidFill>
                    <w14:schemeClr w14:val="tx1"/>
                  </w14:solidFill>
                </w14:textFill>
              </w:rPr>
              <w:t>不明</w:t>
            </w:r>
          </w:p>
        </w:tc>
        <w:tc>
          <w:tcPr>
            <w:tcW w:w="3349" w:type="dxa"/>
            <w:tcMar>
              <w:left w:w="0" w:type="dxa"/>
              <w:right w:w="0" w:type="dxa"/>
            </w:tcMar>
            <w:vAlign w:val="center"/>
          </w:tcPr>
          <w:p w14:paraId="5705EE12">
            <w:pPr>
              <w:pStyle w:val="70"/>
              <w:rPr>
                <w:color w:val="000000" w:themeColor="text1"/>
                <w14:textFill>
                  <w14:solidFill>
                    <w14:schemeClr w14:val="tx1"/>
                  </w14:solidFill>
                </w14:textFill>
              </w:rPr>
            </w:pPr>
            <w:r>
              <w:rPr>
                <w:color w:val="000000" w:themeColor="text1"/>
                <w14:textFill>
                  <w14:solidFill>
                    <w14:schemeClr w14:val="tx1"/>
                  </w14:solidFill>
                </w14:textFill>
              </w:rPr>
              <w:t>21</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14＇550N/108</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44＇440E</w:t>
            </w:r>
          </w:p>
        </w:tc>
        <w:tc>
          <w:tcPr>
            <w:tcW w:w="1014" w:type="dxa"/>
            <w:tcMar>
              <w:left w:w="0" w:type="dxa"/>
              <w:right w:w="0" w:type="dxa"/>
            </w:tcMar>
            <w:vAlign w:val="center"/>
          </w:tcPr>
          <w:p w14:paraId="06DFB778">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669F67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30AD7856">
            <w:pPr>
              <w:pStyle w:val="70"/>
              <w:rPr>
                <w:color w:val="000000" w:themeColor="text1"/>
                <w14:textFill>
                  <w14:solidFill>
                    <w14:schemeClr w14:val="tx1"/>
                  </w14:solidFill>
                </w14:textFill>
              </w:rPr>
            </w:pPr>
            <w:r>
              <w:rPr>
                <w:color w:val="000000" w:themeColor="text1"/>
                <w14:textFill>
                  <w14:solidFill>
                    <w14:schemeClr w14:val="tx1"/>
                  </w14:solidFill>
                </w14:textFill>
              </w:rPr>
              <w:t>14</w:t>
            </w:r>
          </w:p>
        </w:tc>
        <w:tc>
          <w:tcPr>
            <w:tcW w:w="1161" w:type="dxa"/>
            <w:tcMar>
              <w:left w:w="0" w:type="dxa"/>
              <w:right w:w="0" w:type="dxa"/>
            </w:tcMar>
            <w:vAlign w:val="center"/>
          </w:tcPr>
          <w:p w14:paraId="69EDC187">
            <w:pPr>
              <w:pStyle w:val="70"/>
              <w:rPr>
                <w:color w:val="000000" w:themeColor="text1"/>
                <w14:textFill>
                  <w14:solidFill>
                    <w14:schemeClr w14:val="tx1"/>
                  </w14:solidFill>
                </w14:textFill>
              </w:rPr>
            </w:pPr>
            <w:r>
              <w:rPr>
                <w:color w:val="000000" w:themeColor="text1"/>
                <w14:textFill>
                  <w14:solidFill>
                    <w14:schemeClr w14:val="tx1"/>
                  </w14:solidFill>
                </w14:textFill>
              </w:rPr>
              <w:t>2008.5.3</w:t>
            </w:r>
          </w:p>
        </w:tc>
        <w:tc>
          <w:tcPr>
            <w:tcW w:w="2372" w:type="dxa"/>
            <w:tcMar>
              <w:left w:w="0" w:type="dxa"/>
              <w:right w:w="0" w:type="dxa"/>
            </w:tcMar>
            <w:vAlign w:val="center"/>
          </w:tcPr>
          <w:p w14:paraId="42E9375B">
            <w:pPr>
              <w:pStyle w:val="70"/>
              <w:rPr>
                <w:color w:val="000000" w:themeColor="text1"/>
                <w14:textFill>
                  <w14:solidFill>
                    <w14:schemeClr w14:val="tx1"/>
                  </w14:solidFill>
                </w14:textFill>
              </w:rPr>
            </w:pPr>
            <w:r>
              <w:rPr>
                <w:color w:val="000000" w:themeColor="text1"/>
                <w14:textFill>
                  <w14:solidFill>
                    <w14:schemeClr w14:val="tx1"/>
                  </w14:solidFill>
                </w14:textFill>
              </w:rPr>
              <w:t>宁通10轮触礁事故</w:t>
            </w:r>
          </w:p>
        </w:tc>
        <w:tc>
          <w:tcPr>
            <w:tcW w:w="1043" w:type="dxa"/>
            <w:tcMar>
              <w:left w:w="0" w:type="dxa"/>
              <w:right w:w="0" w:type="dxa"/>
            </w:tcMar>
            <w:vAlign w:val="center"/>
          </w:tcPr>
          <w:p w14:paraId="4320C770">
            <w:pPr>
              <w:pStyle w:val="70"/>
              <w:rPr>
                <w:color w:val="000000" w:themeColor="text1"/>
                <w14:textFill>
                  <w14:solidFill>
                    <w14:schemeClr w14:val="tx1"/>
                  </w14:solidFill>
                </w14:textFill>
              </w:rPr>
            </w:pPr>
            <w:r>
              <w:rPr>
                <w:color w:val="000000" w:themeColor="text1"/>
                <w14:textFill>
                  <w14:solidFill>
                    <w14:schemeClr w14:val="tx1"/>
                  </w14:solidFill>
                </w14:textFill>
              </w:rPr>
              <w:t>大事故</w:t>
            </w:r>
          </w:p>
        </w:tc>
        <w:tc>
          <w:tcPr>
            <w:tcW w:w="837" w:type="dxa"/>
            <w:tcMar>
              <w:left w:w="0" w:type="dxa"/>
              <w:right w:w="0" w:type="dxa"/>
            </w:tcMar>
            <w:vAlign w:val="center"/>
          </w:tcPr>
          <w:p w14:paraId="31FAB432">
            <w:pPr>
              <w:pStyle w:val="70"/>
              <w:rPr>
                <w:color w:val="000000" w:themeColor="text1"/>
                <w14:textFill>
                  <w14:solidFill>
                    <w14:schemeClr w14:val="tx1"/>
                  </w14:solidFill>
                </w14:textFill>
              </w:rPr>
            </w:pPr>
            <w:r>
              <w:rPr>
                <w:color w:val="000000" w:themeColor="text1"/>
                <w14:textFill>
                  <w14:solidFill>
                    <w14:schemeClr w14:val="tx1"/>
                  </w14:solidFill>
                </w14:textFill>
              </w:rPr>
              <w:t>触礁</w:t>
            </w:r>
          </w:p>
        </w:tc>
        <w:tc>
          <w:tcPr>
            <w:tcW w:w="3726" w:type="dxa"/>
            <w:tcMar>
              <w:left w:w="0" w:type="dxa"/>
              <w:right w:w="0" w:type="dxa"/>
            </w:tcMar>
            <w:vAlign w:val="center"/>
          </w:tcPr>
          <w:p w14:paraId="1CD4608F">
            <w:pPr>
              <w:pStyle w:val="70"/>
              <w:rPr>
                <w:color w:val="000000" w:themeColor="text1"/>
                <w14:textFill>
                  <w14:solidFill>
                    <w14:schemeClr w14:val="tx1"/>
                  </w14:solidFill>
                </w14:textFill>
              </w:rPr>
            </w:pPr>
            <w:r>
              <w:rPr>
                <w:color w:val="000000" w:themeColor="text1"/>
                <w14:textFill>
                  <w14:solidFill>
                    <w14:schemeClr w14:val="tx1"/>
                  </w14:solidFill>
                </w14:textFill>
              </w:rPr>
              <w:t>避让小渔船偏离航道</w:t>
            </w:r>
          </w:p>
        </w:tc>
        <w:tc>
          <w:tcPr>
            <w:tcW w:w="3349" w:type="dxa"/>
            <w:tcMar>
              <w:left w:w="0" w:type="dxa"/>
              <w:right w:w="0" w:type="dxa"/>
            </w:tcMar>
            <w:vAlign w:val="center"/>
          </w:tcPr>
          <w:p w14:paraId="124C4F6F">
            <w:pPr>
              <w:pStyle w:val="70"/>
              <w:rPr>
                <w:color w:val="000000" w:themeColor="text1"/>
                <w14:textFill>
                  <w14:solidFill>
                    <w14:schemeClr w14:val="tx1"/>
                  </w14:solidFill>
                </w14:textFill>
              </w:rPr>
            </w:pPr>
            <w:r>
              <w:rPr>
                <w:color w:val="000000" w:themeColor="text1"/>
                <w14:textFill>
                  <w14:solidFill>
                    <w14:schemeClr w14:val="tx1"/>
                  </w14:solidFill>
                </w14:textFill>
              </w:rPr>
              <w:t>21</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38＇8N/108</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35＇1E</w:t>
            </w:r>
          </w:p>
        </w:tc>
        <w:tc>
          <w:tcPr>
            <w:tcW w:w="1014" w:type="dxa"/>
            <w:tcMar>
              <w:left w:w="0" w:type="dxa"/>
              <w:right w:w="0" w:type="dxa"/>
            </w:tcMar>
            <w:vAlign w:val="center"/>
          </w:tcPr>
          <w:p w14:paraId="5BCB83F1">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1EF1E7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291A01FB">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161" w:type="dxa"/>
            <w:tcMar>
              <w:left w:w="0" w:type="dxa"/>
              <w:right w:w="0" w:type="dxa"/>
            </w:tcMar>
            <w:vAlign w:val="center"/>
          </w:tcPr>
          <w:p w14:paraId="04389B81">
            <w:pPr>
              <w:pStyle w:val="70"/>
              <w:rPr>
                <w:color w:val="000000" w:themeColor="text1"/>
                <w14:textFill>
                  <w14:solidFill>
                    <w14:schemeClr w14:val="tx1"/>
                  </w14:solidFill>
                </w14:textFill>
              </w:rPr>
            </w:pPr>
            <w:r>
              <w:rPr>
                <w:color w:val="000000" w:themeColor="text1"/>
                <w14:textFill>
                  <w14:solidFill>
                    <w14:schemeClr w14:val="tx1"/>
                  </w14:solidFill>
                </w14:textFill>
              </w:rPr>
              <w:t>2008.8.12</w:t>
            </w:r>
          </w:p>
        </w:tc>
        <w:tc>
          <w:tcPr>
            <w:tcW w:w="2372" w:type="dxa"/>
            <w:tcMar>
              <w:left w:w="0" w:type="dxa"/>
              <w:right w:w="0" w:type="dxa"/>
            </w:tcMar>
            <w:vAlign w:val="center"/>
          </w:tcPr>
          <w:p w14:paraId="7EEF7C40">
            <w:pPr>
              <w:pStyle w:val="70"/>
              <w:rPr>
                <w:color w:val="000000" w:themeColor="text1"/>
                <w14:textFill>
                  <w14:solidFill>
                    <w14:schemeClr w14:val="tx1"/>
                  </w14:solidFill>
                </w14:textFill>
              </w:rPr>
            </w:pPr>
            <w:r>
              <w:rPr>
                <w:color w:val="000000" w:themeColor="text1"/>
                <w14:textFill>
                  <w14:solidFill>
                    <w14:schemeClr w14:val="tx1"/>
                  </w14:solidFill>
                </w14:textFill>
              </w:rPr>
              <w:t>顺强1自沉</w:t>
            </w:r>
          </w:p>
        </w:tc>
        <w:tc>
          <w:tcPr>
            <w:tcW w:w="1043" w:type="dxa"/>
            <w:tcMar>
              <w:left w:w="0" w:type="dxa"/>
              <w:right w:w="0" w:type="dxa"/>
            </w:tcMar>
            <w:vAlign w:val="center"/>
          </w:tcPr>
          <w:p w14:paraId="5B0B1C72">
            <w:pPr>
              <w:pStyle w:val="70"/>
              <w:rPr>
                <w:color w:val="000000" w:themeColor="text1"/>
                <w14:textFill>
                  <w14:solidFill>
                    <w14:schemeClr w14:val="tx1"/>
                  </w14:solidFill>
                </w14:textFill>
              </w:rPr>
            </w:pPr>
            <w:r>
              <w:rPr>
                <w:color w:val="000000" w:themeColor="text1"/>
                <w14:textFill>
                  <w14:solidFill>
                    <w14:schemeClr w14:val="tx1"/>
                  </w14:solidFill>
                </w14:textFill>
              </w:rPr>
              <w:t>重大事故</w:t>
            </w:r>
          </w:p>
        </w:tc>
        <w:tc>
          <w:tcPr>
            <w:tcW w:w="837" w:type="dxa"/>
            <w:tcMar>
              <w:left w:w="0" w:type="dxa"/>
              <w:right w:w="0" w:type="dxa"/>
            </w:tcMar>
            <w:vAlign w:val="center"/>
          </w:tcPr>
          <w:p w14:paraId="2BB613E3">
            <w:pPr>
              <w:pStyle w:val="70"/>
              <w:rPr>
                <w:color w:val="000000" w:themeColor="text1"/>
                <w14:textFill>
                  <w14:solidFill>
                    <w14:schemeClr w14:val="tx1"/>
                  </w14:solidFill>
                </w14:textFill>
              </w:rPr>
            </w:pPr>
            <w:r>
              <w:rPr>
                <w:color w:val="000000" w:themeColor="text1"/>
                <w14:textFill>
                  <w14:solidFill>
                    <w14:schemeClr w14:val="tx1"/>
                  </w14:solidFill>
                </w14:textFill>
              </w:rPr>
              <w:t>自沉</w:t>
            </w:r>
          </w:p>
        </w:tc>
        <w:tc>
          <w:tcPr>
            <w:tcW w:w="3726" w:type="dxa"/>
            <w:tcMar>
              <w:left w:w="0" w:type="dxa"/>
              <w:right w:w="0" w:type="dxa"/>
            </w:tcMar>
            <w:vAlign w:val="center"/>
          </w:tcPr>
          <w:p w14:paraId="53227FB7">
            <w:pPr>
              <w:pStyle w:val="70"/>
              <w:rPr>
                <w:color w:val="000000" w:themeColor="text1"/>
                <w14:textFill>
                  <w14:solidFill>
                    <w14:schemeClr w14:val="tx1"/>
                  </w14:solidFill>
                </w14:textFill>
              </w:rPr>
            </w:pPr>
            <w:r>
              <w:rPr>
                <w:color w:val="000000" w:themeColor="text1"/>
                <w14:textFill>
                  <w14:solidFill>
                    <w14:schemeClr w14:val="tx1"/>
                  </w14:solidFill>
                </w14:textFill>
              </w:rPr>
              <w:t>积攒不当</w:t>
            </w:r>
          </w:p>
        </w:tc>
        <w:tc>
          <w:tcPr>
            <w:tcW w:w="3349" w:type="dxa"/>
            <w:tcMar>
              <w:left w:w="0" w:type="dxa"/>
              <w:right w:w="0" w:type="dxa"/>
            </w:tcMar>
            <w:vAlign w:val="center"/>
          </w:tcPr>
          <w:p w14:paraId="6D6C0AF1">
            <w:pPr>
              <w:pStyle w:val="70"/>
              <w:rPr>
                <w:color w:val="000000" w:themeColor="text1"/>
                <w14:textFill>
                  <w14:solidFill>
                    <w14:schemeClr w14:val="tx1"/>
                  </w14:solidFill>
                </w14:textFill>
              </w:rPr>
            </w:pPr>
            <w:r>
              <w:rPr>
                <w:color w:val="000000" w:themeColor="text1"/>
                <w14:textFill>
                  <w14:solidFill>
                    <w14:schemeClr w14:val="tx1"/>
                  </w14:solidFill>
                </w14:textFill>
              </w:rPr>
              <w:t>21</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12.6＇N/108</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37＇E</w:t>
            </w:r>
          </w:p>
        </w:tc>
        <w:tc>
          <w:tcPr>
            <w:tcW w:w="1014" w:type="dxa"/>
            <w:tcMar>
              <w:left w:w="0" w:type="dxa"/>
              <w:right w:w="0" w:type="dxa"/>
            </w:tcMar>
            <w:vAlign w:val="center"/>
          </w:tcPr>
          <w:p w14:paraId="56C6EA5A">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5C5E47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0B2755AE">
            <w:pPr>
              <w:pStyle w:val="70"/>
              <w:rPr>
                <w:color w:val="000000" w:themeColor="text1"/>
                <w14:textFill>
                  <w14:solidFill>
                    <w14:schemeClr w14:val="tx1"/>
                  </w14:solidFill>
                </w14:textFill>
              </w:rPr>
            </w:pPr>
            <w:r>
              <w:rPr>
                <w:color w:val="000000" w:themeColor="text1"/>
                <w14:textFill>
                  <w14:solidFill>
                    <w14:schemeClr w14:val="tx1"/>
                  </w14:solidFill>
                </w14:textFill>
              </w:rPr>
              <w:t>16</w:t>
            </w:r>
          </w:p>
        </w:tc>
        <w:tc>
          <w:tcPr>
            <w:tcW w:w="1161" w:type="dxa"/>
            <w:tcMar>
              <w:left w:w="0" w:type="dxa"/>
              <w:right w:w="0" w:type="dxa"/>
            </w:tcMar>
            <w:vAlign w:val="center"/>
          </w:tcPr>
          <w:p w14:paraId="2DE26BB7">
            <w:pPr>
              <w:pStyle w:val="70"/>
              <w:rPr>
                <w:color w:val="000000" w:themeColor="text1"/>
                <w14:textFill>
                  <w14:solidFill>
                    <w14:schemeClr w14:val="tx1"/>
                  </w14:solidFill>
                </w14:textFill>
              </w:rPr>
            </w:pPr>
            <w:r>
              <w:rPr>
                <w:color w:val="000000" w:themeColor="text1"/>
                <w14:textFill>
                  <w14:solidFill>
                    <w14:schemeClr w14:val="tx1"/>
                  </w14:solidFill>
                </w14:textFill>
              </w:rPr>
              <w:t>2008.11.28</w:t>
            </w:r>
          </w:p>
        </w:tc>
        <w:tc>
          <w:tcPr>
            <w:tcW w:w="2372" w:type="dxa"/>
            <w:tcMar>
              <w:left w:w="0" w:type="dxa"/>
              <w:right w:w="0" w:type="dxa"/>
            </w:tcMar>
            <w:vAlign w:val="center"/>
          </w:tcPr>
          <w:p w14:paraId="3D4B3ED0">
            <w:pPr>
              <w:pStyle w:val="70"/>
              <w:rPr>
                <w:color w:val="000000" w:themeColor="text1"/>
                <w14:textFill>
                  <w14:solidFill>
                    <w14:schemeClr w14:val="tx1"/>
                  </w14:solidFill>
                </w14:textFill>
              </w:rPr>
            </w:pPr>
            <w:r>
              <w:rPr>
                <w:color w:val="000000" w:themeColor="text1"/>
                <w14:textFill>
                  <w14:solidFill>
                    <w14:schemeClr w14:val="tx1"/>
                  </w14:solidFill>
                </w14:textFill>
              </w:rPr>
              <w:t>盈海288与HN5088碰撞</w:t>
            </w:r>
          </w:p>
        </w:tc>
        <w:tc>
          <w:tcPr>
            <w:tcW w:w="1043" w:type="dxa"/>
            <w:tcMar>
              <w:left w:w="0" w:type="dxa"/>
              <w:right w:w="0" w:type="dxa"/>
            </w:tcMar>
            <w:vAlign w:val="center"/>
          </w:tcPr>
          <w:p w14:paraId="0BB6C8B3">
            <w:pPr>
              <w:pStyle w:val="70"/>
              <w:rPr>
                <w:color w:val="000000" w:themeColor="text1"/>
                <w14:textFill>
                  <w14:solidFill>
                    <w14:schemeClr w14:val="tx1"/>
                  </w14:solidFill>
                </w14:textFill>
              </w:rPr>
            </w:pPr>
            <w:r>
              <w:rPr>
                <w:color w:val="000000" w:themeColor="text1"/>
                <w14:textFill>
                  <w14:solidFill>
                    <w14:schemeClr w14:val="tx1"/>
                  </w14:solidFill>
                </w14:textFill>
              </w:rPr>
              <w:t>大事故</w:t>
            </w:r>
          </w:p>
        </w:tc>
        <w:tc>
          <w:tcPr>
            <w:tcW w:w="837" w:type="dxa"/>
            <w:tcMar>
              <w:left w:w="0" w:type="dxa"/>
              <w:right w:w="0" w:type="dxa"/>
            </w:tcMar>
            <w:vAlign w:val="center"/>
          </w:tcPr>
          <w:p w14:paraId="66EE306D">
            <w:pPr>
              <w:pStyle w:val="70"/>
              <w:rPr>
                <w:color w:val="000000" w:themeColor="text1"/>
                <w14:textFill>
                  <w14:solidFill>
                    <w14:schemeClr w14:val="tx1"/>
                  </w14:solidFill>
                </w14:textFill>
              </w:rPr>
            </w:pPr>
            <w:r>
              <w:rPr>
                <w:color w:val="000000" w:themeColor="text1"/>
                <w14:textFill>
                  <w14:solidFill>
                    <w14:schemeClr w14:val="tx1"/>
                  </w14:solidFill>
                </w14:textFill>
              </w:rPr>
              <w:t>碰撞</w:t>
            </w:r>
          </w:p>
        </w:tc>
        <w:tc>
          <w:tcPr>
            <w:tcW w:w="3726" w:type="dxa"/>
            <w:tcMar>
              <w:left w:w="0" w:type="dxa"/>
              <w:right w:w="0" w:type="dxa"/>
            </w:tcMar>
            <w:vAlign w:val="center"/>
          </w:tcPr>
          <w:p w14:paraId="3F6F0A0D">
            <w:pPr>
              <w:pStyle w:val="70"/>
              <w:rPr>
                <w:color w:val="000000" w:themeColor="text1"/>
                <w14:textFill>
                  <w14:solidFill>
                    <w14:schemeClr w14:val="tx1"/>
                  </w14:solidFill>
                </w14:textFill>
              </w:rPr>
            </w:pPr>
            <w:r>
              <w:rPr>
                <w:color w:val="000000" w:themeColor="text1"/>
                <w14:textFill>
                  <w14:solidFill>
                    <w14:schemeClr w14:val="tx1"/>
                  </w14:solidFill>
                </w14:textFill>
              </w:rPr>
              <w:t>不熟悉航道，未保持正规瞭望，未使用安全航速</w:t>
            </w:r>
          </w:p>
        </w:tc>
        <w:tc>
          <w:tcPr>
            <w:tcW w:w="3349" w:type="dxa"/>
            <w:tcMar>
              <w:left w:w="0" w:type="dxa"/>
              <w:right w:w="0" w:type="dxa"/>
            </w:tcMar>
            <w:vAlign w:val="center"/>
          </w:tcPr>
          <w:p w14:paraId="24984BFD">
            <w:pPr>
              <w:pStyle w:val="70"/>
              <w:rPr>
                <w:color w:val="000000" w:themeColor="text1"/>
                <w14:textFill>
                  <w14:solidFill>
                    <w14:schemeClr w14:val="tx1"/>
                  </w14:solidFill>
                </w14:textFill>
              </w:rPr>
            </w:pPr>
            <w:r>
              <w:rPr>
                <w:color w:val="000000" w:themeColor="text1"/>
                <w14:textFill>
                  <w14:solidFill>
                    <w14:schemeClr w14:val="tx1"/>
                  </w14:solidFill>
                </w14:textFill>
              </w:rPr>
              <w:t>21</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40.002＇N/108</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35.155＇E</w:t>
            </w:r>
          </w:p>
        </w:tc>
        <w:tc>
          <w:tcPr>
            <w:tcW w:w="1014" w:type="dxa"/>
            <w:tcMar>
              <w:left w:w="0" w:type="dxa"/>
              <w:right w:w="0" w:type="dxa"/>
            </w:tcMar>
            <w:vAlign w:val="center"/>
          </w:tcPr>
          <w:p w14:paraId="64383288">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223E0D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411B3122">
            <w:pPr>
              <w:pStyle w:val="70"/>
              <w:rPr>
                <w:color w:val="000000" w:themeColor="text1"/>
                <w14:textFill>
                  <w14:solidFill>
                    <w14:schemeClr w14:val="tx1"/>
                  </w14:solidFill>
                </w14:textFill>
              </w:rPr>
            </w:pPr>
            <w:r>
              <w:rPr>
                <w:color w:val="000000" w:themeColor="text1"/>
                <w14:textFill>
                  <w14:solidFill>
                    <w14:schemeClr w14:val="tx1"/>
                  </w14:solidFill>
                </w14:textFill>
              </w:rPr>
              <w:t>17</w:t>
            </w:r>
          </w:p>
        </w:tc>
        <w:tc>
          <w:tcPr>
            <w:tcW w:w="1161" w:type="dxa"/>
            <w:tcMar>
              <w:left w:w="0" w:type="dxa"/>
              <w:right w:w="0" w:type="dxa"/>
            </w:tcMar>
            <w:vAlign w:val="center"/>
          </w:tcPr>
          <w:p w14:paraId="1304BAF1">
            <w:pPr>
              <w:pStyle w:val="70"/>
              <w:rPr>
                <w:color w:val="000000" w:themeColor="text1"/>
                <w14:textFill>
                  <w14:solidFill>
                    <w14:schemeClr w14:val="tx1"/>
                  </w14:solidFill>
                </w14:textFill>
              </w:rPr>
            </w:pPr>
            <w:r>
              <w:rPr>
                <w:color w:val="000000" w:themeColor="text1"/>
                <w14:textFill>
                  <w14:solidFill>
                    <w14:schemeClr w14:val="tx1"/>
                  </w14:solidFill>
                </w14:textFill>
              </w:rPr>
              <w:t>2009.3.12</w:t>
            </w:r>
          </w:p>
        </w:tc>
        <w:tc>
          <w:tcPr>
            <w:tcW w:w="2372" w:type="dxa"/>
            <w:tcMar>
              <w:left w:w="0" w:type="dxa"/>
              <w:right w:w="0" w:type="dxa"/>
            </w:tcMar>
            <w:vAlign w:val="center"/>
          </w:tcPr>
          <w:p w14:paraId="46C00B2F">
            <w:pPr>
              <w:pStyle w:val="70"/>
              <w:rPr>
                <w:color w:val="000000" w:themeColor="text1"/>
                <w14:textFill>
                  <w14:solidFill>
                    <w14:schemeClr w14:val="tx1"/>
                  </w14:solidFill>
                </w14:textFill>
              </w:rPr>
            </w:pPr>
            <w:r>
              <w:rPr>
                <w:color w:val="000000" w:themeColor="text1"/>
                <w14:textFill>
                  <w14:solidFill>
                    <w14:schemeClr w14:val="tx1"/>
                  </w14:solidFill>
                </w14:textFill>
              </w:rPr>
              <w:t>巴拿马籍“东方梦轮”碰撞“粤阳江货0082轮”事故</w:t>
            </w:r>
          </w:p>
        </w:tc>
        <w:tc>
          <w:tcPr>
            <w:tcW w:w="1043" w:type="dxa"/>
            <w:tcMar>
              <w:left w:w="0" w:type="dxa"/>
              <w:right w:w="0" w:type="dxa"/>
            </w:tcMar>
            <w:vAlign w:val="center"/>
          </w:tcPr>
          <w:p w14:paraId="34D0D4C0">
            <w:pPr>
              <w:pStyle w:val="70"/>
              <w:rPr>
                <w:color w:val="000000" w:themeColor="text1"/>
                <w14:textFill>
                  <w14:solidFill>
                    <w14:schemeClr w14:val="tx1"/>
                  </w14:solidFill>
                </w14:textFill>
              </w:rPr>
            </w:pPr>
            <w:r>
              <w:rPr>
                <w:color w:val="000000" w:themeColor="text1"/>
                <w14:textFill>
                  <w14:solidFill>
                    <w14:schemeClr w14:val="tx1"/>
                  </w14:solidFill>
                </w14:textFill>
              </w:rPr>
              <w:t>一般事故</w:t>
            </w:r>
          </w:p>
        </w:tc>
        <w:tc>
          <w:tcPr>
            <w:tcW w:w="837" w:type="dxa"/>
            <w:tcMar>
              <w:left w:w="0" w:type="dxa"/>
              <w:right w:w="0" w:type="dxa"/>
            </w:tcMar>
            <w:vAlign w:val="center"/>
          </w:tcPr>
          <w:p w14:paraId="5C9BDB35">
            <w:pPr>
              <w:pStyle w:val="70"/>
              <w:rPr>
                <w:color w:val="000000" w:themeColor="text1"/>
                <w14:textFill>
                  <w14:solidFill>
                    <w14:schemeClr w14:val="tx1"/>
                  </w14:solidFill>
                </w14:textFill>
              </w:rPr>
            </w:pPr>
            <w:r>
              <w:rPr>
                <w:color w:val="000000" w:themeColor="text1"/>
                <w14:textFill>
                  <w14:solidFill>
                    <w14:schemeClr w14:val="tx1"/>
                  </w14:solidFill>
                </w14:textFill>
              </w:rPr>
              <w:t>碰撞</w:t>
            </w:r>
          </w:p>
        </w:tc>
        <w:tc>
          <w:tcPr>
            <w:tcW w:w="3726" w:type="dxa"/>
            <w:tcMar>
              <w:left w:w="0" w:type="dxa"/>
              <w:right w:w="0" w:type="dxa"/>
            </w:tcMar>
            <w:vAlign w:val="center"/>
          </w:tcPr>
          <w:p w14:paraId="2CC279A8">
            <w:pPr>
              <w:pStyle w:val="70"/>
              <w:rPr>
                <w:color w:val="000000" w:themeColor="text1"/>
                <w14:textFill>
                  <w14:solidFill>
                    <w14:schemeClr w14:val="tx1"/>
                  </w14:solidFill>
                </w14:textFill>
              </w:rPr>
            </w:pPr>
            <w:r>
              <w:rPr>
                <w:color w:val="000000" w:themeColor="text1"/>
                <w14:textFill>
                  <w14:solidFill>
                    <w14:schemeClr w14:val="tx1"/>
                  </w14:solidFill>
                </w14:textFill>
              </w:rPr>
              <w:t>违规穿越航道；能见度不良的情况下未使用安全航速</w:t>
            </w:r>
          </w:p>
        </w:tc>
        <w:tc>
          <w:tcPr>
            <w:tcW w:w="3349" w:type="dxa"/>
            <w:tcMar>
              <w:left w:w="0" w:type="dxa"/>
              <w:right w:w="0" w:type="dxa"/>
            </w:tcMar>
            <w:vAlign w:val="center"/>
          </w:tcPr>
          <w:p w14:paraId="269EAA4B">
            <w:pPr>
              <w:pStyle w:val="70"/>
              <w:rPr>
                <w:color w:val="000000" w:themeColor="text1"/>
                <w14:textFill>
                  <w14:solidFill>
                    <w14:schemeClr w14:val="tx1"/>
                  </w14:solidFill>
                </w14:textFill>
              </w:rPr>
            </w:pPr>
            <w:r>
              <w:rPr>
                <w:color w:val="000000" w:themeColor="text1"/>
                <w14:textFill>
                  <w14:solidFill>
                    <w14:schemeClr w14:val="tx1"/>
                  </w14:solidFill>
                </w14:textFill>
              </w:rPr>
              <w:t>21</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37.873＇N/108</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41.101＇E</w:t>
            </w:r>
          </w:p>
        </w:tc>
        <w:tc>
          <w:tcPr>
            <w:tcW w:w="1014" w:type="dxa"/>
            <w:tcMar>
              <w:left w:w="0" w:type="dxa"/>
              <w:right w:w="0" w:type="dxa"/>
            </w:tcMar>
            <w:vAlign w:val="center"/>
          </w:tcPr>
          <w:p w14:paraId="32C97DDA">
            <w:pPr>
              <w:pStyle w:val="70"/>
              <w:rPr>
                <w:color w:val="000000" w:themeColor="text1"/>
                <w14:textFill>
                  <w14:solidFill>
                    <w14:schemeClr w14:val="tx1"/>
                  </w14:solidFill>
                </w14:textFill>
              </w:rPr>
            </w:pPr>
            <w:r>
              <w:rPr>
                <w:color w:val="000000" w:themeColor="text1"/>
                <w14:textFill>
                  <w14:solidFill>
                    <w14:schemeClr w14:val="tx1"/>
                  </w14:solidFill>
                </w14:textFill>
              </w:rPr>
              <w:t>0.5</w:t>
            </w:r>
          </w:p>
        </w:tc>
      </w:tr>
    </w:tbl>
    <w:p w14:paraId="2B847D3B">
      <w:pPr>
        <w:ind w:firstLine="199" w:firstLineChars="83"/>
        <w:rPr>
          <w:color w:val="000000" w:themeColor="text1"/>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720" w:num="1"/>
          <w:docGrid w:type="lines" w:linePitch="326" w:charSpace="0"/>
        </w:sectPr>
      </w:pPr>
    </w:p>
    <w:p w14:paraId="113F92D1">
      <w:pPr>
        <w:pStyle w:val="7"/>
        <w:rPr>
          <w:color w:val="000000" w:themeColor="text1"/>
          <w14:textFill>
            <w14:solidFill>
              <w14:schemeClr w14:val="tx1"/>
            </w14:solidFill>
          </w14:textFill>
        </w:rPr>
      </w:pPr>
      <w:r>
        <w:rPr>
          <w:color w:val="000000" w:themeColor="text1"/>
          <w14:textFill>
            <w14:solidFill>
              <w14:schemeClr w14:val="tx1"/>
            </w14:solidFill>
          </w14:textFill>
        </w:rPr>
        <w:t>事故原因统计表</w:t>
      </w:r>
    </w:p>
    <w:tbl>
      <w:tblPr>
        <w:tblStyle w:val="43"/>
        <w:tblW w:w="82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755"/>
        <w:gridCol w:w="2756"/>
        <w:gridCol w:w="2765"/>
      </w:tblGrid>
      <w:tr w14:paraId="31B622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55" w:type="dxa"/>
          </w:tcPr>
          <w:p w14:paraId="27D4CA2C">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事故原因</w:t>
            </w:r>
          </w:p>
        </w:tc>
        <w:tc>
          <w:tcPr>
            <w:tcW w:w="2756" w:type="dxa"/>
          </w:tcPr>
          <w:p w14:paraId="4ABFF98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10年事故总次数</w:t>
            </w:r>
          </w:p>
        </w:tc>
        <w:tc>
          <w:tcPr>
            <w:tcW w:w="2765" w:type="dxa"/>
          </w:tcPr>
          <w:p w14:paraId="681F7A9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所占百分比%</w:t>
            </w:r>
          </w:p>
        </w:tc>
      </w:tr>
      <w:tr w14:paraId="4DE9DC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55" w:type="dxa"/>
          </w:tcPr>
          <w:p w14:paraId="4FEE055D">
            <w:pPr>
              <w:pStyle w:val="70"/>
              <w:rPr>
                <w:color w:val="000000" w:themeColor="text1"/>
                <w14:textFill>
                  <w14:solidFill>
                    <w14:schemeClr w14:val="tx1"/>
                  </w14:solidFill>
                </w14:textFill>
              </w:rPr>
            </w:pPr>
            <w:r>
              <w:rPr>
                <w:color w:val="000000" w:themeColor="text1"/>
                <w14:textFill>
                  <w14:solidFill>
                    <w14:schemeClr w14:val="tx1"/>
                  </w14:solidFill>
                </w14:textFill>
              </w:rPr>
              <w:t>操作不当</w:t>
            </w:r>
          </w:p>
        </w:tc>
        <w:tc>
          <w:tcPr>
            <w:tcW w:w="2756" w:type="dxa"/>
          </w:tcPr>
          <w:p w14:paraId="3F1EA6A6">
            <w:pPr>
              <w:pStyle w:val="70"/>
              <w:rPr>
                <w:color w:val="000000" w:themeColor="text1"/>
                <w14:textFill>
                  <w14:solidFill>
                    <w14:schemeClr w14:val="tx1"/>
                  </w14:solidFill>
                </w14:textFill>
              </w:rPr>
            </w:pPr>
            <w:r>
              <w:rPr>
                <w:color w:val="000000" w:themeColor="text1"/>
                <w14:textFill>
                  <w14:solidFill>
                    <w14:schemeClr w14:val="tx1"/>
                  </w14:solidFill>
                </w14:textFill>
              </w:rPr>
              <w:t>2</w:t>
            </w:r>
          </w:p>
        </w:tc>
        <w:tc>
          <w:tcPr>
            <w:tcW w:w="2765" w:type="dxa"/>
          </w:tcPr>
          <w:p w14:paraId="32FC9510">
            <w:pPr>
              <w:pStyle w:val="70"/>
              <w:rPr>
                <w:color w:val="000000" w:themeColor="text1"/>
                <w14:textFill>
                  <w14:solidFill>
                    <w14:schemeClr w14:val="tx1"/>
                  </w14:solidFill>
                </w14:textFill>
              </w:rPr>
            </w:pPr>
            <w:r>
              <w:rPr>
                <w:color w:val="000000" w:themeColor="text1"/>
                <w14:textFill>
                  <w14:solidFill>
                    <w14:schemeClr w14:val="tx1"/>
                  </w14:solidFill>
                </w14:textFill>
              </w:rPr>
              <w:t>11.76</w:t>
            </w:r>
          </w:p>
        </w:tc>
      </w:tr>
      <w:tr w14:paraId="15D9FD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55" w:type="dxa"/>
          </w:tcPr>
          <w:p w14:paraId="5D4F2B8B">
            <w:pPr>
              <w:pStyle w:val="70"/>
              <w:rPr>
                <w:color w:val="000000" w:themeColor="text1"/>
                <w14:textFill>
                  <w14:solidFill>
                    <w14:schemeClr w14:val="tx1"/>
                  </w14:solidFill>
                </w14:textFill>
              </w:rPr>
            </w:pPr>
            <w:r>
              <w:rPr>
                <w:color w:val="000000" w:themeColor="text1"/>
                <w14:textFill>
                  <w14:solidFill>
                    <w14:schemeClr w14:val="tx1"/>
                  </w14:solidFill>
                </w14:textFill>
              </w:rPr>
              <w:t>碰撞</w:t>
            </w:r>
          </w:p>
        </w:tc>
        <w:tc>
          <w:tcPr>
            <w:tcW w:w="2756" w:type="dxa"/>
          </w:tcPr>
          <w:p w14:paraId="3A7B442B">
            <w:pPr>
              <w:pStyle w:val="70"/>
              <w:rPr>
                <w:color w:val="000000" w:themeColor="text1"/>
                <w14:textFill>
                  <w14:solidFill>
                    <w14:schemeClr w14:val="tx1"/>
                  </w14:solidFill>
                </w14:textFill>
              </w:rPr>
            </w:pPr>
            <w:r>
              <w:rPr>
                <w:color w:val="000000" w:themeColor="text1"/>
                <w14:textFill>
                  <w14:solidFill>
                    <w14:schemeClr w14:val="tx1"/>
                  </w14:solidFill>
                </w14:textFill>
              </w:rPr>
              <w:t>8</w:t>
            </w:r>
          </w:p>
        </w:tc>
        <w:tc>
          <w:tcPr>
            <w:tcW w:w="2765" w:type="dxa"/>
          </w:tcPr>
          <w:p w14:paraId="4FEDEE89">
            <w:pPr>
              <w:pStyle w:val="70"/>
              <w:rPr>
                <w:color w:val="000000" w:themeColor="text1"/>
                <w14:textFill>
                  <w14:solidFill>
                    <w14:schemeClr w14:val="tx1"/>
                  </w14:solidFill>
                </w14:textFill>
              </w:rPr>
            </w:pPr>
            <w:r>
              <w:rPr>
                <w:color w:val="000000" w:themeColor="text1"/>
                <w14:textFill>
                  <w14:solidFill>
                    <w14:schemeClr w14:val="tx1"/>
                  </w14:solidFill>
                </w14:textFill>
              </w:rPr>
              <w:t>47.07</w:t>
            </w:r>
          </w:p>
        </w:tc>
      </w:tr>
      <w:tr w14:paraId="16E565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55" w:type="dxa"/>
          </w:tcPr>
          <w:p w14:paraId="0EC26A3B">
            <w:pPr>
              <w:pStyle w:val="70"/>
              <w:rPr>
                <w:color w:val="000000" w:themeColor="text1"/>
                <w14:textFill>
                  <w14:solidFill>
                    <w14:schemeClr w14:val="tx1"/>
                  </w14:solidFill>
                </w14:textFill>
              </w:rPr>
            </w:pPr>
            <w:r>
              <w:rPr>
                <w:color w:val="000000" w:themeColor="text1"/>
                <w14:textFill>
                  <w14:solidFill>
                    <w14:schemeClr w14:val="tx1"/>
                  </w14:solidFill>
                </w14:textFill>
              </w:rPr>
              <w:t>自沉</w:t>
            </w:r>
          </w:p>
        </w:tc>
        <w:tc>
          <w:tcPr>
            <w:tcW w:w="2756" w:type="dxa"/>
          </w:tcPr>
          <w:p w14:paraId="6E198735">
            <w:pPr>
              <w:pStyle w:val="70"/>
              <w:rPr>
                <w:color w:val="000000" w:themeColor="text1"/>
                <w14:textFill>
                  <w14:solidFill>
                    <w14:schemeClr w14:val="tx1"/>
                  </w14:solidFill>
                </w14:textFill>
              </w:rPr>
            </w:pPr>
            <w:r>
              <w:rPr>
                <w:color w:val="000000" w:themeColor="text1"/>
                <w14:textFill>
                  <w14:solidFill>
                    <w14:schemeClr w14:val="tx1"/>
                  </w14:solidFill>
                </w14:textFill>
              </w:rPr>
              <w:t>4</w:t>
            </w:r>
          </w:p>
        </w:tc>
        <w:tc>
          <w:tcPr>
            <w:tcW w:w="2765" w:type="dxa"/>
          </w:tcPr>
          <w:p w14:paraId="6BCFCE67">
            <w:pPr>
              <w:pStyle w:val="70"/>
              <w:rPr>
                <w:color w:val="000000" w:themeColor="text1"/>
                <w14:textFill>
                  <w14:solidFill>
                    <w14:schemeClr w14:val="tx1"/>
                  </w14:solidFill>
                </w14:textFill>
              </w:rPr>
            </w:pPr>
            <w:r>
              <w:rPr>
                <w:color w:val="000000" w:themeColor="text1"/>
                <w14:textFill>
                  <w14:solidFill>
                    <w14:schemeClr w14:val="tx1"/>
                  </w14:solidFill>
                </w14:textFill>
              </w:rPr>
              <w:t>23.53</w:t>
            </w:r>
          </w:p>
        </w:tc>
      </w:tr>
      <w:tr w14:paraId="266A8D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55" w:type="dxa"/>
          </w:tcPr>
          <w:p w14:paraId="185A8D53">
            <w:pPr>
              <w:pStyle w:val="70"/>
              <w:rPr>
                <w:color w:val="000000" w:themeColor="text1"/>
                <w14:textFill>
                  <w14:solidFill>
                    <w14:schemeClr w14:val="tx1"/>
                  </w14:solidFill>
                </w14:textFill>
              </w:rPr>
            </w:pPr>
            <w:r>
              <w:rPr>
                <w:color w:val="000000" w:themeColor="text1"/>
                <w14:textFill>
                  <w14:solidFill>
                    <w14:schemeClr w14:val="tx1"/>
                  </w14:solidFill>
                </w14:textFill>
              </w:rPr>
              <w:t>风灾</w:t>
            </w:r>
          </w:p>
        </w:tc>
        <w:tc>
          <w:tcPr>
            <w:tcW w:w="2756" w:type="dxa"/>
          </w:tcPr>
          <w:p w14:paraId="0AD2EFB3">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c>
          <w:tcPr>
            <w:tcW w:w="2765" w:type="dxa"/>
          </w:tcPr>
          <w:p w14:paraId="140EADCC">
            <w:pPr>
              <w:pStyle w:val="70"/>
              <w:rPr>
                <w:color w:val="000000" w:themeColor="text1"/>
                <w14:textFill>
                  <w14:solidFill>
                    <w14:schemeClr w14:val="tx1"/>
                  </w14:solidFill>
                </w14:textFill>
              </w:rPr>
            </w:pPr>
            <w:r>
              <w:rPr>
                <w:color w:val="000000" w:themeColor="text1"/>
                <w14:textFill>
                  <w14:solidFill>
                    <w14:schemeClr w14:val="tx1"/>
                  </w14:solidFill>
                </w14:textFill>
              </w:rPr>
              <w:t>5.88</w:t>
            </w:r>
          </w:p>
        </w:tc>
      </w:tr>
      <w:tr w14:paraId="7458A6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55" w:type="dxa"/>
          </w:tcPr>
          <w:p w14:paraId="0A1BEB72">
            <w:pPr>
              <w:pStyle w:val="70"/>
              <w:rPr>
                <w:color w:val="000000" w:themeColor="text1"/>
                <w14:textFill>
                  <w14:solidFill>
                    <w14:schemeClr w14:val="tx1"/>
                  </w14:solidFill>
                </w14:textFill>
              </w:rPr>
            </w:pPr>
            <w:r>
              <w:rPr>
                <w:color w:val="000000" w:themeColor="text1"/>
                <w14:textFill>
                  <w14:solidFill>
                    <w14:schemeClr w14:val="tx1"/>
                  </w14:solidFill>
                </w14:textFill>
              </w:rPr>
              <w:t>触礁</w:t>
            </w:r>
          </w:p>
        </w:tc>
        <w:tc>
          <w:tcPr>
            <w:tcW w:w="2756" w:type="dxa"/>
          </w:tcPr>
          <w:p w14:paraId="406473C7">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c>
          <w:tcPr>
            <w:tcW w:w="2765" w:type="dxa"/>
          </w:tcPr>
          <w:p w14:paraId="76521B39">
            <w:pPr>
              <w:pStyle w:val="70"/>
              <w:rPr>
                <w:color w:val="000000" w:themeColor="text1"/>
                <w14:textFill>
                  <w14:solidFill>
                    <w14:schemeClr w14:val="tx1"/>
                  </w14:solidFill>
                </w14:textFill>
              </w:rPr>
            </w:pPr>
            <w:r>
              <w:rPr>
                <w:color w:val="000000" w:themeColor="text1"/>
                <w14:textFill>
                  <w14:solidFill>
                    <w14:schemeClr w14:val="tx1"/>
                  </w14:solidFill>
                </w14:textFill>
              </w:rPr>
              <w:t>5.88</w:t>
            </w:r>
          </w:p>
        </w:tc>
      </w:tr>
      <w:tr w14:paraId="5AD818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55" w:type="dxa"/>
          </w:tcPr>
          <w:p w14:paraId="66BAAB8A">
            <w:pPr>
              <w:pStyle w:val="70"/>
              <w:rPr>
                <w:color w:val="000000" w:themeColor="text1"/>
                <w14:textFill>
                  <w14:solidFill>
                    <w14:schemeClr w14:val="tx1"/>
                  </w14:solidFill>
                </w14:textFill>
              </w:rPr>
            </w:pPr>
            <w:r>
              <w:rPr>
                <w:color w:val="000000" w:themeColor="text1"/>
                <w14:textFill>
                  <w14:solidFill>
                    <w14:schemeClr w14:val="tx1"/>
                  </w14:solidFill>
                </w14:textFill>
              </w:rPr>
              <w:t>其他</w:t>
            </w:r>
          </w:p>
        </w:tc>
        <w:tc>
          <w:tcPr>
            <w:tcW w:w="2756" w:type="dxa"/>
          </w:tcPr>
          <w:p w14:paraId="49DDA117">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c>
          <w:tcPr>
            <w:tcW w:w="2765" w:type="dxa"/>
          </w:tcPr>
          <w:p w14:paraId="6AB4D963">
            <w:pPr>
              <w:pStyle w:val="70"/>
              <w:rPr>
                <w:color w:val="000000" w:themeColor="text1"/>
                <w14:textFill>
                  <w14:solidFill>
                    <w14:schemeClr w14:val="tx1"/>
                  </w14:solidFill>
                </w14:textFill>
              </w:rPr>
            </w:pPr>
            <w:r>
              <w:rPr>
                <w:color w:val="000000" w:themeColor="text1"/>
                <w14:textFill>
                  <w14:solidFill>
                    <w14:schemeClr w14:val="tx1"/>
                  </w14:solidFill>
                </w14:textFill>
              </w:rPr>
              <w:t>5.88</w:t>
            </w:r>
          </w:p>
        </w:tc>
      </w:tr>
      <w:tr w14:paraId="4C9B04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55" w:type="dxa"/>
          </w:tcPr>
          <w:p w14:paraId="4F88B5E4">
            <w:pPr>
              <w:pStyle w:val="70"/>
              <w:rPr>
                <w:color w:val="000000" w:themeColor="text1"/>
                <w14:textFill>
                  <w14:solidFill>
                    <w14:schemeClr w14:val="tx1"/>
                  </w14:solidFill>
                </w14:textFill>
              </w:rPr>
            </w:pPr>
            <w:r>
              <w:rPr>
                <w:color w:val="000000" w:themeColor="text1"/>
                <w14:textFill>
                  <w14:solidFill>
                    <w14:schemeClr w14:val="tx1"/>
                  </w14:solidFill>
                </w14:textFill>
              </w:rPr>
              <w:t>合计</w:t>
            </w:r>
          </w:p>
        </w:tc>
        <w:tc>
          <w:tcPr>
            <w:tcW w:w="2756" w:type="dxa"/>
          </w:tcPr>
          <w:p w14:paraId="4600198D">
            <w:pPr>
              <w:pStyle w:val="70"/>
              <w:rPr>
                <w:color w:val="000000" w:themeColor="text1"/>
                <w14:textFill>
                  <w14:solidFill>
                    <w14:schemeClr w14:val="tx1"/>
                  </w14:solidFill>
                </w14:textFill>
              </w:rPr>
            </w:pPr>
            <w:r>
              <w:rPr>
                <w:color w:val="000000" w:themeColor="text1"/>
                <w14:textFill>
                  <w14:solidFill>
                    <w14:schemeClr w14:val="tx1"/>
                  </w14:solidFill>
                </w14:textFill>
              </w:rPr>
              <w:t>17</w:t>
            </w:r>
          </w:p>
        </w:tc>
        <w:tc>
          <w:tcPr>
            <w:tcW w:w="2765" w:type="dxa"/>
          </w:tcPr>
          <w:p w14:paraId="552B831B">
            <w:pPr>
              <w:pStyle w:val="70"/>
              <w:rPr>
                <w:color w:val="000000" w:themeColor="text1"/>
                <w14:textFill>
                  <w14:solidFill>
                    <w14:schemeClr w14:val="tx1"/>
                  </w14:solidFill>
                </w14:textFill>
              </w:rPr>
            </w:pPr>
            <w:r>
              <w:rPr>
                <w:color w:val="000000" w:themeColor="text1"/>
                <w14:textFill>
                  <w14:solidFill>
                    <w14:schemeClr w14:val="tx1"/>
                  </w14:solidFill>
                </w14:textFill>
              </w:rPr>
              <w:t>100</w:t>
            </w:r>
          </w:p>
        </w:tc>
      </w:tr>
    </w:tbl>
    <w:p w14:paraId="7180FBF4">
      <w:pPr>
        <w:pStyle w:val="6"/>
        <w:rPr>
          <w:color w:val="000000" w:themeColor="text1"/>
          <w14:textFill>
            <w14:solidFill>
              <w14:schemeClr w14:val="tx1"/>
            </w14:solidFill>
          </w14:textFill>
        </w:rPr>
      </w:pPr>
      <w:r>
        <w:rPr>
          <w:color w:val="000000" w:themeColor="text1"/>
          <w14:textFill>
            <w14:solidFill>
              <w14:schemeClr w14:val="tx1"/>
            </w14:solidFill>
          </w14:textFill>
        </w:rPr>
        <w:t>陆域污染事故概率分析</w:t>
      </w:r>
    </w:p>
    <w:p w14:paraId="2A3CFB30">
      <w:pPr>
        <w:ind w:firstLine="480"/>
        <w:rPr>
          <w:color w:val="000000" w:themeColor="text1"/>
          <w14:textFill>
            <w14:solidFill>
              <w14:schemeClr w14:val="tx1"/>
            </w14:solidFill>
          </w14:textFill>
        </w:rPr>
      </w:pPr>
      <w:r>
        <w:rPr>
          <w:color w:val="000000" w:themeColor="text1"/>
          <w:u w:val="single"/>
          <w14:textFill>
            <w14:solidFill>
              <w14:schemeClr w14:val="tx1"/>
            </w14:solidFill>
          </w14:textFill>
        </w:rPr>
        <w:t>根据《建设项目环境风险评价技术导则》（HJ/T 169-2018）附录E事故概率，确定本项目的事故发生概率和最大可信度发生概率，详见下表</w:t>
      </w:r>
      <w:r>
        <w:rPr>
          <w:color w:val="000000" w:themeColor="text1"/>
          <w14:textFill>
            <w14:solidFill>
              <w14:schemeClr w14:val="tx1"/>
            </w14:solidFill>
          </w14:textFill>
        </w:rPr>
        <w:t>。</w:t>
      </w:r>
    </w:p>
    <w:p w14:paraId="0C51A237">
      <w:pPr>
        <w:pStyle w:val="7"/>
        <w:rPr>
          <w:color w:val="000000" w:themeColor="text1"/>
          <w14:textFill>
            <w14:solidFill>
              <w14:schemeClr w14:val="tx1"/>
            </w14:solidFill>
          </w14:textFill>
        </w:rPr>
      </w:pPr>
      <w:r>
        <w:rPr>
          <w:color w:val="000000" w:themeColor="text1"/>
          <w14:textFill>
            <w14:solidFill>
              <w14:schemeClr w14:val="tx1"/>
            </w14:solidFill>
          </w14:textFill>
        </w:rPr>
        <w:t>环境风险概率</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236"/>
        <w:gridCol w:w="3913"/>
        <w:gridCol w:w="2127"/>
      </w:tblGrid>
      <w:tr w14:paraId="0EAA94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5" w:hRule="atLeast"/>
          <w:tblHeader/>
          <w:jc w:val="center"/>
        </w:trPr>
        <w:tc>
          <w:tcPr>
            <w:tcW w:w="2236" w:type="dxa"/>
            <w:vAlign w:val="center"/>
          </w:tcPr>
          <w:p w14:paraId="68CF7BA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泄漏类别</w:t>
            </w:r>
          </w:p>
        </w:tc>
        <w:tc>
          <w:tcPr>
            <w:tcW w:w="3913" w:type="dxa"/>
            <w:vAlign w:val="center"/>
          </w:tcPr>
          <w:p w14:paraId="5791CC4C">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泄漏孔径</w:t>
            </w:r>
          </w:p>
        </w:tc>
        <w:tc>
          <w:tcPr>
            <w:tcW w:w="2127" w:type="dxa"/>
            <w:vAlign w:val="center"/>
          </w:tcPr>
          <w:p w14:paraId="6838490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泄漏频率</w:t>
            </w:r>
          </w:p>
        </w:tc>
      </w:tr>
      <w:tr w14:paraId="49EEA3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236" w:type="dxa"/>
            <w:vMerge w:val="restart"/>
            <w:vAlign w:val="center"/>
          </w:tcPr>
          <w:p w14:paraId="732A18D7">
            <w:pPr>
              <w:pStyle w:val="70"/>
              <w:rPr>
                <w:color w:val="000000" w:themeColor="text1"/>
                <w14:textFill>
                  <w14:solidFill>
                    <w14:schemeClr w14:val="tx1"/>
                  </w14:solidFill>
                </w14:textFill>
              </w:rPr>
            </w:pPr>
            <w:r>
              <w:rPr>
                <w:color w:val="000000" w:themeColor="text1"/>
                <w14:textFill>
                  <w14:solidFill>
                    <w14:schemeClr w14:val="tx1"/>
                  </w14:solidFill>
                </w14:textFill>
              </w:rPr>
              <w:t>管道泄漏</w:t>
            </w:r>
          </w:p>
          <w:p w14:paraId="35B059C9">
            <w:pPr>
              <w:pStyle w:val="70"/>
              <w:rPr>
                <w:color w:val="000000" w:themeColor="text1"/>
                <w14:textFill>
                  <w14:solidFill>
                    <w14:schemeClr w14:val="tx1"/>
                  </w14:solidFill>
                </w14:textFill>
              </w:rPr>
            </w:pPr>
            <w:r>
              <w:rPr>
                <w:color w:val="000000" w:themeColor="text1"/>
                <w14:textFill>
                  <w14:solidFill>
                    <w14:schemeClr w14:val="tx1"/>
                  </w14:solidFill>
                </w14:textFill>
              </w:rPr>
              <w:t>（内径＞150mm的管道）</w:t>
            </w:r>
          </w:p>
        </w:tc>
        <w:tc>
          <w:tcPr>
            <w:tcW w:w="3913" w:type="dxa"/>
            <w:vAlign w:val="center"/>
          </w:tcPr>
          <w:p w14:paraId="4BA2C0F8">
            <w:pPr>
              <w:pStyle w:val="70"/>
              <w:rPr>
                <w:color w:val="000000" w:themeColor="text1"/>
                <w14:textFill>
                  <w14:solidFill>
                    <w14:schemeClr w14:val="tx1"/>
                  </w14:solidFill>
                </w14:textFill>
              </w:rPr>
            </w:pPr>
            <w:r>
              <w:rPr>
                <w:color w:val="000000" w:themeColor="text1"/>
                <w14:textFill>
                  <w14:solidFill>
                    <w14:schemeClr w14:val="tx1"/>
                  </w14:solidFill>
                </w14:textFill>
              </w:rPr>
              <w:t>全管径泄漏</w:t>
            </w:r>
          </w:p>
        </w:tc>
        <w:tc>
          <w:tcPr>
            <w:tcW w:w="2127" w:type="dxa"/>
            <w:vAlign w:val="center"/>
          </w:tcPr>
          <w:p w14:paraId="0BA53788">
            <w:pPr>
              <w:pStyle w:val="70"/>
              <w:rPr>
                <w:color w:val="000000" w:themeColor="text1"/>
                <w14:textFill>
                  <w14:solidFill>
                    <w14:schemeClr w14:val="tx1"/>
                  </w14:solidFill>
                </w14:textFill>
              </w:rPr>
            </w:pPr>
            <w:r>
              <w:rPr>
                <w:color w:val="000000" w:themeColor="text1"/>
                <w14:textFill>
                  <w14:solidFill>
                    <w14:schemeClr w14:val="tx1"/>
                  </w14:solidFill>
                </w14:textFill>
              </w:rPr>
              <w:t>1.00×10</w:t>
            </w:r>
            <w:r>
              <w:rPr>
                <w:color w:val="000000" w:themeColor="text1"/>
                <w:vertAlign w:val="superscript"/>
                <w14:textFill>
                  <w14:solidFill>
                    <w14:schemeClr w14:val="tx1"/>
                  </w14:solidFill>
                </w14:textFill>
              </w:rPr>
              <w:t>-7</w:t>
            </w:r>
            <w:r>
              <w:rPr>
                <w:color w:val="000000" w:themeColor="text1"/>
                <w14:textFill>
                  <w14:solidFill>
                    <w14:schemeClr w14:val="tx1"/>
                  </w14:solidFill>
                </w14:textFill>
              </w:rPr>
              <w:t>/（m·a）</w:t>
            </w:r>
          </w:p>
        </w:tc>
      </w:tr>
      <w:tr w14:paraId="7A5F64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236" w:type="dxa"/>
            <w:vMerge w:val="continue"/>
            <w:vAlign w:val="center"/>
          </w:tcPr>
          <w:p w14:paraId="185A8B9D">
            <w:pPr>
              <w:pStyle w:val="70"/>
              <w:rPr>
                <w:color w:val="000000" w:themeColor="text1"/>
                <w14:textFill>
                  <w14:solidFill>
                    <w14:schemeClr w14:val="tx1"/>
                  </w14:solidFill>
                </w14:textFill>
              </w:rPr>
            </w:pPr>
          </w:p>
        </w:tc>
        <w:tc>
          <w:tcPr>
            <w:tcW w:w="3913" w:type="dxa"/>
            <w:vAlign w:val="center"/>
          </w:tcPr>
          <w:p w14:paraId="4E814A51">
            <w:pPr>
              <w:pStyle w:val="70"/>
              <w:rPr>
                <w:color w:val="000000" w:themeColor="text1"/>
                <w14:textFill>
                  <w14:solidFill>
                    <w14:schemeClr w14:val="tx1"/>
                  </w14:solidFill>
                </w14:textFill>
              </w:rPr>
            </w:pPr>
            <w:r>
              <w:rPr>
                <w:color w:val="000000" w:themeColor="text1"/>
                <w14:textFill>
                  <w14:solidFill>
                    <w14:schemeClr w14:val="tx1"/>
                  </w14:solidFill>
                </w14:textFill>
              </w:rPr>
              <w:t>泄漏孔径为10%孔径</w:t>
            </w:r>
          </w:p>
        </w:tc>
        <w:tc>
          <w:tcPr>
            <w:tcW w:w="2127" w:type="dxa"/>
            <w:vAlign w:val="center"/>
          </w:tcPr>
          <w:p w14:paraId="4D699ED8">
            <w:pPr>
              <w:pStyle w:val="70"/>
              <w:rPr>
                <w:color w:val="000000" w:themeColor="text1"/>
                <w14:textFill>
                  <w14:solidFill>
                    <w14:schemeClr w14:val="tx1"/>
                  </w14:solidFill>
                </w14:textFill>
              </w:rPr>
            </w:pPr>
            <w:r>
              <w:rPr>
                <w:color w:val="000000" w:themeColor="text1"/>
                <w14:textFill>
                  <w14:solidFill>
                    <w14:schemeClr w14:val="tx1"/>
                  </w14:solidFill>
                </w14:textFill>
              </w:rPr>
              <w:t>2.40×10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/（m·a）</w:t>
            </w:r>
          </w:p>
        </w:tc>
      </w:tr>
      <w:tr w14:paraId="74B246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236" w:type="dxa"/>
            <w:vMerge w:val="restart"/>
            <w:vAlign w:val="center"/>
          </w:tcPr>
          <w:p w14:paraId="1751C17F">
            <w:pPr>
              <w:pStyle w:val="70"/>
              <w:rPr>
                <w:color w:val="000000" w:themeColor="text1"/>
                <w14:textFill>
                  <w14:solidFill>
                    <w14:schemeClr w14:val="tx1"/>
                  </w14:solidFill>
                </w14:textFill>
              </w:rPr>
            </w:pPr>
            <w:r>
              <w:rPr>
                <w:color w:val="000000" w:themeColor="text1"/>
                <w14:textFill>
                  <w14:solidFill>
                    <w14:schemeClr w14:val="tx1"/>
                  </w14:solidFill>
                </w14:textFill>
              </w:rPr>
              <w:t>装卸臂泄漏</w:t>
            </w:r>
          </w:p>
        </w:tc>
        <w:tc>
          <w:tcPr>
            <w:tcW w:w="3913" w:type="dxa"/>
            <w:vAlign w:val="center"/>
          </w:tcPr>
          <w:p w14:paraId="53CF5DA1">
            <w:pPr>
              <w:pStyle w:val="70"/>
              <w:rPr>
                <w:color w:val="000000" w:themeColor="text1"/>
                <w14:textFill>
                  <w14:solidFill>
                    <w14:schemeClr w14:val="tx1"/>
                  </w14:solidFill>
                </w14:textFill>
              </w:rPr>
            </w:pPr>
            <w:r>
              <w:rPr>
                <w:color w:val="000000" w:themeColor="text1"/>
                <w14:textFill>
                  <w14:solidFill>
                    <w14:schemeClr w14:val="tx1"/>
                  </w14:solidFill>
                </w14:textFill>
              </w:rPr>
              <w:t>装卸臂全管径泄漏</w:t>
            </w:r>
          </w:p>
        </w:tc>
        <w:tc>
          <w:tcPr>
            <w:tcW w:w="2127" w:type="dxa"/>
            <w:vAlign w:val="center"/>
          </w:tcPr>
          <w:p w14:paraId="7869BC81">
            <w:pPr>
              <w:pStyle w:val="70"/>
              <w:rPr>
                <w:color w:val="000000" w:themeColor="text1"/>
                <w14:textFill>
                  <w14:solidFill>
                    <w14:schemeClr w14:val="tx1"/>
                  </w14:solidFill>
                </w14:textFill>
              </w:rPr>
            </w:pPr>
            <w:r>
              <w:rPr>
                <w:color w:val="000000" w:themeColor="text1"/>
                <w14:textFill>
                  <w14:solidFill>
                    <w14:schemeClr w14:val="tx1"/>
                  </w14:solidFill>
                </w14:textFill>
              </w:rPr>
              <w:t>3.00×10</w:t>
            </w:r>
            <w:r>
              <w:rPr>
                <w:color w:val="000000" w:themeColor="text1"/>
                <w:vertAlign w:val="superscript"/>
                <w14:textFill>
                  <w14:solidFill>
                    <w14:schemeClr w14:val="tx1"/>
                  </w14:solidFill>
                </w14:textFill>
              </w:rPr>
              <w:t>-8</w:t>
            </w:r>
            <w:r>
              <w:rPr>
                <w:color w:val="000000" w:themeColor="text1"/>
                <w14:textFill>
                  <w14:solidFill>
                    <w14:schemeClr w14:val="tx1"/>
                  </w14:solidFill>
                </w14:textFill>
              </w:rPr>
              <w:t>/h</w:t>
            </w:r>
          </w:p>
        </w:tc>
      </w:tr>
      <w:tr w14:paraId="7F3093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236" w:type="dxa"/>
            <w:vMerge w:val="continue"/>
            <w:vAlign w:val="center"/>
          </w:tcPr>
          <w:p w14:paraId="297CC4EE">
            <w:pPr>
              <w:pStyle w:val="70"/>
              <w:rPr>
                <w:color w:val="000000" w:themeColor="text1"/>
                <w14:textFill>
                  <w14:solidFill>
                    <w14:schemeClr w14:val="tx1"/>
                  </w14:solidFill>
                </w14:textFill>
              </w:rPr>
            </w:pPr>
          </w:p>
        </w:tc>
        <w:tc>
          <w:tcPr>
            <w:tcW w:w="3913" w:type="dxa"/>
            <w:vAlign w:val="center"/>
          </w:tcPr>
          <w:p w14:paraId="17BDF550">
            <w:pPr>
              <w:pStyle w:val="70"/>
              <w:rPr>
                <w:color w:val="000000" w:themeColor="text1"/>
                <w14:textFill>
                  <w14:solidFill>
                    <w14:schemeClr w14:val="tx1"/>
                  </w14:solidFill>
                </w14:textFill>
              </w:rPr>
            </w:pPr>
            <w:r>
              <w:rPr>
                <w:color w:val="000000" w:themeColor="text1"/>
                <w14:textFill>
                  <w14:solidFill>
                    <w14:schemeClr w14:val="tx1"/>
                  </w14:solidFill>
                </w14:textFill>
              </w:rPr>
              <w:t>装卸臂连接管泄漏孔径为10%孔径</w:t>
            </w:r>
          </w:p>
          <w:p w14:paraId="5EB0BEB7">
            <w:pPr>
              <w:pStyle w:val="70"/>
              <w:rPr>
                <w:color w:val="000000" w:themeColor="text1"/>
                <w14:textFill>
                  <w14:solidFill>
                    <w14:schemeClr w14:val="tx1"/>
                  </w14:solidFill>
                </w14:textFill>
              </w:rPr>
            </w:pPr>
            <w:r>
              <w:rPr>
                <w:color w:val="000000" w:themeColor="text1"/>
                <w14:textFill>
                  <w14:solidFill>
                    <w14:schemeClr w14:val="tx1"/>
                  </w14:solidFill>
                </w14:textFill>
              </w:rPr>
              <w:t>（最大50mm）</w:t>
            </w:r>
          </w:p>
        </w:tc>
        <w:tc>
          <w:tcPr>
            <w:tcW w:w="2127" w:type="dxa"/>
            <w:vAlign w:val="center"/>
          </w:tcPr>
          <w:p w14:paraId="12098EBF">
            <w:pPr>
              <w:pStyle w:val="70"/>
              <w:rPr>
                <w:color w:val="000000" w:themeColor="text1"/>
                <w14:textFill>
                  <w14:solidFill>
                    <w14:schemeClr w14:val="tx1"/>
                  </w14:solidFill>
                </w14:textFill>
              </w:rPr>
            </w:pPr>
            <w:r>
              <w:rPr>
                <w:color w:val="000000" w:themeColor="text1"/>
                <w14:textFill>
                  <w14:solidFill>
                    <w14:schemeClr w14:val="tx1"/>
                  </w14:solidFill>
                </w14:textFill>
              </w:rPr>
              <w:t>3.00×10</w:t>
            </w:r>
            <w:r>
              <w:rPr>
                <w:color w:val="000000" w:themeColor="text1"/>
                <w:vertAlign w:val="superscript"/>
                <w14:textFill>
                  <w14:solidFill>
                    <w14:schemeClr w14:val="tx1"/>
                  </w14:solidFill>
                </w14:textFill>
              </w:rPr>
              <w:t>-7</w:t>
            </w:r>
            <w:r>
              <w:rPr>
                <w:color w:val="000000" w:themeColor="text1"/>
                <w14:textFill>
                  <w14:solidFill>
                    <w14:schemeClr w14:val="tx1"/>
                  </w14:solidFill>
                </w14:textFill>
              </w:rPr>
              <w:t>/h</w:t>
            </w:r>
          </w:p>
        </w:tc>
      </w:tr>
    </w:tbl>
    <w:p w14:paraId="3AC55B76">
      <w:pPr>
        <w:pStyle w:val="4"/>
        <w:rPr>
          <w:color w:val="000000" w:themeColor="text1"/>
          <w14:textFill>
            <w14:solidFill>
              <w14:schemeClr w14:val="tx1"/>
            </w14:solidFill>
          </w14:textFill>
        </w:rPr>
      </w:pPr>
      <w:r>
        <w:rPr>
          <w:color w:val="000000" w:themeColor="text1"/>
          <w14:textFill>
            <w14:solidFill>
              <w14:schemeClr w14:val="tx1"/>
            </w14:solidFill>
          </w14:textFill>
        </w:rPr>
        <w:t>物质危险性识别</w:t>
      </w:r>
    </w:p>
    <w:p w14:paraId="72FD8F63">
      <w:pPr>
        <w:pStyle w:val="74"/>
        <w:rPr>
          <w:color w:val="000000" w:themeColor="text1"/>
          <w:u w:val="single"/>
          <w14:textFill>
            <w14:solidFill>
              <w14:schemeClr w14:val="tx1"/>
            </w14:solidFill>
          </w14:textFill>
        </w:rPr>
      </w:pPr>
      <w:r>
        <w:rPr>
          <w:color w:val="000000" w:themeColor="text1"/>
          <w:u w:val="single"/>
          <w14:textFill>
            <w14:solidFill>
              <w14:schemeClr w14:val="tx1"/>
            </w14:solidFill>
          </w14:textFill>
        </w:rPr>
        <w:t>本项目船舶污染事故是指船舶在航行过程、码头靠泊和装卸过程，以及其他作业过程</w:t>
      </w:r>
      <w:r>
        <w:rPr>
          <w:rFonts w:eastAsia="Times New Roman"/>
          <w:color w:val="000000" w:themeColor="text1"/>
          <w:u w:val="single"/>
          <w14:textFill>
            <w14:solidFill>
              <w14:schemeClr w14:val="tx1"/>
            </w14:solidFill>
          </w14:textFill>
        </w:rPr>
        <w:t>(</w:t>
      </w:r>
      <w:r>
        <w:rPr>
          <w:color w:val="000000" w:themeColor="text1"/>
          <w:u w:val="single"/>
          <w14:textFill>
            <w14:solidFill>
              <w14:schemeClr w14:val="tx1"/>
            </w14:solidFill>
          </w14:textFill>
        </w:rPr>
        <w:t>如油料供受、污染清除等</w:t>
      </w:r>
      <w:r>
        <w:rPr>
          <w:rFonts w:eastAsia="Times New Roman"/>
          <w:color w:val="000000" w:themeColor="text1"/>
          <w:u w:val="single"/>
          <w14:textFill>
            <w14:solidFill>
              <w14:schemeClr w14:val="tx1"/>
            </w14:solidFill>
          </w14:textFill>
        </w:rPr>
        <w:t>)</w:t>
      </w:r>
      <w:r>
        <w:rPr>
          <w:color w:val="000000" w:themeColor="text1"/>
          <w:u w:val="single"/>
          <w14:textFill>
            <w14:solidFill>
              <w14:schemeClr w14:val="tx1"/>
            </w14:solidFill>
          </w14:textFill>
        </w:rPr>
        <w:t>中发生燃料油泄漏造成的环境污染事故，可分为操作性污染事故和海难性污染事故。操作性船舶污染事故多发生于港口船舶装卸货物及加装船舶燃油环节，发生的原因多为人为因素、机械和设备故障等，尽管每次产生的泄漏量不大，但事故频率较高， 污染物总量也较大。海难性船舶污染事故主要是海上交通事故导致，事故发生率较低，但一旦发生污染损害很大。</w:t>
      </w:r>
    </w:p>
    <w:p w14:paraId="298628CB">
      <w:pPr>
        <w:pStyle w:val="74"/>
        <w:rPr>
          <w:color w:val="000000" w:themeColor="text1"/>
          <w:u w:val="single"/>
          <w14:textFill>
            <w14:solidFill>
              <w14:schemeClr w14:val="tx1"/>
            </w14:solidFill>
          </w14:textFill>
        </w:rPr>
      </w:pPr>
      <w:r>
        <w:rPr>
          <w:color w:val="000000" w:themeColor="text1"/>
          <w:u w:val="single"/>
          <w14:textFill>
            <w14:solidFill>
              <w14:schemeClr w14:val="tx1"/>
            </w14:solidFill>
          </w14:textFill>
        </w:rPr>
        <w:t>当码头装卸作业过程中发生泄漏污染事故和发生泄漏导致火灾爆炸事故时，化工品会挥发出大量有毒有害气体，同时由于码头或管线发生火灾后，油品的急剧燃烧所需的供氧量不足，属于典型的不完全燃烧，因此燃烧过程中还将产生大量 CO。此外，由于泄漏事故还将伴生大量事故和消防等废水，这些泄漏油品、化工品、液化烃、燃料油以及伴生污染物均会对周围环境产生影响。</w:t>
      </w:r>
    </w:p>
    <w:p w14:paraId="609272BA">
      <w:pPr>
        <w:pStyle w:val="74"/>
        <w:rPr>
          <w:color w:val="000000" w:themeColor="text1"/>
          <w:u w:val="single"/>
          <w14:textFill>
            <w14:solidFill>
              <w14:schemeClr w14:val="tx1"/>
            </w14:solidFill>
          </w14:textFill>
        </w:rPr>
      </w:pPr>
      <w:r>
        <w:rPr>
          <w:color w:val="000000" w:themeColor="text1"/>
          <w:u w:val="single"/>
          <w14:textFill>
            <w14:solidFill>
              <w14:schemeClr w14:val="tx1"/>
            </w14:solidFill>
          </w14:textFill>
        </w:rPr>
        <w:t>本项目码头施工期涉及风险因子主要为施工船舶燃料油，营运期涉及风险因子为大型船舶燃料油以及运输的油品、化工品、液化烃，以上均属于易燃易爆品，在贮存和输送过程中具有发生火灾和爆炸的危险性，同时油品和化工品还具有一定的毒性。</w:t>
      </w:r>
    </w:p>
    <w:p w14:paraId="0619865A">
      <w:pPr>
        <w:pStyle w:val="74"/>
        <w:rPr>
          <w:color w:val="000000" w:themeColor="text1"/>
          <w:u w:val="single"/>
          <w14:textFill>
            <w14:solidFill>
              <w14:schemeClr w14:val="tx1"/>
            </w14:solidFill>
          </w14:textFill>
        </w:rPr>
      </w:pPr>
      <w:r>
        <w:rPr>
          <w:color w:val="000000" w:themeColor="text1"/>
          <w:u w:val="single"/>
          <w14:textFill>
            <w14:solidFill>
              <w14:schemeClr w14:val="tx1"/>
            </w14:solidFill>
          </w14:textFill>
        </w:rPr>
        <w:t>根据《建设项目环境风险评价技术导则</w:t>
      </w:r>
      <w:r>
        <w:rPr>
          <w:color w:val="000000" w:themeColor="text1"/>
          <w:spacing w:val="9"/>
          <w:u w:val="single"/>
          <w14:textFill>
            <w14:solidFill>
              <w14:schemeClr w14:val="tx1"/>
            </w14:solidFill>
          </w14:textFill>
        </w:rPr>
        <w:t>（</w:t>
      </w:r>
      <w:r>
        <w:rPr>
          <w:rFonts w:eastAsia="Times New Roman"/>
          <w:color w:val="000000" w:themeColor="text1"/>
          <w:spacing w:val="-1"/>
          <w:u w:val="single"/>
          <w14:textFill>
            <w14:solidFill>
              <w14:schemeClr w14:val="tx1"/>
            </w14:solidFill>
          </w14:textFill>
        </w:rPr>
        <w:t>H</w:t>
      </w:r>
      <w:r>
        <w:rPr>
          <w:rFonts w:eastAsia="Times New Roman"/>
          <w:color w:val="000000" w:themeColor="text1"/>
          <w:u w:val="single"/>
          <w14:textFill>
            <w14:solidFill>
              <w14:schemeClr w14:val="tx1"/>
            </w14:solidFill>
          </w14:textFill>
        </w:rPr>
        <w:t>J169</w:t>
      </w:r>
      <w:r>
        <w:rPr>
          <w:rFonts w:eastAsia="Times New Roman"/>
          <w:color w:val="000000" w:themeColor="text1"/>
          <w:spacing w:val="-1"/>
          <w:u w:val="single"/>
          <w14:textFill>
            <w14:solidFill>
              <w14:schemeClr w14:val="tx1"/>
            </w14:solidFill>
          </w14:textFill>
        </w:rPr>
        <w:t>-</w:t>
      </w:r>
      <w:r>
        <w:rPr>
          <w:rFonts w:eastAsia="Times New Roman"/>
          <w:color w:val="000000" w:themeColor="text1"/>
          <w:u w:val="single"/>
          <w14:textFill>
            <w14:solidFill>
              <w14:schemeClr w14:val="tx1"/>
            </w14:solidFill>
          </w14:textFill>
        </w:rPr>
        <w:t>201</w:t>
      </w:r>
      <w:r>
        <w:rPr>
          <w:rFonts w:eastAsia="Times New Roman"/>
          <w:color w:val="000000" w:themeColor="text1"/>
          <w:spacing w:val="9"/>
          <w:u w:val="single"/>
          <w14:textFill>
            <w14:solidFill>
              <w14:schemeClr w14:val="tx1"/>
            </w14:solidFill>
          </w14:textFill>
        </w:rPr>
        <w:t>8</w:t>
      </w:r>
      <w:r>
        <w:rPr>
          <w:color w:val="000000" w:themeColor="text1"/>
          <w:spacing w:val="-113"/>
          <w:u w:val="single"/>
          <w14:textFill>
            <w14:solidFill>
              <w14:schemeClr w14:val="tx1"/>
            </w14:solidFill>
          </w14:textFill>
        </w:rPr>
        <w:t>）</w:t>
      </w:r>
      <w:r>
        <w:rPr>
          <w:color w:val="000000" w:themeColor="text1"/>
          <w:spacing w:val="6"/>
          <w:u w:val="single"/>
          <w14:textFill>
            <w14:solidFill>
              <w14:schemeClr w14:val="tx1"/>
            </w14:solidFill>
          </w14:textFill>
        </w:rPr>
        <w:t>》中给出的“危险物质标准”和</w:t>
      </w:r>
      <w:r>
        <w:rPr>
          <w:color w:val="000000" w:themeColor="text1"/>
          <w:u w:val="single"/>
          <w14:textFill>
            <w14:solidFill>
              <w14:schemeClr w14:val="tx1"/>
            </w14:solidFill>
          </w14:textFill>
        </w:rPr>
        <w:t>《危险化学品重大危险源辨识》（</w:t>
      </w:r>
      <w:r>
        <w:rPr>
          <w:rFonts w:eastAsia="Times New Roman"/>
          <w:color w:val="000000" w:themeColor="text1"/>
          <w:u w:val="single"/>
          <w14:textFill>
            <w14:solidFill>
              <w14:schemeClr w14:val="tx1"/>
            </w14:solidFill>
          </w14:textFill>
        </w:rPr>
        <w:t>GB18218-2018</w:t>
      </w:r>
      <w:r>
        <w:rPr>
          <w:color w:val="000000" w:themeColor="text1"/>
          <w:u w:val="single"/>
          <w14:textFill>
            <w14:solidFill>
              <w14:schemeClr w14:val="tx1"/>
            </w14:solidFill>
          </w14:textFill>
        </w:rPr>
        <w:t>）中各种危险品的最低临界量，确定本项目储运化工品以及船舶燃料油作为本项目风险评价的风险因子。本工程储运货类理化性质及毒性见表2.3-7。</w:t>
      </w:r>
    </w:p>
    <w:p w14:paraId="6F9DABB9">
      <w:pPr>
        <w:pStyle w:val="74"/>
        <w:rPr>
          <w:color w:val="000000" w:themeColor="text1"/>
          <w14:textFill>
            <w14:solidFill>
              <w14:schemeClr w14:val="tx1"/>
            </w14:solidFill>
          </w14:textFill>
        </w:rPr>
      </w:pPr>
      <w:r>
        <w:rPr>
          <w:color w:val="000000" w:themeColor="text1"/>
          <w14:textFill>
            <w14:solidFill>
              <w14:schemeClr w14:val="tx1"/>
            </w14:solidFill>
          </w14:textFill>
        </w:rPr>
        <w:t>船舶燃料油可分为重柴油、轻质油、中质油和重质油，其中施工船舶燃料油主要以前两者为主，国际航线大型船舶所携带的燃料油以后两者为主。其理化性质见表5.3-6。</w:t>
      </w:r>
    </w:p>
    <w:p w14:paraId="424860F7">
      <w:pPr>
        <w:pStyle w:val="7"/>
        <w:rPr>
          <w:color w:val="000000" w:themeColor="text1"/>
          <w:u w:val="single"/>
          <w14:textFill>
            <w14:solidFill>
              <w14:schemeClr w14:val="tx1"/>
            </w14:solidFill>
          </w14:textFill>
        </w:rPr>
      </w:pPr>
      <w:r>
        <w:rPr>
          <w:color w:val="000000" w:themeColor="text1"/>
          <w:u w:val="single"/>
          <w14:textFill>
            <w14:solidFill>
              <w14:schemeClr w14:val="tx1"/>
            </w14:solidFill>
          </w14:textFill>
        </w:rPr>
        <w:t>本项目涉及船舶燃油理化性质表</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994"/>
        <w:gridCol w:w="6282"/>
      </w:tblGrid>
      <w:tr w14:paraId="613F2E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7" w:hRule="atLeast"/>
          <w:jc w:val="center"/>
        </w:trPr>
        <w:tc>
          <w:tcPr>
            <w:tcW w:w="1994" w:type="dxa"/>
            <w:vMerge w:val="restart"/>
            <w:vAlign w:val="center"/>
          </w:tcPr>
          <w:p w14:paraId="6F127438">
            <w:pPr>
              <w:pStyle w:val="70"/>
              <w:rPr>
                <w:rFonts w:eastAsiaTheme="minorEastAsia"/>
                <w:b/>
                <w:bCs/>
                <w:color w:val="000000" w:themeColor="text1"/>
                <w:lang w:eastAsia="en-US"/>
                <w14:textFill>
                  <w14:solidFill>
                    <w14:schemeClr w14:val="tx1"/>
                  </w14:solidFill>
                </w14:textFill>
              </w:rPr>
            </w:pPr>
            <w:r>
              <w:rPr>
                <w:rFonts w:eastAsiaTheme="minorEastAsia"/>
                <w:b/>
                <w:bCs/>
                <w:color w:val="000000" w:themeColor="text1"/>
                <w:lang w:eastAsia="en-US"/>
                <w14:textFill>
                  <w14:solidFill>
                    <w14:schemeClr w14:val="tx1"/>
                  </w14:solidFill>
                </w14:textFill>
              </w:rPr>
              <w:t>油品</w:t>
            </w:r>
          </w:p>
        </w:tc>
        <w:tc>
          <w:tcPr>
            <w:tcW w:w="6282" w:type="dxa"/>
            <w:vAlign w:val="center"/>
          </w:tcPr>
          <w:p w14:paraId="16CA6CAC">
            <w:pPr>
              <w:pStyle w:val="70"/>
              <w:rPr>
                <w:rFonts w:eastAsiaTheme="minorEastAsia"/>
                <w:b/>
                <w:bCs/>
                <w:color w:val="000000" w:themeColor="text1"/>
                <w:lang w:eastAsia="en-US"/>
                <w14:textFill>
                  <w14:solidFill>
                    <w14:schemeClr w14:val="tx1"/>
                  </w14:solidFill>
                </w14:textFill>
              </w:rPr>
            </w:pPr>
            <w:r>
              <w:rPr>
                <w:rFonts w:eastAsiaTheme="minorEastAsia"/>
                <w:b/>
                <w:bCs/>
                <w:color w:val="000000" w:themeColor="text1"/>
                <w:lang w:eastAsia="en-US"/>
                <w14:textFill>
                  <w14:solidFill>
                    <w14:schemeClr w14:val="tx1"/>
                  </w14:solidFill>
                </w14:textFill>
              </w:rPr>
              <w:t>燃料油</w:t>
            </w:r>
          </w:p>
        </w:tc>
      </w:tr>
      <w:tr w14:paraId="096ACF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7" w:hRule="atLeast"/>
          <w:jc w:val="center"/>
        </w:trPr>
        <w:tc>
          <w:tcPr>
            <w:tcW w:w="1994" w:type="dxa"/>
            <w:vMerge w:val="continue"/>
            <w:vAlign w:val="center"/>
          </w:tcPr>
          <w:p w14:paraId="73F5E25E">
            <w:pPr>
              <w:pStyle w:val="70"/>
              <w:rPr>
                <w:rFonts w:eastAsiaTheme="minorEastAsia"/>
                <w:b/>
                <w:bCs/>
                <w:color w:val="000000" w:themeColor="text1"/>
                <w:lang w:eastAsia="en-US"/>
                <w14:textFill>
                  <w14:solidFill>
                    <w14:schemeClr w14:val="tx1"/>
                  </w14:solidFill>
                </w14:textFill>
              </w:rPr>
            </w:pPr>
          </w:p>
        </w:tc>
        <w:tc>
          <w:tcPr>
            <w:tcW w:w="6282" w:type="dxa"/>
            <w:vAlign w:val="center"/>
          </w:tcPr>
          <w:p w14:paraId="1C340C17">
            <w:pPr>
              <w:pStyle w:val="70"/>
              <w:rPr>
                <w:rFonts w:eastAsiaTheme="minorEastAsia"/>
                <w:b/>
                <w:bCs/>
                <w:color w:val="000000" w:themeColor="text1"/>
                <w:lang w:eastAsia="en-US"/>
                <w14:textFill>
                  <w14:solidFill>
                    <w14:schemeClr w14:val="tx1"/>
                  </w14:solidFill>
                </w14:textFill>
              </w:rPr>
            </w:pPr>
            <w:r>
              <w:rPr>
                <w:rFonts w:eastAsiaTheme="minorEastAsia"/>
                <w:b/>
                <w:bCs/>
                <w:color w:val="000000" w:themeColor="text1"/>
                <w:lang w:eastAsia="en-US"/>
                <w14:textFill>
                  <w14:solidFill>
                    <w14:schemeClr w14:val="tx1"/>
                  </w14:solidFill>
                </w14:textFill>
              </w:rPr>
              <w:t>中质油 IFO180</w:t>
            </w:r>
          </w:p>
        </w:tc>
      </w:tr>
      <w:tr w14:paraId="43474F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7" w:hRule="atLeast"/>
          <w:jc w:val="center"/>
        </w:trPr>
        <w:tc>
          <w:tcPr>
            <w:tcW w:w="1994" w:type="dxa"/>
            <w:vAlign w:val="center"/>
          </w:tcPr>
          <w:p w14:paraId="197AFDC1">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比重(g/cm³ ，10ºC)</w:t>
            </w:r>
          </w:p>
        </w:tc>
        <w:tc>
          <w:tcPr>
            <w:tcW w:w="6282" w:type="dxa"/>
            <w:vAlign w:val="center"/>
          </w:tcPr>
          <w:p w14:paraId="1A33C980">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0.96</w:t>
            </w:r>
          </w:p>
        </w:tc>
      </w:tr>
      <w:tr w14:paraId="1176FA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2" w:hRule="atLeast"/>
          <w:jc w:val="center"/>
        </w:trPr>
        <w:tc>
          <w:tcPr>
            <w:tcW w:w="1994" w:type="dxa"/>
            <w:vAlign w:val="center"/>
          </w:tcPr>
          <w:p w14:paraId="631290E0">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运动粘度</w:t>
            </w:r>
          </w:p>
        </w:tc>
        <w:tc>
          <w:tcPr>
            <w:tcW w:w="6282" w:type="dxa"/>
            <w:vAlign w:val="center"/>
          </w:tcPr>
          <w:p w14:paraId="156F32C1">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180.0</w:t>
            </w:r>
          </w:p>
        </w:tc>
      </w:tr>
      <w:tr w14:paraId="48554F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5" w:hRule="atLeast"/>
          <w:jc w:val="center"/>
        </w:trPr>
        <w:tc>
          <w:tcPr>
            <w:tcW w:w="1994" w:type="dxa"/>
            <w:vAlign w:val="center"/>
          </w:tcPr>
          <w:p w14:paraId="06E30E0B">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(cSt)</w:t>
            </w:r>
          </w:p>
        </w:tc>
        <w:tc>
          <w:tcPr>
            <w:tcW w:w="6282" w:type="dxa"/>
            <w:vAlign w:val="center"/>
          </w:tcPr>
          <w:p w14:paraId="48BAA367">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(50ºC)</w:t>
            </w:r>
          </w:p>
        </w:tc>
      </w:tr>
      <w:tr w14:paraId="7E6310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7" w:hRule="atLeast"/>
          <w:jc w:val="center"/>
        </w:trPr>
        <w:tc>
          <w:tcPr>
            <w:tcW w:w="1994" w:type="dxa"/>
            <w:vAlign w:val="center"/>
          </w:tcPr>
          <w:p w14:paraId="4FF67C48">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凝点(ºC)</w:t>
            </w:r>
          </w:p>
        </w:tc>
        <w:tc>
          <w:tcPr>
            <w:tcW w:w="6282" w:type="dxa"/>
            <w:vAlign w:val="center"/>
          </w:tcPr>
          <w:p w14:paraId="0465394A">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25</w:t>
            </w:r>
          </w:p>
        </w:tc>
      </w:tr>
      <w:tr w14:paraId="7C8D24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1994" w:type="dxa"/>
            <w:vAlign w:val="center"/>
          </w:tcPr>
          <w:p w14:paraId="2820B57D">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闪点(ºC)</w:t>
            </w:r>
          </w:p>
        </w:tc>
        <w:tc>
          <w:tcPr>
            <w:tcW w:w="6282" w:type="dxa"/>
            <w:vAlign w:val="center"/>
          </w:tcPr>
          <w:p w14:paraId="3A93ADD0">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120</w:t>
            </w:r>
          </w:p>
        </w:tc>
      </w:tr>
    </w:tbl>
    <w:p w14:paraId="32670C5B">
      <w:pPr>
        <w:pStyle w:val="4"/>
        <w:rPr>
          <w:color w:val="000000" w:themeColor="text1"/>
          <w14:textFill>
            <w14:solidFill>
              <w14:schemeClr w14:val="tx1"/>
            </w14:solidFill>
          </w14:textFill>
        </w:rPr>
      </w:pPr>
      <w:r>
        <w:rPr>
          <w:color w:val="000000" w:themeColor="text1"/>
          <w14:textFill>
            <w14:solidFill>
              <w14:schemeClr w14:val="tx1"/>
            </w14:solidFill>
          </w14:textFill>
        </w:rPr>
        <w:t>生产系统危险性识别</w:t>
      </w:r>
    </w:p>
    <w:p w14:paraId="52F32BCD">
      <w:pPr>
        <w:pStyle w:val="6"/>
        <w:rPr>
          <w:color w:val="000000" w:themeColor="text1"/>
          <w14:textFill>
            <w14:solidFill>
              <w14:schemeClr w14:val="tx1"/>
            </w14:solidFill>
          </w14:textFill>
        </w:rPr>
      </w:pPr>
      <w:r>
        <w:rPr>
          <w:color w:val="000000" w:themeColor="text1"/>
          <w14:textFill>
            <w14:solidFill>
              <w14:schemeClr w14:val="tx1"/>
            </w14:solidFill>
          </w14:textFill>
        </w:rPr>
        <w:t>危险单元</w:t>
      </w:r>
    </w:p>
    <w:p w14:paraId="2D2D9309">
      <w:pPr>
        <w:ind w:firstLine="480"/>
        <w:rPr>
          <w:color w:val="000000" w:themeColor="text1"/>
          <w14:textFill>
            <w14:solidFill>
              <w14:schemeClr w14:val="tx1"/>
            </w14:solidFill>
          </w14:textFill>
        </w:rPr>
      </w:pPr>
      <w:r>
        <w:rPr>
          <w:color w:val="000000" w:themeColor="text1"/>
          <w14:textFill>
            <w14:solidFill>
              <w14:schemeClr w14:val="tx1"/>
            </w14:solidFill>
          </w14:textFill>
        </w:rPr>
        <w:t>和平面布置分析，本工程危险单元为码头。</w:t>
      </w:r>
    </w:p>
    <w:p w14:paraId="18703C5B">
      <w:pPr>
        <w:ind w:firstLine="0" w:firstLineChars="0"/>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710464" behindDoc="0" locked="0" layoutInCell="1" allowOverlap="1">
                <wp:simplePos x="0" y="0"/>
                <wp:positionH relativeFrom="column">
                  <wp:posOffset>2610485</wp:posOffset>
                </wp:positionH>
                <wp:positionV relativeFrom="paragraph">
                  <wp:posOffset>4177030</wp:posOffset>
                </wp:positionV>
                <wp:extent cx="1638300" cy="457835"/>
                <wp:effectExtent l="0" t="0" r="0" b="0"/>
                <wp:wrapNone/>
                <wp:docPr id="3" name="文本框 3"/>
                <wp:cNvGraphicFramePr/>
                <a:graphic xmlns:a="http://schemas.openxmlformats.org/drawingml/2006/main">
                  <a:graphicData uri="http://schemas.microsoft.com/office/word/2010/wordprocessingShape">
                    <wps:wsp>
                      <wps:cNvSpPr txBox="1"/>
                      <wps:spPr>
                        <a:xfrm>
                          <a:off x="0" y="0"/>
                          <a:ext cx="1638300" cy="4578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2EA381">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码头装卸区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5.55pt;margin-top:328.9pt;height:36.05pt;width:129pt;z-index:251710464;mso-width-relative:page;mso-height-relative:page;" filled="f" stroked="f" coordsize="21600,21600" o:gfxdata="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Y6cSbcAAAACwEAAA8AAAAAAAAAAQAgAAAAIgAAAGRy&#10;cy9kb3ducmV2LnhtbFBLAQIUABQAAAAIAIdO4kDVV7ggOgIAAGYEAAAOAAAAAAAAAAEAIAAAACsB&#10;AABkcnMvZTJvRG9jLnhtbFBLBQYAAAAABgAGAFkBAADXBQAAAAA=&#10;">
                <v:fill on="f" focussize="0,0"/>
                <v:stroke on="f" weight="0.5pt"/>
                <v:imagedata o:title=""/>
                <o:lock v:ext="edit" aspectratio="f"/>
                <v:textbox>
                  <w:txbxContent>
                    <w:p w14:paraId="062EA381">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码头装卸区</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9440" behindDoc="0" locked="0" layoutInCell="1" allowOverlap="1">
                <wp:simplePos x="0" y="0"/>
                <wp:positionH relativeFrom="column">
                  <wp:posOffset>2381250</wp:posOffset>
                </wp:positionH>
                <wp:positionV relativeFrom="paragraph">
                  <wp:posOffset>4133850</wp:posOffset>
                </wp:positionV>
                <wp:extent cx="2124075" cy="485775"/>
                <wp:effectExtent l="0" t="0" r="28575" b="28575"/>
                <wp:wrapNone/>
                <wp:docPr id="42" name="矩形 42"/>
                <wp:cNvGraphicFramePr/>
                <a:graphic xmlns:a="http://schemas.openxmlformats.org/drawingml/2006/main">
                  <a:graphicData uri="http://schemas.microsoft.com/office/word/2010/wordprocessingShape">
                    <wps:wsp>
                      <wps:cNvSpPr/>
                      <wps:spPr>
                        <a:xfrm>
                          <a:off x="0" y="0"/>
                          <a:ext cx="2124075" cy="485775"/>
                        </a:xfrm>
                        <a:prstGeom prst="rect">
                          <a:avLst/>
                        </a:prstGeom>
                        <a:solidFill>
                          <a:srgbClr val="FA0000">
                            <a:alpha val="50000"/>
                          </a:srgbClr>
                        </a:solidFill>
                        <a:ln w="12700" cmpd="sng">
                          <a:solidFill>
                            <a:srgbClr val="FA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7.5pt;margin-top:325.5pt;height:38.25pt;width:167.25pt;z-index:251709440;v-text-anchor:middle;mso-width-relative:page;mso-height-relative:page;" fillcolor="#FA0000" filled="t" stroked="t" coordsize="21600,21600" o:gfxdata="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H4cky9oAAAALAQAADwAAAAAAAAABACAAAAAiAAAAZHJzL2Rv&#10;d25yZXYueG1sUEsBAhQAFAAAAAgAh07iQHoiss1xAgAAAAUAAA4AAAAAAAAAAQAgAAAAKQEAAGRy&#10;cy9lMm9Eb2MueG1sUEsFBgAAAAAGAAYAWQEAAAwGAAAAAA==&#10;">
                <v:fill on="t" opacity="32768f" focussize="0,0"/>
                <v:stroke weight="1pt" color="#FA0000 [3204]"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8416" behindDoc="0" locked="0" layoutInCell="1" allowOverlap="1">
                <wp:simplePos x="0" y="0"/>
                <wp:positionH relativeFrom="column">
                  <wp:posOffset>4507230</wp:posOffset>
                </wp:positionH>
                <wp:positionV relativeFrom="paragraph">
                  <wp:posOffset>3816985</wp:posOffset>
                </wp:positionV>
                <wp:extent cx="753110" cy="32512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753110" cy="3251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24C035">
                            <w:pPr>
                              <w:spacing w:line="240" w:lineRule="exact"/>
                              <w:ind w:firstLine="0" w:firstLineChars="0"/>
                              <w:rPr>
                                <w:rFonts w:ascii="华文行楷" w:hAnsi="华文行楷" w:eastAsia="华文行楷" w:cs="华文行楷"/>
                                <w:color w:val="000000" w:themeColor="text1"/>
                                <w:sz w:val="21"/>
                                <w:szCs w:val="21"/>
                                <w14:textFill>
                                  <w14:solidFill>
                                    <w14:schemeClr w14:val="tx1"/>
                                  </w14:solidFill>
                                </w14:textFill>
                              </w:rPr>
                            </w:pPr>
                            <w:r>
                              <w:rPr>
                                <w:rFonts w:hint="eastAsia" w:ascii="华文行楷" w:hAnsi="华文行楷" w:eastAsia="华文行楷" w:cs="华文行楷"/>
                                <w:color w:val="000000" w:themeColor="text1"/>
                                <w:sz w:val="21"/>
                                <w:szCs w:val="21"/>
                                <w14:textFill>
                                  <w14:solidFill>
                                    <w14:schemeClr w14:val="tx1"/>
                                  </w14:solidFill>
                                </w14:textFill>
                              </w:rPr>
                              <w:t>疏散方向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4.9pt;margin-top:300.55pt;height:25.6pt;width:59.3pt;z-index:251708416;mso-width-relative:page;mso-height-relative:page;" filled="f" stroked="f" coordsize="21600,21600" o:gfxdata="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kubwbcAAAACwEAAA8AAAAAAAAAAQAgAAAAIgAA&#10;AGRycy9kb3ducmV2LnhtbFBLAQIUABQAAAAIAIdO4kAd98+EPQIAAGcEAAAOAAAAAAAAAAEAIAAA&#10;ACsBAABkcnMvZTJvRG9jLnhtbFBLBQYAAAAABgAGAFkBAADaBQAAAAA=&#10;">
                <v:fill on="f" focussize="0,0"/>
                <v:stroke on="f" weight="0.5pt"/>
                <v:imagedata o:title=""/>
                <o:lock v:ext="edit" aspectratio="f"/>
                <v:textbox>
                  <w:txbxContent>
                    <w:p w14:paraId="2E24C035">
                      <w:pPr>
                        <w:spacing w:line="240" w:lineRule="exact"/>
                        <w:ind w:firstLine="0" w:firstLineChars="0"/>
                        <w:rPr>
                          <w:rFonts w:ascii="华文行楷" w:hAnsi="华文行楷" w:eastAsia="华文行楷" w:cs="华文行楷"/>
                          <w:color w:val="000000" w:themeColor="text1"/>
                          <w:sz w:val="21"/>
                          <w:szCs w:val="21"/>
                          <w14:textFill>
                            <w14:solidFill>
                              <w14:schemeClr w14:val="tx1"/>
                            </w14:solidFill>
                          </w14:textFill>
                        </w:rPr>
                      </w:pPr>
                      <w:r>
                        <w:rPr>
                          <w:rFonts w:hint="eastAsia" w:ascii="华文行楷" w:hAnsi="华文行楷" w:eastAsia="华文行楷" w:cs="华文行楷"/>
                          <w:color w:val="000000" w:themeColor="text1"/>
                          <w:sz w:val="21"/>
                          <w:szCs w:val="21"/>
                          <w14:textFill>
                            <w14:solidFill>
                              <w14:schemeClr w14:val="tx1"/>
                            </w14:solidFill>
                          </w14:textFill>
                        </w:rPr>
                        <w:t>疏散方向</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17632" behindDoc="0" locked="0" layoutInCell="1" allowOverlap="1">
                <wp:simplePos x="0" y="0"/>
                <wp:positionH relativeFrom="column">
                  <wp:posOffset>4248785</wp:posOffset>
                </wp:positionH>
                <wp:positionV relativeFrom="paragraph">
                  <wp:posOffset>3945890</wp:posOffset>
                </wp:positionV>
                <wp:extent cx="289560" cy="2540"/>
                <wp:effectExtent l="0" t="54610" r="15240" b="57150"/>
                <wp:wrapNone/>
                <wp:docPr id="48" name="直接箭头连接符 48"/>
                <wp:cNvGraphicFramePr/>
                <a:graphic xmlns:a="http://schemas.openxmlformats.org/drawingml/2006/main">
                  <a:graphicData uri="http://schemas.microsoft.com/office/word/2010/wordprocessingShape">
                    <wps:wsp>
                      <wps:cNvCnPr/>
                      <wps:spPr>
                        <a:xfrm flipV="1">
                          <a:off x="0" y="0"/>
                          <a:ext cx="289560" cy="2540"/>
                        </a:xfrm>
                        <a:prstGeom prst="straightConnector1">
                          <a:avLst/>
                        </a:prstGeom>
                        <a:ln w="22225">
                          <a:solidFill>
                            <a:srgbClr val="FE06E9"/>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34.55pt;margin-top:310.7pt;height:0.2pt;width:22.8pt;z-index:251717632;mso-width-relative:page;mso-height-relative:page;" filled="f" stroked="t" coordsize="21600,21600" o:gfxdata="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EUOJU2AAAAAsBAAAPAAAAAAAAAAEAIAAAACIAAABk&#10;cnMvZG93bnJldi54bWxQSwECFAAUAAAACACHTuJA9yiCYgYCAADWAwAADgAAAAAAAAABACAAAAAn&#10;AQAAZHJzL2Uyb0RvYy54bWxQSwUGAAAAAAYABgBZAQAAnwUAAAAA&#10;">
                <v:fill on="f" focussize="0,0"/>
                <v:stroke weight="1.75pt" color="#FE06E9 [3204]"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16608" behindDoc="0" locked="0" layoutInCell="1" allowOverlap="1">
                <wp:simplePos x="0" y="0"/>
                <wp:positionH relativeFrom="column">
                  <wp:posOffset>4229735</wp:posOffset>
                </wp:positionH>
                <wp:positionV relativeFrom="paragraph">
                  <wp:posOffset>3636010</wp:posOffset>
                </wp:positionV>
                <wp:extent cx="295275" cy="142875"/>
                <wp:effectExtent l="6350" t="6350" r="22225" b="22225"/>
                <wp:wrapNone/>
                <wp:docPr id="50" name="矩形 50"/>
                <wp:cNvGraphicFramePr/>
                <a:graphic xmlns:a="http://schemas.openxmlformats.org/drawingml/2006/main">
                  <a:graphicData uri="http://schemas.microsoft.com/office/word/2010/wordprocessingShape">
                    <wps:wsp>
                      <wps:cNvSpPr/>
                      <wps:spPr>
                        <a:xfrm>
                          <a:off x="5372735" y="4531360"/>
                          <a:ext cx="295275" cy="142875"/>
                        </a:xfrm>
                        <a:prstGeom prst="rect">
                          <a:avLst/>
                        </a:prstGeom>
                        <a:solidFill>
                          <a:srgbClr val="FA0000">
                            <a:alpha val="50000"/>
                          </a:srgbClr>
                        </a:solidFill>
                        <a:ln w="12700" cmpd="sng">
                          <a:solidFill>
                            <a:srgbClr val="FA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3.05pt;margin-top:286.3pt;height:11.25pt;width:23.25pt;z-index:251716608;v-text-anchor:middle;mso-width-relative:page;mso-height-relative:page;" fillcolor="#FA0000" filled="t" stroked="t" coordsize="21600,21600" o:gfxdata="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hN6IxdoAAAALAQAADwAAAAAAAAABACAA&#10;AAAiAAAAZHJzL2Rvd25yZXYueG1sUEsBAhQAFAAAAAgAh07iQNQYl6t9AgAACwUAAA4AAAAAAAAA&#10;AQAgAAAAKQEAAGRycy9lMm9Eb2MueG1sUEsFBgAAAAAGAAYAWQEAABgGAAAAAA==&#10;">
                <v:fill on="t" opacity="32768f" focussize="0,0"/>
                <v:stroke weight="1pt" color="#FA0000 [3204]"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15584" behindDoc="0" locked="0" layoutInCell="1" allowOverlap="1">
                <wp:simplePos x="0" y="0"/>
                <wp:positionH relativeFrom="column">
                  <wp:posOffset>4505960</wp:posOffset>
                </wp:positionH>
                <wp:positionV relativeFrom="paragraph">
                  <wp:posOffset>3567430</wp:posOffset>
                </wp:positionV>
                <wp:extent cx="753110" cy="32512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753110" cy="3251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1A3D29">
                            <w:pPr>
                              <w:spacing w:line="240" w:lineRule="exact"/>
                              <w:ind w:firstLine="0" w:firstLineChars="0"/>
                              <w:rPr>
                                <w:rFonts w:ascii="华文行楷" w:hAnsi="华文行楷" w:eastAsia="华文行楷" w:cs="华文行楷"/>
                                <w:color w:val="000000" w:themeColor="text1"/>
                                <w:sz w:val="21"/>
                                <w:szCs w:val="21"/>
                                <w14:textFill>
                                  <w14:solidFill>
                                    <w14:schemeClr w14:val="tx1"/>
                                  </w14:solidFill>
                                </w14:textFill>
                              </w:rPr>
                            </w:pPr>
                            <w:r>
                              <w:rPr>
                                <w:rFonts w:hint="eastAsia" w:ascii="华文行楷" w:hAnsi="华文行楷" w:eastAsia="华文行楷" w:cs="华文行楷"/>
                                <w:color w:val="000000" w:themeColor="text1"/>
                                <w:sz w:val="21"/>
                                <w:szCs w:val="21"/>
                                <w14:textFill>
                                  <w14:solidFill>
                                    <w14:schemeClr w14:val="tx1"/>
                                  </w14:solidFill>
                                </w14:textFill>
                              </w:rPr>
                              <w:t>危险单元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4.8pt;margin-top:280.9pt;height:25.6pt;width:59.3pt;z-index:251715584;mso-width-relative:page;mso-height-relative:page;" filled="f" stroked="f" coordsize="21600,21600" o:gfxdata="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wj3E7cAAAACwEAAA8AAAAAAAAAAQAgAAAAIgAA&#10;AGRycy9kb3ducmV2LnhtbFBLAQIUABQAAAAIAIdO4kCIjJkPPQIAAGcEAAAOAAAAAAAAAAEAIAAA&#10;ACsBAABkcnMvZTJvRG9jLnhtbFBLBQYAAAAABgAGAFkBAADaBQAAAAA=&#10;">
                <v:fill on="f" focussize="0,0"/>
                <v:stroke on="f" weight="0.5pt"/>
                <v:imagedata o:title=""/>
                <o:lock v:ext="edit" aspectratio="f"/>
                <v:textbox>
                  <w:txbxContent>
                    <w:p w14:paraId="7B1A3D29">
                      <w:pPr>
                        <w:spacing w:line="240" w:lineRule="exact"/>
                        <w:ind w:firstLine="0" w:firstLineChars="0"/>
                        <w:rPr>
                          <w:rFonts w:ascii="华文行楷" w:hAnsi="华文行楷" w:eastAsia="华文行楷" w:cs="华文行楷"/>
                          <w:color w:val="000000" w:themeColor="text1"/>
                          <w:sz w:val="21"/>
                          <w:szCs w:val="21"/>
                          <w14:textFill>
                            <w14:solidFill>
                              <w14:schemeClr w14:val="tx1"/>
                            </w14:solidFill>
                          </w14:textFill>
                        </w:rPr>
                      </w:pPr>
                      <w:r>
                        <w:rPr>
                          <w:rFonts w:hint="eastAsia" w:ascii="华文行楷" w:hAnsi="华文行楷" w:eastAsia="华文行楷" w:cs="华文行楷"/>
                          <w:color w:val="000000" w:themeColor="text1"/>
                          <w:sz w:val="21"/>
                          <w:szCs w:val="21"/>
                          <w14:textFill>
                            <w14:solidFill>
                              <w14:schemeClr w14:val="tx1"/>
                            </w14:solidFill>
                          </w14:textFill>
                        </w:rPr>
                        <w:t>危险单元</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14560" behindDoc="0" locked="0" layoutInCell="1" allowOverlap="1">
                <wp:simplePos x="0" y="0"/>
                <wp:positionH relativeFrom="column">
                  <wp:posOffset>4429760</wp:posOffset>
                </wp:positionH>
                <wp:positionV relativeFrom="paragraph">
                  <wp:posOffset>3338830</wp:posOffset>
                </wp:positionV>
                <wp:extent cx="753110" cy="32512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753110" cy="3251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A2B92E">
                            <w:pPr>
                              <w:spacing w:line="240" w:lineRule="exact"/>
                              <w:ind w:firstLine="0" w:firstLineChars="0"/>
                              <w:rPr>
                                <w:rFonts w:ascii="华文行楷" w:hAnsi="华文行楷" w:eastAsia="华文行楷" w:cs="华文行楷"/>
                                <w:color w:val="000000" w:themeColor="text1"/>
                                <w:sz w:val="21"/>
                                <w:szCs w:val="21"/>
                                <w14:textFill>
                                  <w14:solidFill>
                                    <w14:schemeClr w14:val="tx1"/>
                                  </w14:solidFill>
                                </w14:textFill>
                              </w:rPr>
                            </w:pPr>
                            <w:r>
                              <w:rPr>
                                <w:rFonts w:hint="eastAsia" w:ascii="华文行楷" w:hAnsi="华文行楷" w:eastAsia="华文行楷" w:cs="华文行楷"/>
                                <w:color w:val="000000" w:themeColor="text1"/>
                                <w:sz w:val="21"/>
                                <w:szCs w:val="21"/>
                                <w14:textFill>
                                  <w14:solidFill>
                                    <w14:schemeClr w14:val="tx1"/>
                                  </w14:solidFill>
                                </w14:textFill>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8.8pt;margin-top:262.9pt;height:25.6pt;width:59.3pt;z-index:251714560;mso-width-relative:page;mso-height-relative:page;" filled="f" stroked="f" coordsize="21600,21600" o:gfxdata="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ZUzX29sAAAALAQAADwAAAAAAAAABACAAAAAiAAAA&#10;ZHJzL2Rvd25yZXYueG1sUEsBAhQAFAAAAAgAh07iQJeFgRA9AgAAZwQAAA4AAAAAAAAAAQAgAAAA&#10;KgEAAGRycy9lMm9Eb2MueG1sUEsFBgAAAAAGAAYAWQEAANkFAAAAAA==&#10;">
                <v:fill on="f" focussize="0,0"/>
                <v:stroke on="f" weight="0.5pt"/>
                <v:imagedata o:title=""/>
                <o:lock v:ext="edit" aspectratio="f"/>
                <v:textbox>
                  <w:txbxContent>
                    <w:p w14:paraId="1FA2B92E">
                      <w:pPr>
                        <w:spacing w:line="240" w:lineRule="exact"/>
                        <w:ind w:firstLine="0" w:firstLineChars="0"/>
                        <w:rPr>
                          <w:rFonts w:ascii="华文行楷" w:hAnsi="华文行楷" w:eastAsia="华文行楷" w:cs="华文行楷"/>
                          <w:color w:val="000000" w:themeColor="text1"/>
                          <w:sz w:val="21"/>
                          <w:szCs w:val="21"/>
                          <w14:textFill>
                            <w14:solidFill>
                              <w14:schemeClr w14:val="tx1"/>
                            </w14:solidFill>
                          </w14:textFill>
                        </w:rPr>
                      </w:pPr>
                      <w:r>
                        <w:rPr>
                          <w:rFonts w:hint="eastAsia" w:ascii="华文行楷" w:hAnsi="华文行楷" w:eastAsia="华文行楷" w:cs="华文行楷"/>
                          <w:color w:val="000000" w:themeColor="text1"/>
                          <w:sz w:val="21"/>
                          <w:szCs w:val="21"/>
                          <w14:textFill>
                            <w14:solidFill>
                              <w14:schemeClr w14:val="tx1"/>
                            </w14:solidFill>
                          </w14:textFill>
                        </w:rPr>
                        <w:t>图例</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13536" behindDoc="0" locked="0" layoutInCell="1" allowOverlap="1">
                <wp:simplePos x="0" y="0"/>
                <wp:positionH relativeFrom="column">
                  <wp:posOffset>4191635</wp:posOffset>
                </wp:positionH>
                <wp:positionV relativeFrom="paragraph">
                  <wp:posOffset>3350260</wp:posOffset>
                </wp:positionV>
                <wp:extent cx="962025" cy="788670"/>
                <wp:effectExtent l="6350" t="6350" r="22225" b="24130"/>
                <wp:wrapNone/>
                <wp:docPr id="58" name="矩形 58"/>
                <wp:cNvGraphicFramePr/>
                <a:graphic xmlns:a="http://schemas.openxmlformats.org/drawingml/2006/main">
                  <a:graphicData uri="http://schemas.microsoft.com/office/word/2010/wordprocessingShape">
                    <wps:wsp>
                      <wps:cNvSpPr/>
                      <wps:spPr>
                        <a:xfrm>
                          <a:off x="5477510" y="4207510"/>
                          <a:ext cx="962025" cy="788670"/>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0.05pt;margin-top:263.8pt;height:62.1pt;width:75.75pt;z-index:251713536;v-text-anchor:middle;mso-width-relative:page;mso-height-relative:page;" fillcolor="#FFFFFF [3212]" filled="t" stroked="t" coordsize="21600,21600" o:gfxdata="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t48k41wAAAAsBAAAPAAAAAAAAAAEAIAAAACIAAABkcnMvZG93bnJl&#10;di54bWxQSwECFAAUAAAACACHTuJAtE+9DnACAADqBAAADgAAAAAAAAABACAAAAAmAQAAZHJzL2Uy&#10;b0RvYy54bWxQSwUGAAAAAAYABgBZAQAACAYAAAAA&#10;">
                <v:fill on="t" focussize="0,0"/>
                <v:stroke weight="1pt" color="#000000 [3213]"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12512" behindDoc="0" locked="0" layoutInCell="1" allowOverlap="1">
                <wp:simplePos x="0" y="0"/>
                <wp:positionH relativeFrom="column">
                  <wp:posOffset>3267710</wp:posOffset>
                </wp:positionH>
                <wp:positionV relativeFrom="paragraph">
                  <wp:posOffset>1452880</wp:posOffset>
                </wp:positionV>
                <wp:extent cx="1638300" cy="457835"/>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638300" cy="4578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720ECC2">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储罐区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7.3pt;margin-top:114.4pt;height:36.05pt;width:129pt;z-index:251712512;mso-width-relative:page;mso-height-relative:page;" filled="f" stroked="f" coordsize="21600,21600" o:gfxdata="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LqD0k2wAAAAsBAAAPAAAAAAAAAAEAIAAAACIAAABk&#10;cnMvZG93bnJldi54bWxQSwECFAAUAAAACACHTuJAmueIvTwCAABoBAAADgAAAAAAAAABACAAAAAq&#10;AQAAZHJzL2Uyb0RvYy54bWxQSwUGAAAAAAYABgBZAQAA2AUAAAAA&#10;">
                <v:fill on="f" focussize="0,0"/>
                <v:stroke on="f" weight="0.5pt"/>
                <v:imagedata o:title=""/>
                <o:lock v:ext="edit" aspectratio="f"/>
                <v:textbox>
                  <w:txbxContent>
                    <w:p w14:paraId="7720ECC2">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储罐区</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11488" behindDoc="0" locked="0" layoutInCell="1" allowOverlap="1">
                <wp:simplePos x="0" y="0"/>
                <wp:positionH relativeFrom="column">
                  <wp:posOffset>867410</wp:posOffset>
                </wp:positionH>
                <wp:positionV relativeFrom="paragraph">
                  <wp:posOffset>1871980</wp:posOffset>
                </wp:positionV>
                <wp:extent cx="1638300" cy="457835"/>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1638300" cy="4578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27AE0D">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储罐区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8.3pt;margin-top:147.4pt;height:36.05pt;width:129pt;z-index:251711488;mso-width-relative:page;mso-height-relative:page;" filled="f" stroked="f" coordsize="21600,21600" o:gfxdata="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ZCIaktsAAAALAQAADwAAAAAAAAABACAAAAAiAAAAZHJz&#10;L2Rvd25yZXYueG1sUEsBAhQAFAAAAAgAh07iQCV6XmY6AgAAaAQAAA4AAAAAAAAAAQAgAAAAKgEA&#10;AGRycy9lMm9Eb2MueG1sUEsFBgAAAAAGAAYAWQEAANYFAAAAAA==&#10;">
                <v:fill on="f" focussize="0,0"/>
                <v:stroke on="f" weight="0.5pt"/>
                <v:imagedata o:title=""/>
                <o:lock v:ext="edit" aspectratio="f"/>
                <v:textbox>
                  <w:txbxContent>
                    <w:p w14:paraId="6527AE0D">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储罐区</w:t>
                      </w:r>
                    </w:p>
                  </w:txbxContent>
                </v:textbox>
              </v:shape>
            </w:pict>
          </mc:Fallback>
        </mc:AlternateContent>
      </w:r>
      <w:r>
        <w:rPr>
          <w:color w:val="000000" w:themeColor="text1"/>
          <w14:textFill>
            <w14:solidFill>
              <w14:schemeClr w14:val="tx1"/>
            </w14:solidFill>
          </w14:textFill>
        </w:rPr>
        <w:drawing>
          <wp:inline distT="0" distB="0" distL="0" distR="0">
            <wp:extent cx="5189855" cy="4695825"/>
            <wp:effectExtent l="9525" t="9525" r="20320" b="1905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87" cstate="print">
                      <a:extLst>
                        <a:ext uri="{28A0092B-C50C-407E-A947-70E740481C1C}">
                          <a14:useLocalDpi xmlns:a14="http://schemas.microsoft.com/office/drawing/2010/main" val="0"/>
                        </a:ext>
                      </a:extLst>
                    </a:blip>
                    <a:srcRect l="26980" t="3277" r="27398" b="38330"/>
                    <a:stretch>
                      <a:fillRect/>
                    </a:stretch>
                  </pic:blipFill>
                  <pic:spPr>
                    <a:xfrm>
                      <a:off x="0" y="0"/>
                      <a:ext cx="5189855" cy="4695825"/>
                    </a:xfrm>
                    <a:prstGeom prst="rect">
                      <a:avLst/>
                    </a:prstGeom>
                    <a:noFill/>
                    <a:ln>
                      <a:solidFill>
                        <a:schemeClr val="tx1"/>
                      </a:solidFill>
                    </a:ln>
                  </pic:spPr>
                </pic:pic>
              </a:graphicData>
            </a:graphic>
          </wp:inline>
        </w:drawing>
      </w:r>
    </w:p>
    <w:p w14:paraId="4E49C30D">
      <w:pPr>
        <w:pStyle w:val="8"/>
        <w:keepLines w:val="0"/>
        <w:rPr>
          <w:color w:val="000000" w:themeColor="text1"/>
          <w14:textFill>
            <w14:solidFill>
              <w14:schemeClr w14:val="tx1"/>
            </w14:solidFill>
          </w14:textFill>
        </w:rPr>
      </w:pPr>
      <w:r>
        <w:rPr>
          <w:color w:val="000000" w:themeColor="text1"/>
          <w14:textFill>
            <w14:solidFill>
              <w14:schemeClr w14:val="tx1"/>
            </w14:solidFill>
          </w14:textFill>
        </w:rPr>
        <w:t>危险单元分布图及风险事故疏散图</w:t>
      </w:r>
    </w:p>
    <w:p w14:paraId="73F4CB7B">
      <w:pPr>
        <w:pStyle w:val="6"/>
        <w:rPr>
          <w:color w:val="000000" w:themeColor="text1"/>
          <w14:textFill>
            <w14:solidFill>
              <w14:schemeClr w14:val="tx1"/>
            </w14:solidFill>
          </w14:textFill>
        </w:rPr>
      </w:pPr>
      <w:r>
        <w:rPr>
          <w:color w:val="000000" w:themeColor="text1"/>
          <w14:textFill>
            <w14:solidFill>
              <w14:schemeClr w14:val="tx1"/>
            </w14:solidFill>
          </w14:textFill>
        </w:rPr>
        <w:t>装卸、输送过程危险性识别</w:t>
      </w:r>
    </w:p>
    <w:p w14:paraId="64A26A57">
      <w:pPr>
        <w:ind w:firstLine="480"/>
        <w:rPr>
          <w:color w:val="000000" w:themeColor="text1"/>
          <w:u w:val="single"/>
          <w14:textFill>
            <w14:solidFill>
              <w14:schemeClr w14:val="tx1"/>
            </w14:solidFill>
          </w14:textFill>
        </w:rPr>
      </w:pPr>
      <w:r>
        <w:rPr>
          <w:color w:val="000000" w:themeColor="text1"/>
          <w14:textFill>
            <w14:solidFill>
              <w14:schemeClr w14:val="tx1"/>
            </w14:solidFill>
          </w14:textFill>
        </w:rPr>
        <w:t>根</w:t>
      </w:r>
      <w:r>
        <w:rPr>
          <w:color w:val="000000" w:themeColor="text1"/>
          <w:u w:val="single"/>
          <w14:textFill>
            <w14:solidFill>
              <w14:schemeClr w14:val="tx1"/>
            </w14:solidFill>
          </w14:textFill>
        </w:rPr>
        <w:t>据本项目化工品装卸的特点，该过程可能发生的污染事故及原因见下表。</w:t>
      </w:r>
    </w:p>
    <w:p w14:paraId="741FC974">
      <w:pPr>
        <w:pStyle w:val="7"/>
        <w:rPr>
          <w:color w:val="000000" w:themeColor="text1"/>
          <w:u w:val="single"/>
          <w14:textFill>
            <w14:solidFill>
              <w14:schemeClr w14:val="tx1"/>
            </w14:solidFill>
          </w14:textFill>
        </w:rPr>
      </w:pPr>
      <w:r>
        <w:rPr>
          <w:color w:val="000000" w:themeColor="text1"/>
          <w:u w:val="single"/>
          <w14:textFill>
            <w14:solidFill>
              <w14:schemeClr w14:val="tx1"/>
            </w14:solidFill>
          </w14:textFill>
        </w:rPr>
        <w:t>码头装卸和管线的风险环节分析一览表</w:t>
      </w:r>
    </w:p>
    <w:tbl>
      <w:tblPr>
        <w:tblStyle w:val="43"/>
        <w:tblW w:w="82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87"/>
        <w:gridCol w:w="852"/>
        <w:gridCol w:w="5074"/>
        <w:gridCol w:w="1663"/>
      </w:tblGrid>
      <w:tr w14:paraId="3C2C78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blHeader/>
        </w:trPr>
        <w:tc>
          <w:tcPr>
            <w:tcW w:w="687" w:type="dxa"/>
            <w:vAlign w:val="center"/>
          </w:tcPr>
          <w:p w14:paraId="476205AB">
            <w:pPr>
              <w:pStyle w:val="70"/>
              <w:rPr>
                <w:rFonts w:eastAsiaTheme="minorEastAsia"/>
                <w:b/>
                <w:bCs/>
                <w:color w:val="000000" w:themeColor="text1"/>
                <w:lang w:eastAsia="en-US"/>
                <w14:textFill>
                  <w14:solidFill>
                    <w14:schemeClr w14:val="tx1"/>
                  </w14:solidFill>
                </w14:textFill>
              </w:rPr>
            </w:pPr>
            <w:r>
              <w:rPr>
                <w:rFonts w:eastAsiaTheme="minorEastAsia"/>
                <w:b/>
                <w:bCs/>
                <w:color w:val="000000" w:themeColor="text1"/>
                <w:lang w:eastAsia="en-US"/>
                <w14:textFill>
                  <w14:solidFill>
                    <w14:schemeClr w14:val="tx1"/>
                  </w14:solidFill>
                </w14:textFill>
              </w:rPr>
              <w:t>危险单元</w:t>
            </w:r>
          </w:p>
        </w:tc>
        <w:tc>
          <w:tcPr>
            <w:tcW w:w="852" w:type="dxa"/>
            <w:vAlign w:val="center"/>
          </w:tcPr>
          <w:p w14:paraId="409D09C1">
            <w:pPr>
              <w:pStyle w:val="70"/>
              <w:rPr>
                <w:rFonts w:eastAsiaTheme="minorEastAsia"/>
                <w:b/>
                <w:bCs/>
                <w:color w:val="000000" w:themeColor="text1"/>
                <w:lang w:eastAsia="en-US"/>
                <w14:textFill>
                  <w14:solidFill>
                    <w14:schemeClr w14:val="tx1"/>
                  </w14:solidFill>
                </w14:textFill>
              </w:rPr>
            </w:pPr>
            <w:r>
              <w:rPr>
                <w:rFonts w:eastAsiaTheme="minorEastAsia"/>
                <w:b/>
                <w:bCs/>
                <w:color w:val="000000" w:themeColor="text1"/>
                <w:lang w:eastAsia="en-US"/>
                <w14:textFill>
                  <w14:solidFill>
                    <w14:schemeClr w14:val="tx1"/>
                  </w14:solidFill>
                </w14:textFill>
              </w:rPr>
              <w:t>风险事故类型</w:t>
            </w:r>
          </w:p>
        </w:tc>
        <w:tc>
          <w:tcPr>
            <w:tcW w:w="5074" w:type="dxa"/>
            <w:vAlign w:val="center"/>
          </w:tcPr>
          <w:p w14:paraId="354F8715">
            <w:pPr>
              <w:pStyle w:val="70"/>
              <w:rPr>
                <w:rFonts w:eastAsiaTheme="minorEastAsia"/>
                <w:b/>
                <w:bCs/>
                <w:color w:val="000000" w:themeColor="text1"/>
                <w14:textFill>
                  <w14:solidFill>
                    <w14:schemeClr w14:val="tx1"/>
                  </w14:solidFill>
                </w14:textFill>
              </w:rPr>
            </w:pPr>
            <w:r>
              <w:rPr>
                <w:rFonts w:eastAsiaTheme="minorEastAsia"/>
                <w:b/>
                <w:bCs/>
                <w:color w:val="000000" w:themeColor="text1"/>
                <w14:textFill>
                  <w14:solidFill>
                    <w14:schemeClr w14:val="tx1"/>
                  </w14:solidFill>
                </w14:textFill>
              </w:rPr>
              <w:t>转化为事故的触发因素</w:t>
            </w:r>
          </w:p>
        </w:tc>
        <w:tc>
          <w:tcPr>
            <w:tcW w:w="1663" w:type="dxa"/>
            <w:vAlign w:val="center"/>
          </w:tcPr>
          <w:p w14:paraId="77A618C0">
            <w:pPr>
              <w:pStyle w:val="70"/>
              <w:rPr>
                <w:rFonts w:eastAsiaTheme="minorEastAsia"/>
                <w:b/>
                <w:bCs/>
                <w:color w:val="000000" w:themeColor="text1"/>
                <w:lang w:eastAsia="en-US"/>
                <w14:textFill>
                  <w14:solidFill>
                    <w14:schemeClr w14:val="tx1"/>
                  </w14:solidFill>
                </w14:textFill>
              </w:rPr>
            </w:pPr>
            <w:r>
              <w:rPr>
                <w:rFonts w:eastAsiaTheme="minorEastAsia"/>
                <w:b/>
                <w:bCs/>
                <w:color w:val="000000" w:themeColor="text1"/>
                <w:lang w:eastAsia="en-US"/>
                <w14:textFill>
                  <w14:solidFill>
                    <w14:schemeClr w14:val="tx1"/>
                  </w14:solidFill>
                </w14:textFill>
              </w:rPr>
              <w:t>危险性</w:t>
            </w:r>
          </w:p>
        </w:tc>
      </w:tr>
      <w:tr w14:paraId="630FE9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87" w:type="dxa"/>
            <w:vMerge w:val="restart"/>
            <w:vAlign w:val="center"/>
          </w:tcPr>
          <w:p w14:paraId="26653250">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码头</w:t>
            </w:r>
          </w:p>
        </w:tc>
        <w:tc>
          <w:tcPr>
            <w:tcW w:w="852" w:type="dxa"/>
            <w:vAlign w:val="center"/>
          </w:tcPr>
          <w:p w14:paraId="730536F9">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化工品泄漏</w:t>
            </w:r>
          </w:p>
        </w:tc>
        <w:tc>
          <w:tcPr>
            <w:tcW w:w="5074" w:type="dxa"/>
            <w:vAlign w:val="center"/>
          </w:tcPr>
          <w:p w14:paraId="3F8CCA2E">
            <w:pPr>
              <w:pStyle w:val="70"/>
              <w:rPr>
                <w:rFonts w:eastAsiaTheme="minorEastAsia"/>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rFonts w:eastAsiaTheme="minorEastAsia"/>
                <w:color w:val="000000" w:themeColor="text1"/>
                <w14:textFill>
                  <w14:solidFill>
                    <w14:schemeClr w14:val="tx1"/>
                  </w14:solidFill>
                </w14:textFill>
              </w:rPr>
              <w:t>输油臂选型不当、质量低劣、接头</w:t>
            </w:r>
            <w:r>
              <w:rPr>
                <w:rFonts w:hint="eastAsia" w:eastAsiaTheme="minorEastAsia"/>
                <w:color w:val="000000" w:themeColor="text1"/>
                <w:lang w:eastAsia="zh-CN"/>
                <w14:textFill>
                  <w14:solidFill>
                    <w14:schemeClr w14:val="tx1"/>
                  </w14:solidFill>
                </w14:textFill>
              </w:rPr>
              <w:t>变形</w:t>
            </w:r>
            <w:r>
              <w:rPr>
                <w:rFonts w:eastAsiaTheme="minorEastAsia"/>
                <w:color w:val="000000" w:themeColor="text1"/>
                <w14:textFill>
                  <w14:solidFill>
                    <w14:schemeClr w14:val="tx1"/>
                  </w14:solidFill>
                </w14:textFill>
              </w:rPr>
              <w:t>，导致泄漏；</w:t>
            </w:r>
            <w:r>
              <w:rPr>
                <w:rFonts w:hint="eastAsia" w:ascii="宋体" w:hAnsi="宋体" w:cs="宋体"/>
                <w:color w:val="000000" w:themeColor="text1"/>
                <w14:textFill>
                  <w14:solidFill>
                    <w14:schemeClr w14:val="tx1"/>
                  </w14:solidFill>
                </w14:textFill>
              </w:rPr>
              <w:t>②</w:t>
            </w:r>
            <w:r>
              <w:rPr>
                <w:rFonts w:eastAsiaTheme="minorEastAsia"/>
                <w:color w:val="000000" w:themeColor="text1"/>
                <w14:textFill>
                  <w14:solidFill>
                    <w14:schemeClr w14:val="tx1"/>
                  </w14:solidFill>
                </w14:textFill>
              </w:rPr>
              <w:t>法兰密封不良而出现泄漏；</w:t>
            </w:r>
            <w:r>
              <w:rPr>
                <w:rFonts w:hint="eastAsia" w:ascii="宋体" w:hAnsi="宋体" w:cs="宋体"/>
                <w:color w:val="000000" w:themeColor="text1"/>
                <w14:textFill>
                  <w14:solidFill>
                    <w14:schemeClr w14:val="tx1"/>
                  </w14:solidFill>
                </w14:textFill>
              </w:rPr>
              <w:t>③</w:t>
            </w:r>
            <w:r>
              <w:rPr>
                <w:rFonts w:eastAsiaTheme="minorEastAsia"/>
                <w:color w:val="000000" w:themeColor="text1"/>
                <w14:textFill>
                  <w14:solidFill>
                    <w14:schemeClr w14:val="tx1"/>
                  </w14:solidFill>
                </w14:textFill>
              </w:rPr>
              <w:t>作业人员违章作业，造成管道超压破损或直接泄漏；</w:t>
            </w:r>
            <w:r>
              <w:rPr>
                <w:rFonts w:hint="eastAsia" w:ascii="宋体" w:hAnsi="宋体" w:cs="宋体"/>
                <w:color w:val="000000" w:themeColor="text1"/>
                <w14:textFill>
                  <w14:solidFill>
                    <w14:schemeClr w14:val="tx1"/>
                  </w14:solidFill>
                </w14:textFill>
              </w:rPr>
              <w:t>④</w:t>
            </w:r>
            <w:r>
              <w:rPr>
                <w:rFonts w:eastAsiaTheme="minorEastAsia"/>
                <w:color w:val="000000" w:themeColor="text1"/>
                <w14:textFill>
                  <w14:solidFill>
                    <w14:schemeClr w14:val="tx1"/>
                  </w14:solidFill>
                </w14:textFill>
              </w:rPr>
              <w:t>船、码头、库区三方之间通信联络有误或衔接不当，导致泄漏；</w:t>
            </w:r>
            <w:r>
              <w:rPr>
                <w:rFonts w:hint="eastAsia" w:ascii="宋体" w:hAnsi="宋体" w:cs="宋体"/>
                <w:color w:val="000000" w:themeColor="text1"/>
                <w14:textFill>
                  <w14:solidFill>
                    <w14:schemeClr w14:val="tx1"/>
                  </w14:solidFill>
                </w14:textFill>
              </w:rPr>
              <w:t>⑤</w:t>
            </w:r>
            <w:r>
              <w:rPr>
                <w:rFonts w:eastAsiaTheme="minorEastAsia"/>
                <w:color w:val="000000" w:themeColor="text1"/>
                <w14:textFill>
                  <w14:solidFill>
                    <w14:schemeClr w14:val="tx1"/>
                  </w14:solidFill>
                </w14:textFill>
              </w:rPr>
              <w:t>码头装卸工艺控制系统发生故障，导致误运作或控制失灵，引发泄漏事故。</w:t>
            </w:r>
          </w:p>
        </w:tc>
        <w:tc>
          <w:tcPr>
            <w:tcW w:w="1663" w:type="dxa"/>
            <w:vAlign w:val="center"/>
          </w:tcPr>
          <w:p w14:paraId="1800DB50">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泄漏化学品从</w:t>
            </w:r>
            <w:r>
              <w:rPr>
                <w:rFonts w:hint="eastAsia" w:eastAsiaTheme="minorEastAsia"/>
                <w:color w:val="000000" w:themeColor="text1"/>
                <w:lang w:eastAsia="zh-CN"/>
                <w14:textFill>
                  <w14:solidFill>
                    <w14:schemeClr w14:val="tx1"/>
                  </w14:solidFill>
                </w14:textFill>
              </w:rPr>
              <w:t>码头</w:t>
            </w:r>
            <w:r>
              <w:rPr>
                <w:rFonts w:eastAsiaTheme="minorEastAsia"/>
                <w:color w:val="000000" w:themeColor="text1"/>
                <w14:textFill>
                  <w14:solidFill>
                    <w14:schemeClr w14:val="tx1"/>
                  </w14:solidFill>
                </w14:textFill>
              </w:rPr>
              <w:t>排入海洋引起水体污染</w:t>
            </w:r>
          </w:p>
        </w:tc>
      </w:tr>
      <w:tr w14:paraId="31C67E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87" w:type="dxa"/>
            <w:vMerge w:val="continue"/>
            <w:vAlign w:val="center"/>
          </w:tcPr>
          <w:p w14:paraId="79900BBB">
            <w:pPr>
              <w:pStyle w:val="70"/>
              <w:rPr>
                <w:rFonts w:eastAsiaTheme="minorEastAsia"/>
                <w:color w:val="000000" w:themeColor="text1"/>
                <w14:textFill>
                  <w14:solidFill>
                    <w14:schemeClr w14:val="tx1"/>
                  </w14:solidFill>
                </w14:textFill>
              </w:rPr>
            </w:pPr>
          </w:p>
        </w:tc>
        <w:tc>
          <w:tcPr>
            <w:tcW w:w="852" w:type="dxa"/>
            <w:vAlign w:val="center"/>
          </w:tcPr>
          <w:p w14:paraId="360775E5">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化工品火灾和爆炸</w:t>
            </w:r>
          </w:p>
        </w:tc>
        <w:tc>
          <w:tcPr>
            <w:tcW w:w="5074" w:type="dxa"/>
            <w:vAlign w:val="center"/>
          </w:tcPr>
          <w:p w14:paraId="729DFD96">
            <w:pPr>
              <w:pStyle w:val="70"/>
              <w:rPr>
                <w:rFonts w:eastAsiaTheme="minorEastAsia"/>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rFonts w:eastAsiaTheme="minorEastAsia"/>
                <w:color w:val="000000" w:themeColor="text1"/>
                <w14:textFill>
                  <w14:solidFill>
                    <w14:schemeClr w14:val="tx1"/>
                  </w14:solidFill>
                </w14:textFill>
              </w:rPr>
              <w:t>设备检修过程中，违章进行焊接、切割等动火作业，易引发火灾爆炸事故；</w:t>
            </w:r>
            <w:r>
              <w:rPr>
                <w:rFonts w:hint="eastAsia" w:ascii="宋体" w:hAnsi="宋体" w:cs="宋体"/>
                <w:color w:val="000000" w:themeColor="text1"/>
                <w14:textFill>
                  <w14:solidFill>
                    <w14:schemeClr w14:val="tx1"/>
                  </w14:solidFill>
                </w14:textFill>
              </w:rPr>
              <w:t>②</w:t>
            </w:r>
            <w:r>
              <w:rPr>
                <w:rFonts w:eastAsiaTheme="minorEastAsia"/>
                <w:color w:val="000000" w:themeColor="text1"/>
                <w14:textFill>
                  <w14:solidFill>
                    <w14:schemeClr w14:val="tx1"/>
                  </w14:solidFill>
                </w14:textFill>
              </w:rPr>
              <w:t>静电放电点燃油气，导致火灾爆炸事故；</w:t>
            </w:r>
            <w:r>
              <w:rPr>
                <w:rFonts w:hint="eastAsia" w:ascii="宋体" w:hAnsi="宋体" w:cs="宋体"/>
                <w:color w:val="000000" w:themeColor="text1"/>
                <w14:textFill>
                  <w14:solidFill>
                    <w14:schemeClr w14:val="tx1"/>
                  </w14:solidFill>
                </w14:textFill>
              </w:rPr>
              <w:t>③</w:t>
            </w:r>
            <w:r>
              <w:rPr>
                <w:rFonts w:eastAsiaTheme="minorEastAsia"/>
                <w:color w:val="000000" w:themeColor="text1"/>
                <w14:textFill>
                  <w14:solidFill>
                    <w14:schemeClr w14:val="tx1"/>
                  </w14:solidFill>
                </w14:textFill>
              </w:rPr>
              <w:t>电气设备设施存在质量缺陷或操作不当，产生电火花或电弧，可能点燃油品或其蒸气，导致火灾爆炸事故；</w:t>
            </w:r>
            <w:r>
              <w:rPr>
                <w:rFonts w:hint="eastAsia" w:ascii="宋体" w:hAnsi="宋体" w:cs="宋体"/>
                <w:color w:val="000000" w:themeColor="text1"/>
                <w14:textFill>
                  <w14:solidFill>
                    <w14:schemeClr w14:val="tx1"/>
                  </w14:solidFill>
                </w14:textFill>
              </w:rPr>
              <w:t>④</w:t>
            </w:r>
            <w:r>
              <w:rPr>
                <w:rFonts w:eastAsiaTheme="minorEastAsia"/>
                <w:color w:val="000000" w:themeColor="text1"/>
                <w14:textFill>
                  <w14:solidFill>
                    <w14:schemeClr w14:val="tx1"/>
                  </w14:solidFill>
                </w14:textFill>
              </w:rPr>
              <w:t>船舶、码头附近出现明火，可能点燃蒸气，导致火灾爆炸事故。</w:t>
            </w:r>
          </w:p>
        </w:tc>
        <w:tc>
          <w:tcPr>
            <w:tcW w:w="1663" w:type="dxa"/>
            <w:vAlign w:val="center"/>
          </w:tcPr>
          <w:p w14:paraId="444FEA14">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油气蒸发由大气扩散或火灾、爆炸产生二次污染物由大气扩散导致周围人员中毒</w:t>
            </w:r>
          </w:p>
        </w:tc>
      </w:tr>
      <w:tr w14:paraId="2D3F3C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87" w:type="dxa"/>
            <w:vMerge w:val="restart"/>
            <w:vAlign w:val="center"/>
          </w:tcPr>
          <w:p w14:paraId="611DB08D">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管线</w:t>
            </w:r>
          </w:p>
        </w:tc>
        <w:tc>
          <w:tcPr>
            <w:tcW w:w="852" w:type="dxa"/>
            <w:vAlign w:val="center"/>
          </w:tcPr>
          <w:p w14:paraId="5E8C91D1">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化工品泄漏</w:t>
            </w:r>
          </w:p>
        </w:tc>
        <w:tc>
          <w:tcPr>
            <w:tcW w:w="5074" w:type="dxa"/>
            <w:vAlign w:val="center"/>
          </w:tcPr>
          <w:p w14:paraId="0B7C48A7">
            <w:pPr>
              <w:pStyle w:val="70"/>
              <w:rPr>
                <w:rFonts w:eastAsiaTheme="minorEastAsia"/>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rFonts w:eastAsiaTheme="minorEastAsia"/>
                <w:color w:val="000000" w:themeColor="text1"/>
                <w14:textFill>
                  <w14:solidFill>
                    <w14:schemeClr w14:val="tx1"/>
                  </w14:solidFill>
                </w14:textFill>
              </w:rPr>
              <w:t>管道选型不当、质量低劣、焊接质量差、柔性考虑不足，管线断裂导致泄漏；</w:t>
            </w:r>
            <w:r>
              <w:rPr>
                <w:rFonts w:hint="eastAsia" w:ascii="宋体" w:hAnsi="宋体" w:cs="宋体"/>
                <w:color w:val="000000" w:themeColor="text1"/>
                <w14:textFill>
                  <w14:solidFill>
                    <w14:schemeClr w14:val="tx1"/>
                  </w14:solidFill>
                </w14:textFill>
              </w:rPr>
              <w:t>②</w:t>
            </w:r>
            <w:r>
              <w:rPr>
                <w:rFonts w:eastAsiaTheme="minorEastAsia"/>
                <w:color w:val="000000" w:themeColor="text1"/>
                <w14:textFill>
                  <w14:solidFill>
                    <w14:schemeClr w14:val="tx1"/>
                  </w14:solidFill>
                </w14:textFill>
              </w:rPr>
              <w:t>管道系统因腐蚀、磨损而造成管壁减薄穿孔，伸缩节渗漏、导致泄漏；</w:t>
            </w:r>
            <w:r>
              <w:rPr>
                <w:rFonts w:hint="eastAsia" w:ascii="宋体" w:hAnsi="宋体" w:cs="宋体"/>
                <w:color w:val="000000" w:themeColor="text1"/>
                <w14:textFill>
                  <w14:solidFill>
                    <w14:schemeClr w14:val="tx1"/>
                  </w14:solidFill>
                </w14:textFill>
              </w:rPr>
              <w:t>③</w:t>
            </w:r>
            <w:r>
              <w:rPr>
                <w:rFonts w:eastAsiaTheme="minorEastAsia"/>
                <w:color w:val="000000" w:themeColor="text1"/>
                <w14:textFill>
                  <w14:solidFill>
                    <w14:schemeClr w14:val="tx1"/>
                  </w14:solidFill>
                </w14:textFill>
              </w:rPr>
              <w:t>疲劳失效，造成管道超压破损导致泄漏。</w:t>
            </w:r>
          </w:p>
        </w:tc>
        <w:tc>
          <w:tcPr>
            <w:tcW w:w="1663" w:type="dxa"/>
            <w:vAlign w:val="center"/>
          </w:tcPr>
          <w:p w14:paraId="13632870">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泄漏油品通过地面漫流排入海洋引起水体污染</w:t>
            </w:r>
          </w:p>
        </w:tc>
      </w:tr>
      <w:tr w14:paraId="2B2D19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87" w:type="dxa"/>
            <w:vMerge w:val="continue"/>
            <w:vAlign w:val="center"/>
          </w:tcPr>
          <w:p w14:paraId="4EA72F24">
            <w:pPr>
              <w:pStyle w:val="70"/>
              <w:rPr>
                <w:rFonts w:eastAsiaTheme="minorEastAsia"/>
                <w:color w:val="000000" w:themeColor="text1"/>
                <w14:textFill>
                  <w14:solidFill>
                    <w14:schemeClr w14:val="tx1"/>
                  </w14:solidFill>
                </w14:textFill>
              </w:rPr>
            </w:pPr>
          </w:p>
        </w:tc>
        <w:tc>
          <w:tcPr>
            <w:tcW w:w="852" w:type="dxa"/>
            <w:vAlign w:val="center"/>
          </w:tcPr>
          <w:p w14:paraId="242F5CD1">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化工品火灾和爆炸</w:t>
            </w:r>
          </w:p>
        </w:tc>
        <w:tc>
          <w:tcPr>
            <w:tcW w:w="5074" w:type="dxa"/>
            <w:vAlign w:val="center"/>
          </w:tcPr>
          <w:p w14:paraId="44476BD9">
            <w:pPr>
              <w:pStyle w:val="70"/>
              <w:rPr>
                <w:rFonts w:eastAsiaTheme="minorEastAsia"/>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rFonts w:eastAsiaTheme="minorEastAsia"/>
                <w:color w:val="000000" w:themeColor="text1"/>
                <w14:textFill>
                  <w14:solidFill>
                    <w14:schemeClr w14:val="tx1"/>
                  </w14:solidFill>
                </w14:textFill>
              </w:rPr>
              <w:t>设备检修过程中，违章进行焊接、切割等动火作业，易引发火灾爆炸事故；</w:t>
            </w:r>
            <w:r>
              <w:rPr>
                <w:rFonts w:hint="eastAsia" w:ascii="宋体" w:hAnsi="宋体" w:cs="宋体"/>
                <w:color w:val="000000" w:themeColor="text1"/>
                <w14:textFill>
                  <w14:solidFill>
                    <w14:schemeClr w14:val="tx1"/>
                  </w14:solidFill>
                </w14:textFill>
              </w:rPr>
              <w:t>②</w:t>
            </w:r>
            <w:r>
              <w:rPr>
                <w:rFonts w:eastAsiaTheme="minorEastAsia"/>
                <w:color w:val="000000" w:themeColor="text1"/>
                <w14:textFill>
                  <w14:solidFill>
                    <w14:schemeClr w14:val="tx1"/>
                  </w14:solidFill>
                </w14:textFill>
              </w:rPr>
              <w:t>静电放电点燃气态油品，导致火灾爆炸事故；</w:t>
            </w:r>
            <w:r>
              <w:rPr>
                <w:rFonts w:hint="eastAsia" w:ascii="宋体" w:hAnsi="宋体" w:cs="宋体"/>
                <w:color w:val="000000" w:themeColor="text1"/>
                <w14:textFill>
                  <w14:solidFill>
                    <w14:schemeClr w14:val="tx1"/>
                  </w14:solidFill>
                </w14:textFill>
              </w:rPr>
              <w:t>③</w:t>
            </w:r>
            <w:r>
              <w:rPr>
                <w:rFonts w:eastAsiaTheme="minorEastAsia"/>
                <w:color w:val="000000" w:themeColor="text1"/>
                <w14:textFill>
                  <w14:solidFill>
                    <w14:schemeClr w14:val="tx1"/>
                  </w14:solidFill>
                </w14:textFill>
              </w:rPr>
              <w:t>电气设备设施存在质量缺陷或操作不当，产生电火花或电弧，可能点燃油品或其蒸气，导致火灾爆炸事故；</w:t>
            </w:r>
            <w:r>
              <w:rPr>
                <w:rFonts w:hint="eastAsia" w:ascii="宋体" w:hAnsi="宋体" w:cs="宋体"/>
                <w:color w:val="000000" w:themeColor="text1"/>
                <w14:textFill>
                  <w14:solidFill>
                    <w14:schemeClr w14:val="tx1"/>
                  </w14:solidFill>
                </w14:textFill>
              </w:rPr>
              <w:t>④</w:t>
            </w:r>
            <w:r>
              <w:rPr>
                <w:rFonts w:eastAsiaTheme="minorEastAsia"/>
                <w:color w:val="000000" w:themeColor="text1"/>
                <w14:textFill>
                  <w14:solidFill>
                    <w14:schemeClr w14:val="tx1"/>
                  </w14:solidFill>
                </w14:textFill>
              </w:rPr>
              <w:t>管线附近出现明火，可能点燃蒸气，导致火灾爆炸事故。</w:t>
            </w:r>
          </w:p>
        </w:tc>
        <w:tc>
          <w:tcPr>
            <w:tcW w:w="1663" w:type="dxa"/>
            <w:vAlign w:val="center"/>
          </w:tcPr>
          <w:p w14:paraId="5A9C1B5B">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油气蒸发由大气扩散或火灾、爆炸产生二次污染物由大气扩散导致周围人员中毒</w:t>
            </w:r>
          </w:p>
        </w:tc>
      </w:tr>
    </w:tbl>
    <w:p w14:paraId="43438FDD">
      <w:pPr>
        <w:pStyle w:val="6"/>
        <w:rPr>
          <w:color w:val="000000" w:themeColor="text1"/>
          <w14:textFill>
            <w14:solidFill>
              <w14:schemeClr w14:val="tx1"/>
            </w14:solidFill>
          </w14:textFill>
        </w:rPr>
      </w:pPr>
      <w:r>
        <w:rPr>
          <w:color w:val="000000" w:themeColor="text1"/>
          <w14:textFill>
            <w14:solidFill>
              <w14:schemeClr w14:val="tx1"/>
            </w14:solidFill>
          </w14:textFill>
        </w:rPr>
        <w:t>船舶运输过程中危险性识别</w:t>
      </w:r>
    </w:p>
    <w:p w14:paraId="53B5C35D">
      <w:pPr>
        <w:ind w:firstLine="480"/>
        <w:rPr>
          <w:color w:val="000000" w:themeColor="text1"/>
          <w14:textFill>
            <w14:solidFill>
              <w14:schemeClr w14:val="tx1"/>
            </w14:solidFill>
          </w14:textFill>
        </w:rPr>
      </w:pPr>
      <w:r>
        <w:rPr>
          <w:color w:val="000000" w:themeColor="text1"/>
          <w14:textFill>
            <w14:solidFill>
              <w14:schemeClr w14:val="tx1"/>
            </w14:solidFill>
          </w14:textFill>
        </w:rPr>
        <w:t>船舶在入港航道中，由于船舶因素、人为因素、天气因素等可能造成船舶相互碰撞或船舶撞击码头，导致化工品泄漏，污染周边海水环境，甚至引发火灾、爆炸，污染水体及大气环境，危害人群健康。</w:t>
      </w:r>
    </w:p>
    <w:p w14:paraId="24AAF3E8">
      <w:pPr>
        <w:pStyle w:val="7"/>
        <w:rPr>
          <w:color w:val="000000" w:themeColor="text1"/>
          <w14:textFill>
            <w14:solidFill>
              <w14:schemeClr w14:val="tx1"/>
            </w14:solidFill>
          </w14:textFill>
        </w:rPr>
      </w:pPr>
      <w:r>
        <w:rPr>
          <w:color w:val="000000" w:themeColor="text1"/>
          <w14:textFill>
            <w14:solidFill>
              <w14:schemeClr w14:val="tx1"/>
            </w14:solidFill>
          </w14:textFill>
        </w:rPr>
        <w:t>水上运输风险环节分析一览表</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94"/>
        <w:gridCol w:w="709"/>
        <w:gridCol w:w="1276"/>
        <w:gridCol w:w="4394"/>
        <w:gridCol w:w="1203"/>
      </w:tblGrid>
      <w:tr w14:paraId="5179DD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94" w:type="dxa"/>
            <w:vAlign w:val="center"/>
          </w:tcPr>
          <w:p w14:paraId="6508610F">
            <w:pPr>
              <w:pStyle w:val="70"/>
              <w:rPr>
                <w:rFonts w:eastAsiaTheme="minorEastAsia"/>
                <w:b/>
                <w:bCs/>
                <w:color w:val="000000" w:themeColor="text1"/>
                <w14:textFill>
                  <w14:solidFill>
                    <w14:schemeClr w14:val="tx1"/>
                  </w14:solidFill>
                </w14:textFill>
              </w:rPr>
            </w:pPr>
            <w:r>
              <w:rPr>
                <w:rFonts w:eastAsiaTheme="minorEastAsia"/>
                <w:b/>
                <w:bCs/>
                <w:color w:val="000000" w:themeColor="text1"/>
                <w14:textFill>
                  <w14:solidFill>
                    <w14:schemeClr w14:val="tx1"/>
                  </w14:solidFill>
                </w14:textFill>
              </w:rPr>
              <w:t>发生地点</w:t>
            </w:r>
          </w:p>
        </w:tc>
        <w:tc>
          <w:tcPr>
            <w:tcW w:w="709" w:type="dxa"/>
            <w:vAlign w:val="center"/>
          </w:tcPr>
          <w:p w14:paraId="26090BF1">
            <w:pPr>
              <w:pStyle w:val="70"/>
              <w:rPr>
                <w:rFonts w:eastAsiaTheme="minorEastAsia"/>
                <w:b/>
                <w:bCs/>
                <w:color w:val="000000" w:themeColor="text1"/>
                <w14:textFill>
                  <w14:solidFill>
                    <w14:schemeClr w14:val="tx1"/>
                  </w14:solidFill>
                </w14:textFill>
              </w:rPr>
            </w:pPr>
            <w:r>
              <w:rPr>
                <w:rFonts w:eastAsiaTheme="minorEastAsia"/>
                <w:b/>
                <w:bCs/>
                <w:color w:val="000000" w:themeColor="text1"/>
                <w14:textFill>
                  <w14:solidFill>
                    <w14:schemeClr w14:val="tx1"/>
                  </w14:solidFill>
                </w14:textFill>
              </w:rPr>
              <w:t>危险单元</w:t>
            </w:r>
          </w:p>
        </w:tc>
        <w:tc>
          <w:tcPr>
            <w:tcW w:w="1276" w:type="dxa"/>
            <w:vAlign w:val="center"/>
          </w:tcPr>
          <w:p w14:paraId="3FDBC01A">
            <w:pPr>
              <w:pStyle w:val="70"/>
              <w:rPr>
                <w:rFonts w:eastAsiaTheme="minorEastAsia"/>
                <w:b/>
                <w:bCs/>
                <w:color w:val="000000" w:themeColor="text1"/>
                <w14:textFill>
                  <w14:solidFill>
                    <w14:schemeClr w14:val="tx1"/>
                  </w14:solidFill>
                </w14:textFill>
              </w:rPr>
            </w:pPr>
            <w:r>
              <w:rPr>
                <w:rFonts w:eastAsiaTheme="minorEastAsia"/>
                <w:b/>
                <w:bCs/>
                <w:color w:val="000000" w:themeColor="text1"/>
                <w14:textFill>
                  <w14:solidFill>
                    <w14:schemeClr w14:val="tx1"/>
                  </w14:solidFill>
                </w14:textFill>
              </w:rPr>
              <w:t>风险事故类型</w:t>
            </w:r>
          </w:p>
        </w:tc>
        <w:tc>
          <w:tcPr>
            <w:tcW w:w="4394" w:type="dxa"/>
            <w:vAlign w:val="center"/>
          </w:tcPr>
          <w:p w14:paraId="1724F57A">
            <w:pPr>
              <w:pStyle w:val="70"/>
              <w:rPr>
                <w:rFonts w:eastAsiaTheme="minorEastAsia"/>
                <w:b/>
                <w:bCs/>
                <w:color w:val="000000" w:themeColor="text1"/>
                <w14:textFill>
                  <w14:solidFill>
                    <w14:schemeClr w14:val="tx1"/>
                  </w14:solidFill>
                </w14:textFill>
              </w:rPr>
            </w:pPr>
            <w:r>
              <w:rPr>
                <w:rFonts w:eastAsiaTheme="minorEastAsia"/>
                <w:b/>
                <w:bCs/>
                <w:color w:val="000000" w:themeColor="text1"/>
                <w14:textFill>
                  <w14:solidFill>
                    <w14:schemeClr w14:val="tx1"/>
                  </w14:solidFill>
                </w14:textFill>
              </w:rPr>
              <w:t>转化为事故的触发因素</w:t>
            </w:r>
          </w:p>
        </w:tc>
        <w:tc>
          <w:tcPr>
            <w:tcW w:w="1203" w:type="dxa"/>
            <w:vAlign w:val="center"/>
          </w:tcPr>
          <w:p w14:paraId="62BB85A8">
            <w:pPr>
              <w:pStyle w:val="70"/>
              <w:rPr>
                <w:rFonts w:eastAsiaTheme="minorEastAsia"/>
                <w:b/>
                <w:bCs/>
                <w:color w:val="000000" w:themeColor="text1"/>
                <w:lang w:eastAsia="en-US"/>
                <w14:textFill>
                  <w14:solidFill>
                    <w14:schemeClr w14:val="tx1"/>
                  </w14:solidFill>
                </w14:textFill>
              </w:rPr>
            </w:pPr>
            <w:r>
              <w:rPr>
                <w:rFonts w:eastAsiaTheme="minorEastAsia"/>
                <w:b/>
                <w:bCs/>
                <w:color w:val="000000" w:themeColor="text1"/>
                <w:lang w:eastAsia="en-US"/>
                <w14:textFill>
                  <w14:solidFill>
                    <w14:schemeClr w14:val="tx1"/>
                  </w14:solidFill>
                </w14:textFill>
              </w:rPr>
              <w:t>危险性</w:t>
            </w:r>
          </w:p>
        </w:tc>
      </w:tr>
      <w:tr w14:paraId="0A4D47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94" w:type="dxa"/>
            <w:vMerge w:val="restart"/>
            <w:vAlign w:val="center"/>
          </w:tcPr>
          <w:p w14:paraId="294CF04B">
            <w:pPr>
              <w:pStyle w:val="70"/>
              <w:rPr>
                <w:rFonts w:eastAsiaTheme="minorEastAsia"/>
                <w:color w:val="000000" w:themeColor="text1"/>
                <w:sz w:val="20"/>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航道/锚地</w:t>
            </w:r>
          </w:p>
        </w:tc>
        <w:tc>
          <w:tcPr>
            <w:tcW w:w="709" w:type="dxa"/>
            <w:vMerge w:val="restart"/>
            <w:vAlign w:val="center"/>
          </w:tcPr>
          <w:p w14:paraId="16CC0329">
            <w:pPr>
              <w:pStyle w:val="70"/>
              <w:rPr>
                <w:rFonts w:eastAsiaTheme="minorEastAsia"/>
                <w:color w:val="000000" w:themeColor="text1"/>
                <w:sz w:val="20"/>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船舶</w:t>
            </w:r>
          </w:p>
        </w:tc>
        <w:tc>
          <w:tcPr>
            <w:tcW w:w="1276" w:type="dxa"/>
            <w:vAlign w:val="center"/>
          </w:tcPr>
          <w:p w14:paraId="68F85FC2">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油品、化工品、燃料油泄漏</w:t>
            </w:r>
          </w:p>
        </w:tc>
        <w:tc>
          <w:tcPr>
            <w:tcW w:w="4394" w:type="dxa"/>
            <w:vAlign w:val="center"/>
          </w:tcPr>
          <w:p w14:paraId="74C85DB1">
            <w:pPr>
              <w:pStyle w:val="70"/>
              <w:rPr>
                <w:rFonts w:eastAsiaTheme="minorEastAsia"/>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rFonts w:eastAsiaTheme="minorEastAsia"/>
                <w:color w:val="000000" w:themeColor="text1"/>
                <w14:textFill>
                  <w14:solidFill>
                    <w14:schemeClr w14:val="tx1"/>
                  </w14:solidFill>
                </w14:textFill>
              </w:rPr>
              <w:t>供油作业，操作失误；</w:t>
            </w:r>
            <w:r>
              <w:rPr>
                <w:rFonts w:hint="eastAsia" w:ascii="宋体" w:hAnsi="宋体" w:cs="宋体"/>
                <w:color w:val="000000" w:themeColor="text1"/>
                <w14:textFill>
                  <w14:solidFill>
                    <w14:schemeClr w14:val="tx1"/>
                  </w14:solidFill>
                </w14:textFill>
              </w:rPr>
              <w:t>②</w:t>
            </w:r>
            <w:r>
              <w:rPr>
                <w:rFonts w:eastAsiaTheme="minorEastAsia"/>
                <w:color w:val="000000" w:themeColor="text1"/>
                <w14:textFill>
                  <w14:solidFill>
                    <w14:schemeClr w14:val="tx1"/>
                  </w14:solidFill>
                </w14:textFill>
              </w:rPr>
              <w:t>供油软管等设备故障，造成燃油泄漏；</w:t>
            </w:r>
            <w:r>
              <w:rPr>
                <w:rFonts w:hint="eastAsia" w:ascii="宋体" w:hAnsi="宋体" w:cs="宋体"/>
                <w:color w:val="000000" w:themeColor="text1"/>
                <w14:textFill>
                  <w14:solidFill>
                    <w14:schemeClr w14:val="tx1"/>
                  </w14:solidFill>
                </w14:textFill>
              </w:rPr>
              <w:t>③</w:t>
            </w:r>
            <w:r>
              <w:rPr>
                <w:rFonts w:eastAsiaTheme="minorEastAsia"/>
                <w:color w:val="000000" w:themeColor="text1"/>
                <w14:textFill>
                  <w14:solidFill>
                    <w14:schemeClr w14:val="tx1"/>
                  </w14:solidFill>
                </w14:textFill>
              </w:rPr>
              <w:t>船舶碰撞，造成油品、化工品、燃料油泄漏。</w:t>
            </w:r>
          </w:p>
        </w:tc>
        <w:tc>
          <w:tcPr>
            <w:tcW w:w="1203" w:type="dxa"/>
            <w:vMerge w:val="restart"/>
            <w:vAlign w:val="center"/>
          </w:tcPr>
          <w:p w14:paraId="3F6CBFA3">
            <w:pPr>
              <w:pStyle w:val="70"/>
              <w:rPr>
                <w:rFonts w:eastAsiaTheme="minorEastAsia"/>
                <w:color w:val="000000" w:themeColor="text1"/>
                <w:sz w:val="20"/>
                <w14:textFill>
                  <w14:solidFill>
                    <w14:schemeClr w14:val="tx1"/>
                  </w14:solidFill>
                </w14:textFill>
              </w:rPr>
            </w:pPr>
            <w:r>
              <w:rPr>
                <w:rFonts w:eastAsiaTheme="minorEastAsia"/>
                <w:color w:val="000000" w:themeColor="text1"/>
                <w14:textFill>
                  <w14:solidFill>
                    <w14:schemeClr w14:val="tx1"/>
                  </w14:solidFill>
                </w14:textFill>
              </w:rPr>
              <w:t>油品、化工品、燃料油泄漏进入海洋引起水体污染</w:t>
            </w:r>
          </w:p>
        </w:tc>
      </w:tr>
      <w:tr w14:paraId="381429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94" w:type="dxa"/>
            <w:vMerge w:val="continue"/>
            <w:vAlign w:val="center"/>
          </w:tcPr>
          <w:p w14:paraId="71DBE418">
            <w:pPr>
              <w:pStyle w:val="70"/>
              <w:rPr>
                <w:rFonts w:eastAsiaTheme="minorEastAsia"/>
                <w:color w:val="000000" w:themeColor="text1"/>
                <w:sz w:val="2"/>
                <w:szCs w:val="2"/>
                <w14:textFill>
                  <w14:solidFill>
                    <w14:schemeClr w14:val="tx1"/>
                  </w14:solidFill>
                </w14:textFill>
              </w:rPr>
            </w:pPr>
          </w:p>
        </w:tc>
        <w:tc>
          <w:tcPr>
            <w:tcW w:w="709" w:type="dxa"/>
            <w:vMerge w:val="continue"/>
            <w:vAlign w:val="center"/>
          </w:tcPr>
          <w:p w14:paraId="0BDBB41E">
            <w:pPr>
              <w:pStyle w:val="70"/>
              <w:rPr>
                <w:rFonts w:eastAsiaTheme="minorEastAsia"/>
                <w:color w:val="000000" w:themeColor="text1"/>
                <w:sz w:val="2"/>
                <w:szCs w:val="2"/>
                <w14:textFill>
                  <w14:solidFill>
                    <w14:schemeClr w14:val="tx1"/>
                  </w14:solidFill>
                </w14:textFill>
              </w:rPr>
            </w:pPr>
          </w:p>
        </w:tc>
        <w:tc>
          <w:tcPr>
            <w:tcW w:w="1276" w:type="dxa"/>
            <w:vAlign w:val="center"/>
          </w:tcPr>
          <w:p w14:paraId="460F1512">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油品、化工品、燃料油泄漏</w:t>
            </w:r>
          </w:p>
        </w:tc>
        <w:tc>
          <w:tcPr>
            <w:tcW w:w="4394" w:type="dxa"/>
            <w:vAlign w:val="center"/>
          </w:tcPr>
          <w:p w14:paraId="64323DF6">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船航行中， 发生与</w:t>
            </w:r>
            <w:r>
              <w:rPr>
                <w:rFonts w:hint="eastAsia" w:eastAsiaTheme="minorEastAsia"/>
                <w:color w:val="000000" w:themeColor="text1"/>
                <w:lang w:eastAsia="zh-CN"/>
                <w14:textFill>
                  <w14:solidFill>
                    <w14:schemeClr w14:val="tx1"/>
                  </w14:solidFill>
                </w14:textFill>
              </w:rPr>
              <w:t>其他</w:t>
            </w:r>
            <w:r>
              <w:rPr>
                <w:rFonts w:eastAsiaTheme="minorEastAsia"/>
                <w:color w:val="000000" w:themeColor="text1"/>
                <w14:textFill>
                  <w14:solidFill>
                    <w14:schemeClr w14:val="tx1"/>
                  </w14:solidFill>
                </w14:textFill>
              </w:rPr>
              <w:t>船舶碰撞等事故， 导致油品、化工品、燃料泄漏。</w:t>
            </w:r>
          </w:p>
        </w:tc>
        <w:tc>
          <w:tcPr>
            <w:tcW w:w="1203" w:type="dxa"/>
            <w:vMerge w:val="continue"/>
            <w:vAlign w:val="center"/>
          </w:tcPr>
          <w:p w14:paraId="4583FB77">
            <w:pPr>
              <w:pStyle w:val="70"/>
              <w:rPr>
                <w:rFonts w:eastAsiaTheme="minorEastAsia"/>
                <w:color w:val="000000" w:themeColor="text1"/>
                <w:sz w:val="2"/>
                <w:szCs w:val="2"/>
                <w14:textFill>
                  <w14:solidFill>
                    <w14:schemeClr w14:val="tx1"/>
                  </w14:solidFill>
                </w14:textFill>
              </w:rPr>
            </w:pPr>
          </w:p>
        </w:tc>
      </w:tr>
      <w:tr w14:paraId="1D011F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94" w:type="dxa"/>
            <w:vAlign w:val="center"/>
          </w:tcPr>
          <w:p w14:paraId="36649195">
            <w:pPr>
              <w:pStyle w:val="70"/>
              <w:rPr>
                <w:rFonts w:eastAsiaTheme="minorEastAsia"/>
                <w:color w:val="000000" w:themeColor="text1"/>
                <w:sz w:val="20"/>
                <w14:textFill>
                  <w14:solidFill>
                    <w14:schemeClr w14:val="tx1"/>
                  </w14:solidFill>
                </w14:textFill>
              </w:rPr>
            </w:pPr>
            <w:r>
              <w:rPr>
                <w:rFonts w:eastAsiaTheme="minorEastAsia"/>
                <w:color w:val="000000" w:themeColor="text1"/>
                <w:lang w:eastAsia="en-US"/>
                <w14:textFill>
                  <w14:solidFill>
                    <w14:schemeClr w14:val="tx1"/>
                  </w14:solidFill>
                </w14:textFill>
              </w:rPr>
              <w:t>港池海域</w:t>
            </w:r>
          </w:p>
        </w:tc>
        <w:tc>
          <w:tcPr>
            <w:tcW w:w="709" w:type="dxa"/>
            <w:vAlign w:val="center"/>
          </w:tcPr>
          <w:p w14:paraId="2C2A36B1">
            <w:pPr>
              <w:pStyle w:val="70"/>
              <w:rPr>
                <w:rFonts w:eastAsiaTheme="minorEastAsia"/>
                <w:color w:val="000000" w:themeColor="text1"/>
                <w:sz w:val="20"/>
                <w14:textFill>
                  <w14:solidFill>
                    <w14:schemeClr w14:val="tx1"/>
                  </w14:solidFill>
                </w14:textFill>
              </w:rPr>
            </w:pPr>
            <w:r>
              <w:rPr>
                <w:rFonts w:eastAsiaTheme="minorEastAsia"/>
                <w:color w:val="000000" w:themeColor="text1"/>
                <w:lang w:eastAsia="en-US"/>
                <w14:textFill>
                  <w14:solidFill>
                    <w14:schemeClr w14:val="tx1"/>
                  </w14:solidFill>
                </w14:textFill>
              </w:rPr>
              <w:t>船舶</w:t>
            </w:r>
          </w:p>
        </w:tc>
        <w:tc>
          <w:tcPr>
            <w:tcW w:w="1276" w:type="dxa"/>
            <w:vAlign w:val="center"/>
          </w:tcPr>
          <w:p w14:paraId="7B6B74CF">
            <w:pPr>
              <w:pStyle w:val="70"/>
              <w:rPr>
                <w:rFonts w:eastAsiaTheme="minorEastAsia"/>
                <w:color w:val="000000" w:themeColor="text1"/>
                <w:sz w:val="20"/>
                <w14:textFill>
                  <w14:solidFill>
                    <w14:schemeClr w14:val="tx1"/>
                  </w14:solidFill>
                </w14:textFill>
              </w:rPr>
            </w:pPr>
            <w:r>
              <w:rPr>
                <w:rFonts w:eastAsiaTheme="minorEastAsia"/>
                <w:color w:val="000000" w:themeColor="text1"/>
                <w14:textFill>
                  <w14:solidFill>
                    <w14:schemeClr w14:val="tx1"/>
                  </w14:solidFill>
                </w14:textFill>
              </w:rPr>
              <w:t>油品、化工品、燃料油泄漏</w:t>
            </w:r>
          </w:p>
        </w:tc>
        <w:tc>
          <w:tcPr>
            <w:tcW w:w="4394" w:type="dxa"/>
            <w:vAlign w:val="center"/>
          </w:tcPr>
          <w:p w14:paraId="4E27EB50">
            <w:pPr>
              <w:pStyle w:val="70"/>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①</w:t>
            </w:r>
            <w:r>
              <w:rPr>
                <w:rFonts w:eastAsiaTheme="minorEastAsia"/>
                <w:color w:val="000000" w:themeColor="text1"/>
                <w14:textFill>
                  <w14:solidFill>
                    <w14:schemeClr w14:val="tx1"/>
                  </w14:solidFill>
                </w14:textFill>
              </w:rPr>
              <w:t>码头前沿附近海域，由于</w:t>
            </w:r>
            <w:r>
              <w:rPr>
                <w:rFonts w:hint="eastAsia" w:eastAsiaTheme="minorEastAsia"/>
                <w:color w:val="000000" w:themeColor="text1"/>
                <w:lang w:eastAsia="zh-CN"/>
                <w14:textFill>
                  <w14:solidFill>
                    <w14:schemeClr w14:val="tx1"/>
                  </w14:solidFill>
                </w14:textFill>
              </w:rPr>
              <w:t>操作失误</w:t>
            </w:r>
            <w:r>
              <w:rPr>
                <w:rFonts w:eastAsiaTheme="minorEastAsia"/>
                <w:color w:val="000000" w:themeColor="text1"/>
                <w14:textFill>
                  <w14:solidFill>
                    <w14:schemeClr w14:val="tx1"/>
                  </w14:solidFill>
                </w14:textFill>
              </w:rPr>
              <w:t>，船与</w:t>
            </w:r>
            <w:r>
              <w:rPr>
                <w:rFonts w:hint="eastAsia" w:eastAsiaTheme="minorEastAsia"/>
                <w:color w:val="000000" w:themeColor="text1"/>
                <w:lang w:eastAsia="zh-CN"/>
                <w14:textFill>
                  <w14:solidFill>
                    <w14:schemeClr w14:val="tx1"/>
                  </w14:solidFill>
                </w14:textFill>
              </w:rPr>
              <w:t>其他</w:t>
            </w:r>
            <w:r>
              <w:rPr>
                <w:rFonts w:eastAsiaTheme="minorEastAsia"/>
                <w:color w:val="000000" w:themeColor="text1"/>
                <w14:textFill>
                  <w14:solidFill>
                    <w14:schemeClr w14:val="tx1"/>
                  </w14:solidFill>
                </w14:textFill>
              </w:rPr>
              <w:t>船舶发生碰撞，导致油品、化工品、燃料泄漏；</w:t>
            </w:r>
            <w:r>
              <w:rPr>
                <w:rFonts w:hint="eastAsia" w:eastAsiaTheme="minorEastAsia"/>
                <w:color w:val="000000" w:themeColor="text1"/>
                <w14:textFill>
                  <w14:solidFill>
                    <w14:schemeClr w14:val="tx1"/>
                  </w14:solidFill>
                </w14:textFill>
              </w:rPr>
              <w:t>②</w:t>
            </w:r>
            <w:r>
              <w:rPr>
                <w:rFonts w:eastAsiaTheme="minorEastAsia"/>
                <w:color w:val="000000" w:themeColor="text1"/>
                <w14:textFill>
                  <w14:solidFill>
                    <w14:schemeClr w14:val="tx1"/>
                  </w14:solidFill>
                </w14:textFill>
              </w:rPr>
              <w:t>船舶在靠、离码头过程中，因操作不当，或因水文、气象条件不良等原因，船舶与码头碰撞，导致燃油品、化工品、燃料泄漏。</w:t>
            </w:r>
          </w:p>
        </w:tc>
        <w:tc>
          <w:tcPr>
            <w:tcW w:w="1203" w:type="dxa"/>
            <w:vMerge w:val="continue"/>
            <w:vAlign w:val="center"/>
          </w:tcPr>
          <w:p w14:paraId="3574266D">
            <w:pPr>
              <w:pStyle w:val="70"/>
              <w:rPr>
                <w:rFonts w:eastAsiaTheme="minorEastAsia"/>
                <w:color w:val="000000" w:themeColor="text1"/>
                <w14:textFill>
                  <w14:solidFill>
                    <w14:schemeClr w14:val="tx1"/>
                  </w14:solidFill>
                </w14:textFill>
              </w:rPr>
            </w:pPr>
          </w:p>
        </w:tc>
      </w:tr>
    </w:tbl>
    <w:p w14:paraId="0FB46D1B">
      <w:pPr>
        <w:pStyle w:val="6"/>
        <w:rPr>
          <w:color w:val="000000" w:themeColor="text1"/>
          <w14:textFill>
            <w14:solidFill>
              <w14:schemeClr w14:val="tx1"/>
            </w14:solidFill>
          </w14:textFill>
        </w:rPr>
      </w:pPr>
      <w:r>
        <w:rPr>
          <w:color w:val="000000" w:themeColor="text1"/>
          <w14:textFill>
            <w14:solidFill>
              <w14:schemeClr w14:val="tx1"/>
            </w14:solidFill>
          </w14:textFill>
        </w:rPr>
        <w:t>污水收集危险性识别</w:t>
      </w:r>
    </w:p>
    <w:p w14:paraId="5EAE6834">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在码头上发生泄漏、冲洗码头、收集初期雨水等情況下，若码头上的污水收集池或污水泵出现故障，可能导致码头面上的污水溢出码头进入周边海域中，将对周边海域海水水质、海洋环境造成较大影响。</w:t>
      </w:r>
    </w:p>
    <w:p w14:paraId="33BD3262">
      <w:pPr>
        <w:pStyle w:val="6"/>
        <w:rPr>
          <w:color w:val="000000" w:themeColor="text1"/>
          <w:u w:val="single"/>
          <w14:textFill>
            <w14:solidFill>
              <w14:schemeClr w14:val="tx1"/>
            </w14:solidFill>
          </w14:textFill>
        </w:rPr>
      </w:pPr>
      <w:r>
        <w:rPr>
          <w:color w:val="000000" w:themeColor="text1"/>
          <w:u w:val="single"/>
          <w14:textFill>
            <w14:solidFill>
              <w14:schemeClr w14:val="tx1"/>
            </w14:solidFill>
          </w14:textFill>
        </w:rPr>
        <w:t>有毒有害物质扩散途径识别</w:t>
      </w:r>
    </w:p>
    <w:p w14:paraId="6F76E5FE">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本项目发生化工品泄漏后，有毒有害物质的扩散途径主要是海水及大气。化工品泄漏进入金鼓江海域海水中后，可溶性的化工品溶入海水随海水的流动而迁移扩散；飘浮性的化工品漂浮在水面上，在海流及风力的作用下随海流漂移扩散。化工品泄漏后，部分易挥发化工品挥发至大气中，在风力的作用下载空气中迁移扩散。</w:t>
      </w:r>
    </w:p>
    <w:p w14:paraId="71C2EDB4">
      <w:pPr>
        <w:pStyle w:val="5"/>
        <w:rPr>
          <w:color w:val="000000" w:themeColor="text1"/>
          <w14:textFill>
            <w14:solidFill>
              <w14:schemeClr w14:val="tx1"/>
            </w14:solidFill>
          </w14:textFill>
        </w:rPr>
      </w:pPr>
      <w:r>
        <w:rPr>
          <w:color w:val="000000" w:themeColor="text1"/>
          <w14:textFill>
            <w14:solidFill>
              <w14:schemeClr w14:val="tx1"/>
            </w14:solidFill>
          </w14:textFill>
        </w:rPr>
        <w:t>风险事故情形分析</w:t>
      </w:r>
    </w:p>
    <w:p w14:paraId="0DDF96E3">
      <w:pPr>
        <w:pStyle w:val="4"/>
        <w:rPr>
          <w:color w:val="000000" w:themeColor="text1"/>
          <w14:textFill>
            <w14:solidFill>
              <w14:schemeClr w14:val="tx1"/>
            </w14:solidFill>
          </w14:textFill>
        </w:rPr>
      </w:pPr>
      <w:r>
        <w:rPr>
          <w:color w:val="000000" w:themeColor="text1"/>
          <w14:textFill>
            <w14:solidFill>
              <w14:schemeClr w14:val="tx1"/>
            </w14:solidFill>
          </w14:textFill>
        </w:rPr>
        <w:t>风险类型</w:t>
      </w:r>
    </w:p>
    <w:p w14:paraId="6476E489">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本项目运营期可能存在的环境风险事故主要为</w:t>
      </w:r>
      <w:r>
        <w:rPr>
          <w:color w:val="000000" w:themeColor="text1"/>
          <w:u w:val="single"/>
          <w14:textFill>
            <w14:solidFill>
              <w14:schemeClr w14:val="tx1"/>
            </w14:solidFill>
          </w14:textFill>
        </w:rPr>
        <w:t>化学品</w:t>
      </w:r>
      <w:r>
        <w:rPr>
          <w:color w:val="000000" w:themeColor="text1"/>
          <w14:textFill>
            <w14:solidFill>
              <w14:schemeClr w14:val="tx1"/>
            </w14:solidFill>
          </w14:textFill>
        </w:rPr>
        <w:t>类泄漏（跑、冒、漏）事故、火灾爆炸事故、溢油事故引起对水环境、大气环境等造成二次污染以及对人群健康的危害，风险特征如表5.4-1所示。</w:t>
      </w:r>
    </w:p>
    <w:p w14:paraId="2CAB17D5">
      <w:pPr>
        <w:ind w:firstLine="480"/>
        <w:rPr>
          <w:color w:val="000000" w:themeColor="text1"/>
          <w14:textFill>
            <w14:solidFill>
              <w14:schemeClr w14:val="tx1"/>
            </w14:solidFill>
          </w14:textFill>
        </w:rPr>
      </w:pPr>
      <w:r>
        <w:rPr>
          <w:color w:val="000000" w:themeColor="text1"/>
          <w14:textFill>
            <w14:solidFill>
              <w14:schemeClr w14:val="tx1"/>
            </w14:solidFill>
          </w14:textFill>
        </w:rPr>
        <w:t>（1）化工品泄漏</w:t>
      </w:r>
    </w:p>
    <w:p w14:paraId="5CA034C1">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本项目位于金鼓江作业区，</w:t>
      </w:r>
      <w:r>
        <w:rPr>
          <w:rFonts w:hint="eastAsia"/>
          <w:color w:val="000000" w:themeColor="text1"/>
          <w:lang w:eastAsia="zh-CN"/>
          <w14:textFill>
            <w14:solidFill>
              <w14:schemeClr w14:val="tx1"/>
            </w14:solidFill>
          </w14:textFill>
        </w:rPr>
        <w:t>一期</w:t>
      </w:r>
      <w:r>
        <w:rPr>
          <w:color w:val="000000" w:themeColor="text1"/>
          <w14:textFill>
            <w14:solidFill>
              <w14:schemeClr w14:val="tx1"/>
            </w14:solidFill>
          </w14:textFill>
        </w:rPr>
        <w:t>码头处因船舶碰撞、码头装卸作业操作不当、码头引桥输送管道破裂、密封盖平阀门破裂等原因发生化工品泄漏事故（跑、冒、漏），可能会导致项目区域大气中挥发性有机物浓度超标，影响大气环境质量，严重时会对人体身体健康产生危害。</w:t>
      </w:r>
    </w:p>
    <w:p w14:paraId="4C3CF718">
      <w:pPr>
        <w:ind w:firstLine="480"/>
        <w:rPr>
          <w:color w:val="000000" w:themeColor="text1"/>
          <w14:textFill>
            <w14:solidFill>
              <w14:schemeClr w14:val="tx1"/>
            </w14:solidFill>
          </w14:textFill>
        </w:rPr>
      </w:pPr>
      <w:r>
        <w:rPr>
          <w:color w:val="000000" w:themeColor="text1"/>
          <w14:textFill>
            <w14:solidFill>
              <w14:schemeClr w14:val="tx1"/>
            </w14:solidFill>
          </w14:textFill>
        </w:rPr>
        <w:t>（2）火灾爆炸</w:t>
      </w:r>
    </w:p>
    <w:p w14:paraId="71146FE9">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本项目码头主要装卸品种部分属于易燃、易爆的化学危险品。当装卸中操作失误，或船舶、码头的设备、泵、阀门、管道系统发生泄漏和损坏事故时，有可能发生火灾或爆炸，从而引起对水环境、大气环境等</w:t>
      </w:r>
      <w:r>
        <w:rPr>
          <w:rFonts w:hint="eastAsia"/>
          <w:color w:val="000000" w:themeColor="text1"/>
          <w:lang w:eastAsia="zh-CN"/>
          <w14:textFill>
            <w14:solidFill>
              <w14:schemeClr w14:val="tx1"/>
            </w14:solidFill>
          </w14:textFill>
        </w:rPr>
        <w:t>造成二次污染</w:t>
      </w:r>
      <w:r>
        <w:rPr>
          <w:color w:val="000000" w:themeColor="text1"/>
          <w14:textFill>
            <w14:solidFill>
              <w14:schemeClr w14:val="tx1"/>
            </w14:solidFill>
          </w14:textFill>
        </w:rPr>
        <w:t>以及对人群健康的危害等环境风险事故。</w:t>
      </w:r>
    </w:p>
    <w:p w14:paraId="05A8F981">
      <w:pPr>
        <w:ind w:firstLine="480"/>
        <w:rPr>
          <w:color w:val="000000" w:themeColor="text1"/>
          <w14:textFill>
            <w14:solidFill>
              <w14:schemeClr w14:val="tx1"/>
            </w14:solidFill>
          </w14:textFill>
        </w:rPr>
      </w:pPr>
      <w:r>
        <w:rPr>
          <w:color w:val="000000" w:themeColor="text1"/>
          <w14:textFill>
            <w14:solidFill>
              <w14:schemeClr w14:val="tx1"/>
            </w14:solidFill>
          </w14:textFill>
        </w:rPr>
        <w:t>（3）事故溢油</w:t>
      </w:r>
    </w:p>
    <w:p w14:paraId="120385A7">
      <w:pPr>
        <w:ind w:firstLine="480"/>
        <w:rPr>
          <w:color w:val="000000" w:themeColor="text1"/>
          <w14:textFill>
            <w14:solidFill>
              <w14:schemeClr w14:val="tx1"/>
            </w14:solidFill>
          </w14:textFill>
        </w:rPr>
      </w:pPr>
      <w:r>
        <w:rPr>
          <w:color w:val="000000" w:themeColor="text1"/>
          <w14:textFill>
            <w14:solidFill>
              <w14:schemeClr w14:val="tx1"/>
            </w14:solidFill>
          </w14:textFill>
        </w:rPr>
        <w:t>船舶在航行过程、码头靠泊和装卸过程中发生油类、油性混合物和其他有毒有害物质泄漏，从而造成环境污染事故。</w:t>
      </w:r>
    </w:p>
    <w:p w14:paraId="19D17770">
      <w:pPr>
        <w:pStyle w:val="7"/>
        <w:rPr>
          <w:color w:val="000000" w:themeColor="text1"/>
          <w14:textFill>
            <w14:solidFill>
              <w14:schemeClr w14:val="tx1"/>
            </w14:solidFill>
          </w14:textFill>
        </w:rPr>
      </w:pPr>
      <w:r>
        <w:rPr>
          <w:color w:val="000000" w:themeColor="text1"/>
          <w14:textFill>
            <w14:solidFill>
              <w14:schemeClr w14:val="tx1"/>
            </w14:solidFill>
          </w14:textFill>
        </w:rPr>
        <w:t>项目风险特征表</w:t>
      </w:r>
    </w:p>
    <w:tbl>
      <w:tblPr>
        <w:tblStyle w:val="43"/>
        <w:tblW w:w="82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09"/>
        <w:gridCol w:w="2585"/>
        <w:gridCol w:w="2496"/>
        <w:gridCol w:w="1105"/>
        <w:gridCol w:w="881"/>
      </w:tblGrid>
      <w:tr w14:paraId="5D6537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4" w:hRule="atLeast"/>
          <w:tblHeader/>
        </w:trPr>
        <w:tc>
          <w:tcPr>
            <w:tcW w:w="1209" w:type="dxa"/>
            <w:vAlign w:val="center"/>
          </w:tcPr>
          <w:p w14:paraId="411C9F0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风险类型</w:t>
            </w:r>
          </w:p>
        </w:tc>
        <w:tc>
          <w:tcPr>
            <w:tcW w:w="2585" w:type="dxa"/>
            <w:vAlign w:val="center"/>
          </w:tcPr>
          <w:p w14:paraId="7CE46F5A">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风险因素</w:t>
            </w:r>
          </w:p>
        </w:tc>
        <w:tc>
          <w:tcPr>
            <w:tcW w:w="2496" w:type="dxa"/>
            <w:vAlign w:val="center"/>
          </w:tcPr>
          <w:p w14:paraId="12D2B3B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发生环节</w:t>
            </w:r>
          </w:p>
        </w:tc>
        <w:tc>
          <w:tcPr>
            <w:tcW w:w="1105" w:type="dxa"/>
            <w:vAlign w:val="center"/>
          </w:tcPr>
          <w:p w14:paraId="479FB32A">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发生概率</w:t>
            </w:r>
          </w:p>
        </w:tc>
        <w:tc>
          <w:tcPr>
            <w:tcW w:w="881" w:type="dxa"/>
            <w:vAlign w:val="center"/>
          </w:tcPr>
          <w:p w14:paraId="0099BD65">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危害</w:t>
            </w:r>
          </w:p>
        </w:tc>
      </w:tr>
      <w:tr w14:paraId="48CFC5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09" w:type="dxa"/>
            <w:vMerge w:val="restart"/>
            <w:vAlign w:val="center"/>
          </w:tcPr>
          <w:p w14:paraId="32C9DFAA">
            <w:pPr>
              <w:pStyle w:val="70"/>
              <w:rPr>
                <w:color w:val="000000" w:themeColor="text1"/>
                <w14:textFill>
                  <w14:solidFill>
                    <w14:schemeClr w14:val="tx1"/>
                  </w14:solidFill>
                </w14:textFill>
              </w:rPr>
            </w:pPr>
            <w:r>
              <w:rPr>
                <w:color w:val="000000" w:themeColor="text1"/>
                <w14:textFill>
                  <w14:solidFill>
                    <w14:schemeClr w14:val="tx1"/>
                  </w14:solidFill>
                </w14:textFill>
              </w:rPr>
              <w:t>化工品泄漏</w:t>
            </w:r>
          </w:p>
        </w:tc>
        <w:tc>
          <w:tcPr>
            <w:tcW w:w="2585" w:type="dxa"/>
            <w:vAlign w:val="center"/>
          </w:tcPr>
          <w:p w14:paraId="50BF4C86">
            <w:pPr>
              <w:pStyle w:val="70"/>
              <w:rPr>
                <w:color w:val="000000" w:themeColor="text1"/>
                <w14:textFill>
                  <w14:solidFill>
                    <w14:schemeClr w14:val="tx1"/>
                  </w14:solidFill>
                </w14:textFill>
              </w:rPr>
            </w:pPr>
            <w:r>
              <w:rPr>
                <w:color w:val="000000" w:themeColor="text1"/>
                <w14:textFill>
                  <w14:solidFill>
                    <w14:schemeClr w14:val="tx1"/>
                  </w14:solidFill>
                </w14:textFill>
              </w:rPr>
              <w:t>海上化工品泄漏事故对水环境、大气环境等造成污染以及对人群健康的危害</w:t>
            </w:r>
          </w:p>
        </w:tc>
        <w:tc>
          <w:tcPr>
            <w:tcW w:w="2496" w:type="dxa"/>
            <w:vAlign w:val="center"/>
          </w:tcPr>
          <w:p w14:paraId="4066CB8F">
            <w:pPr>
              <w:pStyle w:val="70"/>
              <w:rPr>
                <w:color w:val="000000" w:themeColor="text1"/>
                <w14:textFill>
                  <w14:solidFill>
                    <w14:schemeClr w14:val="tx1"/>
                  </w14:solidFill>
                </w14:textFill>
              </w:rPr>
            </w:pPr>
            <w:r>
              <w:rPr>
                <w:color w:val="000000" w:themeColor="text1"/>
                <w14:textFill>
                  <w14:solidFill>
                    <w14:schemeClr w14:val="tx1"/>
                  </w14:solidFill>
                </w14:textFill>
              </w:rPr>
              <w:t>在码头与海域之间的狭窄航道上，或在码头作业期间发生的船舶碰撞或搁浅</w:t>
            </w:r>
          </w:p>
        </w:tc>
        <w:tc>
          <w:tcPr>
            <w:tcW w:w="1105" w:type="dxa"/>
            <w:vAlign w:val="center"/>
          </w:tcPr>
          <w:p w14:paraId="266E3563">
            <w:pPr>
              <w:pStyle w:val="70"/>
              <w:rPr>
                <w:color w:val="000000" w:themeColor="text1"/>
                <w14:textFill>
                  <w14:solidFill>
                    <w14:schemeClr w14:val="tx1"/>
                  </w14:solidFill>
                </w14:textFill>
              </w:rPr>
            </w:pPr>
            <w:r>
              <w:rPr>
                <w:color w:val="000000" w:themeColor="text1"/>
                <w14:textFill>
                  <w14:solidFill>
                    <w14:schemeClr w14:val="tx1"/>
                  </w14:solidFill>
                </w14:textFill>
              </w:rPr>
              <w:t>小~中</w:t>
            </w:r>
          </w:p>
        </w:tc>
        <w:tc>
          <w:tcPr>
            <w:tcW w:w="881" w:type="dxa"/>
            <w:vAlign w:val="center"/>
          </w:tcPr>
          <w:p w14:paraId="43FB4EBD">
            <w:pPr>
              <w:pStyle w:val="70"/>
              <w:rPr>
                <w:color w:val="000000" w:themeColor="text1"/>
                <w14:textFill>
                  <w14:solidFill>
                    <w14:schemeClr w14:val="tx1"/>
                  </w14:solidFill>
                </w14:textFill>
              </w:rPr>
            </w:pPr>
            <w:r>
              <w:rPr>
                <w:color w:val="000000" w:themeColor="text1"/>
                <w14:textFill>
                  <w14:solidFill>
                    <w14:schemeClr w14:val="tx1"/>
                  </w14:solidFill>
                </w14:textFill>
              </w:rPr>
              <w:t>中~大</w:t>
            </w:r>
          </w:p>
        </w:tc>
      </w:tr>
      <w:tr w14:paraId="22EA45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09" w:type="dxa"/>
            <w:vMerge w:val="continue"/>
            <w:vAlign w:val="center"/>
          </w:tcPr>
          <w:p w14:paraId="0894DB04">
            <w:pPr>
              <w:pStyle w:val="70"/>
              <w:rPr>
                <w:color w:val="000000" w:themeColor="text1"/>
                <w14:textFill>
                  <w14:solidFill>
                    <w14:schemeClr w14:val="tx1"/>
                  </w14:solidFill>
                </w14:textFill>
              </w:rPr>
            </w:pPr>
          </w:p>
        </w:tc>
        <w:tc>
          <w:tcPr>
            <w:tcW w:w="2585" w:type="dxa"/>
            <w:vAlign w:val="center"/>
          </w:tcPr>
          <w:p w14:paraId="2730843A">
            <w:pPr>
              <w:pStyle w:val="70"/>
              <w:rPr>
                <w:color w:val="000000" w:themeColor="text1"/>
                <w14:textFill>
                  <w14:solidFill>
                    <w14:schemeClr w14:val="tx1"/>
                  </w14:solidFill>
                </w14:textFill>
              </w:rPr>
            </w:pPr>
            <w:r>
              <w:rPr>
                <w:color w:val="000000" w:themeColor="text1"/>
                <w14:textFill>
                  <w14:solidFill>
                    <w14:schemeClr w14:val="tx1"/>
                  </w14:solidFill>
                </w14:textFill>
              </w:rPr>
              <w:t>码头化工品泄漏事故对水环境、大气环境等造成污染以及对人群健康的危害</w:t>
            </w:r>
          </w:p>
        </w:tc>
        <w:tc>
          <w:tcPr>
            <w:tcW w:w="2496" w:type="dxa"/>
            <w:vAlign w:val="center"/>
          </w:tcPr>
          <w:p w14:paraId="3095B2AF">
            <w:pPr>
              <w:pStyle w:val="70"/>
              <w:rPr>
                <w:color w:val="000000" w:themeColor="text1"/>
                <w14:textFill>
                  <w14:solidFill>
                    <w14:schemeClr w14:val="tx1"/>
                  </w14:solidFill>
                </w14:textFill>
              </w:rPr>
            </w:pPr>
            <w:r>
              <w:rPr>
                <w:color w:val="000000" w:themeColor="text1"/>
                <w14:textFill>
                  <w14:solidFill>
                    <w14:schemeClr w14:val="tx1"/>
                  </w14:solidFill>
                </w14:textFill>
              </w:rPr>
              <w:t>管道接口泄漏，管道破裂，操作系统失灵，操作人员违反操作规定等</w:t>
            </w:r>
          </w:p>
        </w:tc>
        <w:tc>
          <w:tcPr>
            <w:tcW w:w="1105" w:type="dxa"/>
            <w:vAlign w:val="center"/>
          </w:tcPr>
          <w:p w14:paraId="00B28D5F">
            <w:pPr>
              <w:pStyle w:val="70"/>
              <w:rPr>
                <w:color w:val="000000" w:themeColor="text1"/>
                <w14:textFill>
                  <w14:solidFill>
                    <w14:schemeClr w14:val="tx1"/>
                  </w14:solidFill>
                </w14:textFill>
              </w:rPr>
            </w:pPr>
            <w:r>
              <w:rPr>
                <w:color w:val="000000" w:themeColor="text1"/>
                <w14:textFill>
                  <w14:solidFill>
                    <w14:schemeClr w14:val="tx1"/>
                  </w14:solidFill>
                </w14:textFill>
              </w:rPr>
              <w:t>小~中</w:t>
            </w:r>
          </w:p>
        </w:tc>
        <w:tc>
          <w:tcPr>
            <w:tcW w:w="881" w:type="dxa"/>
            <w:vAlign w:val="center"/>
          </w:tcPr>
          <w:p w14:paraId="4BC8E42A">
            <w:pPr>
              <w:pStyle w:val="70"/>
              <w:rPr>
                <w:color w:val="000000" w:themeColor="text1"/>
                <w14:textFill>
                  <w14:solidFill>
                    <w14:schemeClr w14:val="tx1"/>
                  </w14:solidFill>
                </w14:textFill>
              </w:rPr>
            </w:pPr>
            <w:r>
              <w:rPr>
                <w:color w:val="000000" w:themeColor="text1"/>
                <w14:textFill>
                  <w14:solidFill>
                    <w14:schemeClr w14:val="tx1"/>
                  </w14:solidFill>
                </w14:textFill>
              </w:rPr>
              <w:t>小</w:t>
            </w:r>
          </w:p>
        </w:tc>
      </w:tr>
      <w:tr w14:paraId="6D5EE8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09" w:type="dxa"/>
            <w:vMerge w:val="restart"/>
            <w:vAlign w:val="center"/>
          </w:tcPr>
          <w:p w14:paraId="59C842F8">
            <w:pPr>
              <w:pStyle w:val="70"/>
              <w:rPr>
                <w:color w:val="000000" w:themeColor="text1"/>
                <w14:textFill>
                  <w14:solidFill>
                    <w14:schemeClr w14:val="tx1"/>
                  </w14:solidFill>
                </w14:textFill>
              </w:rPr>
            </w:pPr>
            <w:r>
              <w:rPr>
                <w:color w:val="000000" w:themeColor="text1"/>
                <w14:textFill>
                  <w14:solidFill>
                    <w14:schemeClr w14:val="tx1"/>
                  </w14:solidFill>
                </w14:textFill>
              </w:rPr>
              <w:t>火灾爆炸</w:t>
            </w:r>
          </w:p>
        </w:tc>
        <w:tc>
          <w:tcPr>
            <w:tcW w:w="2585" w:type="dxa"/>
            <w:vAlign w:val="center"/>
          </w:tcPr>
          <w:p w14:paraId="4BD302C6">
            <w:pPr>
              <w:pStyle w:val="70"/>
              <w:rPr>
                <w:color w:val="000000" w:themeColor="text1"/>
                <w14:textFill>
                  <w14:solidFill>
                    <w14:schemeClr w14:val="tx1"/>
                  </w14:solidFill>
                </w14:textFill>
              </w:rPr>
            </w:pPr>
            <w:r>
              <w:rPr>
                <w:color w:val="000000" w:themeColor="text1"/>
                <w14:textFill>
                  <w14:solidFill>
                    <w14:schemeClr w14:val="tx1"/>
                  </w14:solidFill>
                </w14:textFill>
              </w:rPr>
              <w:t>船舶海上火灾爆炸事故对水环境、大气环境等造成二次污染以及对人群健康的危害</w:t>
            </w:r>
          </w:p>
        </w:tc>
        <w:tc>
          <w:tcPr>
            <w:tcW w:w="2496" w:type="dxa"/>
            <w:vAlign w:val="center"/>
          </w:tcPr>
          <w:p w14:paraId="60EFD8B5">
            <w:pPr>
              <w:pStyle w:val="70"/>
              <w:rPr>
                <w:color w:val="000000" w:themeColor="text1"/>
                <w14:textFill>
                  <w14:solidFill>
                    <w14:schemeClr w14:val="tx1"/>
                  </w14:solidFill>
                </w14:textFill>
              </w:rPr>
            </w:pPr>
            <w:r>
              <w:rPr>
                <w:color w:val="000000" w:themeColor="text1"/>
                <w14:textFill>
                  <w14:solidFill>
                    <w14:schemeClr w14:val="tx1"/>
                  </w14:solidFill>
                </w14:textFill>
              </w:rPr>
              <w:t>海上的装卸作业及海运事故，如油轮搁浅或碰撞</w:t>
            </w:r>
          </w:p>
        </w:tc>
        <w:tc>
          <w:tcPr>
            <w:tcW w:w="1105" w:type="dxa"/>
            <w:vAlign w:val="center"/>
          </w:tcPr>
          <w:p w14:paraId="3475F9EC">
            <w:pPr>
              <w:pStyle w:val="70"/>
              <w:rPr>
                <w:color w:val="000000" w:themeColor="text1"/>
                <w14:textFill>
                  <w14:solidFill>
                    <w14:schemeClr w14:val="tx1"/>
                  </w14:solidFill>
                </w14:textFill>
              </w:rPr>
            </w:pPr>
            <w:r>
              <w:rPr>
                <w:color w:val="000000" w:themeColor="text1"/>
                <w14:textFill>
                  <w14:solidFill>
                    <w14:schemeClr w14:val="tx1"/>
                  </w14:solidFill>
                </w14:textFill>
              </w:rPr>
              <w:t>小</w:t>
            </w:r>
          </w:p>
        </w:tc>
        <w:tc>
          <w:tcPr>
            <w:tcW w:w="881" w:type="dxa"/>
            <w:vAlign w:val="center"/>
          </w:tcPr>
          <w:p w14:paraId="6FD7455E">
            <w:pPr>
              <w:pStyle w:val="70"/>
              <w:rPr>
                <w:color w:val="000000" w:themeColor="text1"/>
                <w14:textFill>
                  <w14:solidFill>
                    <w14:schemeClr w14:val="tx1"/>
                  </w14:solidFill>
                </w14:textFill>
              </w:rPr>
            </w:pPr>
            <w:r>
              <w:rPr>
                <w:color w:val="000000" w:themeColor="text1"/>
                <w14:textFill>
                  <w14:solidFill>
                    <w14:schemeClr w14:val="tx1"/>
                  </w14:solidFill>
                </w14:textFill>
              </w:rPr>
              <w:t>中</w:t>
            </w:r>
          </w:p>
        </w:tc>
      </w:tr>
      <w:tr w14:paraId="029A7A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09" w:type="dxa"/>
            <w:vMerge w:val="continue"/>
            <w:vAlign w:val="center"/>
          </w:tcPr>
          <w:p w14:paraId="28DB72D5">
            <w:pPr>
              <w:pStyle w:val="70"/>
              <w:rPr>
                <w:color w:val="000000" w:themeColor="text1"/>
                <w14:textFill>
                  <w14:solidFill>
                    <w14:schemeClr w14:val="tx1"/>
                  </w14:solidFill>
                </w14:textFill>
              </w:rPr>
            </w:pPr>
          </w:p>
        </w:tc>
        <w:tc>
          <w:tcPr>
            <w:tcW w:w="2585" w:type="dxa"/>
            <w:vAlign w:val="center"/>
          </w:tcPr>
          <w:p w14:paraId="706162EB">
            <w:pPr>
              <w:pStyle w:val="70"/>
              <w:rPr>
                <w:color w:val="000000" w:themeColor="text1"/>
                <w14:textFill>
                  <w14:solidFill>
                    <w14:schemeClr w14:val="tx1"/>
                  </w14:solidFill>
                </w14:textFill>
              </w:rPr>
            </w:pPr>
            <w:r>
              <w:rPr>
                <w:color w:val="000000" w:themeColor="text1"/>
                <w14:textFill>
                  <w14:solidFill>
                    <w14:schemeClr w14:val="tx1"/>
                  </w14:solidFill>
                </w14:textFill>
              </w:rPr>
              <w:t>码头火灾爆炸对水环境、大气环境等造成二次污染以及对人群健康的危害</w:t>
            </w:r>
          </w:p>
        </w:tc>
        <w:tc>
          <w:tcPr>
            <w:tcW w:w="2496" w:type="dxa"/>
            <w:vAlign w:val="center"/>
          </w:tcPr>
          <w:p w14:paraId="5241FD6D">
            <w:pPr>
              <w:pStyle w:val="70"/>
              <w:rPr>
                <w:color w:val="000000" w:themeColor="text1"/>
                <w14:textFill>
                  <w14:solidFill>
                    <w14:schemeClr w14:val="tx1"/>
                  </w14:solidFill>
                </w14:textFill>
              </w:rPr>
            </w:pPr>
            <w:r>
              <w:rPr>
                <w:color w:val="000000" w:themeColor="text1"/>
                <w14:textFill>
                  <w14:solidFill>
                    <w14:schemeClr w14:val="tx1"/>
                  </w14:solidFill>
                </w14:textFill>
              </w:rPr>
              <w:t>操作失误或管压过大；密封盖、阀门或管道破裂，并由此引发泄漏气体的燃烧和自燃</w:t>
            </w:r>
          </w:p>
        </w:tc>
        <w:tc>
          <w:tcPr>
            <w:tcW w:w="1105" w:type="dxa"/>
            <w:vAlign w:val="center"/>
          </w:tcPr>
          <w:p w14:paraId="150B5F65">
            <w:pPr>
              <w:pStyle w:val="70"/>
              <w:rPr>
                <w:color w:val="000000" w:themeColor="text1"/>
                <w14:textFill>
                  <w14:solidFill>
                    <w14:schemeClr w14:val="tx1"/>
                  </w14:solidFill>
                </w14:textFill>
              </w:rPr>
            </w:pPr>
            <w:r>
              <w:rPr>
                <w:color w:val="000000" w:themeColor="text1"/>
                <w14:textFill>
                  <w14:solidFill>
                    <w14:schemeClr w14:val="tx1"/>
                  </w14:solidFill>
                </w14:textFill>
              </w:rPr>
              <w:t>小</w:t>
            </w:r>
          </w:p>
        </w:tc>
        <w:tc>
          <w:tcPr>
            <w:tcW w:w="881" w:type="dxa"/>
            <w:vAlign w:val="center"/>
          </w:tcPr>
          <w:p w14:paraId="7C23918B">
            <w:pPr>
              <w:pStyle w:val="70"/>
              <w:rPr>
                <w:color w:val="000000" w:themeColor="text1"/>
                <w14:textFill>
                  <w14:solidFill>
                    <w14:schemeClr w14:val="tx1"/>
                  </w14:solidFill>
                </w14:textFill>
              </w:rPr>
            </w:pPr>
            <w:r>
              <w:rPr>
                <w:color w:val="000000" w:themeColor="text1"/>
                <w14:textFill>
                  <w14:solidFill>
                    <w14:schemeClr w14:val="tx1"/>
                  </w14:solidFill>
                </w14:textFill>
              </w:rPr>
              <w:t>中~大</w:t>
            </w:r>
          </w:p>
        </w:tc>
      </w:tr>
      <w:tr w14:paraId="254EF8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09" w:type="dxa"/>
            <w:vMerge w:val="restart"/>
            <w:vAlign w:val="center"/>
          </w:tcPr>
          <w:p w14:paraId="552894EE">
            <w:pPr>
              <w:pStyle w:val="70"/>
              <w:rPr>
                <w:color w:val="000000" w:themeColor="text1"/>
                <w14:textFill>
                  <w14:solidFill>
                    <w14:schemeClr w14:val="tx1"/>
                  </w14:solidFill>
                </w14:textFill>
              </w:rPr>
            </w:pPr>
            <w:r>
              <w:rPr>
                <w:color w:val="000000" w:themeColor="text1"/>
                <w14:textFill>
                  <w14:solidFill>
                    <w14:schemeClr w14:val="tx1"/>
                  </w14:solidFill>
                </w14:textFill>
              </w:rPr>
              <w:t>溢油事故</w:t>
            </w:r>
          </w:p>
        </w:tc>
        <w:tc>
          <w:tcPr>
            <w:tcW w:w="2585" w:type="dxa"/>
            <w:vAlign w:val="center"/>
          </w:tcPr>
          <w:p w14:paraId="6AC52ECA">
            <w:pPr>
              <w:pStyle w:val="70"/>
              <w:rPr>
                <w:color w:val="000000" w:themeColor="text1"/>
                <w14:textFill>
                  <w14:solidFill>
                    <w14:schemeClr w14:val="tx1"/>
                  </w14:solidFill>
                </w14:textFill>
              </w:rPr>
            </w:pPr>
            <w:r>
              <w:rPr>
                <w:color w:val="000000" w:themeColor="text1"/>
                <w14:textFill>
                  <w14:solidFill>
                    <w14:schemeClr w14:val="tx1"/>
                  </w14:solidFill>
                </w14:textFill>
              </w:rPr>
              <w:t>事故溢油对水环境造成污染</w:t>
            </w:r>
          </w:p>
        </w:tc>
        <w:tc>
          <w:tcPr>
            <w:tcW w:w="2496" w:type="dxa"/>
            <w:vAlign w:val="center"/>
          </w:tcPr>
          <w:p w14:paraId="72D44F6E">
            <w:pPr>
              <w:pStyle w:val="70"/>
              <w:rPr>
                <w:color w:val="000000" w:themeColor="text1"/>
                <w14:textFill>
                  <w14:solidFill>
                    <w14:schemeClr w14:val="tx1"/>
                  </w14:solidFill>
                </w14:textFill>
              </w:rPr>
            </w:pPr>
            <w:r>
              <w:rPr>
                <w:color w:val="000000" w:themeColor="text1"/>
                <w14:textFill>
                  <w14:solidFill>
                    <w14:schemeClr w14:val="tx1"/>
                  </w14:solidFill>
                </w14:textFill>
              </w:rPr>
              <w:t>施工期船舶与周边码头船舶碰撞事故</w:t>
            </w:r>
          </w:p>
        </w:tc>
        <w:tc>
          <w:tcPr>
            <w:tcW w:w="1105" w:type="dxa"/>
            <w:vAlign w:val="center"/>
          </w:tcPr>
          <w:p w14:paraId="7ABE4C47">
            <w:pPr>
              <w:pStyle w:val="70"/>
              <w:rPr>
                <w:color w:val="000000" w:themeColor="text1"/>
                <w14:textFill>
                  <w14:solidFill>
                    <w14:schemeClr w14:val="tx1"/>
                  </w14:solidFill>
                </w14:textFill>
              </w:rPr>
            </w:pPr>
            <w:r>
              <w:rPr>
                <w:color w:val="000000" w:themeColor="text1"/>
                <w14:textFill>
                  <w14:solidFill>
                    <w14:schemeClr w14:val="tx1"/>
                  </w14:solidFill>
                </w14:textFill>
              </w:rPr>
              <w:t>小~中</w:t>
            </w:r>
          </w:p>
        </w:tc>
        <w:tc>
          <w:tcPr>
            <w:tcW w:w="881" w:type="dxa"/>
            <w:vAlign w:val="center"/>
          </w:tcPr>
          <w:p w14:paraId="7C8405E6">
            <w:pPr>
              <w:pStyle w:val="70"/>
              <w:rPr>
                <w:color w:val="000000" w:themeColor="text1"/>
                <w14:textFill>
                  <w14:solidFill>
                    <w14:schemeClr w14:val="tx1"/>
                  </w14:solidFill>
                </w14:textFill>
              </w:rPr>
            </w:pPr>
            <w:r>
              <w:rPr>
                <w:color w:val="000000" w:themeColor="text1"/>
                <w14:textFill>
                  <w14:solidFill>
                    <w14:schemeClr w14:val="tx1"/>
                  </w14:solidFill>
                </w14:textFill>
              </w:rPr>
              <w:t>中~大</w:t>
            </w:r>
          </w:p>
        </w:tc>
      </w:tr>
      <w:tr w14:paraId="1780FF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09" w:type="dxa"/>
            <w:vMerge w:val="continue"/>
            <w:vAlign w:val="center"/>
          </w:tcPr>
          <w:p w14:paraId="29421F29">
            <w:pPr>
              <w:pStyle w:val="70"/>
              <w:rPr>
                <w:color w:val="000000" w:themeColor="text1"/>
                <w14:textFill>
                  <w14:solidFill>
                    <w14:schemeClr w14:val="tx1"/>
                  </w14:solidFill>
                </w14:textFill>
              </w:rPr>
            </w:pPr>
          </w:p>
        </w:tc>
        <w:tc>
          <w:tcPr>
            <w:tcW w:w="2585" w:type="dxa"/>
            <w:vAlign w:val="center"/>
          </w:tcPr>
          <w:p w14:paraId="4A46250B">
            <w:pPr>
              <w:pStyle w:val="70"/>
              <w:rPr>
                <w:color w:val="000000" w:themeColor="text1"/>
                <w14:textFill>
                  <w14:solidFill>
                    <w14:schemeClr w14:val="tx1"/>
                  </w14:solidFill>
                </w14:textFill>
              </w:rPr>
            </w:pPr>
            <w:r>
              <w:rPr>
                <w:color w:val="000000" w:themeColor="text1"/>
                <w14:textFill>
                  <w14:solidFill>
                    <w14:schemeClr w14:val="tx1"/>
                  </w14:solidFill>
                </w14:textFill>
              </w:rPr>
              <w:t>事故溢油对水环境造成污染</w:t>
            </w:r>
          </w:p>
        </w:tc>
        <w:tc>
          <w:tcPr>
            <w:tcW w:w="2496" w:type="dxa"/>
            <w:vAlign w:val="center"/>
          </w:tcPr>
          <w:p w14:paraId="198444DC">
            <w:pPr>
              <w:pStyle w:val="70"/>
              <w:rPr>
                <w:color w:val="000000" w:themeColor="text1"/>
                <w14:textFill>
                  <w14:solidFill>
                    <w14:schemeClr w14:val="tx1"/>
                  </w14:solidFill>
                </w14:textFill>
              </w:rPr>
            </w:pPr>
            <w:r>
              <w:rPr>
                <w:color w:val="000000" w:themeColor="text1"/>
                <w14:textFill>
                  <w14:solidFill>
                    <w14:schemeClr w14:val="tx1"/>
                  </w14:solidFill>
                </w14:textFill>
              </w:rPr>
              <w:t>运输船舶航行中，与其他船舶碰撞等事故，导致溢油；码头前沿附近海域，由于操作失误，运输船舶与其他船舶发生碰撞，导致溢油；运输船舶在靠、离码头过程中，因操作不当或因水文、气象条件不良等原因，与码头碰撞，导致溢油</w:t>
            </w:r>
          </w:p>
        </w:tc>
        <w:tc>
          <w:tcPr>
            <w:tcW w:w="1105" w:type="dxa"/>
            <w:vAlign w:val="center"/>
          </w:tcPr>
          <w:p w14:paraId="350E13E9">
            <w:pPr>
              <w:pStyle w:val="70"/>
              <w:rPr>
                <w:color w:val="000000" w:themeColor="text1"/>
                <w14:textFill>
                  <w14:solidFill>
                    <w14:schemeClr w14:val="tx1"/>
                  </w14:solidFill>
                </w14:textFill>
              </w:rPr>
            </w:pPr>
            <w:r>
              <w:rPr>
                <w:color w:val="000000" w:themeColor="text1"/>
                <w14:textFill>
                  <w14:solidFill>
                    <w14:schemeClr w14:val="tx1"/>
                  </w14:solidFill>
                </w14:textFill>
              </w:rPr>
              <w:t>小~中</w:t>
            </w:r>
          </w:p>
        </w:tc>
        <w:tc>
          <w:tcPr>
            <w:tcW w:w="881" w:type="dxa"/>
            <w:vAlign w:val="center"/>
          </w:tcPr>
          <w:p w14:paraId="32100C84">
            <w:pPr>
              <w:pStyle w:val="70"/>
              <w:rPr>
                <w:color w:val="000000" w:themeColor="text1"/>
                <w14:textFill>
                  <w14:solidFill>
                    <w14:schemeClr w14:val="tx1"/>
                  </w14:solidFill>
                </w14:textFill>
              </w:rPr>
            </w:pPr>
            <w:r>
              <w:rPr>
                <w:color w:val="000000" w:themeColor="text1"/>
                <w14:textFill>
                  <w14:solidFill>
                    <w14:schemeClr w14:val="tx1"/>
                  </w14:solidFill>
                </w14:textFill>
              </w:rPr>
              <w:t>中~大</w:t>
            </w:r>
          </w:p>
        </w:tc>
      </w:tr>
    </w:tbl>
    <w:p w14:paraId="745739D4">
      <w:pPr>
        <w:pStyle w:val="4"/>
        <w:rPr>
          <w:color w:val="000000" w:themeColor="text1"/>
          <w14:textFill>
            <w14:solidFill>
              <w14:schemeClr w14:val="tx1"/>
            </w14:solidFill>
          </w14:textFill>
        </w:rPr>
      </w:pPr>
      <w:r>
        <w:rPr>
          <w:color w:val="000000" w:themeColor="text1"/>
          <w14:textFill>
            <w14:solidFill>
              <w14:schemeClr w14:val="tx1"/>
            </w14:solidFill>
          </w14:textFill>
        </w:rPr>
        <w:t>源项分析</w:t>
      </w:r>
    </w:p>
    <w:p w14:paraId="3A599B18">
      <w:pPr>
        <w:pStyle w:val="6"/>
        <w:rPr>
          <w:color w:val="000000" w:themeColor="text1"/>
          <w14:textFill>
            <w14:solidFill>
              <w14:schemeClr w14:val="tx1"/>
            </w14:solidFill>
          </w14:textFill>
        </w:rPr>
      </w:pPr>
      <w:r>
        <w:rPr>
          <w:color w:val="000000" w:themeColor="text1"/>
          <w14:textFill>
            <w14:solidFill>
              <w14:schemeClr w14:val="tx1"/>
            </w14:solidFill>
          </w14:textFill>
        </w:rPr>
        <w:t>陆域泄漏选项分析</w:t>
      </w:r>
    </w:p>
    <w:p w14:paraId="7E9F0DF8">
      <w:pPr>
        <w:ind w:firstLine="480"/>
        <w:rPr>
          <w:color w:val="000000" w:themeColor="text1"/>
          <w14:textFill>
            <w14:solidFill>
              <w14:schemeClr w14:val="tx1"/>
            </w14:solidFill>
          </w14:textFill>
        </w:rPr>
      </w:pPr>
      <w:r>
        <w:rPr>
          <w:color w:val="000000" w:themeColor="text1"/>
          <w14:textFill>
            <w14:solidFill>
              <w14:schemeClr w14:val="tx1"/>
            </w14:solidFill>
          </w14:textFill>
        </w:rPr>
        <w:t>1、最大可信事故设定</w:t>
      </w:r>
    </w:p>
    <w:p w14:paraId="51C8D9BC">
      <w:pPr>
        <w:ind w:firstLine="480"/>
        <w:rPr>
          <w:color w:val="000000" w:themeColor="text1"/>
          <w14:textFill>
            <w14:solidFill>
              <w14:schemeClr w14:val="tx1"/>
            </w14:solidFill>
          </w14:textFill>
        </w:rPr>
      </w:pPr>
      <w:r>
        <w:rPr>
          <w:color w:val="000000" w:themeColor="text1"/>
          <w14:textFill>
            <w14:solidFill>
              <w14:schemeClr w14:val="tx1"/>
            </w14:solidFill>
          </w14:textFill>
        </w:rPr>
        <w:t>根据《建设项目环境风险评价技术导则》（HJ169-2018）附录 E 中表 E.1各风险源的泄漏频率确定最大可信事故。对于管线泄漏，其内径＞150mm管道泄漏孔径为10%孔径概率为2.4×10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/a，可作为最大可信事故进行分析。</w:t>
      </w:r>
    </w:p>
    <w:p w14:paraId="016D8BA4">
      <w:pPr>
        <w:ind w:firstLine="480"/>
        <w:rPr>
          <w:color w:val="000000" w:themeColor="text1"/>
          <w14:textFill>
            <w14:solidFill>
              <w14:schemeClr w14:val="tx1"/>
            </w14:solidFill>
          </w14:textFill>
        </w:rPr>
      </w:pPr>
      <w:r>
        <w:rPr>
          <w:color w:val="000000" w:themeColor="text1"/>
          <w14:textFill>
            <w14:solidFill>
              <w14:schemeClr w14:val="tx1"/>
            </w14:solidFill>
          </w14:textFill>
        </w:rPr>
        <w:t>因此本项目最大可信事故按常压管线泄漏孔径为10%进行预测分析。</w:t>
      </w:r>
    </w:p>
    <w:p w14:paraId="51D7DBD4">
      <w:pPr>
        <w:ind w:firstLine="480"/>
        <w:rPr>
          <w:color w:val="000000" w:themeColor="text1"/>
          <w14:textFill>
            <w14:solidFill>
              <w14:schemeClr w14:val="tx1"/>
            </w14:solidFill>
          </w14:textFill>
        </w:rPr>
      </w:pPr>
      <w:r>
        <w:rPr>
          <w:color w:val="000000" w:themeColor="text1"/>
          <w14:textFill>
            <w14:solidFill>
              <w14:schemeClr w14:val="tx1"/>
            </w14:solidFill>
          </w14:textFill>
        </w:rPr>
        <w:t>《建设项目环境风险评价技术导则》（HJ169-2018）附录G给出部分物质的毒性终点浓度，毒性终点浓度越低，则表示人体接触该物质后约易造成健康影响，因此，本次风险评价中优先选取毒性终点浓度低的物质作为典型物质。同时综合考虑物料泄漏量（管线泄漏为响应时间内管线经过量）。</w:t>
      </w:r>
    </w:p>
    <w:p w14:paraId="01D0AE31">
      <w:pPr>
        <w:pStyle w:val="7"/>
        <w:rPr>
          <w:color w:val="000000" w:themeColor="text1"/>
          <w14:textFill>
            <w14:solidFill>
              <w14:schemeClr w14:val="tx1"/>
            </w14:solidFill>
          </w14:textFill>
        </w:rPr>
      </w:pPr>
      <w:r>
        <w:rPr>
          <w:color w:val="000000" w:themeColor="text1"/>
          <w14:textFill>
            <w14:solidFill>
              <w14:schemeClr w14:val="tx1"/>
            </w14:solidFill>
          </w14:textFill>
        </w:rPr>
        <w:t>项目吞吐量及毒性较大装卸货物统计表</w:t>
      </w:r>
    </w:p>
    <w:tbl>
      <w:tblPr>
        <w:tblStyle w:val="43"/>
        <w:tblW w:w="8521"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809"/>
        <w:gridCol w:w="1678"/>
        <w:gridCol w:w="1678"/>
        <w:gridCol w:w="1678"/>
        <w:gridCol w:w="1678"/>
      </w:tblGrid>
      <w:tr w14:paraId="109643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20C2810C">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物料</w:t>
            </w:r>
          </w:p>
        </w:tc>
        <w:tc>
          <w:tcPr>
            <w:tcW w:w="1678" w:type="dxa"/>
            <w:vAlign w:val="center"/>
          </w:tcPr>
          <w:p w14:paraId="24210AD4">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管线/mm</w:t>
            </w:r>
          </w:p>
        </w:tc>
        <w:tc>
          <w:tcPr>
            <w:tcW w:w="1678" w:type="dxa"/>
            <w:vAlign w:val="center"/>
          </w:tcPr>
          <w:p w14:paraId="7358EE5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在线储量（t）</w:t>
            </w:r>
          </w:p>
        </w:tc>
        <w:tc>
          <w:tcPr>
            <w:tcW w:w="1678" w:type="dxa"/>
            <w:vAlign w:val="center"/>
          </w:tcPr>
          <w:p w14:paraId="536D2C84">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毒性终点浓度-1（mg/m</w:t>
            </w:r>
            <w:r>
              <w:rPr>
                <w:b/>
                <w:bCs/>
                <w:color w:val="000000" w:themeColor="text1"/>
                <w:vertAlign w:val="superscript"/>
                <w14:textFill>
                  <w14:solidFill>
                    <w14:schemeClr w14:val="tx1"/>
                  </w14:solidFill>
                </w14:textFill>
              </w:rPr>
              <w:t>3</w:t>
            </w:r>
            <w:r>
              <w:rPr>
                <w:b/>
                <w:bCs/>
                <w:color w:val="000000" w:themeColor="text1"/>
                <w14:textFill>
                  <w14:solidFill>
                    <w14:schemeClr w14:val="tx1"/>
                  </w14:solidFill>
                </w14:textFill>
              </w:rPr>
              <w:t>）</w:t>
            </w:r>
          </w:p>
        </w:tc>
        <w:tc>
          <w:tcPr>
            <w:tcW w:w="1678" w:type="dxa"/>
            <w:vAlign w:val="center"/>
          </w:tcPr>
          <w:p w14:paraId="72C7F64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毒性终点浓度-2（mg/m</w:t>
            </w:r>
            <w:r>
              <w:rPr>
                <w:b/>
                <w:bCs/>
                <w:color w:val="000000" w:themeColor="text1"/>
                <w:vertAlign w:val="superscript"/>
                <w14:textFill>
                  <w14:solidFill>
                    <w14:schemeClr w14:val="tx1"/>
                  </w14:solidFill>
                </w14:textFill>
              </w:rPr>
              <w:t>3</w:t>
            </w:r>
            <w:r>
              <w:rPr>
                <w:b/>
                <w:bCs/>
                <w:color w:val="000000" w:themeColor="text1"/>
                <w14:textFill>
                  <w14:solidFill>
                    <w14:schemeClr w14:val="tx1"/>
                  </w14:solidFill>
                </w14:textFill>
              </w:rPr>
              <w:t>）</w:t>
            </w:r>
          </w:p>
        </w:tc>
      </w:tr>
      <w:tr w14:paraId="6DD039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38CE852E">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苯乙烯</w:t>
            </w:r>
          </w:p>
        </w:tc>
        <w:tc>
          <w:tcPr>
            <w:tcW w:w="1678" w:type="dxa"/>
            <w:vAlign w:val="top"/>
          </w:tcPr>
          <w:p w14:paraId="68E4B365">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400</w:t>
            </w:r>
          </w:p>
        </w:tc>
        <w:tc>
          <w:tcPr>
            <w:tcW w:w="1678" w:type="dxa"/>
            <w:vAlign w:val="center"/>
          </w:tcPr>
          <w:p w14:paraId="2B00B8DF">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28.45</w:t>
            </w:r>
          </w:p>
        </w:tc>
        <w:tc>
          <w:tcPr>
            <w:tcW w:w="1678" w:type="dxa"/>
            <w:vAlign w:val="center"/>
          </w:tcPr>
          <w:p w14:paraId="0A32E24D">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47000</w:t>
            </w:r>
          </w:p>
        </w:tc>
        <w:tc>
          <w:tcPr>
            <w:tcW w:w="1678" w:type="dxa"/>
            <w:vAlign w:val="center"/>
          </w:tcPr>
          <w:p w14:paraId="7EDB3F93">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550</w:t>
            </w:r>
          </w:p>
        </w:tc>
      </w:tr>
      <w:tr w14:paraId="73DAF9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3B4143FD">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裂解C9</w:t>
            </w:r>
          </w:p>
        </w:tc>
        <w:tc>
          <w:tcPr>
            <w:tcW w:w="1678" w:type="dxa"/>
            <w:vAlign w:val="top"/>
          </w:tcPr>
          <w:p w14:paraId="20144D93">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1678" w:type="dxa"/>
            <w:vAlign w:val="center"/>
          </w:tcPr>
          <w:p w14:paraId="0846E9AE">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45.69</w:t>
            </w:r>
          </w:p>
        </w:tc>
        <w:tc>
          <w:tcPr>
            <w:tcW w:w="1678" w:type="dxa"/>
            <w:vAlign w:val="center"/>
          </w:tcPr>
          <w:p w14:paraId="606A4F4B">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4900</w:t>
            </w:r>
          </w:p>
        </w:tc>
        <w:tc>
          <w:tcPr>
            <w:tcW w:w="1678" w:type="dxa"/>
            <w:vAlign w:val="center"/>
          </w:tcPr>
          <w:p w14:paraId="47FBBBDE">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1400</w:t>
            </w:r>
          </w:p>
        </w:tc>
      </w:tr>
      <w:tr w14:paraId="32CD64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1656D3A1">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纯生物柴油</w:t>
            </w:r>
          </w:p>
        </w:tc>
        <w:tc>
          <w:tcPr>
            <w:tcW w:w="1678" w:type="dxa"/>
            <w:vAlign w:val="top"/>
          </w:tcPr>
          <w:p w14:paraId="79075C6D">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1678" w:type="dxa"/>
            <w:vAlign w:val="center"/>
          </w:tcPr>
          <w:p w14:paraId="59462A91">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41.21</w:t>
            </w:r>
          </w:p>
        </w:tc>
        <w:tc>
          <w:tcPr>
            <w:tcW w:w="1678" w:type="dxa"/>
            <w:vAlign w:val="center"/>
          </w:tcPr>
          <w:p w14:paraId="68B0E062">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72</w:t>
            </w:r>
            <w:r>
              <w:rPr>
                <w:color w:val="000000" w:themeColor="text1"/>
                <w14:textFill>
                  <w14:solidFill>
                    <w14:schemeClr w14:val="tx1"/>
                  </w14:solidFill>
                </w14:textFill>
              </w:rPr>
              <w:t>000</w:t>
            </w:r>
            <w:r>
              <w:rPr>
                <w:rFonts w:hint="eastAsia"/>
                <w:color w:val="000000" w:themeColor="text1"/>
                <w14:textFill>
                  <w14:solidFill>
                    <w14:schemeClr w14:val="tx1"/>
                  </w14:solidFill>
                </w14:textFill>
              </w:rPr>
              <w:t>0</w:t>
            </w:r>
          </w:p>
        </w:tc>
        <w:tc>
          <w:tcPr>
            <w:tcW w:w="1678" w:type="dxa"/>
            <w:vAlign w:val="center"/>
          </w:tcPr>
          <w:p w14:paraId="21094684">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4100</w:t>
            </w:r>
            <w:r>
              <w:rPr>
                <w:color w:val="000000" w:themeColor="text1"/>
                <w14:textFill>
                  <w14:solidFill>
                    <w14:schemeClr w14:val="tx1"/>
                  </w14:solidFill>
                </w14:textFill>
              </w:rPr>
              <w:t>00</w:t>
            </w:r>
          </w:p>
        </w:tc>
      </w:tr>
      <w:tr w14:paraId="1D6268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6D6C8BA8">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航空煤油</w:t>
            </w:r>
          </w:p>
        </w:tc>
        <w:tc>
          <w:tcPr>
            <w:tcW w:w="1678" w:type="dxa"/>
            <w:vAlign w:val="top"/>
          </w:tcPr>
          <w:p w14:paraId="7FD42AF3">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1678" w:type="dxa"/>
            <w:vAlign w:val="center"/>
          </w:tcPr>
          <w:p w14:paraId="17314495">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37.21</w:t>
            </w:r>
          </w:p>
        </w:tc>
        <w:tc>
          <w:tcPr>
            <w:tcW w:w="1678" w:type="dxa"/>
            <w:vAlign w:val="center"/>
          </w:tcPr>
          <w:p w14:paraId="738E81CD">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72</w:t>
            </w:r>
            <w:r>
              <w:rPr>
                <w:color w:val="000000" w:themeColor="text1"/>
                <w14:textFill>
                  <w14:solidFill>
                    <w14:schemeClr w14:val="tx1"/>
                  </w14:solidFill>
                </w14:textFill>
              </w:rPr>
              <w:t>000</w:t>
            </w:r>
            <w:r>
              <w:rPr>
                <w:rFonts w:hint="eastAsia"/>
                <w:color w:val="000000" w:themeColor="text1"/>
                <w14:textFill>
                  <w14:solidFill>
                    <w14:schemeClr w14:val="tx1"/>
                  </w14:solidFill>
                </w14:textFill>
              </w:rPr>
              <w:t>0</w:t>
            </w:r>
          </w:p>
        </w:tc>
        <w:tc>
          <w:tcPr>
            <w:tcW w:w="1678" w:type="dxa"/>
            <w:vAlign w:val="center"/>
          </w:tcPr>
          <w:p w14:paraId="23CB7DBF">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4100</w:t>
            </w:r>
            <w:r>
              <w:rPr>
                <w:color w:val="000000" w:themeColor="text1"/>
                <w14:textFill>
                  <w14:solidFill>
                    <w14:schemeClr w14:val="tx1"/>
                  </w14:solidFill>
                </w14:textFill>
              </w:rPr>
              <w:t>00</w:t>
            </w:r>
          </w:p>
        </w:tc>
      </w:tr>
      <w:tr w14:paraId="20E6BF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2D55266A">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碱液</w:t>
            </w:r>
          </w:p>
        </w:tc>
        <w:tc>
          <w:tcPr>
            <w:tcW w:w="1678" w:type="dxa"/>
            <w:vAlign w:val="top"/>
          </w:tcPr>
          <w:p w14:paraId="61131F35">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1678" w:type="dxa"/>
            <w:vAlign w:val="center"/>
          </w:tcPr>
          <w:p w14:paraId="161D599D">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31.32</w:t>
            </w:r>
          </w:p>
        </w:tc>
        <w:tc>
          <w:tcPr>
            <w:tcW w:w="1678" w:type="dxa"/>
            <w:vAlign w:val="center"/>
          </w:tcPr>
          <w:p w14:paraId="10DFAB07">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770</w:t>
            </w:r>
          </w:p>
        </w:tc>
        <w:tc>
          <w:tcPr>
            <w:tcW w:w="1678" w:type="dxa"/>
            <w:vAlign w:val="center"/>
          </w:tcPr>
          <w:p w14:paraId="7B33FF34">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110</w:t>
            </w:r>
          </w:p>
        </w:tc>
      </w:tr>
      <w:tr w14:paraId="044AF6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646C3133">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发烟硫酸</w:t>
            </w:r>
          </w:p>
        </w:tc>
        <w:tc>
          <w:tcPr>
            <w:tcW w:w="1678" w:type="dxa"/>
            <w:vAlign w:val="top"/>
          </w:tcPr>
          <w:p w14:paraId="29B12D77">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1678" w:type="dxa"/>
            <w:vAlign w:val="center"/>
          </w:tcPr>
          <w:p w14:paraId="34D76203">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44.75</w:t>
            </w:r>
          </w:p>
        </w:tc>
        <w:tc>
          <w:tcPr>
            <w:tcW w:w="1678" w:type="dxa"/>
            <w:vAlign w:val="center"/>
          </w:tcPr>
          <w:p w14:paraId="42E9E9DA">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160</w:t>
            </w:r>
          </w:p>
        </w:tc>
        <w:tc>
          <w:tcPr>
            <w:tcW w:w="1678" w:type="dxa"/>
            <w:vAlign w:val="center"/>
          </w:tcPr>
          <w:p w14:paraId="7E7FE423">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8.7</w:t>
            </w:r>
          </w:p>
        </w:tc>
      </w:tr>
      <w:tr w14:paraId="1A044E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357F73A5">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硫酸</w:t>
            </w:r>
          </w:p>
        </w:tc>
        <w:tc>
          <w:tcPr>
            <w:tcW w:w="1678" w:type="dxa"/>
            <w:vAlign w:val="top"/>
          </w:tcPr>
          <w:p w14:paraId="44978919">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1678" w:type="dxa"/>
            <w:vAlign w:val="center"/>
          </w:tcPr>
          <w:p w14:paraId="6599D2F9">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44.75</w:t>
            </w:r>
          </w:p>
        </w:tc>
        <w:tc>
          <w:tcPr>
            <w:tcW w:w="1678" w:type="dxa"/>
            <w:vAlign w:val="center"/>
          </w:tcPr>
          <w:p w14:paraId="7930C098">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160</w:t>
            </w:r>
          </w:p>
        </w:tc>
        <w:tc>
          <w:tcPr>
            <w:tcW w:w="1678" w:type="dxa"/>
            <w:vAlign w:val="center"/>
          </w:tcPr>
          <w:p w14:paraId="02D447F4">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8.7</w:t>
            </w:r>
          </w:p>
        </w:tc>
      </w:tr>
      <w:tr w14:paraId="25DEAC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1339052A">
            <w:pPr>
              <w:pStyle w:val="70"/>
              <w:ind w:firstLine="0" w:firstLineChars="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硫</w:t>
            </w:r>
          </w:p>
        </w:tc>
        <w:tc>
          <w:tcPr>
            <w:tcW w:w="1678" w:type="dxa"/>
            <w:vAlign w:val="top"/>
          </w:tcPr>
          <w:p w14:paraId="42EBEF7A">
            <w:pPr>
              <w:pStyle w:val="70"/>
              <w:ind w:firstLine="0" w:firstLineChars="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1678" w:type="dxa"/>
            <w:vAlign w:val="center"/>
          </w:tcPr>
          <w:p w14:paraId="6D2AA0D1">
            <w:pPr>
              <w:pStyle w:val="70"/>
              <w:ind w:firstLine="0" w:firstLineChars="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42.39</w:t>
            </w:r>
          </w:p>
        </w:tc>
        <w:tc>
          <w:tcPr>
            <w:tcW w:w="1678" w:type="dxa"/>
            <w:vAlign w:val="center"/>
          </w:tcPr>
          <w:p w14:paraId="28B67B26">
            <w:pPr>
              <w:pStyle w:val="70"/>
              <w:ind w:firstLine="0" w:firstLineChars="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78" w:type="dxa"/>
            <w:vAlign w:val="center"/>
          </w:tcPr>
          <w:p w14:paraId="531DF4C7">
            <w:pPr>
              <w:pStyle w:val="70"/>
              <w:ind w:firstLine="0" w:firstLineChars="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bl>
    <w:p w14:paraId="4CE09E2D">
      <w:pPr>
        <w:pStyle w:val="74"/>
        <w:ind w:firstLine="360"/>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硫毒性重点浓度在《建设项目环境风险评价技术导则》（HJ169-2018）附录G未给出。</w:t>
      </w:r>
    </w:p>
    <w:p w14:paraId="32E1E2D6">
      <w:pPr>
        <w:pStyle w:val="74"/>
        <w:rPr>
          <w:color w:val="000000" w:themeColor="text1"/>
          <w14:textFill>
            <w14:solidFill>
              <w14:schemeClr w14:val="tx1"/>
            </w14:solidFill>
          </w14:textFill>
        </w:rPr>
      </w:pPr>
      <w:r>
        <w:rPr>
          <w:color w:val="000000" w:themeColor="text1"/>
          <w14:textFill>
            <w14:solidFill>
              <w14:schemeClr w14:val="tx1"/>
            </w14:solidFill>
          </w14:textFill>
        </w:rPr>
        <w:t>根据表5.4-2，由于硫燃点较高，综合考虑选取发烟硫酸、</w:t>
      </w:r>
      <w:r>
        <w:rPr>
          <w:rFonts w:hint="eastAsia"/>
          <w:color w:val="000000" w:themeColor="text1"/>
          <w:sz w:val="21"/>
          <w:szCs w:val="21"/>
          <w14:textFill>
            <w14:solidFill>
              <w14:schemeClr w14:val="tx1"/>
            </w14:solidFill>
          </w14:textFill>
        </w:rPr>
        <w:t>苯乙烯</w:t>
      </w:r>
      <w:r>
        <w:rPr>
          <w:color w:val="000000" w:themeColor="text1"/>
          <w14:textFill>
            <w14:solidFill>
              <w14:schemeClr w14:val="tx1"/>
            </w14:solidFill>
          </w14:textFill>
        </w:rPr>
        <w:t>作为管线泄漏为典型事故进行模拟预测与评价。</w:t>
      </w:r>
    </w:p>
    <w:p w14:paraId="36F509ED">
      <w:pPr>
        <w:pStyle w:val="74"/>
        <w:rPr>
          <w:color w:val="000000" w:themeColor="text1"/>
          <w14:textFill>
            <w14:solidFill>
              <w14:schemeClr w14:val="tx1"/>
            </w14:solidFill>
          </w14:textFill>
        </w:rPr>
      </w:pPr>
    </w:p>
    <w:p w14:paraId="5AB15EEE">
      <w:pPr>
        <w:pStyle w:val="7"/>
        <w:rPr>
          <w:color w:val="000000" w:themeColor="text1"/>
          <w:u w:val="single"/>
          <w14:textFill>
            <w14:solidFill>
              <w14:schemeClr w14:val="tx1"/>
            </w14:solidFill>
          </w14:textFill>
        </w:rPr>
      </w:pPr>
      <w:r>
        <w:rPr>
          <w:color w:val="000000" w:themeColor="text1"/>
          <w:u w:val="single"/>
          <w14:textFill>
            <w14:solidFill>
              <w14:schemeClr w14:val="tx1"/>
            </w14:solidFill>
          </w14:textFill>
        </w:rPr>
        <w:t>最大可信事故设定</w:t>
      </w:r>
    </w:p>
    <w:tbl>
      <w:tblPr>
        <w:tblStyle w:val="43"/>
        <w:tblW w:w="82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94"/>
        <w:gridCol w:w="1553"/>
        <w:gridCol w:w="1019"/>
        <w:gridCol w:w="4100"/>
        <w:gridCol w:w="1210"/>
      </w:tblGrid>
      <w:tr w14:paraId="20D4CD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94" w:type="dxa"/>
            <w:vAlign w:val="center"/>
          </w:tcPr>
          <w:p w14:paraId="74D49F91">
            <w:pPr>
              <w:pStyle w:val="70"/>
              <w:rPr>
                <w:rFonts w:eastAsiaTheme="minorEastAsia"/>
                <w:b/>
                <w:bCs/>
                <w:color w:val="000000" w:themeColor="text1"/>
                <w:lang w:eastAsia="en-US"/>
                <w14:textFill>
                  <w14:solidFill>
                    <w14:schemeClr w14:val="tx1"/>
                  </w14:solidFill>
                </w14:textFill>
              </w:rPr>
            </w:pPr>
            <w:r>
              <w:rPr>
                <w:rFonts w:eastAsiaTheme="minorEastAsia"/>
                <w:b/>
                <w:bCs/>
                <w:color w:val="000000" w:themeColor="text1"/>
                <w:lang w:eastAsia="en-US"/>
                <w14:textFill>
                  <w14:solidFill>
                    <w14:schemeClr w14:val="tx1"/>
                  </w14:solidFill>
                </w14:textFill>
              </w:rPr>
              <w:t>序号</w:t>
            </w:r>
          </w:p>
        </w:tc>
        <w:tc>
          <w:tcPr>
            <w:tcW w:w="1553" w:type="dxa"/>
            <w:vAlign w:val="center"/>
          </w:tcPr>
          <w:p w14:paraId="032FECC0">
            <w:pPr>
              <w:pStyle w:val="70"/>
              <w:rPr>
                <w:rFonts w:eastAsiaTheme="minorEastAsia"/>
                <w:b/>
                <w:bCs/>
                <w:color w:val="000000" w:themeColor="text1"/>
                <w:lang w:eastAsia="en-US"/>
                <w14:textFill>
                  <w14:solidFill>
                    <w14:schemeClr w14:val="tx1"/>
                  </w14:solidFill>
                </w14:textFill>
              </w:rPr>
            </w:pPr>
            <w:r>
              <w:rPr>
                <w:rFonts w:eastAsiaTheme="minorEastAsia"/>
                <w:b/>
                <w:bCs/>
                <w:color w:val="000000" w:themeColor="text1"/>
                <w:lang w:eastAsia="en-US"/>
                <w14:textFill>
                  <w14:solidFill>
                    <w14:schemeClr w14:val="tx1"/>
                  </w14:solidFill>
                </w14:textFill>
              </w:rPr>
              <w:t>事故情景</w:t>
            </w:r>
          </w:p>
        </w:tc>
        <w:tc>
          <w:tcPr>
            <w:tcW w:w="1019" w:type="dxa"/>
            <w:vAlign w:val="center"/>
          </w:tcPr>
          <w:p w14:paraId="3B66DCE8">
            <w:pPr>
              <w:pStyle w:val="70"/>
              <w:rPr>
                <w:rFonts w:eastAsiaTheme="minorEastAsia"/>
                <w:b/>
                <w:bCs/>
                <w:color w:val="000000" w:themeColor="text1"/>
                <w:lang w:eastAsia="en-US"/>
                <w14:textFill>
                  <w14:solidFill>
                    <w14:schemeClr w14:val="tx1"/>
                  </w14:solidFill>
                </w14:textFill>
              </w:rPr>
            </w:pPr>
            <w:r>
              <w:rPr>
                <w:rFonts w:eastAsiaTheme="minorEastAsia"/>
                <w:b/>
                <w:bCs/>
                <w:color w:val="000000" w:themeColor="text1"/>
                <w:lang w:eastAsia="en-US"/>
                <w14:textFill>
                  <w14:solidFill>
                    <w14:schemeClr w14:val="tx1"/>
                  </w14:solidFill>
                </w14:textFill>
              </w:rPr>
              <w:t>泄漏频率</w:t>
            </w:r>
          </w:p>
        </w:tc>
        <w:tc>
          <w:tcPr>
            <w:tcW w:w="4100" w:type="dxa"/>
            <w:vAlign w:val="center"/>
          </w:tcPr>
          <w:p w14:paraId="3B37B1D4">
            <w:pPr>
              <w:pStyle w:val="70"/>
              <w:rPr>
                <w:rFonts w:eastAsiaTheme="minorEastAsia"/>
                <w:b/>
                <w:bCs/>
                <w:color w:val="000000" w:themeColor="text1"/>
                <w:lang w:eastAsia="en-US"/>
                <w14:textFill>
                  <w14:solidFill>
                    <w14:schemeClr w14:val="tx1"/>
                  </w14:solidFill>
                </w14:textFill>
              </w:rPr>
            </w:pPr>
            <w:r>
              <w:rPr>
                <w:rFonts w:eastAsiaTheme="minorEastAsia"/>
                <w:b/>
                <w:bCs/>
                <w:color w:val="000000" w:themeColor="text1"/>
                <w:lang w:eastAsia="en-US"/>
                <w14:textFill>
                  <w14:solidFill>
                    <w14:schemeClr w14:val="tx1"/>
                  </w14:solidFill>
                </w14:textFill>
              </w:rPr>
              <w:t>应急措施与排放情景</w:t>
            </w:r>
          </w:p>
        </w:tc>
        <w:tc>
          <w:tcPr>
            <w:tcW w:w="1210" w:type="dxa"/>
            <w:vAlign w:val="center"/>
          </w:tcPr>
          <w:p w14:paraId="65F73F7C">
            <w:pPr>
              <w:pStyle w:val="70"/>
              <w:rPr>
                <w:rFonts w:eastAsiaTheme="minorEastAsia"/>
                <w:b/>
                <w:bCs/>
                <w:color w:val="000000" w:themeColor="text1"/>
                <w:lang w:eastAsia="en-US"/>
                <w14:textFill>
                  <w14:solidFill>
                    <w14:schemeClr w14:val="tx1"/>
                  </w14:solidFill>
                </w14:textFill>
              </w:rPr>
            </w:pPr>
            <w:r>
              <w:rPr>
                <w:rFonts w:eastAsiaTheme="minorEastAsia"/>
                <w:b/>
                <w:bCs/>
                <w:color w:val="000000" w:themeColor="text1"/>
                <w:lang w:eastAsia="en-US"/>
                <w14:textFill>
                  <w14:solidFill>
                    <w14:schemeClr w14:val="tx1"/>
                  </w14:solidFill>
                </w14:textFill>
              </w:rPr>
              <w:t>排放时间</w:t>
            </w:r>
          </w:p>
        </w:tc>
      </w:tr>
      <w:tr w14:paraId="6039E3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94" w:type="dxa"/>
            <w:vAlign w:val="center"/>
          </w:tcPr>
          <w:p w14:paraId="7032B4A4">
            <w:pPr>
              <w:pStyle w:val="70"/>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1</w:t>
            </w:r>
          </w:p>
        </w:tc>
        <w:tc>
          <w:tcPr>
            <w:tcW w:w="1553" w:type="dxa"/>
            <w:vAlign w:val="center"/>
          </w:tcPr>
          <w:p w14:paraId="7F558090">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发烟硫酸、</w:t>
            </w:r>
            <w:r>
              <w:rPr>
                <w:rFonts w:hint="eastAsia"/>
                <w:color w:val="000000" w:themeColor="text1"/>
                <w14:textFill>
                  <w14:solidFill>
                    <w14:schemeClr w14:val="tx1"/>
                  </w14:solidFill>
                </w14:textFill>
              </w:rPr>
              <w:t>苯乙烯</w:t>
            </w:r>
            <w:r>
              <w:rPr>
                <w:rFonts w:eastAsiaTheme="minorEastAsia"/>
                <w:color w:val="000000" w:themeColor="text1"/>
                <w14:textFill>
                  <w14:solidFill>
                    <w14:schemeClr w14:val="tx1"/>
                  </w14:solidFill>
                </w14:textFill>
              </w:rPr>
              <w:t>管线泄漏</w:t>
            </w:r>
          </w:p>
        </w:tc>
        <w:tc>
          <w:tcPr>
            <w:tcW w:w="1019" w:type="dxa"/>
            <w:vAlign w:val="center"/>
          </w:tcPr>
          <w:p w14:paraId="38AA0EE4">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2.4×10</w:t>
            </w:r>
            <w:r>
              <w:rPr>
                <w:rFonts w:eastAsiaTheme="minorEastAsia"/>
                <w:color w:val="000000" w:themeColor="text1"/>
                <w:vertAlign w:val="superscript"/>
                <w:lang w:eastAsia="en-US"/>
                <w14:textFill>
                  <w14:solidFill>
                    <w14:schemeClr w14:val="tx1"/>
                  </w14:solidFill>
                </w14:textFill>
              </w:rPr>
              <w:t>-6</w:t>
            </w:r>
            <w:r>
              <w:rPr>
                <w:rFonts w:eastAsiaTheme="minorEastAsia"/>
                <w:color w:val="000000" w:themeColor="text1"/>
                <w:lang w:eastAsia="en-US"/>
                <w14:textFill>
                  <w14:solidFill>
                    <w14:schemeClr w14:val="tx1"/>
                  </w14:solidFill>
                </w14:textFill>
              </w:rPr>
              <w:t>/a</w:t>
            </w:r>
          </w:p>
        </w:tc>
        <w:tc>
          <w:tcPr>
            <w:tcW w:w="4100" w:type="dxa"/>
            <w:vAlign w:val="center"/>
          </w:tcPr>
          <w:p w14:paraId="6F6C2475">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泄漏后可管线内液位、压力等参数异常变化及罐区可燃、有毒气体检测探头检测到异常信号，反馈至中控室报警和启动应急预案，立即关闭紧急阀门，减少泄漏。同时采取覆盖液池表面、收容泄漏物料等消防措施，以减少液池蒸发排放。</w:t>
            </w:r>
          </w:p>
        </w:tc>
        <w:tc>
          <w:tcPr>
            <w:tcW w:w="1210" w:type="dxa"/>
            <w:vAlign w:val="center"/>
          </w:tcPr>
          <w:p w14:paraId="0CC72126">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泄漏时间按</w:t>
            </w:r>
            <w:r>
              <w:rPr>
                <w:rFonts w:hint="eastAsia" w:eastAsiaTheme="minorEastAsia"/>
                <w:color w:val="000000" w:themeColor="text1"/>
                <w14:textFill>
                  <w14:solidFill>
                    <w14:schemeClr w14:val="tx1"/>
                  </w14:solidFill>
                </w14:textFill>
              </w:rPr>
              <w:t>10</w:t>
            </w:r>
            <w:r>
              <w:rPr>
                <w:rFonts w:eastAsiaTheme="minorEastAsia"/>
                <w:color w:val="000000" w:themeColor="text1"/>
                <w:lang w:eastAsia="en-US"/>
                <w14:textFill>
                  <w14:solidFill>
                    <w14:schemeClr w14:val="tx1"/>
                  </w14:solidFill>
                </w14:textFill>
              </w:rPr>
              <w:t>min 计</w:t>
            </w:r>
          </w:p>
        </w:tc>
      </w:tr>
      <w:tr w14:paraId="657144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94" w:type="dxa"/>
            <w:vAlign w:val="center"/>
          </w:tcPr>
          <w:p w14:paraId="31A3C034">
            <w:pPr>
              <w:pStyle w:val="70"/>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2</w:t>
            </w:r>
          </w:p>
        </w:tc>
        <w:tc>
          <w:tcPr>
            <w:tcW w:w="1553" w:type="dxa"/>
            <w:vAlign w:val="center"/>
          </w:tcPr>
          <w:p w14:paraId="277640C3">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火灾爆炸事故</w:t>
            </w:r>
          </w:p>
        </w:tc>
        <w:tc>
          <w:tcPr>
            <w:tcW w:w="1019" w:type="dxa"/>
            <w:vAlign w:val="center"/>
          </w:tcPr>
          <w:p w14:paraId="76BD3D86">
            <w:pPr>
              <w:pStyle w:val="70"/>
              <w:rPr>
                <w:rFonts w:eastAsiaTheme="minorEastAsia"/>
                <w:color w:val="000000" w:themeColor="text1"/>
                <w:lang w:eastAsia="en-US"/>
                <w14:textFill>
                  <w14:solidFill>
                    <w14:schemeClr w14:val="tx1"/>
                  </w14:solidFill>
                </w14:textFill>
              </w:rPr>
            </w:pPr>
          </w:p>
        </w:tc>
        <w:tc>
          <w:tcPr>
            <w:tcW w:w="4100" w:type="dxa"/>
            <w:vAlign w:val="center"/>
          </w:tcPr>
          <w:p w14:paraId="286CCD62">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火灾爆炸事故中，在高温下迅速挥发释放的未燃有毒有害物质、伴生/次生污染物。</w:t>
            </w:r>
          </w:p>
        </w:tc>
        <w:tc>
          <w:tcPr>
            <w:tcW w:w="1210" w:type="dxa"/>
            <w:vAlign w:val="center"/>
          </w:tcPr>
          <w:p w14:paraId="0A0B920D">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按消防时间 2h 计。</w:t>
            </w:r>
          </w:p>
        </w:tc>
      </w:tr>
    </w:tbl>
    <w:p w14:paraId="078B68E1">
      <w:pPr>
        <w:pStyle w:val="74"/>
        <w:rPr>
          <w:color w:val="000000" w:themeColor="text1"/>
          <w14:textFill>
            <w14:solidFill>
              <w14:schemeClr w14:val="tx1"/>
            </w14:solidFill>
          </w14:textFill>
        </w:rPr>
      </w:pPr>
      <w:r>
        <w:rPr>
          <w:color w:val="000000" w:themeColor="text1"/>
          <w14:textFill>
            <w14:solidFill>
              <w14:schemeClr w14:val="tx1"/>
            </w14:solidFill>
          </w14:textFill>
        </w:rPr>
        <w:t>2、事故源强</w:t>
      </w:r>
    </w:p>
    <w:p w14:paraId="39AE9500">
      <w:pPr>
        <w:pStyle w:val="74"/>
        <w:rPr>
          <w:color w:val="000000" w:themeColor="text1"/>
          <w14:textFill>
            <w14:solidFill>
              <w14:schemeClr w14:val="tx1"/>
            </w14:solidFill>
          </w14:textFill>
        </w:rPr>
      </w:pPr>
      <w:r>
        <w:rPr>
          <w:color w:val="000000" w:themeColor="text1"/>
          <w14:textFill>
            <w14:solidFill>
              <w14:schemeClr w14:val="tx1"/>
            </w14:solidFill>
          </w14:textFill>
        </w:rPr>
        <w:t>1）危险物质的泄漏量</w:t>
      </w:r>
    </w:p>
    <w:p w14:paraId="0EB07ED8">
      <w:pPr>
        <w:pStyle w:val="74"/>
        <w:rPr>
          <w:color w:val="000000" w:themeColor="text1"/>
          <w14:textFill>
            <w14:solidFill>
              <w14:schemeClr w14:val="tx1"/>
            </w14:solidFill>
          </w14:textFill>
        </w:rPr>
      </w:pPr>
      <w:r>
        <w:rPr>
          <w:rFonts w:hint="eastAsia"/>
          <w:color w:val="000000" w:themeColor="text1"/>
          <w14:textFill>
            <w14:solidFill>
              <w14:schemeClr w14:val="tx1"/>
            </w14:solidFill>
          </w14:textFill>
        </w:rPr>
        <w:t>根据表5.1-1，项目风险源</w:t>
      </w:r>
      <w:r>
        <w:rPr>
          <w:color w:val="000000" w:themeColor="text1"/>
          <w14:textFill>
            <w14:solidFill>
              <w14:schemeClr w14:val="tx1"/>
            </w14:solidFill>
          </w14:textFill>
        </w:rPr>
        <w:t>发烟硫酸</w:t>
      </w:r>
      <w:r>
        <w:rPr>
          <w:rFonts w:hint="eastAsia"/>
          <w:color w:val="000000" w:themeColor="text1"/>
          <w14:textFill>
            <w14:solidFill>
              <w14:schemeClr w14:val="tx1"/>
            </w14:solidFill>
          </w14:textFill>
        </w:rPr>
        <w:t>在线量</w:t>
      </w:r>
      <w:r>
        <w:rPr>
          <w:color w:val="000000" w:themeColor="text1"/>
          <w14:textFill>
            <w14:solidFill>
              <w14:schemeClr w14:val="tx1"/>
            </w14:solidFill>
          </w14:textFill>
        </w:rPr>
        <w:t>为</w:t>
      </w:r>
      <w:r>
        <w:rPr>
          <w:rFonts w:hint="eastAsia"/>
          <w:color w:val="000000" w:themeColor="text1"/>
          <w14:textFill>
            <w14:solidFill>
              <w14:schemeClr w14:val="tx1"/>
            </w14:solidFill>
          </w14:textFill>
        </w:rPr>
        <w:t>44.75</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苯乙烯在线量</w:t>
      </w:r>
      <w:r>
        <w:rPr>
          <w:color w:val="000000" w:themeColor="text1"/>
          <w14:textFill>
            <w14:solidFill>
              <w14:schemeClr w14:val="tx1"/>
            </w14:solidFill>
          </w14:textFill>
        </w:rPr>
        <w:t>为28.45t</w:t>
      </w:r>
      <w:r>
        <w:rPr>
          <w:rFonts w:hint="eastAsia"/>
          <w:color w:val="000000" w:themeColor="text1"/>
          <w14:textFill>
            <w14:solidFill>
              <w14:schemeClr w14:val="tx1"/>
            </w14:solidFill>
          </w14:textFill>
        </w:rPr>
        <w:t>，结合现场应急时间10min中，最大可信事故的考虑，按最大</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量计算（在线量10%），</w:t>
      </w:r>
      <w:r>
        <w:rPr>
          <w:color w:val="000000" w:themeColor="text1"/>
          <w14:textFill>
            <w14:solidFill>
              <w14:schemeClr w14:val="tx1"/>
            </w14:solidFill>
          </w14:textFill>
        </w:rPr>
        <w:t>发烟硫酸</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量4.48t，苯乙烯</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量2.85t</w:t>
      </w:r>
      <w:r>
        <w:rPr>
          <w:color w:val="000000" w:themeColor="text1"/>
          <w14:textFill>
            <w14:solidFill>
              <w14:schemeClr w14:val="tx1"/>
            </w14:solidFill>
          </w14:textFill>
        </w:rPr>
        <w:t>。</w:t>
      </w:r>
    </w:p>
    <w:p w14:paraId="1FE855A6">
      <w:pPr>
        <w:pStyle w:val="74"/>
        <w:rPr>
          <w:color w:val="000000" w:themeColor="text1"/>
          <w14:textFill>
            <w14:solidFill>
              <w14:schemeClr w14:val="tx1"/>
            </w14:solidFill>
          </w14:textFill>
        </w:rPr>
      </w:pPr>
      <w:r>
        <w:rPr>
          <w:color w:val="000000" w:themeColor="text1"/>
          <w14:textFill>
            <w14:solidFill>
              <w14:schemeClr w14:val="tx1"/>
            </w14:solidFill>
          </w14:textFill>
        </w:rPr>
        <w:t>2）泄漏液体的蒸发量</w:t>
      </w:r>
    </w:p>
    <w:p w14:paraId="24FD79E1">
      <w:pPr>
        <w:pStyle w:val="74"/>
        <w:rPr>
          <w:color w:val="000000" w:themeColor="text1"/>
          <w14:textFill>
            <w14:solidFill>
              <w14:schemeClr w14:val="tx1"/>
            </w14:solidFill>
          </w14:textFill>
        </w:rPr>
      </w:pPr>
      <w:r>
        <w:rPr>
          <w:color w:val="000000" w:themeColor="text1"/>
          <w14:textFill>
            <w14:solidFill>
              <w14:schemeClr w14:val="tx1"/>
            </w14:solidFill>
          </w14:textFill>
        </w:rPr>
        <w:t>泄漏液体的总蒸发量包括闪蒸蒸发、热量蒸发、质量蒸发三种之和，按导则附录 F-F.1.4：泄漏液体蒸发速率，计算公式见下表。</w:t>
      </w:r>
    </w:p>
    <w:p w14:paraId="53F58E08">
      <w:pPr>
        <w:pStyle w:val="7"/>
        <w:rPr>
          <w:color w:val="000000" w:themeColor="text1"/>
          <w14:textFill>
            <w14:solidFill>
              <w14:schemeClr w14:val="tx1"/>
            </w14:solidFill>
          </w14:textFill>
        </w:rPr>
      </w:pPr>
      <w:r>
        <w:rPr>
          <w:color w:val="000000" w:themeColor="text1"/>
          <w14:textFill>
            <w14:solidFill>
              <w14:schemeClr w14:val="tx1"/>
            </w14:solidFill>
          </w14:textFill>
        </w:rPr>
        <w:t>事故泄漏物料蒸发速率计算公式</w:t>
      </w:r>
    </w:p>
    <w:tbl>
      <w:tblPr>
        <w:tblStyle w:val="43"/>
        <w:tblW w:w="8276"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682"/>
        <w:gridCol w:w="2489"/>
        <w:gridCol w:w="2041"/>
        <w:gridCol w:w="3064"/>
      </w:tblGrid>
      <w:tr w14:paraId="5B7836F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73" w:hRule="atLeast"/>
        </w:trPr>
        <w:tc>
          <w:tcPr>
            <w:tcW w:w="682" w:type="dxa"/>
            <w:vAlign w:val="center"/>
          </w:tcPr>
          <w:p w14:paraId="05524DEB">
            <w:pPr>
              <w:pStyle w:val="70"/>
              <w:rPr>
                <w:b/>
                <w:bCs/>
                <w:color w:val="000000" w:themeColor="text1"/>
                <w:sz w:val="18"/>
                <w:szCs w:val="18"/>
                <w:lang w:eastAsia="en-US"/>
                <w14:textFill>
                  <w14:solidFill>
                    <w14:schemeClr w14:val="tx1"/>
                  </w14:solidFill>
                </w14:textFill>
              </w:rPr>
            </w:pPr>
            <w:r>
              <w:rPr>
                <w:b/>
                <w:bCs/>
                <w:color w:val="000000" w:themeColor="text1"/>
                <w:sz w:val="18"/>
                <w:szCs w:val="18"/>
                <w:lang w:eastAsia="en-US"/>
                <w14:textFill>
                  <w14:solidFill>
                    <w14:schemeClr w14:val="tx1"/>
                  </w14:solidFill>
                </w14:textFill>
              </w:rPr>
              <w:t>类别</w:t>
            </w:r>
          </w:p>
        </w:tc>
        <w:tc>
          <w:tcPr>
            <w:tcW w:w="2489" w:type="dxa"/>
            <w:vAlign w:val="center"/>
          </w:tcPr>
          <w:p w14:paraId="204838D0">
            <w:pPr>
              <w:pStyle w:val="70"/>
              <w:rPr>
                <w:b/>
                <w:bCs/>
                <w:color w:val="000000" w:themeColor="text1"/>
                <w:sz w:val="18"/>
                <w:szCs w:val="18"/>
                <w:lang w:eastAsia="en-US"/>
                <w14:textFill>
                  <w14:solidFill>
                    <w14:schemeClr w14:val="tx1"/>
                  </w14:solidFill>
                </w14:textFill>
              </w:rPr>
            </w:pPr>
            <w:r>
              <w:rPr>
                <w:b/>
                <w:bCs/>
                <w:color w:val="000000" w:themeColor="text1"/>
                <w:sz w:val="18"/>
                <w:szCs w:val="18"/>
                <w:lang w:eastAsia="en-US"/>
                <w14:textFill>
                  <w14:solidFill>
                    <w14:schemeClr w14:val="tx1"/>
                  </w14:solidFill>
                </w14:textFill>
              </w:rPr>
              <w:t>闪蒸蒸发（Q1）</w:t>
            </w:r>
          </w:p>
        </w:tc>
        <w:tc>
          <w:tcPr>
            <w:tcW w:w="2041" w:type="dxa"/>
            <w:vAlign w:val="center"/>
          </w:tcPr>
          <w:p w14:paraId="648437DC">
            <w:pPr>
              <w:pStyle w:val="70"/>
              <w:rPr>
                <w:b/>
                <w:bCs/>
                <w:color w:val="000000" w:themeColor="text1"/>
                <w:sz w:val="18"/>
                <w:szCs w:val="18"/>
                <w:lang w:eastAsia="en-US"/>
                <w14:textFill>
                  <w14:solidFill>
                    <w14:schemeClr w14:val="tx1"/>
                  </w14:solidFill>
                </w14:textFill>
              </w:rPr>
            </w:pPr>
            <w:r>
              <w:rPr>
                <w:b/>
                <w:bCs/>
                <w:color w:val="000000" w:themeColor="text1"/>
                <w:sz w:val="18"/>
                <w:szCs w:val="18"/>
                <w:lang w:eastAsia="en-US"/>
                <w14:textFill>
                  <w14:solidFill>
                    <w14:schemeClr w14:val="tx1"/>
                  </w14:solidFill>
                </w14:textFill>
              </w:rPr>
              <w:t>热量蒸发（Q2）</w:t>
            </w:r>
          </w:p>
        </w:tc>
        <w:tc>
          <w:tcPr>
            <w:tcW w:w="3064" w:type="dxa"/>
            <w:vAlign w:val="center"/>
          </w:tcPr>
          <w:p w14:paraId="1C519FD7">
            <w:pPr>
              <w:pStyle w:val="70"/>
              <w:rPr>
                <w:b/>
                <w:bCs/>
                <w:color w:val="000000" w:themeColor="text1"/>
                <w:sz w:val="18"/>
                <w:szCs w:val="18"/>
                <w:lang w:eastAsia="en-US"/>
                <w14:textFill>
                  <w14:solidFill>
                    <w14:schemeClr w14:val="tx1"/>
                  </w14:solidFill>
                </w14:textFill>
              </w:rPr>
            </w:pPr>
            <w:r>
              <w:rPr>
                <w:b/>
                <w:bCs/>
                <w:color w:val="000000" w:themeColor="text1"/>
                <w:sz w:val="18"/>
                <w:szCs w:val="18"/>
                <w:lang w:eastAsia="en-US"/>
                <w14:textFill>
                  <w14:solidFill>
                    <w14:schemeClr w14:val="tx1"/>
                  </w14:solidFill>
                </w14:textFill>
              </w:rPr>
              <w:t>质量蒸发（Q3）</w:t>
            </w:r>
          </w:p>
        </w:tc>
      </w:tr>
      <w:tr w14:paraId="2B4592B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71" w:hRule="atLeast"/>
        </w:trPr>
        <w:tc>
          <w:tcPr>
            <w:tcW w:w="682" w:type="dxa"/>
            <w:vAlign w:val="center"/>
          </w:tcPr>
          <w:p w14:paraId="4F0B6AE9">
            <w:pPr>
              <w:pStyle w:val="70"/>
              <w:rPr>
                <w:color w:val="000000" w:themeColor="text1"/>
                <w:sz w:val="18"/>
                <w:szCs w:val="18"/>
                <w:lang w:eastAsia="en-US"/>
                <w14:textFill>
                  <w14:solidFill>
                    <w14:schemeClr w14:val="tx1"/>
                  </w14:solidFill>
                </w14:textFill>
              </w:rPr>
            </w:pPr>
            <w:r>
              <w:rPr>
                <w:color w:val="000000" w:themeColor="text1"/>
                <w:sz w:val="18"/>
                <w:szCs w:val="18"/>
                <w:lang w:eastAsia="en-US"/>
                <w14:textFill>
                  <w14:solidFill>
                    <w14:schemeClr w14:val="tx1"/>
                  </w14:solidFill>
                </w14:textFill>
              </w:rPr>
              <w:t>公式</w:t>
            </w:r>
          </w:p>
        </w:tc>
        <w:tc>
          <w:tcPr>
            <w:tcW w:w="2489" w:type="dxa"/>
            <w:vAlign w:val="center"/>
          </w:tcPr>
          <w:p w14:paraId="2BA2D9F0">
            <w:pPr>
              <w:pStyle w:val="70"/>
              <w:rPr>
                <w:color w:val="000000" w:themeColor="text1"/>
                <w:sz w:val="18"/>
                <w:szCs w:val="18"/>
                <w:lang w:eastAsia="en-US"/>
                <w14:textFill>
                  <w14:solidFill>
                    <w14:schemeClr w14:val="tx1"/>
                  </w14:solidFill>
                </w14:textFill>
              </w:rPr>
            </w:pPr>
            <w:r>
              <w:rPr>
                <w:color w:val="000000" w:themeColor="text1"/>
                <w:sz w:val="18"/>
                <w:szCs w:val="18"/>
                <w:lang w:eastAsia="en-US"/>
                <w14:textFill>
                  <w14:solidFill>
                    <w14:schemeClr w14:val="tx1"/>
                  </w14:solidFill>
                </w14:textFill>
              </w:rPr>
              <w:t>Q1=QLCp(TT-Tb)/Hv</w:t>
            </w:r>
          </w:p>
        </w:tc>
        <w:tc>
          <w:tcPr>
            <w:tcW w:w="2041" w:type="dxa"/>
            <w:vAlign w:val="center"/>
          </w:tcPr>
          <w:p w14:paraId="5F20F9B6">
            <w:pPr>
              <w:pStyle w:val="70"/>
              <w:rPr>
                <w:color w:val="000000" w:themeColor="text1"/>
                <w:sz w:val="18"/>
                <w:szCs w:val="18"/>
                <w:lang w:eastAsia="en-US"/>
                <w14:textFill>
                  <w14:solidFill>
                    <w14:schemeClr w14:val="tx1"/>
                  </w14:solidFill>
                </w14:textFill>
              </w:rPr>
            </w:pPr>
            <w:r>
              <w:rPr>
                <w:color w:val="000000" w:themeColor="text1"/>
                <w:sz w:val="18"/>
                <w:szCs w:val="18"/>
                <w:lang w:eastAsia="en-US"/>
                <w14:textFill>
                  <w14:solidFill>
                    <w14:schemeClr w14:val="tx1"/>
                  </w14:solidFill>
                </w14:textFill>
              </w:rPr>
              <w:t>Q2=λS(T0-Tb)/(H[παt]0.5)</w:t>
            </w:r>
          </w:p>
        </w:tc>
        <w:tc>
          <w:tcPr>
            <w:tcW w:w="3064" w:type="dxa"/>
            <w:vAlign w:val="center"/>
          </w:tcPr>
          <w:p w14:paraId="429E3D63">
            <w:pPr>
              <w:pStyle w:val="70"/>
              <w:rPr>
                <w:color w:val="000000" w:themeColor="text1"/>
                <w:sz w:val="18"/>
                <w:szCs w:val="18"/>
                <w:lang w:eastAsia="en-US"/>
                <w14:textFill>
                  <w14:solidFill>
                    <w14:schemeClr w14:val="tx1"/>
                  </w14:solidFill>
                </w14:textFill>
              </w:rPr>
            </w:pPr>
            <w:r>
              <w:rPr>
                <w:color w:val="000000" w:themeColor="text1"/>
                <w:sz w:val="18"/>
                <w:szCs w:val="18"/>
                <w:lang w:eastAsia="en-US"/>
                <w14:textFill>
                  <w14:solidFill>
                    <w14:schemeClr w14:val="tx1"/>
                  </w14:solidFill>
                </w14:textFill>
              </w:rPr>
              <w:t>Q3=αPMu([2-n]/[2+n])r([4+n]/[2+n])/(RT0)</w:t>
            </w:r>
          </w:p>
        </w:tc>
      </w:tr>
      <w:tr w14:paraId="4A5A16D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451" w:hRule="atLeast"/>
        </w:trPr>
        <w:tc>
          <w:tcPr>
            <w:tcW w:w="682" w:type="dxa"/>
            <w:vAlign w:val="center"/>
          </w:tcPr>
          <w:p w14:paraId="46B97083">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参数意义</w:t>
            </w:r>
          </w:p>
        </w:tc>
        <w:tc>
          <w:tcPr>
            <w:tcW w:w="2489" w:type="dxa"/>
            <w:vAlign w:val="center"/>
          </w:tcPr>
          <w:p w14:paraId="010122EC">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Q1</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闪蒸蒸发速率，kg/s；</w:t>
            </w:r>
          </w:p>
          <w:p w14:paraId="7B0D35A0">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QL   物质泄漏速率，kg/s；</w:t>
            </w:r>
          </w:p>
          <w:p w14:paraId="2C117BC9">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Cp</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泄漏液体的定压比热容，J/(kg·K)；</w:t>
            </w:r>
          </w:p>
          <w:p w14:paraId="00C48212">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TT</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储存温度，K；</w:t>
            </w:r>
          </w:p>
          <w:p w14:paraId="799CB3CA">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Tb</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泄漏液体的沸点，K；  Hv</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泄 漏 液 体 的 蒸 发 热 ， J/kg。</w:t>
            </w:r>
          </w:p>
        </w:tc>
        <w:tc>
          <w:tcPr>
            <w:tcW w:w="2041" w:type="dxa"/>
            <w:vAlign w:val="center"/>
          </w:tcPr>
          <w:p w14:paraId="492E0C54">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Q2</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热 量 蒸 发 速 率 ，kg/s；</w:t>
            </w:r>
          </w:p>
          <w:p w14:paraId="0E215B93">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λ</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地 表 热 导 系 数 ，W/(m·K)；</w:t>
            </w:r>
          </w:p>
          <w:p w14:paraId="133DCD43">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α</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表面热扩散系数，m2/s；</w:t>
            </w:r>
          </w:p>
          <w:p w14:paraId="690A8CDB">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T0</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环境温度，K；</w:t>
            </w:r>
          </w:p>
          <w:p w14:paraId="58E097FF">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S</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液池面积，m2；</w:t>
            </w:r>
          </w:p>
          <w:p w14:paraId="3283B3F6">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H</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液体汽化热，J/kg。</w:t>
            </w:r>
          </w:p>
        </w:tc>
        <w:tc>
          <w:tcPr>
            <w:tcW w:w="3064" w:type="dxa"/>
            <w:vAlign w:val="center"/>
          </w:tcPr>
          <w:p w14:paraId="7B4C3085">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Q3</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质量蒸发速率，kg/s；</w:t>
            </w:r>
          </w:p>
          <w:p w14:paraId="04216E05">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P</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液体表面蒸气压，Pa；</w:t>
            </w:r>
          </w:p>
          <w:p w14:paraId="2E4B4443">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α，n</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大气稳定度系数；</w:t>
            </w:r>
          </w:p>
          <w:p w14:paraId="5393AA88">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M</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物质的摩尔质量，kg/mol；</w:t>
            </w:r>
          </w:p>
          <w:p w14:paraId="3BB4D5E6">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u</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风速，m/s；</w:t>
            </w:r>
          </w:p>
          <w:p w14:paraId="3CF65908">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r</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液池半径，m；</w:t>
            </w:r>
          </w:p>
          <w:p w14:paraId="680B4F0F">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R</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气体常数，8.314J/(mol·K)。</w:t>
            </w:r>
          </w:p>
        </w:tc>
      </w:tr>
    </w:tbl>
    <w:p w14:paraId="3F9F14A9">
      <w:pPr>
        <w:pStyle w:val="74"/>
        <w:rPr>
          <w:color w:val="000000" w:themeColor="text1"/>
          <w14:textFill>
            <w14:solidFill>
              <w14:schemeClr w14:val="tx1"/>
            </w14:solidFill>
          </w14:textFill>
        </w:rPr>
      </w:pPr>
      <w:r>
        <w:rPr>
          <w:color w:val="000000" w:themeColor="text1"/>
          <w14:textFill>
            <w14:solidFill>
              <w14:schemeClr w14:val="tx1"/>
            </w14:solidFill>
          </w14:textFill>
        </w:rPr>
        <w:t>本项目</w:t>
      </w:r>
      <w:r>
        <w:rPr>
          <w:rFonts w:eastAsiaTheme="minorEastAsia"/>
          <w:color w:val="000000" w:themeColor="text1"/>
          <w14:textFill>
            <w14:solidFill>
              <w14:schemeClr w14:val="tx1"/>
            </w14:solidFill>
          </w14:textFill>
        </w:rPr>
        <w:t>发烟硫酸、</w:t>
      </w:r>
      <w:r>
        <w:rPr>
          <w:rFonts w:hint="eastAsia"/>
          <w:color w:val="000000" w:themeColor="text1"/>
          <w14:textFill>
            <w14:solidFill>
              <w14:schemeClr w14:val="tx1"/>
            </w14:solidFill>
          </w14:textFill>
        </w:rPr>
        <w:t>苯乙烯</w:t>
      </w:r>
      <w:r>
        <w:rPr>
          <w:color w:val="000000" w:themeColor="text1"/>
          <w14:textFill>
            <w14:solidFill>
              <w14:schemeClr w14:val="tx1"/>
            </w14:solidFill>
          </w14:textFill>
        </w:rPr>
        <w:t>的沸点均高于环境温度，不属于过热液体，因此闪蒸蒸发、热量蒸发均为 0，仅考虑质量蒸发。</w:t>
      </w:r>
    </w:p>
    <w:p w14:paraId="7217A5F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蒸发速率按下式计算：</w:t>
      </w:r>
    </w:p>
    <w:p w14:paraId="22F39D28">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571625" cy="600075"/>
            <wp:effectExtent l="0" t="0" r="9525"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a:blip r:embed="rId88">
                      <a:lum bright="-48000"/>
                      <a:extLst>
                        <a:ext uri="{28A0092B-C50C-407E-A947-70E740481C1C}">
                          <a14:useLocalDpi xmlns:a14="http://schemas.microsoft.com/office/drawing/2010/main" val="0"/>
                        </a:ext>
                      </a:extLst>
                    </a:blip>
                    <a:srcRect/>
                    <a:stretch>
                      <a:fillRect/>
                    </a:stretch>
                  </pic:blipFill>
                  <pic:spPr>
                    <a:xfrm>
                      <a:off x="0" y="0"/>
                      <a:ext cx="1571625" cy="600075"/>
                    </a:xfrm>
                    <a:prstGeom prst="rect">
                      <a:avLst/>
                    </a:prstGeom>
                    <a:noFill/>
                    <a:ln>
                      <a:noFill/>
                    </a:ln>
                    <a:effectLst/>
                  </pic:spPr>
                </pic:pic>
              </a:graphicData>
            </a:graphic>
          </wp:inline>
        </w:drawing>
      </w:r>
    </w:p>
    <w:p w14:paraId="4E978ABE">
      <w:pPr>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式中：</w:t>
      </w:r>
      <w:r>
        <w:rPr>
          <w:i/>
          <w:iCs/>
          <w:color w:val="000000" w:themeColor="text1"/>
          <w14:textFill>
            <w14:solidFill>
              <w14:schemeClr w14:val="tx1"/>
            </w14:solidFill>
          </w14:textFill>
        </w:rPr>
        <w:t>Q</w:t>
      </w:r>
      <w:r>
        <w:rPr>
          <w:i/>
          <w:iCs/>
          <w:color w:val="000000" w:themeColor="text1"/>
          <w:vertAlign w:val="subscript"/>
          <w14:textFill>
            <w14:solidFill>
              <w14:schemeClr w14:val="tx1"/>
            </w14:solidFill>
          </w14:textFill>
        </w:rPr>
        <w:t>3</w:t>
      </w:r>
      <w:r>
        <w:rPr>
          <w:color w:val="000000" w:themeColor="text1"/>
          <w14:textFill>
            <w14:solidFill>
              <w14:schemeClr w14:val="tx1"/>
            </w14:solidFill>
          </w14:textFill>
        </w:rPr>
        <w:t>——质量蒸发速度，kg/s；</w:t>
      </w:r>
    </w:p>
    <w:p w14:paraId="3255A065">
      <w:pPr>
        <w:ind w:firstLine="720" w:firstLineChars="300"/>
        <w:rPr>
          <w:color w:val="000000" w:themeColor="text1"/>
          <w14:textFill>
            <w14:solidFill>
              <w14:schemeClr w14:val="tx1"/>
            </w14:solidFill>
          </w14:textFill>
        </w:rPr>
      </w:pPr>
      <w:r>
        <w:rPr>
          <w:i/>
          <w:iCs/>
          <w:color w:val="000000" w:themeColor="text1"/>
          <w14:textFill>
            <w14:solidFill>
              <w14:schemeClr w14:val="tx1"/>
            </w14:solidFill>
          </w14:textFill>
        </w:rPr>
        <w:t>a,n</w:t>
      </w:r>
      <w:r>
        <w:rPr>
          <w:color w:val="000000" w:themeColor="text1"/>
          <w14:textFill>
            <w14:solidFill>
              <w14:schemeClr w14:val="tx1"/>
            </w14:solidFill>
          </w14:textFill>
        </w:rPr>
        <w:t>——大气稳定度系数，F类稳定度时n=0.3，a=5.285</w:t>
      </w:r>
      <w:r>
        <w:rPr>
          <w:rFonts w:cs="Arial"/>
          <w:color w:val="000000" w:themeColor="text1"/>
          <w14:textFill>
            <w14:solidFill>
              <w14:schemeClr w14:val="tx1"/>
            </w14:solidFill>
          </w14:textFill>
        </w:rPr>
        <w:t>×</w:t>
      </w:r>
      <w:r>
        <w:rPr>
          <w:color w:val="000000" w:themeColor="text1"/>
          <w14:textFill>
            <w14:solidFill>
              <w14:schemeClr w14:val="tx1"/>
            </w14:solidFill>
          </w14:textFill>
        </w:rPr>
        <w:t>10</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14:paraId="53410981">
      <w:pPr>
        <w:ind w:firstLine="720" w:firstLineChars="300"/>
        <w:rPr>
          <w:color w:val="000000" w:themeColor="text1"/>
          <w14:textFill>
            <w14:solidFill>
              <w14:schemeClr w14:val="tx1"/>
            </w14:solidFill>
          </w14:textFill>
        </w:rPr>
      </w:pPr>
      <w:r>
        <w:rPr>
          <w:i/>
          <w:iCs/>
          <w:color w:val="000000" w:themeColor="text1"/>
          <w14:textFill>
            <w14:solidFill>
              <w14:schemeClr w14:val="tx1"/>
            </w14:solidFill>
          </w14:textFill>
        </w:rPr>
        <w:t>p</w:t>
      </w:r>
      <w:r>
        <w:rPr>
          <w:color w:val="000000" w:themeColor="text1"/>
          <w14:textFill>
            <w14:solidFill>
              <w14:schemeClr w14:val="tx1"/>
            </w14:solidFill>
          </w14:textFill>
        </w:rPr>
        <w:t>——液体表面蒸汽压，</w:t>
      </w:r>
      <w:r>
        <w:rPr>
          <w:rFonts w:hint="eastAsia"/>
          <w:color w:val="000000" w:themeColor="text1"/>
          <w14:textFill>
            <w14:solidFill>
              <w14:schemeClr w14:val="tx1"/>
            </w14:solidFill>
          </w14:textFill>
        </w:rPr>
        <w:t>取600</w:t>
      </w:r>
      <w:r>
        <w:rPr>
          <w:color w:val="000000" w:themeColor="text1"/>
          <w14:textFill>
            <w14:solidFill>
              <w14:schemeClr w14:val="tx1"/>
            </w14:solidFill>
          </w14:textFill>
        </w:rPr>
        <w:t>Pa；</w:t>
      </w:r>
    </w:p>
    <w:p w14:paraId="5165573F">
      <w:pPr>
        <w:ind w:firstLine="720" w:firstLineChars="300"/>
        <w:rPr>
          <w:color w:val="000000" w:themeColor="text1"/>
          <w14:textFill>
            <w14:solidFill>
              <w14:schemeClr w14:val="tx1"/>
            </w14:solidFill>
          </w14:textFill>
        </w:rPr>
      </w:pPr>
      <w:r>
        <w:rPr>
          <w:i/>
          <w:iCs/>
          <w:color w:val="000000" w:themeColor="text1"/>
          <w14:textFill>
            <w14:solidFill>
              <w14:schemeClr w14:val="tx1"/>
            </w14:solidFill>
          </w14:textFill>
        </w:rPr>
        <w:t>M</w:t>
      </w:r>
      <w:r>
        <w:rPr>
          <w:color w:val="000000" w:themeColor="text1"/>
          <w14:textFill>
            <w14:solidFill>
              <w14:schemeClr w14:val="tx1"/>
            </w14:solidFill>
          </w14:textFill>
        </w:rPr>
        <w:t>——物质的摩尔质量，kg/mol；</w:t>
      </w:r>
      <w:r>
        <w:rPr>
          <w:rFonts w:hint="eastAsia"/>
          <w:color w:val="000000" w:themeColor="text1"/>
          <w14:textFill>
            <w14:solidFill>
              <w14:schemeClr w14:val="tx1"/>
            </w14:solidFill>
          </w14:textFill>
        </w:rPr>
        <w:t>取</w:t>
      </w:r>
      <w:r>
        <w:rPr>
          <w:color w:val="000000" w:themeColor="text1"/>
          <w14:textFill>
            <w14:solidFill>
              <w14:schemeClr w14:val="tx1"/>
            </w14:solidFill>
          </w14:textFill>
        </w:rPr>
        <w:t>0.09808（发烟硫酸），0.10414（苯乙烯）</w:t>
      </w:r>
      <w:r>
        <w:rPr>
          <w:rFonts w:hint="eastAsia"/>
          <w:color w:val="000000" w:themeColor="text1"/>
          <w14:textFill>
            <w14:solidFill>
              <w14:schemeClr w14:val="tx1"/>
            </w14:solidFill>
          </w14:textFill>
        </w:rPr>
        <w:t>；</w:t>
      </w:r>
    </w:p>
    <w:p w14:paraId="4541DC75">
      <w:pPr>
        <w:ind w:firstLine="720" w:firstLineChars="300"/>
        <w:rPr>
          <w:color w:val="000000" w:themeColor="text1"/>
          <w14:textFill>
            <w14:solidFill>
              <w14:schemeClr w14:val="tx1"/>
            </w14:solidFill>
          </w14:textFill>
        </w:rPr>
      </w:pPr>
      <w:r>
        <w:rPr>
          <w:i/>
          <w:iCs/>
          <w:color w:val="000000" w:themeColor="text1"/>
          <w14:textFill>
            <w14:solidFill>
              <w14:schemeClr w14:val="tx1"/>
            </w14:solidFill>
          </w14:textFill>
        </w:rPr>
        <w:t>R</w:t>
      </w:r>
      <w:r>
        <w:rPr>
          <w:color w:val="000000" w:themeColor="text1"/>
          <w14:textFill>
            <w14:solidFill>
              <w14:schemeClr w14:val="tx1"/>
            </w14:solidFill>
          </w14:textFill>
        </w:rPr>
        <w:t>——气体常数，J/（mol、k）；</w:t>
      </w:r>
    </w:p>
    <w:p w14:paraId="198DE22B">
      <w:pPr>
        <w:ind w:firstLine="720" w:firstLineChars="300"/>
        <w:rPr>
          <w:color w:val="000000" w:themeColor="text1"/>
          <w14:textFill>
            <w14:solidFill>
              <w14:schemeClr w14:val="tx1"/>
            </w14:solidFill>
          </w14:textFill>
        </w:rPr>
      </w:pPr>
      <w:r>
        <w:rPr>
          <w:i/>
          <w:iCs/>
          <w:color w:val="000000" w:themeColor="text1"/>
          <w14:textFill>
            <w14:solidFill>
              <w14:schemeClr w14:val="tx1"/>
            </w14:solidFill>
          </w14:textFill>
        </w:rPr>
        <w:t>T</w:t>
      </w:r>
      <w:r>
        <w:rPr>
          <w:i/>
          <w:iCs/>
          <w:color w:val="000000" w:themeColor="text1"/>
          <w:vertAlign w:val="subscript"/>
          <w14:textFill>
            <w14:solidFill>
              <w14:schemeClr w14:val="tx1"/>
            </w14:solidFill>
          </w14:textFill>
        </w:rPr>
        <w:t>0</w:t>
      </w:r>
      <w:r>
        <w:rPr>
          <w:color w:val="000000" w:themeColor="text1"/>
          <w14:textFill>
            <w14:solidFill>
              <w14:schemeClr w14:val="tx1"/>
            </w14:solidFill>
          </w14:textFill>
        </w:rPr>
        <w:t>——环境温度，k，取298k（常温）；</w:t>
      </w:r>
    </w:p>
    <w:p w14:paraId="3DD9E928">
      <w:pPr>
        <w:ind w:firstLine="720" w:firstLineChars="300"/>
        <w:rPr>
          <w:color w:val="000000" w:themeColor="text1"/>
          <w14:textFill>
            <w14:solidFill>
              <w14:schemeClr w14:val="tx1"/>
            </w14:solidFill>
          </w14:textFill>
        </w:rPr>
      </w:pPr>
      <w:r>
        <w:rPr>
          <w:i/>
          <w:iCs/>
          <w:color w:val="000000" w:themeColor="text1"/>
          <w14:textFill>
            <w14:solidFill>
              <w14:schemeClr w14:val="tx1"/>
            </w14:solidFill>
          </w14:textFill>
        </w:rPr>
        <w:t>u</w:t>
      </w:r>
      <w:r>
        <w:rPr>
          <w:color w:val="000000" w:themeColor="text1"/>
          <w14:textFill>
            <w14:solidFill>
              <w14:schemeClr w14:val="tx1"/>
            </w14:solidFill>
          </w14:textFill>
        </w:rPr>
        <w:t>——风速，m/s，F稳定度下取1.5；</w:t>
      </w:r>
    </w:p>
    <w:p w14:paraId="09D93024">
      <w:pPr>
        <w:ind w:firstLine="720" w:firstLineChars="300"/>
        <w:rPr>
          <w:color w:val="000000" w:themeColor="text1"/>
          <w14:textFill>
            <w14:solidFill>
              <w14:schemeClr w14:val="tx1"/>
            </w14:solidFill>
          </w14:textFill>
        </w:rPr>
      </w:pPr>
      <w:r>
        <w:rPr>
          <w:i/>
          <w:iCs/>
          <w:color w:val="000000" w:themeColor="text1"/>
          <w14:textFill>
            <w14:solidFill>
              <w14:schemeClr w14:val="tx1"/>
            </w14:solidFill>
          </w14:textFill>
        </w:rPr>
        <w:t>r</w:t>
      </w:r>
      <w:r>
        <w:rPr>
          <w:color w:val="000000" w:themeColor="text1"/>
          <w14:textFill>
            <w14:solidFill>
              <w14:schemeClr w14:val="tx1"/>
            </w14:solidFill>
          </w14:textFill>
        </w:rPr>
        <w:t>——液池半径，m，取</w:t>
      </w:r>
      <w:r>
        <w:rPr>
          <w:rFonts w:hint="eastAsia"/>
          <w:color w:val="000000" w:themeColor="text1"/>
          <w14:textFill>
            <w14:solidFill>
              <w14:schemeClr w14:val="tx1"/>
            </w14:solidFill>
          </w14:textFill>
        </w:rPr>
        <w:t>10.96</w:t>
      </w:r>
      <w:r>
        <w:rPr>
          <w:color w:val="000000" w:themeColor="text1"/>
          <w14:textFill>
            <w14:solidFill>
              <w14:schemeClr w14:val="tx1"/>
            </w14:solidFill>
          </w14:textFill>
        </w:rPr>
        <w:t>（面积为</w:t>
      </w:r>
      <w:r>
        <w:rPr>
          <w:rFonts w:hint="eastAsia"/>
          <w:color w:val="000000" w:themeColor="text1"/>
          <w14:textFill>
            <w14:solidFill>
              <w14:schemeClr w14:val="tx1"/>
            </w14:solidFill>
          </w14:textFill>
        </w:rPr>
        <w:t>377.6</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p>
    <w:p w14:paraId="798F3625">
      <w:pPr>
        <w:pStyle w:val="74"/>
        <w:rPr>
          <w:color w:val="000000" w:themeColor="text1"/>
          <w14:textFill>
            <w14:solidFill>
              <w14:schemeClr w14:val="tx1"/>
            </w14:solidFill>
          </w14:textFill>
        </w:rPr>
      </w:pPr>
      <w:r>
        <w:rPr>
          <w:color w:val="000000" w:themeColor="text1"/>
          <w14:textFill>
            <w14:solidFill>
              <w14:schemeClr w14:val="tx1"/>
            </w14:solidFill>
          </w14:textFill>
        </w:rPr>
        <w:t>根据《建设项目环境风险评价技术导则》</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HJ</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169-2018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泄漏时间应结合建设项目探测和隔离系统的设计原则确定</w:t>
      </w:r>
      <w:r>
        <w:rPr>
          <w:rFonts w:hint="eastAsia"/>
          <w:color w:val="000000" w:themeColor="text1"/>
          <w14:textFill>
            <w14:solidFill>
              <w14:schemeClr w14:val="tx1"/>
            </w14:solidFill>
          </w14:textFill>
        </w:rPr>
        <w:t>，本次按最不利原则，考虑泄漏蒸发时间为5min。</w:t>
      </w:r>
    </w:p>
    <w:p w14:paraId="42C0822E">
      <w:pPr>
        <w:pStyle w:val="7"/>
        <w:rPr>
          <w:color w:val="000000" w:themeColor="text1"/>
          <w14:textFill>
            <w14:solidFill>
              <w14:schemeClr w14:val="tx1"/>
            </w14:solidFill>
          </w14:textFill>
        </w:rPr>
      </w:pPr>
      <w:r>
        <w:rPr>
          <w:color w:val="000000" w:themeColor="text1"/>
          <w14:textFill>
            <w14:solidFill>
              <w14:schemeClr w14:val="tx1"/>
            </w14:solidFill>
          </w14:textFill>
        </w:rPr>
        <w:t>最不利气象条件下蒸发质量</w:t>
      </w:r>
    </w:p>
    <w:tbl>
      <w:tblPr>
        <w:tblStyle w:val="43"/>
        <w:tblW w:w="8276"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013"/>
        <w:gridCol w:w="1679"/>
        <w:gridCol w:w="765"/>
        <w:gridCol w:w="701"/>
        <w:gridCol w:w="701"/>
        <w:gridCol w:w="2065"/>
        <w:gridCol w:w="1352"/>
      </w:tblGrid>
      <w:tr w14:paraId="412128F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013" w:type="dxa"/>
            <w:vMerge w:val="restart"/>
            <w:vAlign w:val="center"/>
          </w:tcPr>
          <w:p w14:paraId="052D7066">
            <w:pPr>
              <w:pStyle w:val="70"/>
              <w:rPr>
                <w:b/>
                <w:bCs/>
                <w:color w:val="000000" w:themeColor="text1"/>
                <w:lang w:eastAsia="en-US"/>
                <w14:textFill>
                  <w14:solidFill>
                    <w14:schemeClr w14:val="tx1"/>
                  </w14:solidFill>
                </w14:textFill>
              </w:rPr>
            </w:pPr>
            <w:r>
              <w:rPr>
                <w:b/>
                <w:bCs/>
                <w:color w:val="000000" w:themeColor="text1"/>
                <w:lang w:eastAsia="en-US"/>
                <w14:textFill>
                  <w14:solidFill>
                    <w14:schemeClr w14:val="tx1"/>
                  </w14:solidFill>
                </w14:textFill>
              </w:rPr>
              <w:t>序号</w:t>
            </w:r>
          </w:p>
        </w:tc>
        <w:tc>
          <w:tcPr>
            <w:tcW w:w="1679" w:type="dxa"/>
            <w:vMerge w:val="restart"/>
            <w:vAlign w:val="center"/>
          </w:tcPr>
          <w:p w14:paraId="24413CA4">
            <w:pPr>
              <w:pStyle w:val="70"/>
              <w:rPr>
                <w:b/>
                <w:bCs/>
                <w:color w:val="000000" w:themeColor="text1"/>
                <w:lang w:eastAsia="en-US"/>
                <w14:textFill>
                  <w14:solidFill>
                    <w14:schemeClr w14:val="tx1"/>
                  </w14:solidFill>
                </w14:textFill>
              </w:rPr>
            </w:pPr>
            <w:r>
              <w:rPr>
                <w:b/>
                <w:bCs/>
                <w:color w:val="000000" w:themeColor="text1"/>
                <w:lang w:eastAsia="en-US"/>
                <w14:textFill>
                  <w14:solidFill>
                    <w14:schemeClr w14:val="tx1"/>
                  </w14:solidFill>
                </w14:textFill>
              </w:rPr>
              <w:t>危险物质</w:t>
            </w:r>
          </w:p>
        </w:tc>
        <w:tc>
          <w:tcPr>
            <w:tcW w:w="4232" w:type="dxa"/>
            <w:gridSpan w:val="4"/>
            <w:vAlign w:val="center"/>
          </w:tcPr>
          <w:p w14:paraId="14DDC17A">
            <w:pPr>
              <w:pStyle w:val="70"/>
              <w:rPr>
                <w:rFonts w:eastAsiaTheme="minorEastAsia"/>
                <w:b/>
                <w:bCs/>
                <w:color w:val="000000" w:themeColor="text1"/>
                <w:lang w:eastAsia="en-US"/>
                <w14:textFill>
                  <w14:solidFill>
                    <w14:schemeClr w14:val="tx1"/>
                  </w14:solidFill>
                </w14:textFill>
              </w:rPr>
            </w:pPr>
            <w:r>
              <w:rPr>
                <w:b/>
                <w:bCs/>
                <w:color w:val="000000" w:themeColor="text1"/>
                <w:lang w:eastAsia="en-US"/>
                <w14:textFill>
                  <w14:solidFill>
                    <w14:schemeClr w14:val="tx1"/>
                  </w14:solidFill>
                </w14:textFill>
              </w:rPr>
              <w:t xml:space="preserve">蒸发速率 </w:t>
            </w:r>
            <w:r>
              <w:rPr>
                <w:rFonts w:eastAsiaTheme="minorEastAsia"/>
                <w:b/>
                <w:bCs/>
                <w:color w:val="000000" w:themeColor="text1"/>
                <w:lang w:eastAsia="en-US"/>
                <w14:textFill>
                  <w14:solidFill>
                    <w14:schemeClr w14:val="tx1"/>
                  </w14:solidFill>
                </w14:textFill>
              </w:rPr>
              <w:t>kg/s</w:t>
            </w:r>
          </w:p>
        </w:tc>
        <w:tc>
          <w:tcPr>
            <w:tcW w:w="1352" w:type="dxa"/>
            <w:vMerge w:val="restart"/>
            <w:vAlign w:val="center"/>
          </w:tcPr>
          <w:p w14:paraId="65F9B472">
            <w:pPr>
              <w:pStyle w:val="70"/>
              <w:rPr>
                <w:rFonts w:eastAsiaTheme="minorEastAsia"/>
                <w:b/>
                <w:bCs/>
                <w:color w:val="000000" w:themeColor="text1"/>
                <w14:textFill>
                  <w14:solidFill>
                    <w14:schemeClr w14:val="tx1"/>
                  </w14:solidFill>
                </w14:textFill>
              </w:rPr>
            </w:pPr>
            <w:r>
              <w:rPr>
                <w:rFonts w:eastAsiaTheme="minorEastAsia"/>
                <w:b/>
                <w:bCs/>
                <w:color w:val="000000" w:themeColor="text1"/>
                <w14:textFill>
                  <w14:solidFill>
                    <w14:schemeClr w14:val="tx1"/>
                  </w14:solidFill>
                </w14:textFill>
              </w:rPr>
              <w:t>蒸发总量/kg</w:t>
            </w:r>
          </w:p>
        </w:tc>
      </w:tr>
      <w:tr w14:paraId="0F1A9C1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013" w:type="dxa"/>
            <w:vMerge w:val="continue"/>
            <w:vAlign w:val="center"/>
          </w:tcPr>
          <w:p w14:paraId="462D255A">
            <w:pPr>
              <w:pStyle w:val="70"/>
              <w:rPr>
                <w:rFonts w:eastAsiaTheme="minorEastAsia"/>
                <w:b/>
                <w:bCs/>
                <w:color w:val="000000" w:themeColor="text1"/>
                <w:sz w:val="2"/>
                <w:szCs w:val="2"/>
                <w:lang w:eastAsia="en-US"/>
                <w14:textFill>
                  <w14:solidFill>
                    <w14:schemeClr w14:val="tx1"/>
                  </w14:solidFill>
                </w14:textFill>
              </w:rPr>
            </w:pPr>
          </w:p>
        </w:tc>
        <w:tc>
          <w:tcPr>
            <w:tcW w:w="1679" w:type="dxa"/>
            <w:vMerge w:val="continue"/>
            <w:vAlign w:val="center"/>
          </w:tcPr>
          <w:p w14:paraId="7E45DB75">
            <w:pPr>
              <w:pStyle w:val="70"/>
              <w:rPr>
                <w:rFonts w:eastAsiaTheme="minorEastAsia"/>
                <w:b/>
                <w:bCs/>
                <w:color w:val="000000" w:themeColor="text1"/>
                <w:sz w:val="2"/>
                <w:szCs w:val="2"/>
                <w:lang w:eastAsia="en-US"/>
                <w14:textFill>
                  <w14:solidFill>
                    <w14:schemeClr w14:val="tx1"/>
                  </w14:solidFill>
                </w14:textFill>
              </w:rPr>
            </w:pPr>
          </w:p>
        </w:tc>
        <w:tc>
          <w:tcPr>
            <w:tcW w:w="765" w:type="dxa"/>
            <w:vMerge w:val="restart"/>
            <w:vAlign w:val="center"/>
          </w:tcPr>
          <w:p w14:paraId="1366FB2D">
            <w:pPr>
              <w:pStyle w:val="70"/>
              <w:rPr>
                <w:rFonts w:eastAsiaTheme="minorEastAsia"/>
                <w:b/>
                <w:bCs/>
                <w:i/>
                <w:color w:val="000000" w:themeColor="text1"/>
                <w:lang w:eastAsia="en-US"/>
                <w14:textFill>
                  <w14:solidFill>
                    <w14:schemeClr w14:val="tx1"/>
                  </w14:solidFill>
                </w14:textFill>
              </w:rPr>
            </w:pPr>
            <w:r>
              <w:rPr>
                <w:rFonts w:eastAsiaTheme="minorEastAsia"/>
                <w:b/>
                <w:bCs/>
                <w:i/>
                <w:color w:val="000000" w:themeColor="text1"/>
                <w:w w:val="99"/>
                <w:lang w:eastAsia="en-US"/>
                <w14:textFill>
                  <w14:solidFill>
                    <w14:schemeClr w14:val="tx1"/>
                  </w14:solidFill>
                </w14:textFill>
              </w:rPr>
              <w:t>u</w:t>
            </w:r>
          </w:p>
        </w:tc>
        <w:tc>
          <w:tcPr>
            <w:tcW w:w="701" w:type="dxa"/>
            <w:vMerge w:val="restart"/>
            <w:vAlign w:val="center"/>
          </w:tcPr>
          <w:p w14:paraId="04340B4B">
            <w:pPr>
              <w:pStyle w:val="70"/>
              <w:rPr>
                <w:rFonts w:eastAsiaTheme="minorEastAsia"/>
                <w:b/>
                <w:bCs/>
                <w:color w:val="000000" w:themeColor="text1"/>
                <w:sz w:val="13"/>
                <w:lang w:eastAsia="en-US"/>
                <w14:textFill>
                  <w14:solidFill>
                    <w14:schemeClr w14:val="tx1"/>
                  </w14:solidFill>
                </w14:textFill>
              </w:rPr>
            </w:pPr>
            <w:r>
              <w:rPr>
                <w:rFonts w:eastAsiaTheme="minorEastAsia"/>
                <w:b/>
                <w:bCs/>
                <w:i/>
                <w:color w:val="000000" w:themeColor="text1"/>
                <w:position w:val="2"/>
                <w:lang w:eastAsia="en-US"/>
                <w14:textFill>
                  <w14:solidFill>
                    <w14:schemeClr w14:val="tx1"/>
                  </w14:solidFill>
                </w14:textFill>
              </w:rPr>
              <w:t>Q</w:t>
            </w:r>
            <w:r>
              <w:rPr>
                <w:rFonts w:eastAsiaTheme="minorEastAsia"/>
                <w:b/>
                <w:bCs/>
                <w:color w:val="000000" w:themeColor="text1"/>
                <w:sz w:val="13"/>
                <w:lang w:eastAsia="en-US"/>
                <w14:textFill>
                  <w14:solidFill>
                    <w14:schemeClr w14:val="tx1"/>
                  </w14:solidFill>
                </w14:textFill>
              </w:rPr>
              <w:t>1</w:t>
            </w:r>
          </w:p>
        </w:tc>
        <w:tc>
          <w:tcPr>
            <w:tcW w:w="701" w:type="dxa"/>
            <w:vMerge w:val="restart"/>
            <w:vAlign w:val="center"/>
          </w:tcPr>
          <w:p w14:paraId="446433BA">
            <w:pPr>
              <w:pStyle w:val="70"/>
              <w:rPr>
                <w:rFonts w:eastAsiaTheme="minorEastAsia"/>
                <w:b/>
                <w:bCs/>
                <w:color w:val="000000" w:themeColor="text1"/>
                <w:sz w:val="13"/>
                <w:lang w:eastAsia="en-US"/>
                <w14:textFill>
                  <w14:solidFill>
                    <w14:schemeClr w14:val="tx1"/>
                  </w14:solidFill>
                </w14:textFill>
              </w:rPr>
            </w:pPr>
            <w:r>
              <w:rPr>
                <w:rFonts w:eastAsiaTheme="minorEastAsia"/>
                <w:b/>
                <w:bCs/>
                <w:i/>
                <w:color w:val="000000" w:themeColor="text1"/>
                <w:position w:val="2"/>
                <w:lang w:eastAsia="en-US"/>
                <w14:textFill>
                  <w14:solidFill>
                    <w14:schemeClr w14:val="tx1"/>
                  </w14:solidFill>
                </w14:textFill>
              </w:rPr>
              <w:t>Q</w:t>
            </w:r>
            <w:r>
              <w:rPr>
                <w:rFonts w:eastAsiaTheme="minorEastAsia"/>
                <w:b/>
                <w:bCs/>
                <w:color w:val="000000" w:themeColor="text1"/>
                <w:sz w:val="13"/>
                <w:lang w:eastAsia="en-US"/>
                <w14:textFill>
                  <w14:solidFill>
                    <w14:schemeClr w14:val="tx1"/>
                  </w14:solidFill>
                </w14:textFill>
              </w:rPr>
              <w:t>2</w:t>
            </w:r>
          </w:p>
        </w:tc>
        <w:tc>
          <w:tcPr>
            <w:tcW w:w="2065" w:type="dxa"/>
            <w:vAlign w:val="center"/>
          </w:tcPr>
          <w:p w14:paraId="2CF785F3">
            <w:pPr>
              <w:pStyle w:val="70"/>
              <w:rPr>
                <w:rFonts w:eastAsiaTheme="minorEastAsia"/>
                <w:b/>
                <w:bCs/>
                <w:color w:val="000000" w:themeColor="text1"/>
                <w:sz w:val="13"/>
                <w:lang w:eastAsia="en-US"/>
                <w14:textFill>
                  <w14:solidFill>
                    <w14:schemeClr w14:val="tx1"/>
                  </w14:solidFill>
                </w14:textFill>
              </w:rPr>
            </w:pPr>
            <w:r>
              <w:rPr>
                <w:rFonts w:eastAsiaTheme="minorEastAsia"/>
                <w:b/>
                <w:bCs/>
                <w:i/>
                <w:color w:val="000000" w:themeColor="text1"/>
                <w:position w:val="2"/>
                <w:lang w:eastAsia="en-US"/>
                <w14:textFill>
                  <w14:solidFill>
                    <w14:schemeClr w14:val="tx1"/>
                  </w14:solidFill>
                </w14:textFill>
              </w:rPr>
              <w:t>Q</w:t>
            </w:r>
            <w:r>
              <w:rPr>
                <w:rFonts w:eastAsiaTheme="minorEastAsia"/>
                <w:b/>
                <w:bCs/>
                <w:color w:val="000000" w:themeColor="text1"/>
                <w:sz w:val="13"/>
                <w:lang w:eastAsia="en-US"/>
                <w14:textFill>
                  <w14:solidFill>
                    <w14:schemeClr w14:val="tx1"/>
                  </w14:solidFill>
                </w14:textFill>
              </w:rPr>
              <w:t>3</w:t>
            </w:r>
          </w:p>
        </w:tc>
        <w:tc>
          <w:tcPr>
            <w:tcW w:w="1352" w:type="dxa"/>
            <w:vMerge w:val="continue"/>
            <w:vAlign w:val="center"/>
          </w:tcPr>
          <w:p w14:paraId="4FAAE670">
            <w:pPr>
              <w:pStyle w:val="70"/>
              <w:rPr>
                <w:b/>
                <w:bCs/>
                <w:color w:val="000000" w:themeColor="text1"/>
                <w:lang w:eastAsia="en-US"/>
                <w14:textFill>
                  <w14:solidFill>
                    <w14:schemeClr w14:val="tx1"/>
                  </w14:solidFill>
                </w14:textFill>
              </w:rPr>
            </w:pPr>
          </w:p>
        </w:tc>
      </w:tr>
      <w:tr w14:paraId="75D3565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013" w:type="dxa"/>
            <w:vMerge w:val="continue"/>
            <w:vAlign w:val="center"/>
          </w:tcPr>
          <w:p w14:paraId="7F8EF5AE">
            <w:pPr>
              <w:pStyle w:val="70"/>
              <w:rPr>
                <w:rFonts w:eastAsiaTheme="minorEastAsia"/>
                <w:b/>
                <w:bCs/>
                <w:color w:val="000000" w:themeColor="text1"/>
                <w:sz w:val="2"/>
                <w:szCs w:val="2"/>
                <w:lang w:eastAsia="en-US"/>
                <w14:textFill>
                  <w14:solidFill>
                    <w14:schemeClr w14:val="tx1"/>
                  </w14:solidFill>
                </w14:textFill>
              </w:rPr>
            </w:pPr>
          </w:p>
        </w:tc>
        <w:tc>
          <w:tcPr>
            <w:tcW w:w="1679" w:type="dxa"/>
            <w:vMerge w:val="continue"/>
            <w:vAlign w:val="center"/>
          </w:tcPr>
          <w:p w14:paraId="104BEA10">
            <w:pPr>
              <w:pStyle w:val="70"/>
              <w:rPr>
                <w:rFonts w:eastAsiaTheme="minorEastAsia"/>
                <w:b/>
                <w:bCs/>
                <w:color w:val="000000" w:themeColor="text1"/>
                <w:sz w:val="2"/>
                <w:szCs w:val="2"/>
                <w:lang w:eastAsia="en-US"/>
                <w14:textFill>
                  <w14:solidFill>
                    <w14:schemeClr w14:val="tx1"/>
                  </w14:solidFill>
                </w14:textFill>
              </w:rPr>
            </w:pPr>
          </w:p>
        </w:tc>
        <w:tc>
          <w:tcPr>
            <w:tcW w:w="765" w:type="dxa"/>
            <w:vMerge w:val="continue"/>
            <w:vAlign w:val="center"/>
          </w:tcPr>
          <w:p w14:paraId="649D661B">
            <w:pPr>
              <w:pStyle w:val="70"/>
              <w:rPr>
                <w:rFonts w:eastAsiaTheme="minorEastAsia"/>
                <w:b/>
                <w:bCs/>
                <w:color w:val="000000" w:themeColor="text1"/>
                <w:sz w:val="2"/>
                <w:szCs w:val="2"/>
                <w:lang w:eastAsia="en-US"/>
                <w14:textFill>
                  <w14:solidFill>
                    <w14:schemeClr w14:val="tx1"/>
                  </w14:solidFill>
                </w14:textFill>
              </w:rPr>
            </w:pPr>
          </w:p>
        </w:tc>
        <w:tc>
          <w:tcPr>
            <w:tcW w:w="701" w:type="dxa"/>
            <w:vMerge w:val="continue"/>
            <w:vAlign w:val="center"/>
          </w:tcPr>
          <w:p w14:paraId="4BEE5A65">
            <w:pPr>
              <w:pStyle w:val="70"/>
              <w:rPr>
                <w:rFonts w:eastAsiaTheme="minorEastAsia"/>
                <w:b/>
                <w:bCs/>
                <w:color w:val="000000" w:themeColor="text1"/>
                <w:sz w:val="2"/>
                <w:szCs w:val="2"/>
                <w:lang w:eastAsia="en-US"/>
                <w14:textFill>
                  <w14:solidFill>
                    <w14:schemeClr w14:val="tx1"/>
                  </w14:solidFill>
                </w14:textFill>
              </w:rPr>
            </w:pPr>
          </w:p>
        </w:tc>
        <w:tc>
          <w:tcPr>
            <w:tcW w:w="701" w:type="dxa"/>
            <w:vMerge w:val="continue"/>
            <w:vAlign w:val="center"/>
          </w:tcPr>
          <w:p w14:paraId="55F472A3">
            <w:pPr>
              <w:pStyle w:val="70"/>
              <w:rPr>
                <w:rFonts w:eastAsiaTheme="minorEastAsia"/>
                <w:b/>
                <w:bCs/>
                <w:color w:val="000000" w:themeColor="text1"/>
                <w:sz w:val="2"/>
                <w:szCs w:val="2"/>
                <w:lang w:eastAsia="en-US"/>
                <w14:textFill>
                  <w14:solidFill>
                    <w14:schemeClr w14:val="tx1"/>
                  </w14:solidFill>
                </w14:textFill>
              </w:rPr>
            </w:pPr>
          </w:p>
        </w:tc>
        <w:tc>
          <w:tcPr>
            <w:tcW w:w="2065" w:type="dxa"/>
            <w:vAlign w:val="center"/>
          </w:tcPr>
          <w:p w14:paraId="0B44D1D6">
            <w:pPr>
              <w:pStyle w:val="70"/>
              <w:rPr>
                <w:b/>
                <w:bCs/>
                <w:color w:val="000000" w:themeColor="text1"/>
                <w:lang w:eastAsia="en-US"/>
                <w14:textFill>
                  <w14:solidFill>
                    <w14:schemeClr w14:val="tx1"/>
                  </w14:solidFill>
                </w14:textFill>
              </w:rPr>
            </w:pPr>
            <w:r>
              <w:rPr>
                <w:b/>
                <w:bCs/>
                <w:color w:val="000000" w:themeColor="text1"/>
                <w:lang w:eastAsia="en-US"/>
                <w14:textFill>
                  <w14:solidFill>
                    <w14:schemeClr w14:val="tx1"/>
                  </w14:solidFill>
                </w14:textFill>
              </w:rPr>
              <w:t>稳定（</w:t>
            </w:r>
            <w:r>
              <w:rPr>
                <w:rFonts w:eastAsiaTheme="minorEastAsia"/>
                <w:b/>
                <w:bCs/>
                <w:color w:val="000000" w:themeColor="text1"/>
                <w:lang w:eastAsia="en-US"/>
                <w14:textFill>
                  <w14:solidFill>
                    <w14:schemeClr w14:val="tx1"/>
                  </w14:solidFill>
                </w14:textFill>
              </w:rPr>
              <w:t>E</w:t>
            </w:r>
            <w:r>
              <w:rPr>
                <w:b/>
                <w:bCs/>
                <w:color w:val="000000" w:themeColor="text1"/>
                <w:lang w:eastAsia="en-US"/>
                <w14:textFill>
                  <w14:solidFill>
                    <w14:schemeClr w14:val="tx1"/>
                  </w14:solidFill>
                </w14:textFill>
              </w:rPr>
              <w:t>，</w:t>
            </w:r>
            <w:r>
              <w:rPr>
                <w:rFonts w:eastAsiaTheme="minorEastAsia"/>
                <w:b/>
                <w:bCs/>
                <w:color w:val="000000" w:themeColor="text1"/>
                <w:lang w:eastAsia="en-US"/>
                <w14:textFill>
                  <w14:solidFill>
                    <w14:schemeClr w14:val="tx1"/>
                  </w14:solidFill>
                </w14:textFill>
              </w:rPr>
              <w:t>F</w:t>
            </w:r>
            <w:r>
              <w:rPr>
                <w:b/>
                <w:bCs/>
                <w:color w:val="000000" w:themeColor="text1"/>
                <w:lang w:eastAsia="en-US"/>
                <w14:textFill>
                  <w14:solidFill>
                    <w14:schemeClr w14:val="tx1"/>
                  </w14:solidFill>
                </w14:textFill>
              </w:rPr>
              <w:t>）</w:t>
            </w:r>
          </w:p>
        </w:tc>
        <w:tc>
          <w:tcPr>
            <w:tcW w:w="1352" w:type="dxa"/>
            <w:vMerge w:val="continue"/>
            <w:vAlign w:val="center"/>
          </w:tcPr>
          <w:p w14:paraId="2C73644C">
            <w:pPr>
              <w:pStyle w:val="70"/>
              <w:rPr>
                <w:rFonts w:eastAsiaTheme="minorEastAsia"/>
                <w:b/>
                <w:bCs/>
                <w:color w:val="000000" w:themeColor="text1"/>
                <w:sz w:val="2"/>
                <w:szCs w:val="2"/>
                <w:lang w:eastAsia="en-US"/>
                <w14:textFill>
                  <w14:solidFill>
                    <w14:schemeClr w14:val="tx1"/>
                  </w14:solidFill>
                </w14:textFill>
              </w:rPr>
            </w:pPr>
          </w:p>
        </w:tc>
      </w:tr>
      <w:tr w14:paraId="35DCB54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013" w:type="dxa"/>
            <w:vAlign w:val="center"/>
          </w:tcPr>
          <w:p w14:paraId="4D0A0D88">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w w:val="99"/>
                <w:lang w:eastAsia="en-US"/>
                <w14:textFill>
                  <w14:solidFill>
                    <w14:schemeClr w14:val="tx1"/>
                  </w14:solidFill>
                </w14:textFill>
              </w:rPr>
              <w:t>1</w:t>
            </w:r>
          </w:p>
        </w:tc>
        <w:tc>
          <w:tcPr>
            <w:tcW w:w="1679" w:type="dxa"/>
            <w:vAlign w:val="center"/>
          </w:tcPr>
          <w:p w14:paraId="46F39A70">
            <w:pPr>
              <w:pStyle w:val="70"/>
              <w:rPr>
                <w:color w:val="000000" w:themeColor="text1"/>
                <w:lang w:eastAsia="en-US"/>
                <w14:textFill>
                  <w14:solidFill>
                    <w14:schemeClr w14:val="tx1"/>
                  </w14:solidFill>
                </w14:textFill>
              </w:rPr>
            </w:pPr>
            <w:r>
              <w:rPr>
                <w:rFonts w:eastAsiaTheme="minorEastAsia"/>
                <w:color w:val="000000" w:themeColor="text1"/>
                <w14:textFill>
                  <w14:solidFill>
                    <w14:schemeClr w14:val="tx1"/>
                  </w14:solidFill>
                </w14:textFill>
              </w:rPr>
              <w:t>发烟硫酸</w:t>
            </w:r>
          </w:p>
        </w:tc>
        <w:tc>
          <w:tcPr>
            <w:tcW w:w="765" w:type="dxa"/>
            <w:vAlign w:val="center"/>
          </w:tcPr>
          <w:p w14:paraId="09F57E3D">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1.5</w:t>
            </w:r>
          </w:p>
        </w:tc>
        <w:tc>
          <w:tcPr>
            <w:tcW w:w="701" w:type="dxa"/>
            <w:vAlign w:val="center"/>
          </w:tcPr>
          <w:p w14:paraId="038AE881">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w w:val="99"/>
                <w:lang w:eastAsia="en-US"/>
                <w14:textFill>
                  <w14:solidFill>
                    <w14:schemeClr w14:val="tx1"/>
                  </w14:solidFill>
                </w14:textFill>
              </w:rPr>
              <w:t>0</w:t>
            </w:r>
          </w:p>
        </w:tc>
        <w:tc>
          <w:tcPr>
            <w:tcW w:w="701" w:type="dxa"/>
            <w:vAlign w:val="center"/>
          </w:tcPr>
          <w:p w14:paraId="0A1DB9DD">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w w:val="99"/>
                <w:lang w:eastAsia="en-US"/>
                <w14:textFill>
                  <w14:solidFill>
                    <w14:schemeClr w14:val="tx1"/>
                  </w14:solidFill>
                </w14:textFill>
              </w:rPr>
              <w:t>0</w:t>
            </w:r>
          </w:p>
        </w:tc>
        <w:tc>
          <w:tcPr>
            <w:tcW w:w="2065" w:type="dxa"/>
            <w:vAlign w:val="center"/>
          </w:tcPr>
          <w:p w14:paraId="0864CD72">
            <w:pPr>
              <w:pStyle w:val="70"/>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0.0149</w:t>
            </w:r>
          </w:p>
        </w:tc>
        <w:tc>
          <w:tcPr>
            <w:tcW w:w="1352" w:type="dxa"/>
            <w:vAlign w:val="center"/>
          </w:tcPr>
          <w:p w14:paraId="7898E28C">
            <w:pPr>
              <w:pStyle w:val="70"/>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4.47</w:t>
            </w:r>
          </w:p>
        </w:tc>
      </w:tr>
      <w:tr w14:paraId="57B1590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013" w:type="dxa"/>
            <w:vAlign w:val="center"/>
          </w:tcPr>
          <w:p w14:paraId="5BDEE7F2">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w w:val="99"/>
                <w:lang w:eastAsia="en-US"/>
                <w14:textFill>
                  <w14:solidFill>
                    <w14:schemeClr w14:val="tx1"/>
                  </w14:solidFill>
                </w14:textFill>
              </w:rPr>
              <w:t>2</w:t>
            </w:r>
          </w:p>
        </w:tc>
        <w:tc>
          <w:tcPr>
            <w:tcW w:w="1679" w:type="dxa"/>
            <w:vAlign w:val="center"/>
          </w:tcPr>
          <w:p w14:paraId="47B0CB1B">
            <w:pPr>
              <w:pStyle w:val="70"/>
              <w:rPr>
                <w:color w:val="000000" w:themeColor="text1"/>
                <w:lang w:eastAsia="en-US"/>
                <w14:textFill>
                  <w14:solidFill>
                    <w14:schemeClr w14:val="tx1"/>
                  </w14:solidFill>
                </w14:textFill>
              </w:rPr>
            </w:pPr>
            <w:r>
              <w:rPr>
                <w:rFonts w:hint="eastAsia"/>
                <w:color w:val="000000" w:themeColor="text1"/>
                <w14:textFill>
                  <w14:solidFill>
                    <w14:schemeClr w14:val="tx1"/>
                  </w14:solidFill>
                </w14:textFill>
              </w:rPr>
              <w:t>苯乙烯</w:t>
            </w:r>
          </w:p>
        </w:tc>
        <w:tc>
          <w:tcPr>
            <w:tcW w:w="765" w:type="dxa"/>
            <w:vAlign w:val="center"/>
          </w:tcPr>
          <w:p w14:paraId="61D21D2B">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1.5</w:t>
            </w:r>
          </w:p>
        </w:tc>
        <w:tc>
          <w:tcPr>
            <w:tcW w:w="701" w:type="dxa"/>
            <w:vAlign w:val="center"/>
          </w:tcPr>
          <w:p w14:paraId="026530C3">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w w:val="99"/>
                <w:lang w:eastAsia="en-US"/>
                <w14:textFill>
                  <w14:solidFill>
                    <w14:schemeClr w14:val="tx1"/>
                  </w14:solidFill>
                </w14:textFill>
              </w:rPr>
              <w:t>0</w:t>
            </w:r>
          </w:p>
        </w:tc>
        <w:tc>
          <w:tcPr>
            <w:tcW w:w="701" w:type="dxa"/>
            <w:vAlign w:val="center"/>
          </w:tcPr>
          <w:p w14:paraId="60593C78">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w w:val="99"/>
                <w:lang w:eastAsia="en-US"/>
                <w14:textFill>
                  <w14:solidFill>
                    <w14:schemeClr w14:val="tx1"/>
                  </w14:solidFill>
                </w14:textFill>
              </w:rPr>
              <w:t>0</w:t>
            </w:r>
          </w:p>
        </w:tc>
        <w:tc>
          <w:tcPr>
            <w:tcW w:w="2065" w:type="dxa"/>
            <w:vAlign w:val="center"/>
          </w:tcPr>
          <w:p w14:paraId="5E993A94">
            <w:pPr>
              <w:pStyle w:val="70"/>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0.0158</w:t>
            </w:r>
          </w:p>
        </w:tc>
        <w:tc>
          <w:tcPr>
            <w:tcW w:w="1352" w:type="dxa"/>
            <w:vAlign w:val="center"/>
          </w:tcPr>
          <w:p w14:paraId="6486F8F8">
            <w:pPr>
              <w:pStyle w:val="70"/>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4.74</w:t>
            </w:r>
          </w:p>
        </w:tc>
      </w:tr>
    </w:tbl>
    <w:p w14:paraId="35DD445C">
      <w:pPr>
        <w:ind w:firstLine="480"/>
        <w:rPr>
          <w:color w:val="000000" w:themeColor="text1"/>
          <w14:textFill>
            <w14:solidFill>
              <w14:schemeClr w14:val="tx1"/>
            </w14:solidFill>
          </w14:textFill>
        </w:rPr>
      </w:pPr>
      <w:r>
        <w:rPr>
          <w:color w:val="000000" w:themeColor="text1"/>
          <w14:textFill>
            <w14:solidFill>
              <w14:schemeClr w14:val="tx1"/>
            </w14:solidFill>
          </w14:textFill>
        </w:rPr>
        <w:t>3）泄漏火灾伴生CO源强</w:t>
      </w:r>
    </w:p>
    <w:p w14:paraId="5111D5ED">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fldChar w:fldCharType="begin"/>
      </w:r>
      <w:r>
        <w:rPr>
          <w:color w:val="000000" w:themeColor="text1"/>
          <w:kern w:val="0"/>
          <w:szCs w:val="20"/>
          <w14:textFill>
            <w14:solidFill>
              <w14:schemeClr w14:val="tx1"/>
            </w14:solidFill>
          </w14:textFill>
        </w:rPr>
        <w:instrText xml:space="preserve"> </w:instrText>
      </w:r>
      <w:r>
        <w:rPr>
          <w:rFonts w:hint="eastAsia"/>
          <w:color w:val="000000" w:themeColor="text1"/>
          <w:kern w:val="0"/>
          <w:szCs w:val="20"/>
          <w14:textFill>
            <w14:solidFill>
              <w14:schemeClr w14:val="tx1"/>
            </w14:solidFill>
          </w14:textFill>
        </w:rPr>
        <w:instrText xml:space="preserve">= 1 \* GB3</w:instrText>
      </w:r>
      <w:r>
        <w:rPr>
          <w:color w:val="000000" w:themeColor="text1"/>
          <w:kern w:val="0"/>
          <w:szCs w:val="20"/>
          <w14:textFill>
            <w14:solidFill>
              <w14:schemeClr w14:val="tx1"/>
            </w14:solidFill>
          </w14:textFill>
        </w:rPr>
        <w:instrText xml:space="preserve"> </w:instrText>
      </w:r>
      <w:r>
        <w:rPr>
          <w:color w:val="000000" w:themeColor="text1"/>
          <w:kern w:val="0"/>
          <w:szCs w:val="20"/>
          <w14:textFill>
            <w14:solidFill>
              <w14:schemeClr w14:val="tx1"/>
            </w14:solidFill>
          </w14:textFill>
        </w:rPr>
        <w:fldChar w:fldCharType="separate"/>
      </w:r>
      <w:r>
        <w:rPr>
          <w:rFonts w:hint="eastAsia"/>
          <w:color w:val="000000" w:themeColor="text1"/>
          <w:kern w:val="0"/>
          <w:szCs w:val="20"/>
          <w14:textFill>
            <w14:solidFill>
              <w14:schemeClr w14:val="tx1"/>
            </w14:solidFill>
          </w14:textFill>
        </w:rPr>
        <w:t>①</w:t>
      </w:r>
      <w:r>
        <w:rPr>
          <w:color w:val="000000" w:themeColor="text1"/>
          <w:kern w:val="0"/>
          <w:szCs w:val="20"/>
          <w14:textFill>
            <w14:solidFill>
              <w14:schemeClr w14:val="tx1"/>
            </w14:solidFill>
          </w14:textFill>
        </w:rPr>
        <w:fldChar w:fldCharType="end"/>
      </w:r>
      <w:r>
        <w:rPr>
          <w:rFonts w:hint="eastAsia"/>
          <w:color w:val="000000" w:themeColor="text1"/>
          <w:kern w:val="0"/>
          <w:szCs w:val="20"/>
          <w14:textFill>
            <w14:solidFill>
              <w14:schemeClr w14:val="tx1"/>
            </w14:solidFill>
          </w14:textFill>
        </w:rPr>
        <w:t>、有毒有害物质释放量</w:t>
      </w:r>
    </w:p>
    <w:p w14:paraId="69A8D1D8">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本扩建工程项目涉及的危险物质为苯乙烯为代表货种，苯乙烯的毒性和有害性最强，因此有毒有害物质释放量以苯乙烯进行计算。</w:t>
      </w:r>
    </w:p>
    <w:p w14:paraId="0D582426">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根据《建设项目环境风险评价技术导则》（HJ169-2018）附录F中的表F.4火灾爆炸事故有毒有害物质释放比例。</w:t>
      </w:r>
    </w:p>
    <w:p w14:paraId="38D78C9E">
      <w:pPr>
        <w:pStyle w:val="7"/>
        <w:rPr>
          <w:color w:val="000000" w:themeColor="text1"/>
          <w14:textFill>
            <w14:solidFill>
              <w14:schemeClr w14:val="tx1"/>
            </w14:solidFill>
          </w14:textFill>
        </w:rPr>
      </w:pPr>
      <w:r>
        <w:rPr>
          <w:color w:val="000000" w:themeColor="text1"/>
          <w14:textFill>
            <w14:solidFill>
              <w14:schemeClr w14:val="tx1"/>
            </w14:solidFill>
          </w14:textFill>
        </w:rPr>
        <w:t>火灾爆炸事故有毒有害物质释放比例</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单位 %</w:t>
      </w:r>
    </w:p>
    <w:tbl>
      <w:tblPr>
        <w:tblStyle w:val="127"/>
        <w:tblW w:w="500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1530"/>
        <w:gridCol w:w="810"/>
        <w:gridCol w:w="1129"/>
        <w:gridCol w:w="1194"/>
        <w:gridCol w:w="1305"/>
        <w:gridCol w:w="1413"/>
        <w:gridCol w:w="970"/>
      </w:tblGrid>
      <w:tr w14:paraId="3B6860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49" w:hRule="atLeast"/>
          <w:jc w:val="center"/>
        </w:trPr>
        <w:tc>
          <w:tcPr>
            <w:tcW w:w="916" w:type="pct"/>
            <w:vMerge w:val="restart"/>
            <w:vAlign w:val="center"/>
          </w:tcPr>
          <w:p w14:paraId="61159F4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Q</w:t>
            </w:r>
          </w:p>
        </w:tc>
        <w:tc>
          <w:tcPr>
            <w:tcW w:w="4083" w:type="pct"/>
            <w:gridSpan w:val="6"/>
            <w:vAlign w:val="center"/>
          </w:tcPr>
          <w:p w14:paraId="6767AD2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LC50</w:t>
            </w:r>
          </w:p>
        </w:tc>
      </w:tr>
      <w:tr w14:paraId="0A97D9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68" w:hRule="atLeast"/>
          <w:jc w:val="center"/>
        </w:trPr>
        <w:tc>
          <w:tcPr>
            <w:tcW w:w="916" w:type="pct"/>
            <w:vMerge w:val="continue"/>
            <w:vAlign w:val="center"/>
          </w:tcPr>
          <w:p w14:paraId="3D341521">
            <w:pPr>
              <w:spacing w:line="240" w:lineRule="auto"/>
              <w:ind w:firstLine="0" w:firstLineChars="0"/>
              <w:jc w:val="center"/>
              <w:rPr>
                <w:color w:val="000000" w:themeColor="text1"/>
                <w:kern w:val="0"/>
                <w:sz w:val="21"/>
                <w:szCs w:val="21"/>
                <w14:textFill>
                  <w14:solidFill>
                    <w14:schemeClr w14:val="tx1"/>
                  </w14:solidFill>
                </w14:textFill>
              </w:rPr>
            </w:pPr>
          </w:p>
        </w:tc>
        <w:tc>
          <w:tcPr>
            <w:tcW w:w="485" w:type="pct"/>
            <w:vAlign w:val="center"/>
          </w:tcPr>
          <w:p w14:paraId="0988169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&lt;200</w:t>
            </w:r>
          </w:p>
        </w:tc>
        <w:tc>
          <w:tcPr>
            <w:tcW w:w="676" w:type="pct"/>
            <w:vAlign w:val="center"/>
          </w:tcPr>
          <w:p w14:paraId="6FF1ED9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200~1000</w:t>
            </w:r>
          </w:p>
        </w:tc>
        <w:tc>
          <w:tcPr>
            <w:tcW w:w="715" w:type="pct"/>
            <w:vAlign w:val="center"/>
          </w:tcPr>
          <w:p w14:paraId="59DA168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1000~2000</w:t>
            </w:r>
          </w:p>
        </w:tc>
        <w:tc>
          <w:tcPr>
            <w:tcW w:w="781" w:type="pct"/>
            <w:vAlign w:val="center"/>
          </w:tcPr>
          <w:p w14:paraId="4A1B859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2000~10000</w:t>
            </w:r>
          </w:p>
        </w:tc>
        <w:tc>
          <w:tcPr>
            <w:tcW w:w="846" w:type="pct"/>
            <w:vAlign w:val="center"/>
          </w:tcPr>
          <w:p w14:paraId="3955503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10000~20000</w:t>
            </w:r>
          </w:p>
        </w:tc>
        <w:tc>
          <w:tcPr>
            <w:tcW w:w="579" w:type="pct"/>
            <w:vAlign w:val="center"/>
          </w:tcPr>
          <w:p w14:paraId="39A7B55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≥20000</w:t>
            </w:r>
          </w:p>
        </w:tc>
      </w:tr>
      <w:tr w14:paraId="091A7B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6" w:hRule="atLeast"/>
          <w:jc w:val="center"/>
        </w:trPr>
        <w:tc>
          <w:tcPr>
            <w:tcW w:w="916" w:type="pct"/>
            <w:vAlign w:val="center"/>
          </w:tcPr>
          <w:p w14:paraId="3054A4A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485" w:type="pct"/>
            <w:vAlign w:val="center"/>
          </w:tcPr>
          <w:p w14:paraId="5D3A189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w:t>
            </w:r>
          </w:p>
        </w:tc>
        <w:tc>
          <w:tcPr>
            <w:tcW w:w="676" w:type="pct"/>
            <w:vAlign w:val="center"/>
          </w:tcPr>
          <w:p w14:paraId="1DCAE4E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715" w:type="pct"/>
            <w:vAlign w:val="center"/>
          </w:tcPr>
          <w:p w14:paraId="46A2E094">
            <w:pPr>
              <w:spacing w:line="240" w:lineRule="auto"/>
              <w:ind w:firstLine="0" w:firstLineChars="0"/>
              <w:jc w:val="center"/>
              <w:rPr>
                <w:color w:val="000000" w:themeColor="text1"/>
                <w:kern w:val="0"/>
                <w:sz w:val="21"/>
                <w:szCs w:val="21"/>
                <w14:textFill>
                  <w14:solidFill>
                    <w14:schemeClr w14:val="tx1"/>
                  </w14:solidFill>
                </w14:textFill>
              </w:rPr>
            </w:pPr>
          </w:p>
        </w:tc>
        <w:tc>
          <w:tcPr>
            <w:tcW w:w="781" w:type="pct"/>
            <w:vAlign w:val="center"/>
          </w:tcPr>
          <w:p w14:paraId="619B0AD1">
            <w:pPr>
              <w:spacing w:line="240" w:lineRule="auto"/>
              <w:ind w:firstLine="0" w:firstLineChars="0"/>
              <w:jc w:val="center"/>
              <w:rPr>
                <w:color w:val="000000" w:themeColor="text1"/>
                <w:kern w:val="0"/>
                <w:sz w:val="21"/>
                <w:szCs w:val="21"/>
                <w14:textFill>
                  <w14:solidFill>
                    <w14:schemeClr w14:val="tx1"/>
                  </w14:solidFill>
                </w14:textFill>
              </w:rPr>
            </w:pPr>
          </w:p>
        </w:tc>
        <w:tc>
          <w:tcPr>
            <w:tcW w:w="846" w:type="pct"/>
            <w:vAlign w:val="center"/>
          </w:tcPr>
          <w:p w14:paraId="12060AF1">
            <w:pPr>
              <w:spacing w:line="240" w:lineRule="auto"/>
              <w:ind w:firstLine="0" w:firstLineChars="0"/>
              <w:jc w:val="center"/>
              <w:rPr>
                <w:color w:val="000000" w:themeColor="text1"/>
                <w:kern w:val="0"/>
                <w:sz w:val="21"/>
                <w:szCs w:val="21"/>
                <w14:textFill>
                  <w14:solidFill>
                    <w14:schemeClr w14:val="tx1"/>
                  </w14:solidFill>
                </w14:textFill>
              </w:rPr>
            </w:pPr>
          </w:p>
        </w:tc>
        <w:tc>
          <w:tcPr>
            <w:tcW w:w="579" w:type="pct"/>
            <w:vAlign w:val="center"/>
          </w:tcPr>
          <w:p w14:paraId="6FD12953">
            <w:pPr>
              <w:spacing w:line="240" w:lineRule="auto"/>
              <w:ind w:firstLine="0" w:firstLineChars="0"/>
              <w:jc w:val="center"/>
              <w:rPr>
                <w:color w:val="000000" w:themeColor="text1"/>
                <w:kern w:val="0"/>
                <w:sz w:val="21"/>
                <w:szCs w:val="21"/>
                <w14:textFill>
                  <w14:solidFill>
                    <w14:schemeClr w14:val="tx1"/>
                  </w14:solidFill>
                </w14:textFill>
              </w:rPr>
            </w:pPr>
          </w:p>
        </w:tc>
      </w:tr>
      <w:tr w14:paraId="56614D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7" w:hRule="atLeast"/>
          <w:jc w:val="center"/>
        </w:trPr>
        <w:tc>
          <w:tcPr>
            <w:tcW w:w="916" w:type="pct"/>
            <w:vAlign w:val="center"/>
          </w:tcPr>
          <w:p w14:paraId="2686C8B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100~500</w:t>
            </w:r>
          </w:p>
        </w:tc>
        <w:tc>
          <w:tcPr>
            <w:tcW w:w="485" w:type="pct"/>
            <w:vAlign w:val="center"/>
          </w:tcPr>
          <w:p w14:paraId="562231A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w:t>
            </w:r>
          </w:p>
        </w:tc>
        <w:tc>
          <w:tcPr>
            <w:tcW w:w="676" w:type="pct"/>
            <w:vAlign w:val="center"/>
          </w:tcPr>
          <w:p w14:paraId="79CDC05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715" w:type="pct"/>
            <w:vAlign w:val="center"/>
          </w:tcPr>
          <w:p w14:paraId="30F3AED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w:t>
            </w:r>
          </w:p>
        </w:tc>
        <w:tc>
          <w:tcPr>
            <w:tcW w:w="781" w:type="pct"/>
            <w:vAlign w:val="center"/>
          </w:tcPr>
          <w:p w14:paraId="7CA02F12">
            <w:pPr>
              <w:spacing w:line="240" w:lineRule="auto"/>
              <w:ind w:firstLine="0" w:firstLineChars="0"/>
              <w:jc w:val="center"/>
              <w:rPr>
                <w:color w:val="000000" w:themeColor="text1"/>
                <w:kern w:val="0"/>
                <w:sz w:val="21"/>
                <w:szCs w:val="21"/>
                <w14:textFill>
                  <w14:solidFill>
                    <w14:schemeClr w14:val="tx1"/>
                  </w14:solidFill>
                </w14:textFill>
              </w:rPr>
            </w:pPr>
          </w:p>
        </w:tc>
        <w:tc>
          <w:tcPr>
            <w:tcW w:w="846" w:type="pct"/>
            <w:vAlign w:val="center"/>
          </w:tcPr>
          <w:p w14:paraId="7C2E99AA">
            <w:pPr>
              <w:spacing w:line="240" w:lineRule="auto"/>
              <w:ind w:firstLine="0" w:firstLineChars="0"/>
              <w:jc w:val="center"/>
              <w:rPr>
                <w:color w:val="000000" w:themeColor="text1"/>
                <w:kern w:val="0"/>
                <w:sz w:val="21"/>
                <w:szCs w:val="21"/>
                <w14:textFill>
                  <w14:solidFill>
                    <w14:schemeClr w14:val="tx1"/>
                  </w14:solidFill>
                </w14:textFill>
              </w:rPr>
            </w:pPr>
          </w:p>
        </w:tc>
        <w:tc>
          <w:tcPr>
            <w:tcW w:w="579" w:type="pct"/>
            <w:vAlign w:val="center"/>
          </w:tcPr>
          <w:p w14:paraId="1140C0DF">
            <w:pPr>
              <w:spacing w:line="240" w:lineRule="auto"/>
              <w:ind w:firstLine="0" w:firstLineChars="0"/>
              <w:jc w:val="center"/>
              <w:rPr>
                <w:color w:val="000000" w:themeColor="text1"/>
                <w:kern w:val="0"/>
                <w:sz w:val="21"/>
                <w:szCs w:val="21"/>
                <w14:textFill>
                  <w14:solidFill>
                    <w14:schemeClr w14:val="tx1"/>
                  </w14:solidFill>
                </w14:textFill>
              </w:rPr>
            </w:pPr>
          </w:p>
        </w:tc>
      </w:tr>
      <w:tr w14:paraId="0690D8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4" w:hRule="atLeast"/>
          <w:jc w:val="center"/>
        </w:trPr>
        <w:tc>
          <w:tcPr>
            <w:tcW w:w="916" w:type="pct"/>
            <w:vAlign w:val="center"/>
          </w:tcPr>
          <w:p w14:paraId="63E9124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500~1000</w:t>
            </w:r>
          </w:p>
        </w:tc>
        <w:tc>
          <w:tcPr>
            <w:tcW w:w="485" w:type="pct"/>
            <w:vAlign w:val="center"/>
          </w:tcPr>
          <w:p w14:paraId="0DEAF20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676" w:type="pct"/>
            <w:vAlign w:val="center"/>
          </w:tcPr>
          <w:p w14:paraId="09EE081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c>
          <w:tcPr>
            <w:tcW w:w="715" w:type="pct"/>
            <w:vAlign w:val="center"/>
          </w:tcPr>
          <w:p w14:paraId="7C376E3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w:t>
            </w:r>
          </w:p>
        </w:tc>
        <w:tc>
          <w:tcPr>
            <w:tcW w:w="781" w:type="pct"/>
            <w:vAlign w:val="center"/>
          </w:tcPr>
          <w:p w14:paraId="6A7BD8C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w:t>
            </w:r>
          </w:p>
        </w:tc>
        <w:tc>
          <w:tcPr>
            <w:tcW w:w="846" w:type="pct"/>
            <w:vAlign w:val="center"/>
          </w:tcPr>
          <w:p w14:paraId="0C04007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w:t>
            </w:r>
          </w:p>
        </w:tc>
        <w:tc>
          <w:tcPr>
            <w:tcW w:w="579" w:type="pct"/>
            <w:vAlign w:val="center"/>
          </w:tcPr>
          <w:p w14:paraId="2227011A">
            <w:pPr>
              <w:spacing w:line="240" w:lineRule="auto"/>
              <w:ind w:firstLine="0" w:firstLineChars="0"/>
              <w:jc w:val="center"/>
              <w:rPr>
                <w:color w:val="000000" w:themeColor="text1"/>
                <w:kern w:val="0"/>
                <w:sz w:val="21"/>
                <w:szCs w:val="21"/>
                <w14:textFill>
                  <w14:solidFill>
                    <w14:schemeClr w14:val="tx1"/>
                  </w14:solidFill>
                </w14:textFill>
              </w:rPr>
            </w:pPr>
          </w:p>
        </w:tc>
      </w:tr>
      <w:tr w14:paraId="06A0C8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7" w:hRule="atLeast"/>
          <w:jc w:val="center"/>
        </w:trPr>
        <w:tc>
          <w:tcPr>
            <w:tcW w:w="916" w:type="pct"/>
            <w:vAlign w:val="center"/>
          </w:tcPr>
          <w:p w14:paraId="78ECFD3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1000~5000</w:t>
            </w:r>
          </w:p>
        </w:tc>
        <w:tc>
          <w:tcPr>
            <w:tcW w:w="485" w:type="pct"/>
            <w:vAlign w:val="center"/>
          </w:tcPr>
          <w:p w14:paraId="052274B1">
            <w:pPr>
              <w:spacing w:line="240" w:lineRule="auto"/>
              <w:ind w:firstLine="0" w:firstLineChars="0"/>
              <w:jc w:val="center"/>
              <w:rPr>
                <w:color w:val="000000" w:themeColor="text1"/>
                <w:kern w:val="0"/>
                <w:sz w:val="21"/>
                <w:szCs w:val="21"/>
                <w14:textFill>
                  <w14:solidFill>
                    <w14:schemeClr w14:val="tx1"/>
                  </w14:solidFill>
                </w14:textFill>
              </w:rPr>
            </w:pPr>
          </w:p>
        </w:tc>
        <w:tc>
          <w:tcPr>
            <w:tcW w:w="676" w:type="pct"/>
            <w:vAlign w:val="center"/>
          </w:tcPr>
          <w:p w14:paraId="4B77FAC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0.5</w:t>
            </w:r>
          </w:p>
        </w:tc>
        <w:tc>
          <w:tcPr>
            <w:tcW w:w="715" w:type="pct"/>
            <w:vAlign w:val="center"/>
          </w:tcPr>
          <w:p w14:paraId="2163ECA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781" w:type="pct"/>
            <w:vAlign w:val="center"/>
          </w:tcPr>
          <w:p w14:paraId="36F2690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w:t>
            </w:r>
          </w:p>
        </w:tc>
        <w:tc>
          <w:tcPr>
            <w:tcW w:w="846" w:type="pct"/>
            <w:vAlign w:val="center"/>
          </w:tcPr>
          <w:p w14:paraId="7CD4AD1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c>
          <w:tcPr>
            <w:tcW w:w="579" w:type="pct"/>
            <w:vAlign w:val="center"/>
          </w:tcPr>
          <w:p w14:paraId="7178EE4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r>
      <w:tr w14:paraId="200912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6" w:hRule="atLeast"/>
          <w:jc w:val="center"/>
        </w:trPr>
        <w:tc>
          <w:tcPr>
            <w:tcW w:w="916" w:type="pct"/>
            <w:vAlign w:val="center"/>
          </w:tcPr>
          <w:p w14:paraId="7403CC2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5000~10000</w:t>
            </w:r>
          </w:p>
        </w:tc>
        <w:tc>
          <w:tcPr>
            <w:tcW w:w="485" w:type="pct"/>
            <w:vAlign w:val="center"/>
          </w:tcPr>
          <w:p w14:paraId="46DB07DF">
            <w:pPr>
              <w:spacing w:line="240" w:lineRule="auto"/>
              <w:ind w:firstLine="0" w:firstLineChars="0"/>
              <w:jc w:val="center"/>
              <w:rPr>
                <w:color w:val="000000" w:themeColor="text1"/>
                <w:kern w:val="0"/>
                <w:sz w:val="21"/>
                <w:szCs w:val="21"/>
                <w14:textFill>
                  <w14:solidFill>
                    <w14:schemeClr w14:val="tx1"/>
                  </w14:solidFill>
                </w14:textFill>
              </w:rPr>
            </w:pPr>
          </w:p>
        </w:tc>
        <w:tc>
          <w:tcPr>
            <w:tcW w:w="676" w:type="pct"/>
            <w:vAlign w:val="center"/>
          </w:tcPr>
          <w:p w14:paraId="23634FF3">
            <w:pPr>
              <w:spacing w:line="240" w:lineRule="auto"/>
              <w:ind w:firstLine="0" w:firstLineChars="0"/>
              <w:jc w:val="center"/>
              <w:rPr>
                <w:color w:val="000000" w:themeColor="text1"/>
                <w:kern w:val="0"/>
                <w:sz w:val="21"/>
                <w:szCs w:val="21"/>
                <w14:textFill>
                  <w14:solidFill>
                    <w14:schemeClr w14:val="tx1"/>
                  </w14:solidFill>
                </w14:textFill>
              </w:rPr>
            </w:pPr>
          </w:p>
        </w:tc>
        <w:tc>
          <w:tcPr>
            <w:tcW w:w="715" w:type="pct"/>
            <w:vAlign w:val="center"/>
          </w:tcPr>
          <w:p w14:paraId="07B74F3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0.5</w:t>
            </w:r>
          </w:p>
        </w:tc>
        <w:tc>
          <w:tcPr>
            <w:tcW w:w="781" w:type="pct"/>
            <w:vAlign w:val="center"/>
          </w:tcPr>
          <w:p w14:paraId="28F9DDD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846" w:type="pct"/>
            <w:vAlign w:val="center"/>
          </w:tcPr>
          <w:p w14:paraId="0A35F55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579" w:type="pct"/>
            <w:vAlign w:val="center"/>
          </w:tcPr>
          <w:p w14:paraId="12DC259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r>
      <w:tr w14:paraId="35C2CA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6" w:hRule="atLeast"/>
          <w:jc w:val="center"/>
        </w:trPr>
        <w:tc>
          <w:tcPr>
            <w:tcW w:w="916" w:type="pct"/>
            <w:vAlign w:val="center"/>
          </w:tcPr>
          <w:p w14:paraId="73CF351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10000~20000</w:t>
            </w:r>
          </w:p>
        </w:tc>
        <w:tc>
          <w:tcPr>
            <w:tcW w:w="485" w:type="pct"/>
            <w:vAlign w:val="center"/>
          </w:tcPr>
          <w:p w14:paraId="69B651DD">
            <w:pPr>
              <w:spacing w:line="240" w:lineRule="auto"/>
              <w:ind w:firstLine="0" w:firstLineChars="0"/>
              <w:jc w:val="center"/>
              <w:rPr>
                <w:color w:val="000000" w:themeColor="text1"/>
                <w:kern w:val="0"/>
                <w:sz w:val="21"/>
                <w:szCs w:val="21"/>
                <w14:textFill>
                  <w14:solidFill>
                    <w14:schemeClr w14:val="tx1"/>
                  </w14:solidFill>
                </w14:textFill>
              </w:rPr>
            </w:pPr>
          </w:p>
        </w:tc>
        <w:tc>
          <w:tcPr>
            <w:tcW w:w="676" w:type="pct"/>
            <w:vAlign w:val="center"/>
          </w:tcPr>
          <w:p w14:paraId="70A78C84">
            <w:pPr>
              <w:spacing w:line="240" w:lineRule="auto"/>
              <w:ind w:firstLine="0" w:firstLineChars="0"/>
              <w:jc w:val="center"/>
              <w:rPr>
                <w:color w:val="000000" w:themeColor="text1"/>
                <w:kern w:val="0"/>
                <w:sz w:val="21"/>
                <w:szCs w:val="21"/>
                <w14:textFill>
                  <w14:solidFill>
                    <w14:schemeClr w14:val="tx1"/>
                  </w14:solidFill>
                </w14:textFill>
              </w:rPr>
            </w:pPr>
          </w:p>
        </w:tc>
        <w:tc>
          <w:tcPr>
            <w:tcW w:w="715" w:type="pct"/>
            <w:vAlign w:val="center"/>
          </w:tcPr>
          <w:p w14:paraId="2ED1AC3E">
            <w:pPr>
              <w:spacing w:line="240" w:lineRule="auto"/>
              <w:ind w:firstLine="0" w:firstLineChars="0"/>
              <w:jc w:val="center"/>
              <w:rPr>
                <w:color w:val="000000" w:themeColor="text1"/>
                <w:kern w:val="0"/>
                <w:sz w:val="21"/>
                <w:szCs w:val="21"/>
                <w14:textFill>
                  <w14:solidFill>
                    <w14:schemeClr w14:val="tx1"/>
                  </w14:solidFill>
                </w14:textFill>
              </w:rPr>
            </w:pPr>
          </w:p>
        </w:tc>
        <w:tc>
          <w:tcPr>
            <w:tcW w:w="781" w:type="pct"/>
            <w:vAlign w:val="center"/>
          </w:tcPr>
          <w:p w14:paraId="415F47E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0.5</w:t>
            </w:r>
          </w:p>
        </w:tc>
        <w:tc>
          <w:tcPr>
            <w:tcW w:w="846" w:type="pct"/>
            <w:vAlign w:val="center"/>
          </w:tcPr>
          <w:p w14:paraId="5E8F9DF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579" w:type="pct"/>
            <w:vAlign w:val="center"/>
          </w:tcPr>
          <w:p w14:paraId="474EBE1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r>
      <w:tr w14:paraId="6228C2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7" w:hRule="atLeast"/>
          <w:jc w:val="center"/>
        </w:trPr>
        <w:tc>
          <w:tcPr>
            <w:tcW w:w="916" w:type="pct"/>
            <w:vAlign w:val="center"/>
          </w:tcPr>
          <w:p w14:paraId="12CA99B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20000~50000</w:t>
            </w:r>
          </w:p>
        </w:tc>
        <w:tc>
          <w:tcPr>
            <w:tcW w:w="485" w:type="pct"/>
            <w:vAlign w:val="center"/>
          </w:tcPr>
          <w:p w14:paraId="6012076B">
            <w:pPr>
              <w:spacing w:line="240" w:lineRule="auto"/>
              <w:ind w:firstLine="0" w:firstLineChars="0"/>
              <w:jc w:val="center"/>
              <w:rPr>
                <w:color w:val="000000" w:themeColor="text1"/>
                <w:kern w:val="0"/>
                <w:sz w:val="21"/>
                <w:szCs w:val="21"/>
                <w14:textFill>
                  <w14:solidFill>
                    <w14:schemeClr w14:val="tx1"/>
                  </w14:solidFill>
                </w14:textFill>
              </w:rPr>
            </w:pPr>
          </w:p>
        </w:tc>
        <w:tc>
          <w:tcPr>
            <w:tcW w:w="676" w:type="pct"/>
            <w:vAlign w:val="center"/>
          </w:tcPr>
          <w:p w14:paraId="4D1EA1C7">
            <w:pPr>
              <w:spacing w:line="240" w:lineRule="auto"/>
              <w:ind w:firstLine="0" w:firstLineChars="0"/>
              <w:jc w:val="center"/>
              <w:rPr>
                <w:color w:val="000000" w:themeColor="text1"/>
                <w:kern w:val="0"/>
                <w:sz w:val="21"/>
                <w:szCs w:val="21"/>
                <w14:textFill>
                  <w14:solidFill>
                    <w14:schemeClr w14:val="tx1"/>
                  </w14:solidFill>
                </w14:textFill>
              </w:rPr>
            </w:pPr>
          </w:p>
        </w:tc>
        <w:tc>
          <w:tcPr>
            <w:tcW w:w="715" w:type="pct"/>
            <w:vAlign w:val="center"/>
          </w:tcPr>
          <w:p w14:paraId="5D1547EE">
            <w:pPr>
              <w:spacing w:line="240" w:lineRule="auto"/>
              <w:ind w:firstLine="0" w:firstLineChars="0"/>
              <w:jc w:val="center"/>
              <w:rPr>
                <w:color w:val="000000" w:themeColor="text1"/>
                <w:kern w:val="0"/>
                <w:sz w:val="21"/>
                <w:szCs w:val="21"/>
                <w14:textFill>
                  <w14:solidFill>
                    <w14:schemeClr w14:val="tx1"/>
                  </w14:solidFill>
                </w14:textFill>
              </w:rPr>
            </w:pPr>
          </w:p>
        </w:tc>
        <w:tc>
          <w:tcPr>
            <w:tcW w:w="781" w:type="pct"/>
            <w:vAlign w:val="center"/>
          </w:tcPr>
          <w:p w14:paraId="79F0E3CE">
            <w:pPr>
              <w:spacing w:line="240" w:lineRule="auto"/>
              <w:ind w:firstLine="0" w:firstLineChars="0"/>
              <w:jc w:val="center"/>
              <w:rPr>
                <w:color w:val="000000" w:themeColor="text1"/>
                <w:kern w:val="0"/>
                <w:sz w:val="21"/>
                <w:szCs w:val="21"/>
                <w14:textFill>
                  <w14:solidFill>
                    <w14:schemeClr w14:val="tx1"/>
                  </w14:solidFill>
                </w14:textFill>
              </w:rPr>
            </w:pPr>
          </w:p>
        </w:tc>
        <w:tc>
          <w:tcPr>
            <w:tcW w:w="846" w:type="pct"/>
            <w:vAlign w:val="center"/>
          </w:tcPr>
          <w:p w14:paraId="4F5BFF9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0.5</w:t>
            </w:r>
          </w:p>
        </w:tc>
        <w:tc>
          <w:tcPr>
            <w:tcW w:w="579" w:type="pct"/>
            <w:vAlign w:val="center"/>
          </w:tcPr>
          <w:p w14:paraId="6E9D017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0.5</w:t>
            </w:r>
          </w:p>
        </w:tc>
      </w:tr>
      <w:tr w14:paraId="08B03A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4" w:hRule="atLeast"/>
          <w:jc w:val="center"/>
        </w:trPr>
        <w:tc>
          <w:tcPr>
            <w:tcW w:w="916" w:type="pct"/>
            <w:vAlign w:val="center"/>
          </w:tcPr>
          <w:p w14:paraId="68E6552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50000~100000</w:t>
            </w:r>
          </w:p>
        </w:tc>
        <w:tc>
          <w:tcPr>
            <w:tcW w:w="485" w:type="pct"/>
            <w:vAlign w:val="center"/>
          </w:tcPr>
          <w:p w14:paraId="45B50A8A">
            <w:pPr>
              <w:spacing w:line="240" w:lineRule="auto"/>
              <w:ind w:firstLine="0" w:firstLineChars="0"/>
              <w:jc w:val="center"/>
              <w:rPr>
                <w:color w:val="000000" w:themeColor="text1"/>
                <w:kern w:val="0"/>
                <w:sz w:val="21"/>
                <w:szCs w:val="21"/>
                <w14:textFill>
                  <w14:solidFill>
                    <w14:schemeClr w14:val="tx1"/>
                  </w14:solidFill>
                </w14:textFill>
              </w:rPr>
            </w:pPr>
          </w:p>
        </w:tc>
        <w:tc>
          <w:tcPr>
            <w:tcW w:w="676" w:type="pct"/>
            <w:vAlign w:val="center"/>
          </w:tcPr>
          <w:p w14:paraId="09C5DEBE">
            <w:pPr>
              <w:spacing w:line="240" w:lineRule="auto"/>
              <w:ind w:firstLine="0" w:firstLineChars="0"/>
              <w:jc w:val="center"/>
              <w:rPr>
                <w:color w:val="000000" w:themeColor="text1"/>
                <w:kern w:val="0"/>
                <w:sz w:val="21"/>
                <w:szCs w:val="21"/>
                <w14:textFill>
                  <w14:solidFill>
                    <w14:schemeClr w14:val="tx1"/>
                  </w14:solidFill>
                </w14:textFill>
              </w:rPr>
            </w:pPr>
          </w:p>
        </w:tc>
        <w:tc>
          <w:tcPr>
            <w:tcW w:w="715" w:type="pct"/>
            <w:vAlign w:val="center"/>
          </w:tcPr>
          <w:p w14:paraId="650A5648">
            <w:pPr>
              <w:spacing w:line="240" w:lineRule="auto"/>
              <w:ind w:firstLine="0" w:firstLineChars="0"/>
              <w:jc w:val="center"/>
              <w:rPr>
                <w:color w:val="000000" w:themeColor="text1"/>
                <w:kern w:val="0"/>
                <w:sz w:val="21"/>
                <w:szCs w:val="21"/>
                <w14:textFill>
                  <w14:solidFill>
                    <w14:schemeClr w14:val="tx1"/>
                  </w14:solidFill>
                </w14:textFill>
              </w:rPr>
            </w:pPr>
          </w:p>
        </w:tc>
        <w:tc>
          <w:tcPr>
            <w:tcW w:w="781" w:type="pct"/>
            <w:vAlign w:val="center"/>
          </w:tcPr>
          <w:p w14:paraId="645CCF9A">
            <w:pPr>
              <w:spacing w:line="240" w:lineRule="auto"/>
              <w:ind w:firstLine="0" w:firstLineChars="0"/>
              <w:jc w:val="center"/>
              <w:rPr>
                <w:color w:val="000000" w:themeColor="text1"/>
                <w:kern w:val="0"/>
                <w:sz w:val="21"/>
                <w:szCs w:val="21"/>
                <w14:textFill>
                  <w14:solidFill>
                    <w14:schemeClr w14:val="tx1"/>
                  </w14:solidFill>
                </w14:textFill>
              </w:rPr>
            </w:pPr>
          </w:p>
        </w:tc>
        <w:tc>
          <w:tcPr>
            <w:tcW w:w="846" w:type="pct"/>
            <w:vAlign w:val="center"/>
          </w:tcPr>
          <w:p w14:paraId="2E9A218E">
            <w:pPr>
              <w:spacing w:line="240" w:lineRule="auto"/>
              <w:ind w:firstLine="0" w:firstLineChars="0"/>
              <w:jc w:val="center"/>
              <w:rPr>
                <w:color w:val="000000" w:themeColor="text1"/>
                <w:kern w:val="0"/>
                <w:sz w:val="21"/>
                <w:szCs w:val="21"/>
                <w14:textFill>
                  <w14:solidFill>
                    <w14:schemeClr w14:val="tx1"/>
                  </w14:solidFill>
                </w14:textFill>
              </w:rPr>
            </w:pPr>
          </w:p>
        </w:tc>
        <w:tc>
          <w:tcPr>
            <w:tcW w:w="579" w:type="pct"/>
            <w:vAlign w:val="center"/>
          </w:tcPr>
          <w:p w14:paraId="6B0D08E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0.5</w:t>
            </w:r>
          </w:p>
        </w:tc>
      </w:tr>
    </w:tbl>
    <w:p w14:paraId="2A06B744">
      <w:pPr>
        <w:ind w:firstLine="0" w:firstLineChars="0"/>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注：LC50半致死量，mg/m</w:t>
      </w:r>
      <w:r>
        <w:rPr>
          <w:color w:val="000000" w:themeColor="text1"/>
          <w:kern w:val="0"/>
          <w:sz w:val="21"/>
          <w:szCs w:val="21"/>
          <w:vertAlign w:val="superscript"/>
          <w14:textFill>
            <w14:solidFill>
              <w14:schemeClr w14:val="tx1"/>
            </w14:solidFill>
          </w14:textFill>
        </w:rPr>
        <w:t>3</w:t>
      </w:r>
      <w:r>
        <w:rPr>
          <w:color w:val="000000" w:themeColor="text1"/>
          <w:kern w:val="0"/>
          <w:sz w:val="21"/>
          <w:szCs w:val="21"/>
          <w14:textFill>
            <w14:solidFill>
              <w14:schemeClr w14:val="tx1"/>
            </w14:solidFill>
          </w14:textFill>
        </w:rPr>
        <w:t>；Q有毒有害物质在线量，t；Q值重复值在前一个范围，LC值重复值包括在后一个范围</w:t>
      </w:r>
    </w:p>
    <w:p w14:paraId="2D25ED90">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苯乙烯</w:t>
      </w:r>
      <w:r>
        <w:rPr>
          <w:color w:val="000000" w:themeColor="text1"/>
          <w:kern w:val="0"/>
          <w:szCs w:val="20"/>
          <w14:textFill>
            <w14:solidFill>
              <w14:schemeClr w14:val="tx1"/>
            </w14:solidFill>
          </w14:textFill>
        </w:rPr>
        <w:t>的LC50为</w:t>
      </w:r>
      <w:r>
        <w:rPr>
          <w:rFonts w:hint="eastAsia"/>
          <w:color w:val="000000" w:themeColor="text1"/>
          <w:kern w:val="0"/>
          <w:szCs w:val="20"/>
          <w14:textFill>
            <w14:solidFill>
              <w14:schemeClr w14:val="tx1"/>
            </w14:solidFill>
          </w14:textFill>
        </w:rPr>
        <w:t>28000</w:t>
      </w:r>
      <w:r>
        <w:rPr>
          <w:color w:val="000000" w:themeColor="text1"/>
          <w:kern w:val="0"/>
          <w:szCs w:val="20"/>
          <w14:textFill>
            <w14:solidFill>
              <w14:schemeClr w14:val="tx1"/>
            </w14:solidFill>
          </w14:textFill>
        </w:rPr>
        <w:t>mg/m</w:t>
      </w:r>
      <w:r>
        <w:rPr>
          <w:color w:val="000000" w:themeColor="text1"/>
          <w:kern w:val="0"/>
          <w:szCs w:val="20"/>
          <w:vertAlign w:val="superscript"/>
          <w14:textFill>
            <w14:solidFill>
              <w14:schemeClr w14:val="tx1"/>
            </w14:solidFill>
          </w14:textFill>
        </w:rPr>
        <w:t>3</w:t>
      </w:r>
      <w:r>
        <w:rPr>
          <w:color w:val="000000" w:themeColor="text1"/>
          <w:kern w:val="0"/>
          <w:szCs w:val="20"/>
          <w14:textFill>
            <w14:solidFill>
              <w14:schemeClr w14:val="tx1"/>
            </w14:solidFill>
          </w14:textFill>
        </w:rPr>
        <w:t>。</w:t>
      </w:r>
    </w:p>
    <w:p w14:paraId="5C5BB482">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根据上表可以得出：</w:t>
      </w:r>
      <w:r>
        <w:rPr>
          <w:rFonts w:hint="eastAsia"/>
          <w:color w:val="000000" w:themeColor="text1"/>
          <w:kern w:val="0"/>
          <w:szCs w:val="20"/>
          <w14:textFill>
            <w14:solidFill>
              <w14:schemeClr w14:val="tx1"/>
            </w14:solidFill>
          </w14:textFill>
        </w:rPr>
        <w:t>苯乙烯</w:t>
      </w:r>
      <w:r>
        <w:rPr>
          <w:color w:val="000000" w:themeColor="text1"/>
          <w:kern w:val="0"/>
          <w:szCs w:val="20"/>
          <w14:textFill>
            <w14:solidFill>
              <w14:schemeClr w14:val="tx1"/>
            </w14:solidFill>
          </w14:textFill>
        </w:rPr>
        <w:t>的火灾爆炸事故中释放比例取最大值为</w:t>
      </w:r>
      <w:r>
        <w:rPr>
          <w:rFonts w:hint="eastAsia"/>
          <w:color w:val="000000" w:themeColor="text1"/>
          <w:kern w:val="0"/>
          <w:szCs w:val="20"/>
          <w14:textFill>
            <w14:solidFill>
              <w14:schemeClr w14:val="tx1"/>
            </w14:solidFill>
          </w14:textFill>
        </w:rPr>
        <w:t>0.5</w:t>
      </w:r>
      <w:r>
        <w:rPr>
          <w:color w:val="000000" w:themeColor="text1"/>
          <w:kern w:val="0"/>
          <w:szCs w:val="20"/>
          <w14:textFill>
            <w14:solidFill>
              <w14:schemeClr w14:val="tx1"/>
            </w14:solidFill>
          </w14:textFill>
        </w:rPr>
        <w:t>%。</w:t>
      </w:r>
    </w:p>
    <w:p w14:paraId="52EFF110">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则发生火灾爆炸事故时，</w:t>
      </w:r>
      <w:r>
        <w:rPr>
          <w:rFonts w:hint="eastAsia"/>
          <w:color w:val="000000" w:themeColor="text1"/>
          <w:kern w:val="0"/>
          <w:szCs w:val="20"/>
          <w14:textFill>
            <w14:solidFill>
              <w14:schemeClr w14:val="tx1"/>
            </w14:solidFill>
          </w14:textFill>
        </w:rPr>
        <w:t>泄漏的苯乙烯</w:t>
      </w:r>
      <w:r>
        <w:rPr>
          <w:color w:val="000000" w:themeColor="text1"/>
          <w:kern w:val="0"/>
          <w:szCs w:val="20"/>
          <w14:textFill>
            <w14:solidFill>
              <w14:schemeClr w14:val="tx1"/>
            </w14:solidFill>
          </w14:textFill>
        </w:rPr>
        <w:t>全部燃烧或爆炸，</w:t>
      </w:r>
      <w:r>
        <w:rPr>
          <w:rFonts w:hint="eastAsia"/>
          <w:color w:val="000000" w:themeColor="text1"/>
          <w:kern w:val="0"/>
          <w:szCs w:val="20"/>
          <w14:textFill>
            <w14:solidFill>
              <w14:schemeClr w14:val="tx1"/>
            </w14:solidFill>
          </w14:textFill>
        </w:rPr>
        <w:t>火灾爆炸事故中有毒有害物质释放量为2.85</w:t>
      </w:r>
      <w:r>
        <w:rPr>
          <w:color w:val="000000" w:themeColor="text1"/>
          <w:kern w:val="0"/>
          <w:szCs w:val="20"/>
          <w14:textFill>
            <w14:solidFill>
              <w14:schemeClr w14:val="tx1"/>
            </w14:solidFill>
          </w14:textFill>
        </w:rPr>
        <w:t>×</w:t>
      </w:r>
      <w:r>
        <w:rPr>
          <w:rFonts w:hint="eastAsia"/>
          <w:color w:val="000000" w:themeColor="text1"/>
          <w:kern w:val="0"/>
          <w:szCs w:val="20"/>
          <w14:textFill>
            <w14:solidFill>
              <w14:schemeClr w14:val="tx1"/>
            </w14:solidFill>
          </w14:textFill>
        </w:rPr>
        <w:t>0.5</w:t>
      </w:r>
      <w:r>
        <w:rPr>
          <w:color w:val="000000" w:themeColor="text1"/>
          <w:kern w:val="0"/>
          <w:szCs w:val="20"/>
          <w14:textFill>
            <w14:solidFill>
              <w14:schemeClr w14:val="tx1"/>
            </w14:solidFill>
          </w14:textFill>
        </w:rPr>
        <w:t>%=</w:t>
      </w:r>
      <w:r>
        <w:rPr>
          <w:rFonts w:hint="eastAsia"/>
          <w:color w:val="000000" w:themeColor="text1"/>
          <w:kern w:val="0"/>
          <w:szCs w:val="20"/>
          <w14:textFill>
            <w14:solidFill>
              <w14:schemeClr w14:val="tx1"/>
            </w14:solidFill>
          </w14:textFill>
        </w:rPr>
        <w:t>0.142</w:t>
      </w:r>
      <w:r>
        <w:rPr>
          <w:color w:val="000000" w:themeColor="text1"/>
          <w:kern w:val="0"/>
          <w:szCs w:val="20"/>
          <w14:textFill>
            <w14:solidFill>
              <w14:schemeClr w14:val="tx1"/>
            </w14:solidFill>
          </w14:textFill>
        </w:rPr>
        <w:t>t。</w:t>
      </w:r>
      <w:r>
        <w:rPr>
          <w:rFonts w:hint="eastAsia"/>
          <w:color w:val="000000" w:themeColor="text1"/>
          <w:kern w:val="0"/>
          <w:szCs w:val="20"/>
          <w14:textFill>
            <w14:solidFill>
              <w14:schemeClr w14:val="tx1"/>
            </w14:solidFill>
          </w14:textFill>
        </w:rPr>
        <w:t>火灾时间按15min计，则事故中有毒有害物质放速率为</w:t>
      </w:r>
      <w:r>
        <w:rPr>
          <w:color w:val="000000" w:themeColor="text1"/>
          <w:kern w:val="0"/>
          <w:szCs w:val="20"/>
          <w14:textFill>
            <w14:solidFill>
              <w14:schemeClr w14:val="tx1"/>
            </w14:solidFill>
          </w14:textFill>
        </w:rPr>
        <w:t>0.0158</w:t>
      </w:r>
      <w:r>
        <w:rPr>
          <w:rFonts w:hint="eastAsia"/>
          <w:color w:val="000000" w:themeColor="text1"/>
          <w:kern w:val="0"/>
          <w:szCs w:val="20"/>
          <w14:textFill>
            <w14:solidFill>
              <w14:schemeClr w14:val="tx1"/>
            </w14:solidFill>
          </w14:textFill>
        </w:rPr>
        <w:t>t/s。</w:t>
      </w:r>
    </w:p>
    <w:p w14:paraId="2F280EDE">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fldChar w:fldCharType="begin"/>
      </w:r>
      <w:r>
        <w:rPr>
          <w:color w:val="000000" w:themeColor="text1"/>
          <w:kern w:val="0"/>
          <w:szCs w:val="20"/>
          <w14:textFill>
            <w14:solidFill>
              <w14:schemeClr w14:val="tx1"/>
            </w14:solidFill>
          </w14:textFill>
        </w:rPr>
        <w:instrText xml:space="preserve"> </w:instrText>
      </w:r>
      <w:r>
        <w:rPr>
          <w:rFonts w:hint="eastAsia"/>
          <w:color w:val="000000" w:themeColor="text1"/>
          <w:kern w:val="0"/>
          <w:szCs w:val="20"/>
          <w14:textFill>
            <w14:solidFill>
              <w14:schemeClr w14:val="tx1"/>
            </w14:solidFill>
          </w14:textFill>
        </w:rPr>
        <w:instrText xml:space="preserve">= 2 \* GB3</w:instrText>
      </w:r>
      <w:r>
        <w:rPr>
          <w:color w:val="000000" w:themeColor="text1"/>
          <w:kern w:val="0"/>
          <w:szCs w:val="20"/>
          <w14:textFill>
            <w14:solidFill>
              <w14:schemeClr w14:val="tx1"/>
            </w14:solidFill>
          </w14:textFill>
        </w:rPr>
        <w:instrText xml:space="preserve"> </w:instrText>
      </w:r>
      <w:r>
        <w:rPr>
          <w:color w:val="000000" w:themeColor="text1"/>
          <w:kern w:val="0"/>
          <w:szCs w:val="20"/>
          <w14:textFill>
            <w14:solidFill>
              <w14:schemeClr w14:val="tx1"/>
            </w14:solidFill>
          </w14:textFill>
        </w:rPr>
        <w:fldChar w:fldCharType="separate"/>
      </w:r>
      <w:r>
        <w:rPr>
          <w:rFonts w:hint="eastAsia"/>
          <w:color w:val="000000" w:themeColor="text1"/>
          <w:kern w:val="0"/>
          <w:szCs w:val="20"/>
          <w14:textFill>
            <w14:solidFill>
              <w14:schemeClr w14:val="tx1"/>
            </w14:solidFill>
          </w14:textFill>
        </w:rPr>
        <w:t>②</w:t>
      </w:r>
      <w:r>
        <w:rPr>
          <w:color w:val="000000" w:themeColor="text1"/>
          <w:kern w:val="0"/>
          <w:szCs w:val="20"/>
          <w14:textFill>
            <w14:solidFill>
              <w14:schemeClr w14:val="tx1"/>
            </w14:solidFill>
          </w14:textFill>
        </w:rPr>
        <w:fldChar w:fldCharType="end"/>
      </w:r>
      <w:r>
        <w:rPr>
          <w:rFonts w:hint="eastAsia"/>
          <w:color w:val="000000" w:themeColor="text1"/>
          <w:kern w:val="0"/>
          <w:szCs w:val="20"/>
          <w14:textFill>
            <w14:solidFill>
              <w14:schemeClr w14:val="tx1"/>
            </w14:solidFill>
          </w14:textFill>
        </w:rPr>
        <w:t>、火灾伴生/次生污染物产生量估算</w:t>
      </w:r>
    </w:p>
    <w:p w14:paraId="6DAE229C">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本项目苯乙烯发生火灾爆炸后的伴生/次生污染物有CO、CO</w:t>
      </w:r>
      <w:r>
        <w:rPr>
          <w:rFonts w:hint="eastAsia"/>
          <w:color w:val="000000" w:themeColor="text1"/>
          <w:kern w:val="0"/>
          <w:szCs w:val="20"/>
          <w:vertAlign w:val="subscript"/>
          <w14:textFill>
            <w14:solidFill>
              <w14:schemeClr w14:val="tx1"/>
            </w14:solidFill>
          </w14:textFill>
        </w:rPr>
        <w:t>2</w:t>
      </w:r>
      <w:r>
        <w:rPr>
          <w:rFonts w:hint="eastAsia"/>
          <w:color w:val="000000" w:themeColor="text1"/>
          <w:kern w:val="0"/>
          <w:szCs w:val="20"/>
          <w14:textFill>
            <w14:solidFill>
              <w14:schemeClr w14:val="tx1"/>
            </w14:solidFill>
          </w14:textFill>
        </w:rPr>
        <w:t>。</w:t>
      </w:r>
    </w:p>
    <w:p w14:paraId="0E14B50C">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当设施发生火灾事故时，液体燃烧产生CO。根据《建设项目环境风险评价技术导则》（HJ169-2018）附录F.15公式，一氧化碳产生量计算如下式计算：</w:t>
      </w:r>
    </w:p>
    <w:p w14:paraId="0152E0C1">
      <w:pPr>
        <w:ind w:firstLine="0" w:firstLineChars="0"/>
        <w:jc w:val="center"/>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G</w:t>
      </w:r>
      <w:r>
        <w:rPr>
          <w:color w:val="000000" w:themeColor="text1"/>
          <w:kern w:val="0"/>
          <w:szCs w:val="20"/>
          <w:vertAlign w:val="subscript"/>
          <w14:textFill>
            <w14:solidFill>
              <w14:schemeClr w14:val="tx1"/>
            </w14:solidFill>
          </w14:textFill>
        </w:rPr>
        <w:t>一氧化碳</w:t>
      </w:r>
      <w:r>
        <w:rPr>
          <w:color w:val="000000" w:themeColor="text1"/>
          <w:kern w:val="0"/>
          <w:szCs w:val="20"/>
          <w14:textFill>
            <w14:solidFill>
              <w14:schemeClr w14:val="tx1"/>
            </w14:solidFill>
          </w14:textFill>
        </w:rPr>
        <w:t>=2330×q×C×Q</w:t>
      </w:r>
    </w:p>
    <w:p w14:paraId="3C4F32D9">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式中：G</w:t>
      </w:r>
      <w:r>
        <w:rPr>
          <w:color w:val="000000" w:themeColor="text1"/>
          <w:kern w:val="0"/>
          <w:szCs w:val="20"/>
          <w:vertAlign w:val="subscript"/>
          <w14:textFill>
            <w14:solidFill>
              <w14:schemeClr w14:val="tx1"/>
            </w14:solidFill>
          </w14:textFill>
        </w:rPr>
        <w:t>一氧化碳</w:t>
      </w:r>
      <w:r>
        <w:rPr>
          <w:color w:val="000000" w:themeColor="text1"/>
          <w:kern w:val="0"/>
          <w:szCs w:val="20"/>
          <w14:textFill>
            <w14:solidFill>
              <w14:schemeClr w14:val="tx1"/>
            </w14:solidFill>
          </w14:textFill>
        </w:rPr>
        <w:t>——氧化碳的产生量，kg/s；</w:t>
      </w:r>
    </w:p>
    <w:p w14:paraId="1576E5AD">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C——物质中碳的含量，</w:t>
      </w:r>
      <w:r>
        <w:rPr>
          <w:rFonts w:hint="eastAsia"/>
          <w:color w:val="000000" w:themeColor="text1"/>
          <w:kern w:val="0"/>
          <w:szCs w:val="20"/>
          <w14:textFill>
            <w14:solidFill>
              <w14:schemeClr w14:val="tx1"/>
            </w14:solidFill>
          </w14:textFill>
        </w:rPr>
        <w:t>苯乙烯</w:t>
      </w:r>
      <w:r>
        <w:rPr>
          <w:color w:val="000000" w:themeColor="text1"/>
          <w:kern w:val="0"/>
          <w:szCs w:val="20"/>
          <w14:textFill>
            <w14:solidFill>
              <w14:schemeClr w14:val="tx1"/>
            </w14:solidFill>
          </w14:textFill>
        </w:rPr>
        <w:t>取</w:t>
      </w:r>
      <w:r>
        <w:rPr>
          <w:rFonts w:hint="eastAsia"/>
          <w:color w:val="000000" w:themeColor="text1"/>
          <w:kern w:val="0"/>
          <w:szCs w:val="20"/>
          <w14:textFill>
            <w14:solidFill>
              <w14:schemeClr w14:val="tx1"/>
            </w14:solidFill>
          </w14:textFill>
        </w:rPr>
        <w:t>92.26</w:t>
      </w:r>
      <w:r>
        <w:rPr>
          <w:color w:val="000000" w:themeColor="text1"/>
          <w:kern w:val="0"/>
          <w:szCs w:val="20"/>
          <w14:textFill>
            <w14:solidFill>
              <w14:schemeClr w14:val="tx1"/>
            </w14:solidFill>
          </w14:textFill>
        </w:rPr>
        <w:t>%；</w:t>
      </w:r>
    </w:p>
    <w:p w14:paraId="55AE1AF9">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q——化学不完全燃烧值，取</w:t>
      </w:r>
      <w:r>
        <w:rPr>
          <w:rFonts w:hint="eastAsia"/>
          <w:color w:val="000000" w:themeColor="text1"/>
          <w:kern w:val="0"/>
          <w:szCs w:val="20"/>
          <w14:textFill>
            <w14:solidFill>
              <w14:schemeClr w14:val="tx1"/>
            </w14:solidFill>
          </w14:textFill>
        </w:rPr>
        <w:t>1.5</w:t>
      </w:r>
      <w:r>
        <w:rPr>
          <w:color w:val="000000" w:themeColor="text1"/>
          <w:kern w:val="0"/>
          <w:szCs w:val="20"/>
          <w14:textFill>
            <w14:solidFill>
              <w14:schemeClr w14:val="tx1"/>
            </w14:solidFill>
          </w14:textFill>
        </w:rPr>
        <w:t>%；</w:t>
      </w:r>
    </w:p>
    <w:p w14:paraId="0BA0EE18">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Q——参与燃烧的物质量，t/s。</w:t>
      </w:r>
    </w:p>
    <w:p w14:paraId="6427CBEA">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苯乙烯参与燃烧的量按全部泄漏量计，即2.85t。火灾时间按15min计，则参与燃烧的苯乙烯为</w:t>
      </w:r>
      <w:r>
        <w:rPr>
          <w:color w:val="000000" w:themeColor="text1"/>
          <w:kern w:val="0"/>
          <w:szCs w:val="20"/>
          <w14:textFill>
            <w14:solidFill>
              <w14:schemeClr w14:val="tx1"/>
            </w14:solidFill>
          </w14:textFill>
        </w:rPr>
        <w:t>0.003167</w:t>
      </w:r>
      <w:r>
        <w:rPr>
          <w:rFonts w:hint="eastAsia"/>
          <w:color w:val="000000" w:themeColor="text1"/>
          <w:kern w:val="0"/>
          <w:szCs w:val="20"/>
          <w14:textFill>
            <w14:solidFill>
              <w14:schemeClr w14:val="tx1"/>
            </w14:solidFill>
          </w14:textFill>
        </w:rPr>
        <w:t>t/s。经计算，得到苯乙烯燃烧时一氧化碳的产生速率为0.102</w:t>
      </w:r>
      <w:r>
        <w:rPr>
          <w:color w:val="000000" w:themeColor="text1"/>
          <w:kern w:val="0"/>
          <w:szCs w:val="20"/>
          <w14:textFill>
            <w14:solidFill>
              <w14:schemeClr w14:val="tx1"/>
            </w14:solidFill>
          </w14:textFill>
        </w:rPr>
        <w:t>kg/s</w:t>
      </w:r>
      <w:r>
        <w:rPr>
          <w:rFonts w:hint="eastAsia"/>
          <w:color w:val="000000" w:themeColor="text1"/>
          <w:kern w:val="0"/>
          <w:szCs w:val="20"/>
          <w14:textFill>
            <w14:solidFill>
              <w14:schemeClr w14:val="tx1"/>
            </w14:solidFill>
          </w14:textFill>
        </w:rPr>
        <w:t>。</w:t>
      </w:r>
    </w:p>
    <w:p w14:paraId="5052DAC1">
      <w:pPr>
        <w:pStyle w:val="6"/>
        <w:rPr>
          <w:color w:val="000000" w:themeColor="text1"/>
          <w14:textFill>
            <w14:solidFill>
              <w14:schemeClr w14:val="tx1"/>
            </w14:solidFill>
          </w14:textFill>
        </w:rPr>
      </w:pPr>
      <w:r>
        <w:rPr>
          <w:color w:val="000000" w:themeColor="text1"/>
          <w14:textFill>
            <w14:solidFill>
              <w14:schemeClr w14:val="tx1"/>
            </w14:solidFill>
          </w14:textFill>
        </w:rPr>
        <w:t>船舶事故化学品泄漏及溢油泄漏量核算</w:t>
      </w:r>
    </w:p>
    <w:p w14:paraId="5B5CD9E2">
      <w:pPr>
        <w:ind w:firstLine="482"/>
        <w:rPr>
          <w:b/>
          <w:color w:val="000000" w:themeColor="text1"/>
          <w14:textFill>
            <w14:solidFill>
              <w14:schemeClr w14:val="tx1"/>
            </w14:solidFill>
          </w14:textFill>
        </w:rPr>
      </w:pPr>
      <w:r>
        <w:rPr>
          <w:b/>
          <w:color w:val="000000" w:themeColor="text1"/>
          <w14:textFill>
            <w14:solidFill>
              <w14:schemeClr w14:val="tx1"/>
            </w14:solidFill>
          </w14:textFill>
        </w:rPr>
        <w:t>一、</w:t>
      </w:r>
      <w:r>
        <w:rPr>
          <w:rFonts w:hint="eastAsia"/>
          <w:b/>
          <w:color w:val="000000" w:themeColor="text1"/>
          <w14:textFill>
            <w14:solidFill>
              <w14:schemeClr w14:val="tx1"/>
            </w14:solidFill>
          </w14:textFill>
        </w:rPr>
        <w:t>物质筛选</w:t>
      </w:r>
    </w:p>
    <w:p w14:paraId="0F75663F">
      <w:pPr>
        <w:ind w:firstLine="48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 1 \* GB3</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①</w:t>
      </w:r>
      <w:r>
        <w:rPr>
          <w:color w:val="000000" w:themeColor="text1"/>
          <w14:textFill>
            <w14:solidFill>
              <w14:schemeClr w14:val="tx1"/>
            </w14:solidFill>
          </w14:textFill>
        </w:rPr>
        <w:fldChar w:fldCharType="end"/>
      </w:r>
      <w:r>
        <w:rPr>
          <w:color w:val="000000" w:themeColor="text1"/>
          <w14:textFill>
            <w14:solidFill>
              <w14:schemeClr w14:val="tx1"/>
            </w14:solidFill>
          </w14:textFill>
        </w:rPr>
        <w:t>不溶性，密度&lt;1g/cm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液态危险货物，主要包括新增装卸危险货种裂解C9、棕榈酸化油、脂肪酸甲酯、脂肪酸混合物、工业级混合油、脂肪酸甲酯、纯生物柴油、航空煤油、苯乙烯、</w:t>
      </w:r>
      <w:r>
        <w:rPr>
          <w:rFonts w:hint="eastAsia"/>
          <w:color w:val="000000" w:themeColor="text1"/>
          <w14:textFill>
            <w14:solidFill>
              <w14:schemeClr w14:val="tx1"/>
            </w14:solidFill>
          </w14:textFill>
        </w:rPr>
        <w:t>燃料油等，不溶或微溶于水，且密度较小的物质。发生泄漏风险事故时，一旦危险货物进入水域内将漂浮在水面上，在水动力条件和风、浪的综合作用下扩散，对周围水域的影响程度和范围均较大。综合考虑物质毒性、泄漏量、转运量、油膜厚度，</w:t>
      </w:r>
      <w:r>
        <w:rPr>
          <w:rFonts w:hint="eastAsia" w:ascii="宋体" w:hAnsi="宋体"/>
          <w:color w:val="000000" w:themeColor="text1"/>
          <w14:textFill>
            <w14:solidFill>
              <w14:schemeClr w14:val="tx1"/>
            </w14:solidFill>
          </w14:textFill>
        </w:rPr>
        <w:t>燃料油及苯乙烯对海洋环境影响较大，故选择</w:t>
      </w:r>
      <w:r>
        <w:rPr>
          <w:color w:val="000000" w:themeColor="text1"/>
          <w14:textFill>
            <w14:solidFill>
              <w14:schemeClr w14:val="tx1"/>
            </w14:solidFill>
          </w14:textFill>
        </w:rPr>
        <w:t>纯生物柴油</w:t>
      </w:r>
      <w:r>
        <w:rPr>
          <w:rFonts w:hint="eastAsia" w:ascii="宋体" w:hAnsi="宋体"/>
          <w:color w:val="000000" w:themeColor="text1"/>
          <w14:textFill>
            <w14:solidFill>
              <w14:schemeClr w14:val="tx1"/>
            </w14:solidFill>
          </w14:textFill>
        </w:rPr>
        <w:t>及苯乙烯为代表物质进行预测评价。</w:t>
      </w:r>
    </w:p>
    <w:p w14:paraId="2CFB16FA">
      <w:pPr>
        <w:ind w:firstLine="48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 2 \* GB3</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②</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可溶性液体危险物质，包括新增装卸危险货物液碱、发烟硫酸等物质，该类危险物质一旦发生泄漏事故，难以收集和处理，若发生大量泄漏入海事件将会给周围海域生态环境带来一定的污染损害。</w:t>
      </w:r>
    </w:p>
    <w:p w14:paraId="2B08926E">
      <w:pPr>
        <w:ind w:firstLine="48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 3 \* GB3</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③</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液硫。常温下为固体，115°左右为液体，自燃点232°，空气中剧烈发烟生成硫酸雾，考虑到液硫燃点高，发生环境事故考虑小，生成二氧化硫后能进入水体生成硫酸体量小。故选择发烟硫酸作为预测风险物质。</w:t>
      </w:r>
    </w:p>
    <w:p w14:paraId="6B9C368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 ，综合考虑物质毒性、转运量和危害后果及化学性质，选择</w:t>
      </w:r>
      <w:r>
        <w:rPr>
          <w:color w:val="000000" w:themeColor="text1"/>
          <w14:textFill>
            <w14:solidFill>
              <w14:schemeClr w14:val="tx1"/>
            </w14:solidFill>
          </w14:textFill>
        </w:rPr>
        <w:t>纯生物柴油</w:t>
      </w:r>
      <w:r>
        <w:rPr>
          <w:rFonts w:hint="eastAsia"/>
          <w:color w:val="000000" w:themeColor="text1"/>
          <w14:textFill>
            <w14:solidFill>
              <w14:schemeClr w14:val="tx1"/>
            </w14:solidFill>
          </w14:textFill>
        </w:rPr>
        <w:t>、苯乙烯、液碱、发烟硫酸为环境风险代表性物质进行风险影响分析。</w:t>
      </w:r>
    </w:p>
    <w:p w14:paraId="151836D8">
      <w:pPr>
        <w:ind w:firstLine="482"/>
        <w:rPr>
          <w:b/>
          <w:color w:val="000000" w:themeColor="text1"/>
          <w14:textFill>
            <w14:solidFill>
              <w14:schemeClr w14:val="tx1"/>
            </w14:solidFill>
          </w14:textFill>
        </w:rPr>
      </w:pPr>
      <w:r>
        <w:rPr>
          <w:rFonts w:hint="eastAsia"/>
          <w:b/>
          <w:color w:val="000000" w:themeColor="text1"/>
          <w14:textFill>
            <w14:solidFill>
              <w14:schemeClr w14:val="tx1"/>
            </w14:solidFill>
          </w14:textFill>
        </w:rPr>
        <w:t>二</w:t>
      </w:r>
      <w:r>
        <w:rPr>
          <w:b/>
          <w:color w:val="000000" w:themeColor="text1"/>
          <w14:textFill>
            <w14:solidFill>
              <w14:schemeClr w14:val="tx1"/>
            </w14:solidFill>
          </w14:textFill>
        </w:rPr>
        <w:t>、源强核算</w:t>
      </w:r>
    </w:p>
    <w:p w14:paraId="53FC03CC">
      <w:pPr>
        <w:ind w:firstLine="480"/>
        <w:rPr>
          <w:color w:val="000000" w:themeColor="text1"/>
          <w:kern w:val="0"/>
          <w14:textFill>
            <w14:solidFill>
              <w14:schemeClr w14:val="tx1"/>
            </w14:solidFill>
          </w14:textFill>
        </w:rPr>
      </w:pPr>
      <w:r>
        <w:rPr>
          <w:color w:val="000000" w:themeColor="text1"/>
          <w:kern w:val="0"/>
          <w14:textFill>
            <w14:solidFill>
              <w14:schemeClr w14:val="tx1"/>
            </w14:solidFill>
          </w14:textFill>
        </w:rPr>
        <w:t>根据《水上溢油环境风险评估技术导则》（JT/T114-2017），新建水运工程建设项目的最大可信水上溢油事故溢油量，按照设计代表船型所载货油或船用燃料油全部</w:t>
      </w:r>
      <w:r>
        <w:rPr>
          <w:rFonts w:hint="eastAsia"/>
          <w:color w:val="000000" w:themeColor="text1"/>
          <w:kern w:val="0"/>
          <w14:textFill>
            <w14:solidFill>
              <w14:schemeClr w14:val="tx1"/>
            </w14:solidFill>
          </w14:textFill>
        </w:rPr>
        <w:t>泄漏</w:t>
      </w:r>
      <w:r>
        <w:rPr>
          <w:color w:val="000000" w:themeColor="text1"/>
          <w:kern w:val="0"/>
          <w14:textFill>
            <w14:solidFill>
              <w14:schemeClr w14:val="tx1"/>
            </w14:solidFill>
          </w14:textFill>
        </w:rPr>
        <w:t>的数量确定。</w:t>
      </w:r>
    </w:p>
    <w:p w14:paraId="292CC96E">
      <w:pPr>
        <w:ind w:firstLine="480"/>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根据项目设计方案，项目所在14号泊位最大到港船舶船型为50000吨级，苯乙烯</w:t>
      </w:r>
      <w:r>
        <w:rPr>
          <w:color w:val="000000" w:themeColor="text1"/>
          <w:kern w:val="0"/>
          <w14:textFill>
            <w14:solidFill>
              <w14:schemeClr w14:val="tx1"/>
            </w14:solidFill>
          </w14:textFill>
        </w:rPr>
        <w:t>最大船型为</w:t>
      </w:r>
      <w:r>
        <w:rPr>
          <w:rFonts w:hint="eastAsia"/>
          <w:color w:val="000000" w:themeColor="text1"/>
          <w:kern w:val="0"/>
          <w14:textFill>
            <w14:solidFill>
              <w14:schemeClr w14:val="tx1"/>
            </w14:solidFill>
          </w14:textFill>
        </w:rPr>
        <w:t>10000</w:t>
      </w:r>
      <w:r>
        <w:rPr>
          <w:color w:val="000000" w:themeColor="text1"/>
          <w:kern w:val="0"/>
          <w14:textFill>
            <w14:solidFill>
              <w14:schemeClr w14:val="tx1"/>
            </w14:solidFill>
          </w14:textFill>
        </w:rPr>
        <w:t>吨级，</w:t>
      </w:r>
      <w:r>
        <w:rPr>
          <w:rFonts w:hint="eastAsia"/>
          <w:color w:val="000000" w:themeColor="text1"/>
          <w:kern w:val="0"/>
          <w14:textFill>
            <w14:solidFill>
              <w14:schemeClr w14:val="tx1"/>
            </w14:solidFill>
          </w14:textFill>
        </w:rPr>
        <w:t>液碱、发烟硫酸</w:t>
      </w:r>
      <w:r>
        <w:rPr>
          <w:color w:val="000000" w:themeColor="text1"/>
          <w:kern w:val="0"/>
          <w14:textFill>
            <w14:solidFill>
              <w14:schemeClr w14:val="tx1"/>
            </w14:solidFill>
          </w14:textFill>
        </w:rPr>
        <w:t>最大船型为</w:t>
      </w:r>
      <w:r>
        <w:rPr>
          <w:rFonts w:hint="eastAsia"/>
          <w:color w:val="000000" w:themeColor="text1"/>
          <w:kern w:val="0"/>
          <w14:textFill>
            <w14:solidFill>
              <w14:schemeClr w14:val="tx1"/>
            </w14:solidFill>
          </w14:textFill>
        </w:rPr>
        <w:t>5000</w:t>
      </w:r>
      <w:r>
        <w:rPr>
          <w:color w:val="000000" w:themeColor="text1"/>
          <w:kern w:val="0"/>
          <w14:textFill>
            <w14:solidFill>
              <w14:schemeClr w14:val="tx1"/>
            </w14:solidFill>
          </w14:textFill>
        </w:rPr>
        <w:t>吨级</w:t>
      </w:r>
      <w:r>
        <w:rPr>
          <w:rFonts w:hint="eastAsia"/>
          <w:color w:val="000000" w:themeColor="text1"/>
          <w:kern w:val="0"/>
          <w14:textFill>
            <w14:solidFill>
              <w14:schemeClr w14:val="tx1"/>
            </w14:solidFill>
          </w14:textFill>
        </w:rPr>
        <w:t>。码头现场一次只能停靠一艘船。</w:t>
      </w:r>
    </w:p>
    <w:p w14:paraId="020531A5">
      <w:pPr>
        <w:ind w:firstLine="480"/>
        <w:rPr>
          <w:color w:val="000000" w:themeColor="text1"/>
          <w14:textFill>
            <w14:solidFill>
              <w14:schemeClr w14:val="tx1"/>
            </w14:solidFill>
          </w14:textFill>
        </w:rPr>
      </w:pPr>
      <w:r>
        <w:rPr>
          <w:color w:val="000000" w:themeColor="text1"/>
          <w14:textFill>
            <w14:solidFill>
              <w14:schemeClr w14:val="tx1"/>
            </w14:solidFill>
          </w14:textFill>
        </w:rPr>
        <w:t>1、溢油事故源强</w:t>
      </w:r>
    </w:p>
    <w:p w14:paraId="2850BF08">
      <w:pPr>
        <w:ind w:firstLine="48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 1 \* GB3 </w:instrText>
      </w:r>
      <w:r>
        <w:rPr>
          <w:color w:val="000000" w:themeColor="text1"/>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fldChar w:fldCharType="end"/>
      </w:r>
      <w:r>
        <w:rPr>
          <w:color w:val="000000" w:themeColor="text1"/>
          <w14:textFill>
            <w14:solidFill>
              <w14:schemeClr w14:val="tx1"/>
            </w14:solidFill>
          </w14:textFill>
        </w:rPr>
        <w:t>最大可信水上溢油事故溢油量</w:t>
      </w:r>
    </w:p>
    <w:p w14:paraId="65ECE389">
      <w:pPr>
        <w:ind w:firstLine="480"/>
        <w:rPr>
          <w:color w:val="000000" w:themeColor="text1"/>
          <w:kern w:val="0"/>
          <w14:textFill>
            <w14:solidFill>
              <w14:schemeClr w14:val="tx1"/>
            </w14:solidFill>
          </w14:textFill>
        </w:rPr>
      </w:pPr>
      <w:r>
        <w:rPr>
          <w:color w:val="000000" w:themeColor="text1"/>
          <w:kern w:val="0"/>
          <w14:textFill>
            <w14:solidFill>
              <w14:schemeClr w14:val="tx1"/>
            </w14:solidFill>
          </w14:textFill>
        </w:rPr>
        <w:t>参考《水上溢油环境风险评估技术导则》（JT/T114-2017）表C.6中</w:t>
      </w:r>
      <w:r>
        <w:rPr>
          <w:rFonts w:hint="eastAsia"/>
          <w:color w:val="000000" w:themeColor="text1"/>
          <w:kern w:val="0"/>
          <w14:textFill>
            <w14:solidFill>
              <w14:schemeClr w14:val="tx1"/>
            </w14:solidFill>
          </w14:textFill>
        </w:rPr>
        <w:t>30000</w:t>
      </w:r>
      <w:r>
        <w:rPr>
          <w:rFonts w:hint="eastAsia" w:ascii="宋体" w:hAnsi="宋体"/>
          <w:color w:val="000000" w:themeColor="text1"/>
          <w:kern w:val="0"/>
          <w14:textFill>
            <w14:solidFill>
              <w14:schemeClr w14:val="tx1"/>
            </w14:solidFill>
          </w14:textFill>
        </w:rPr>
        <w:t>～</w:t>
      </w:r>
      <w:r>
        <w:rPr>
          <w:color w:val="000000" w:themeColor="text1"/>
          <w:kern w:val="0"/>
          <w14:textFill>
            <w14:solidFill>
              <w14:schemeClr w14:val="tx1"/>
            </w14:solidFill>
          </w14:textFill>
        </w:rPr>
        <w:t>50000吨级燃油总舱容为1464~3660m</w:t>
      </w:r>
      <w:r>
        <w:rPr>
          <w:color w:val="000000" w:themeColor="text1"/>
          <w:kern w:val="0"/>
          <w:vertAlign w:val="superscript"/>
          <w14:textFill>
            <w14:solidFill>
              <w14:schemeClr w14:val="tx1"/>
            </w14:solidFill>
          </w14:textFill>
        </w:rPr>
        <w:t>3</w:t>
      </w:r>
      <w:r>
        <w:rPr>
          <w:color w:val="000000" w:themeColor="text1"/>
          <w:kern w:val="0"/>
          <w14:textFill>
            <w14:solidFill>
              <w14:schemeClr w14:val="tx1"/>
            </w14:solidFill>
          </w14:textFill>
        </w:rPr>
        <w:t>（本次评价取3600m</w:t>
      </w:r>
      <w:r>
        <w:rPr>
          <w:color w:val="000000" w:themeColor="text1"/>
          <w:kern w:val="0"/>
          <w:vertAlign w:val="superscript"/>
          <w14:textFill>
            <w14:solidFill>
              <w14:schemeClr w14:val="tx1"/>
            </w14:solidFill>
          </w14:textFill>
        </w:rPr>
        <w:t>3</w:t>
      </w:r>
      <w:r>
        <w:rPr>
          <w:color w:val="000000" w:themeColor="text1"/>
          <w:kern w:val="0"/>
          <w14:textFill>
            <w14:solidFill>
              <w14:schemeClr w14:val="tx1"/>
            </w14:solidFill>
          </w14:textFill>
        </w:rPr>
        <w:t>）。根据港区同类码头营运经验，船舶到港时燃油实载率约为30%~50%（本次评价以40%</w:t>
      </w:r>
      <w:r>
        <w:rPr>
          <w:rFonts w:hint="eastAsia"/>
          <w:color w:val="000000" w:themeColor="text1"/>
          <w:kern w:val="0"/>
          <w14:textFill>
            <w14:solidFill>
              <w14:schemeClr w14:val="tx1"/>
            </w14:solidFill>
          </w14:textFill>
        </w:rPr>
        <w:t>计</w:t>
      </w:r>
      <w:r>
        <w:rPr>
          <w:color w:val="000000" w:themeColor="text1"/>
          <w:kern w:val="0"/>
          <w14:textFill>
            <w14:solidFill>
              <w14:schemeClr w14:val="tx1"/>
            </w14:solidFill>
          </w14:textFill>
        </w:rPr>
        <w:t>），则到港船舶燃油载油量为1195.2t（</w:t>
      </w:r>
      <w:r>
        <w:rPr>
          <w:color w:val="000000" w:themeColor="text1"/>
          <w14:textFill>
            <w14:solidFill>
              <w14:schemeClr w14:val="tx1"/>
            </w14:solidFill>
          </w14:textFill>
        </w:rPr>
        <w:t>油</w:t>
      </w:r>
      <w:r>
        <w:rPr>
          <w:color w:val="000000" w:themeColor="text1"/>
          <w:kern w:val="0"/>
          <w14:textFill>
            <w14:solidFill>
              <w14:schemeClr w14:val="tx1"/>
            </w14:solidFill>
          </w14:textFill>
        </w:rPr>
        <w:t>密度取0.83t/ m</w:t>
      </w:r>
      <w:r>
        <w:rPr>
          <w:color w:val="000000" w:themeColor="text1"/>
          <w:kern w:val="0"/>
          <w:vertAlign w:val="superscript"/>
          <w14:textFill>
            <w14:solidFill>
              <w14:schemeClr w14:val="tx1"/>
            </w14:solidFill>
          </w14:textFill>
        </w:rPr>
        <w:t>3</w:t>
      </w:r>
      <w:r>
        <w:rPr>
          <w:color w:val="000000" w:themeColor="text1"/>
          <w:kern w:val="0"/>
          <w14:textFill>
            <w14:solidFill>
              <w14:schemeClr w14:val="tx1"/>
            </w14:solidFill>
          </w14:textFill>
        </w:rPr>
        <w:t>）。</w:t>
      </w:r>
    </w:p>
    <w:p w14:paraId="35CBB93F">
      <w:pPr>
        <w:ind w:firstLine="48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 2 \* GB3 </w:instrText>
      </w:r>
      <w:r>
        <w:rPr>
          <w:color w:val="000000" w:themeColor="text1"/>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fldChar w:fldCharType="end"/>
      </w:r>
      <w:r>
        <w:rPr>
          <w:color w:val="000000" w:themeColor="text1"/>
          <w14:textFill>
            <w14:solidFill>
              <w14:schemeClr w14:val="tx1"/>
            </w14:solidFill>
          </w14:textFill>
        </w:rPr>
        <w:t>最大水上溢油事故溢油量</w:t>
      </w:r>
    </w:p>
    <w:p w14:paraId="6DCD1770">
      <w:pPr>
        <w:ind w:firstLine="480"/>
        <w:rPr>
          <w:color w:val="000000" w:themeColor="text1"/>
          <w14:textFill>
            <w14:solidFill>
              <w14:schemeClr w14:val="tx1"/>
            </w14:solidFill>
          </w14:textFill>
        </w:rPr>
      </w:pPr>
      <w:r>
        <w:rPr>
          <w:color w:val="000000" w:themeColor="text1"/>
          <w14:textFill>
            <w14:solidFill>
              <w14:schemeClr w14:val="tx1"/>
            </w14:solidFill>
          </w14:textFill>
        </w:rPr>
        <w:t>最大水上溢油事故溢油量，按照设计代表船型的1个货油边仓或燃料油边仓的容积确定。参考《水上溢油环境风险评估技术导则》（JT/T114-2017）表C.6中</w:t>
      </w:r>
      <w:r>
        <w:rPr>
          <w:rFonts w:hint="eastAsia"/>
          <w:color w:val="000000" w:themeColor="text1"/>
          <w14:textFill>
            <w14:solidFill>
              <w14:schemeClr w14:val="tx1"/>
            </w14:solidFill>
          </w14:textFill>
        </w:rPr>
        <w:t>30000</w:t>
      </w:r>
      <w:r>
        <w:rPr>
          <w:rFonts w:hint="eastAsia" w:ascii="宋体" w:hAnsi="宋体"/>
          <w:color w:val="000000" w:themeColor="text1"/>
          <w14:textFill>
            <w14:solidFill>
              <w14:schemeClr w14:val="tx1"/>
            </w14:solidFill>
          </w14:textFill>
        </w:rPr>
        <w:t>～</w:t>
      </w:r>
      <w:r>
        <w:rPr>
          <w:color w:val="000000" w:themeColor="text1"/>
          <w14:textFill>
            <w14:solidFill>
              <w14:schemeClr w14:val="tx1"/>
            </w14:solidFill>
          </w14:textFill>
        </w:rPr>
        <w:t>50000吨级单个舱容为146~488m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（本次评价取488m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），约合405.04t（油密度取0.83t/ 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14:paraId="72F733A0">
      <w:pPr>
        <w:ind w:firstLine="480"/>
        <w:rPr>
          <w:color w:val="000000" w:themeColor="text1"/>
          <w14:textFill>
            <w14:solidFill>
              <w14:schemeClr w14:val="tx1"/>
            </w14:solidFill>
          </w14:textFill>
        </w:rPr>
      </w:pPr>
      <w:r>
        <w:rPr>
          <w:color w:val="000000" w:themeColor="text1"/>
          <w14:textFill>
            <w14:solidFill>
              <w14:schemeClr w14:val="tx1"/>
            </w14:solidFill>
          </w14:textFill>
        </w:rPr>
        <w:t>2、化学品泄漏事故源强</w:t>
      </w:r>
    </w:p>
    <w:p w14:paraId="187AD971">
      <w:pPr>
        <w:ind w:firstLine="48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 1 \* GB3 </w:instrText>
      </w:r>
      <w:r>
        <w:rPr>
          <w:color w:val="000000" w:themeColor="text1"/>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fldChar w:fldCharType="end"/>
      </w:r>
      <w:r>
        <w:rPr>
          <w:color w:val="000000" w:themeColor="text1"/>
          <w14:textFill>
            <w14:solidFill>
              <w14:schemeClr w14:val="tx1"/>
            </w14:solidFill>
          </w14:textFill>
        </w:rPr>
        <w:t>最大可信化学品泄漏量</w:t>
      </w:r>
    </w:p>
    <w:p w14:paraId="45A7FCBD">
      <w:pPr>
        <w:ind w:firstLine="480"/>
        <w:rPr>
          <w:color w:val="000000" w:themeColor="text1"/>
          <w14:textFill>
            <w14:solidFill>
              <w14:schemeClr w14:val="tx1"/>
            </w14:solidFill>
          </w14:textFill>
        </w:rPr>
      </w:pPr>
      <w:r>
        <w:rPr>
          <w:color w:val="000000" w:themeColor="text1"/>
          <w14:textFill>
            <w14:solidFill>
              <w14:schemeClr w14:val="tx1"/>
            </w14:solidFill>
          </w14:textFill>
        </w:rPr>
        <w:t>本次评价参照《水上溢油环境风险评估技术导则》（JT/T114-2017）估算本次项目化学品泄漏事故泄漏量。</w:t>
      </w:r>
    </w:p>
    <w:p w14:paraId="3E88EE7D">
      <w:pPr>
        <w:ind w:firstLine="480"/>
        <w:rPr>
          <w:color w:val="000000" w:themeColor="text1"/>
          <w14:textFill>
            <w14:solidFill>
              <w14:schemeClr w14:val="tx1"/>
            </w14:solidFill>
          </w14:textFill>
        </w:rPr>
      </w:pPr>
      <w:r>
        <w:rPr>
          <w:color w:val="000000" w:themeColor="text1"/>
          <w14:textFill>
            <w14:solidFill>
              <w14:schemeClr w14:val="tx1"/>
            </w14:solidFill>
          </w14:textFill>
        </w:rPr>
        <w:t>根据项目设计情况，本项目最大可信水上泄漏事故为</w:t>
      </w:r>
      <w:r>
        <w:rPr>
          <w:rFonts w:hint="eastAsia"/>
          <w:color w:val="000000" w:themeColor="text1"/>
          <w14:textFill>
            <w14:solidFill>
              <w14:schemeClr w14:val="tx1"/>
            </w14:solidFill>
          </w14:textFill>
        </w:rPr>
        <w:t>10000</w:t>
      </w:r>
      <w:r>
        <w:rPr>
          <w:color w:val="000000" w:themeColor="text1"/>
          <w14:textFill>
            <w14:solidFill>
              <w14:schemeClr w14:val="tx1"/>
            </w14:solidFill>
          </w14:textFill>
        </w:rPr>
        <w:t>吨级化学品船发生事故导致化学品泄漏，最大可信泄漏量为</w:t>
      </w:r>
      <w:r>
        <w:rPr>
          <w:rFonts w:hint="eastAsia"/>
          <w:color w:val="000000" w:themeColor="text1"/>
          <w14:textFill>
            <w14:solidFill>
              <w14:schemeClr w14:val="tx1"/>
            </w14:solidFill>
          </w14:textFill>
        </w:rPr>
        <w:t>10000</w:t>
      </w:r>
      <w:r>
        <w:rPr>
          <w:color w:val="000000" w:themeColor="text1"/>
          <w14:textFill>
            <w14:solidFill>
              <w14:schemeClr w14:val="tx1"/>
            </w14:solidFill>
          </w14:textFill>
        </w:rPr>
        <w:t>t。</w:t>
      </w:r>
    </w:p>
    <w:p w14:paraId="6B649281">
      <w:pPr>
        <w:ind w:firstLine="48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 2 \* GB3 </w:instrText>
      </w:r>
      <w:r>
        <w:rPr>
          <w:color w:val="000000" w:themeColor="text1"/>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fldChar w:fldCharType="end"/>
      </w:r>
      <w:r>
        <w:rPr>
          <w:color w:val="000000" w:themeColor="text1"/>
          <w14:textFill>
            <w14:solidFill>
              <w14:schemeClr w14:val="tx1"/>
            </w14:solidFill>
          </w14:textFill>
        </w:rPr>
        <w:t>最大可能化学品泄漏量</w:t>
      </w:r>
    </w:p>
    <w:p w14:paraId="4E062CEB">
      <w:pPr>
        <w:ind w:firstLine="480"/>
        <w:rPr>
          <w:color w:val="000000" w:themeColor="text1"/>
          <w14:textFill>
            <w14:solidFill>
              <w14:schemeClr w14:val="tx1"/>
            </w14:solidFill>
          </w14:textFill>
        </w:rPr>
      </w:pPr>
      <w:r>
        <w:rPr>
          <w:color w:val="000000" w:themeColor="text1"/>
          <w14:textFill>
            <w14:solidFill>
              <w14:schemeClr w14:val="tx1"/>
            </w14:solidFill>
          </w14:textFill>
        </w:rPr>
        <w:t>参考《水上溢油环境风险评估技术导则》（JT/T114-2017）表C.</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中</w:t>
      </w:r>
      <w:r>
        <w:rPr>
          <w:rFonts w:hint="eastAsia"/>
          <w:color w:val="000000" w:themeColor="text1"/>
          <w14:textFill>
            <w14:solidFill>
              <w14:schemeClr w14:val="tx1"/>
            </w14:solidFill>
          </w14:textFill>
        </w:rPr>
        <w:t>5000</w:t>
      </w:r>
      <w:r>
        <w:rPr>
          <w:rFonts w:hint="eastAsia" w:ascii="宋体"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0000吨级单个舱容取</w:t>
      </w:r>
      <w:r>
        <w:rPr>
          <w:rFonts w:hint="eastAsia"/>
          <w:color w:val="000000" w:themeColor="text1"/>
          <w14:textFill>
            <w14:solidFill>
              <w14:schemeClr w14:val="tx1"/>
            </w14:solidFill>
          </w14:textFill>
        </w:rPr>
        <w:t>425</w:t>
      </w:r>
      <w:r>
        <w:rPr>
          <w:rFonts w:hint="eastAsia" w:ascii="宋体"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1063</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，可能最大水上泄漏量为1个货油边舱全部</w:t>
      </w:r>
      <w:r>
        <w:rPr>
          <w:rFonts w:hint="eastAsia"/>
          <w:color w:val="000000" w:themeColor="text1"/>
          <w14:textFill>
            <w14:solidFill>
              <w14:schemeClr w14:val="tx1"/>
            </w14:solidFill>
          </w14:textFill>
        </w:rPr>
        <w:t>泄漏。</w:t>
      </w:r>
      <w:r>
        <w:rPr>
          <w:color w:val="000000" w:themeColor="text1"/>
          <w14:textFill>
            <w14:solidFill>
              <w14:schemeClr w14:val="tx1"/>
            </w14:solidFill>
          </w14:textFill>
        </w:rPr>
        <w:t>本次选</w:t>
      </w:r>
      <w:r>
        <w:rPr>
          <w:rFonts w:hint="eastAsia"/>
          <w:color w:val="000000" w:themeColor="text1"/>
          <w14:textFill>
            <w14:solidFill>
              <w14:schemeClr w14:val="tx1"/>
            </w14:solidFill>
          </w14:textFill>
        </w:rPr>
        <w:t>取的</w:t>
      </w:r>
      <w:r>
        <w:rPr>
          <w:rFonts w:hint="eastAsia"/>
          <w:color w:val="000000" w:themeColor="text1"/>
          <w:kern w:val="0"/>
          <w14:textFill>
            <w14:solidFill>
              <w14:schemeClr w14:val="tx1"/>
            </w14:solidFill>
          </w14:textFill>
        </w:rPr>
        <w:t>苯乙烯最大船型为10000吨级，液碱、发烟硫酸最大船型为5000吨级，</w:t>
      </w:r>
      <w:r>
        <w:rPr>
          <w:color w:val="000000" w:themeColor="text1"/>
          <w14:textFill>
            <w14:solidFill>
              <w14:schemeClr w14:val="tx1"/>
            </w14:solidFill>
          </w14:textFill>
        </w:rPr>
        <w:t>根据各物质密度见下表。</w:t>
      </w:r>
    </w:p>
    <w:p w14:paraId="097803FF">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燃料油</w:t>
      </w:r>
      <w:r>
        <w:rPr>
          <w:color w:val="000000" w:themeColor="text1"/>
          <w14:textFill>
            <w14:solidFill>
              <w14:schemeClr w14:val="tx1"/>
            </w14:solidFill>
          </w14:textFill>
        </w:rPr>
        <w:t>、化学物质</w:t>
      </w:r>
      <w:r>
        <w:rPr>
          <w:rFonts w:hint="eastAsia"/>
          <w:color w:val="000000" w:themeColor="text1"/>
          <w14:textFill>
            <w14:solidFill>
              <w14:schemeClr w14:val="tx1"/>
            </w14:solidFill>
          </w14:textFill>
        </w:rPr>
        <w:t>泄漏</w:t>
      </w:r>
      <w:r>
        <w:rPr>
          <w:color w:val="000000" w:themeColor="text1"/>
          <w14:textFill>
            <w14:solidFill>
              <w14:schemeClr w14:val="tx1"/>
            </w14:solidFill>
          </w14:textFill>
        </w:rPr>
        <w:t>事故源强汇总结果</w:t>
      </w:r>
    </w:p>
    <w:tbl>
      <w:tblPr>
        <w:tblStyle w:val="129"/>
        <w:tblW w:w="500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2965"/>
        <w:gridCol w:w="2490"/>
        <w:gridCol w:w="2894"/>
      </w:tblGrid>
      <w:tr w14:paraId="34CE26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86" w:hRule="atLeast"/>
          <w:jc w:val="center"/>
        </w:trPr>
        <w:tc>
          <w:tcPr>
            <w:tcW w:w="1776" w:type="pct"/>
            <w:vAlign w:val="center"/>
          </w:tcPr>
          <w:p w14:paraId="5CD6D8E6">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泄漏物质</w:t>
            </w:r>
          </w:p>
        </w:tc>
        <w:tc>
          <w:tcPr>
            <w:tcW w:w="1491" w:type="pct"/>
            <w:vAlign w:val="center"/>
          </w:tcPr>
          <w:p w14:paraId="1A09775B">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最大可信事故泄漏量（t）</w:t>
            </w:r>
          </w:p>
        </w:tc>
        <w:tc>
          <w:tcPr>
            <w:tcW w:w="1733" w:type="pct"/>
            <w:vAlign w:val="center"/>
          </w:tcPr>
          <w:p w14:paraId="103AC6B6">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可能最大事故泄漏量（t）</w:t>
            </w:r>
          </w:p>
        </w:tc>
      </w:tr>
      <w:tr w14:paraId="153252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64" w:hRule="atLeast"/>
          <w:jc w:val="center"/>
        </w:trPr>
        <w:tc>
          <w:tcPr>
            <w:tcW w:w="1776" w:type="pct"/>
            <w:vAlign w:val="center"/>
          </w:tcPr>
          <w:p w14:paraId="4837F4F5">
            <w:pPr>
              <w:spacing w:line="240" w:lineRule="auto"/>
              <w:ind w:firstLine="0" w:firstLineChars="0"/>
              <w:jc w:val="center"/>
              <w:rPr>
                <w:color w:val="000000" w:themeColor="text1"/>
                <w14:textFill>
                  <w14:solidFill>
                    <w14:schemeClr w14:val="tx1"/>
                  </w14:solidFill>
                </w14:textFill>
              </w:rPr>
            </w:pPr>
            <w:r>
              <w:rPr>
                <w:rFonts w:hint="eastAsia"/>
                <w:color w:val="000000" w:themeColor="text1"/>
                <w:kern w:val="0"/>
                <w:sz w:val="21"/>
                <w:szCs w:val="21"/>
                <w14:textFill>
                  <w14:solidFill>
                    <w14:schemeClr w14:val="tx1"/>
                  </w14:solidFill>
                </w14:textFill>
              </w:rPr>
              <w:t>纯生物柴油（10000吨级）</w:t>
            </w:r>
          </w:p>
        </w:tc>
        <w:tc>
          <w:tcPr>
            <w:tcW w:w="1491" w:type="pct"/>
            <w:vAlign w:val="center"/>
          </w:tcPr>
          <w:p w14:paraId="78D54BDE">
            <w:pPr>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10000</w:t>
            </w:r>
          </w:p>
        </w:tc>
        <w:tc>
          <w:tcPr>
            <w:tcW w:w="1733" w:type="pct"/>
            <w:vAlign w:val="center"/>
          </w:tcPr>
          <w:p w14:paraId="5CE40ED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930.13</w:t>
            </w:r>
          </w:p>
        </w:tc>
      </w:tr>
      <w:tr w14:paraId="16EB7B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64" w:hRule="atLeast"/>
          <w:jc w:val="center"/>
        </w:trPr>
        <w:tc>
          <w:tcPr>
            <w:tcW w:w="1776" w:type="pct"/>
            <w:vAlign w:val="center"/>
          </w:tcPr>
          <w:p w14:paraId="49F02674">
            <w:pPr>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裂解C9（10000吨级）</w:t>
            </w:r>
          </w:p>
        </w:tc>
        <w:tc>
          <w:tcPr>
            <w:tcW w:w="1491" w:type="pct"/>
            <w:vAlign w:val="center"/>
          </w:tcPr>
          <w:p w14:paraId="5A9E7671">
            <w:pPr>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10000</w:t>
            </w:r>
          </w:p>
        </w:tc>
        <w:tc>
          <w:tcPr>
            <w:tcW w:w="1733" w:type="pct"/>
            <w:vAlign w:val="center"/>
          </w:tcPr>
          <w:p w14:paraId="796D2F58">
            <w:pPr>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1031.11</w:t>
            </w:r>
          </w:p>
        </w:tc>
      </w:tr>
      <w:tr w14:paraId="59C996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82" w:hRule="atLeast"/>
          <w:jc w:val="center"/>
        </w:trPr>
        <w:tc>
          <w:tcPr>
            <w:tcW w:w="1776" w:type="pct"/>
            <w:vAlign w:val="center"/>
          </w:tcPr>
          <w:p w14:paraId="7A992C46">
            <w:pPr>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液碱（5000吨级）</w:t>
            </w:r>
          </w:p>
        </w:tc>
        <w:tc>
          <w:tcPr>
            <w:tcW w:w="1491" w:type="pct"/>
            <w:vAlign w:val="center"/>
          </w:tcPr>
          <w:p w14:paraId="026CF673">
            <w:pPr>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5000</w:t>
            </w:r>
          </w:p>
        </w:tc>
        <w:tc>
          <w:tcPr>
            <w:tcW w:w="1733" w:type="pct"/>
            <w:vAlign w:val="center"/>
          </w:tcPr>
          <w:p w14:paraId="44C56DE6">
            <w:pPr>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552.5</w:t>
            </w:r>
          </w:p>
        </w:tc>
      </w:tr>
      <w:tr w14:paraId="121141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82" w:hRule="atLeast"/>
          <w:jc w:val="center"/>
        </w:trPr>
        <w:tc>
          <w:tcPr>
            <w:tcW w:w="1776" w:type="pct"/>
            <w:vAlign w:val="center"/>
          </w:tcPr>
          <w:p w14:paraId="61780EFA">
            <w:pPr>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发烟硫酸（5000吨级）</w:t>
            </w:r>
          </w:p>
        </w:tc>
        <w:tc>
          <w:tcPr>
            <w:tcW w:w="1491" w:type="pct"/>
            <w:vAlign w:val="center"/>
          </w:tcPr>
          <w:p w14:paraId="0D9EB8E8">
            <w:pPr>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5000</w:t>
            </w:r>
          </w:p>
        </w:tc>
        <w:tc>
          <w:tcPr>
            <w:tcW w:w="1733" w:type="pct"/>
            <w:vAlign w:val="center"/>
          </w:tcPr>
          <w:p w14:paraId="110794FC">
            <w:pPr>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807.5</w:t>
            </w:r>
          </w:p>
        </w:tc>
      </w:tr>
    </w:tbl>
    <w:p w14:paraId="14E8ADFA">
      <w:pPr>
        <w:pStyle w:val="5"/>
        <w:rPr>
          <w:color w:val="000000" w:themeColor="text1"/>
          <w14:textFill>
            <w14:solidFill>
              <w14:schemeClr w14:val="tx1"/>
            </w14:solidFill>
          </w14:textFill>
        </w:rPr>
      </w:pPr>
      <w:r>
        <w:rPr>
          <w:color w:val="000000" w:themeColor="text1"/>
          <w14:textFill>
            <w14:solidFill>
              <w14:schemeClr w14:val="tx1"/>
            </w14:solidFill>
          </w14:textFill>
        </w:rPr>
        <w:t>海域风险事故预测</w:t>
      </w:r>
    </w:p>
    <w:p w14:paraId="6F71B32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为给钦州湾模型提供潮位边界条件，首先构建一个大范围北部湾潮波数学模型。</w:t>
      </w:r>
    </w:p>
    <w:p w14:paraId="20C091CD">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北部湾大范围潮波数学模型</w:t>
      </w:r>
    </w:p>
    <w:p w14:paraId="1ADC8374">
      <w:pPr>
        <w:autoSpaceDE w:val="0"/>
        <w:autoSpaceDN w:val="0"/>
        <w:adjustRightInd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连续性方程：</w:t>
      </w:r>
    </w:p>
    <w:tbl>
      <w:tblPr>
        <w:tblStyle w:val="43"/>
        <w:tblW w:w="0" w:type="auto"/>
        <w:tblInd w:w="0" w:type="dxa"/>
        <w:tblLayout w:type="fixed"/>
        <w:tblCellMar>
          <w:top w:w="0" w:type="dxa"/>
          <w:left w:w="108" w:type="dxa"/>
          <w:bottom w:w="0" w:type="dxa"/>
          <w:right w:w="108" w:type="dxa"/>
        </w:tblCellMar>
      </w:tblPr>
      <w:tblGrid>
        <w:gridCol w:w="7848"/>
        <w:gridCol w:w="1260"/>
      </w:tblGrid>
      <w:tr w14:paraId="74783C79">
        <w:tblPrEx>
          <w:tblCellMar>
            <w:top w:w="0" w:type="dxa"/>
            <w:left w:w="108" w:type="dxa"/>
            <w:bottom w:w="0" w:type="dxa"/>
            <w:right w:w="108" w:type="dxa"/>
          </w:tblCellMar>
        </w:tblPrEx>
        <w:tc>
          <w:tcPr>
            <w:tcW w:w="7848" w:type="dxa"/>
            <w:vAlign w:val="center"/>
          </w:tcPr>
          <w:p w14:paraId="05612213">
            <w:pPr>
              <w:ind w:firstLine="480"/>
              <w:jc w:val="center"/>
              <w:rPr>
                <w:color w:val="000000" w:themeColor="text1"/>
                <w14:textFill>
                  <w14:solidFill>
                    <w14:schemeClr w14:val="tx1"/>
                  </w14:solidFill>
                </w14:textFill>
              </w:rPr>
            </w:pPr>
            <w:r>
              <w:rPr>
                <w:color w:val="000000" w:themeColor="text1"/>
                <w:position w:val="-28"/>
                <w14:textFill>
                  <w14:solidFill>
                    <w14:schemeClr w14:val="tx1"/>
                  </w14:solidFill>
                </w14:textFill>
              </w:rPr>
              <w:object>
                <v:shape id="_x0000_i1026" o:spt="75" type="#_x0000_t75" style="height:33pt;width:144pt;" o:ole="t" filled="f" o:preferrelative="t" stroked="f" coordsize="21600,21600">
                  <v:path/>
                  <v:fill on="f" focussize="0,0"/>
                  <v:stroke on="f" joinstyle="miter"/>
                  <v:imagedata r:id="rId90" o:title=""/>
                  <o:lock v:ext="edit" aspectratio="t"/>
                  <w10:wrap type="none"/>
                  <w10:anchorlock/>
                </v:shape>
                <o:OLEObject Type="Embed" ProgID="Equation.3" ShapeID="_x0000_i1026" DrawAspect="Content" ObjectID="_1468075726" r:id="rId89">
                  <o:LockedField>false</o:LockedField>
                </o:OLEObject>
              </w:object>
            </w:r>
          </w:p>
        </w:tc>
        <w:tc>
          <w:tcPr>
            <w:tcW w:w="1260" w:type="dxa"/>
            <w:vAlign w:val="center"/>
          </w:tcPr>
          <w:p w14:paraId="334235FB">
            <w:pPr>
              <w:ind w:firstLine="48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bl>
    <w:p w14:paraId="470622F6">
      <w:pPr>
        <w:autoSpaceDE w:val="0"/>
        <w:autoSpaceDN w:val="0"/>
        <w:adjustRightInd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上式中，</w:t>
      </w:r>
      <w:r>
        <w:rPr>
          <w:color w:val="000000" w:themeColor="text1"/>
          <w:position w:val="-10"/>
          <w14:textFill>
            <w14:solidFill>
              <w14:schemeClr w14:val="tx1"/>
            </w14:solidFill>
          </w14:textFill>
        </w:rPr>
        <w:object>
          <v:shape id="_x0000_i1027" o:spt="75" type="#_x0000_t75" style="height:15.75pt;width:48pt;" o:ole="t" filled="f" o:preferrelative="t" stroked="f" coordsize="21600,21600">
            <v:path/>
            <v:fill on="f" focussize="0,0"/>
            <v:stroke on="f" joinstyle="miter"/>
            <v:imagedata r:id="rId92" o:title=""/>
            <o:lock v:ext="edit" aspectratio="t"/>
            <w10:wrap type="none"/>
            <w10:anchorlock/>
          </v:shape>
          <o:OLEObject Type="Embed" ProgID="Equation.3" ShapeID="_x0000_i1027" DrawAspect="Content" ObjectID="_1468075727" r:id="rId91">
            <o:LockedField>false</o:LockedField>
          </o:OLEObject>
        </w:object>
      </w:r>
      <w:r>
        <w:rPr>
          <w:rFonts w:hint="eastAsia"/>
          <w:color w:val="000000" w:themeColor="text1"/>
          <w14:textFill>
            <w14:solidFill>
              <w14:schemeClr w14:val="tx1"/>
            </w14:solidFill>
          </w14:textFill>
        </w:rPr>
        <w:t>为总水深，</w:t>
      </w:r>
      <w:r>
        <w:rPr>
          <w:color w:val="000000" w:themeColor="text1"/>
          <w:position w:val="-10"/>
          <w14:textFill>
            <w14:solidFill>
              <w14:schemeClr w14:val="tx1"/>
            </w14:solidFill>
          </w14:textFill>
        </w:rPr>
        <w:object>
          <v:shape id="_x0000_i1028" o:spt="75" type="#_x0000_t75" style="height:12.75pt;width:9.75pt;" o:ole="t" filled="f" o:preferrelative="t" stroked="f" coordsize="21600,21600">
            <v:path/>
            <v:fill on="f" focussize="0,0"/>
            <v:stroke on="f" joinstyle="miter"/>
            <v:imagedata r:id="rId94" o:title=""/>
            <o:lock v:ext="edit" aspectratio="t"/>
            <w10:wrap type="none"/>
            <w10:anchorlock/>
          </v:shape>
          <o:OLEObject Type="Embed" ProgID="Equation.3" ShapeID="_x0000_i1028" DrawAspect="Content" ObjectID="_1468075728" r:id="rId93">
            <o:LockedField>false</o:LockedField>
          </o:OLEObject>
        </w:object>
      </w:r>
      <w:r>
        <w:rPr>
          <w:rFonts w:hint="eastAsia"/>
          <w:color w:val="000000" w:themeColor="text1"/>
          <w14:textFill>
            <w14:solidFill>
              <w14:schemeClr w14:val="tx1"/>
            </w14:solidFill>
          </w14:textFill>
        </w:rPr>
        <w:t>为水位，</w:t>
      </w:r>
      <w:r>
        <w:rPr>
          <w:rFonts w:hint="eastAsia"/>
          <w:i/>
          <w:color w:val="000000" w:themeColor="text1"/>
          <w14:textFill>
            <w14:solidFill>
              <w14:schemeClr w14:val="tx1"/>
            </w14:solidFill>
          </w14:textFill>
        </w:rPr>
        <w:t>h</w:t>
      </w:r>
      <w:r>
        <w:rPr>
          <w:rFonts w:hint="eastAsia"/>
          <w:color w:val="000000" w:themeColor="text1"/>
          <w14:textFill>
            <w14:solidFill>
              <w14:schemeClr w14:val="tx1"/>
            </w14:solidFill>
          </w14:textFill>
        </w:rPr>
        <w:t>为水深；</w:t>
      </w:r>
      <w:r>
        <w:rPr>
          <w:i/>
          <w:color w:val="000000" w:themeColor="text1"/>
          <w14:textFill>
            <w14:solidFill>
              <w14:schemeClr w14:val="tx1"/>
            </w14:solidFill>
          </w14:textFill>
        </w:rPr>
        <w:t>t</w:t>
      </w:r>
      <w:r>
        <w:rPr>
          <w:rFonts w:hint="eastAsia"/>
          <w:color w:val="000000" w:themeColor="text1"/>
          <w14:textFill>
            <w14:solidFill>
              <w14:schemeClr w14:val="tx1"/>
            </w14:solidFill>
          </w14:textFill>
        </w:rPr>
        <w:t>为</w:t>
      </w:r>
      <w:r>
        <w:rPr>
          <w:color w:val="000000" w:themeColor="text1"/>
          <w14:textFill>
            <w14:solidFill>
              <w14:schemeClr w14:val="tx1"/>
            </w14:solidFill>
          </w14:textFill>
        </w:rPr>
        <w:t>时间</w:t>
      </w:r>
      <w:r>
        <w:rPr>
          <w:rFonts w:hint="eastAsia"/>
          <w:color w:val="000000" w:themeColor="text1"/>
          <w14:textFill>
            <w14:solidFill>
              <w14:schemeClr w14:val="tx1"/>
            </w14:solidFill>
          </w14:textFill>
        </w:rPr>
        <w:t>；</w:t>
      </w:r>
      <w:r>
        <w:rPr>
          <w:i/>
          <w:color w:val="000000" w:themeColor="text1"/>
          <w14:textFill>
            <w14:solidFill>
              <w14:schemeClr w14:val="tx1"/>
            </w14:solidFill>
          </w14:textFill>
        </w:rPr>
        <w:t>u</w:t>
      </w:r>
      <w:r>
        <w:rPr>
          <w:color w:val="000000" w:themeColor="text1"/>
          <w14:textFill>
            <w14:solidFill>
              <w14:schemeClr w14:val="tx1"/>
            </w14:solidFill>
          </w14:textFill>
        </w:rPr>
        <w:t>、</w:t>
      </w:r>
      <w:r>
        <w:rPr>
          <w:i/>
          <w:color w:val="000000" w:themeColor="text1"/>
          <w14:textFill>
            <w14:solidFill>
              <w14:schemeClr w14:val="tx1"/>
            </w14:solidFill>
          </w14:textFill>
        </w:rPr>
        <w:t>v</w:t>
      </w:r>
      <w:r>
        <w:rPr>
          <w:rFonts w:hint="eastAsia"/>
          <w:color w:val="000000" w:themeColor="text1"/>
          <w14:textFill>
            <w14:solidFill>
              <w14:schemeClr w14:val="tx1"/>
            </w14:solidFill>
          </w14:textFill>
        </w:rPr>
        <w:t>为垂线</w:t>
      </w:r>
      <w:r>
        <w:rPr>
          <w:color w:val="000000" w:themeColor="text1"/>
          <w14:textFill>
            <w14:solidFill>
              <w14:schemeClr w14:val="tx1"/>
            </w14:solidFill>
          </w14:textFill>
        </w:rPr>
        <w:t>平均流速分别在</w:t>
      </w:r>
      <w:r>
        <w:rPr>
          <w:i/>
          <w:color w:val="000000" w:themeColor="text1"/>
          <w14:textFill>
            <w14:solidFill>
              <w14:schemeClr w14:val="tx1"/>
            </w14:solidFill>
          </w14:textFill>
        </w:rPr>
        <w:t>x</w:t>
      </w:r>
      <w:r>
        <w:rPr>
          <w:color w:val="000000" w:themeColor="text1"/>
          <w14:textFill>
            <w14:solidFill>
              <w14:schemeClr w14:val="tx1"/>
            </w14:solidFill>
          </w14:textFill>
        </w:rPr>
        <w:t>、</w:t>
      </w:r>
      <w:r>
        <w:rPr>
          <w:i/>
          <w:color w:val="000000" w:themeColor="text1"/>
          <w14:textFill>
            <w14:solidFill>
              <w14:schemeClr w14:val="tx1"/>
            </w14:solidFill>
          </w14:textFill>
        </w:rPr>
        <w:t>y</w:t>
      </w:r>
      <w:r>
        <w:rPr>
          <w:color w:val="000000" w:themeColor="text1"/>
          <w14:textFill>
            <w14:solidFill>
              <w14:schemeClr w14:val="tx1"/>
            </w14:solidFill>
          </w14:textFill>
        </w:rPr>
        <w:t>方向上的分量</w:t>
      </w:r>
      <w:r>
        <w:rPr>
          <w:rFonts w:hint="eastAsia"/>
          <w:color w:val="000000" w:themeColor="text1"/>
          <w14:textFill>
            <w14:solidFill>
              <w14:schemeClr w14:val="tx1"/>
            </w14:solidFill>
          </w14:textFill>
        </w:rPr>
        <w:t>。</w:t>
      </w:r>
    </w:p>
    <w:p w14:paraId="28826794">
      <w:pPr>
        <w:autoSpaceDE w:val="0"/>
        <w:autoSpaceDN w:val="0"/>
        <w:adjustRightInd w:val="0"/>
        <w:ind w:firstLine="480"/>
        <w:jc w:val="left"/>
        <w:rPr>
          <w:color w:val="000000" w:themeColor="text1"/>
          <w14:textFill>
            <w14:solidFill>
              <w14:schemeClr w14:val="tx1"/>
            </w14:solidFill>
          </w14:textFill>
        </w:rPr>
      </w:pPr>
      <w:r>
        <w:rPr>
          <w:rFonts w:hint="eastAsia"/>
          <w:i/>
          <w:color w:val="000000" w:themeColor="text1"/>
          <w14:textFill>
            <w14:solidFill>
              <w14:schemeClr w14:val="tx1"/>
            </w14:solidFill>
          </w14:textFill>
        </w:rPr>
        <w:t>x</w:t>
      </w:r>
      <w:r>
        <w:rPr>
          <w:rFonts w:hint="eastAsia"/>
          <w:color w:val="000000" w:themeColor="text1"/>
          <w14:textFill>
            <w14:solidFill>
              <w14:schemeClr w14:val="tx1"/>
            </w14:solidFill>
          </w14:textFill>
        </w:rPr>
        <w:t>、</w:t>
      </w:r>
      <w:r>
        <w:rPr>
          <w:rFonts w:hint="eastAsia"/>
          <w:i/>
          <w:color w:val="000000" w:themeColor="text1"/>
          <w14:textFill>
            <w14:solidFill>
              <w14:schemeClr w14:val="tx1"/>
            </w14:solidFill>
          </w14:textFill>
        </w:rPr>
        <w:t>y</w:t>
      </w:r>
      <w:r>
        <w:rPr>
          <w:rFonts w:hint="eastAsia"/>
          <w:color w:val="000000" w:themeColor="text1"/>
          <w14:textFill>
            <w14:solidFill>
              <w14:schemeClr w14:val="tx1"/>
            </w14:solidFill>
          </w14:textFill>
        </w:rPr>
        <w:t>方向上的动量方程：</w:t>
      </w:r>
    </w:p>
    <w:tbl>
      <w:tblPr>
        <w:tblStyle w:val="43"/>
        <w:tblW w:w="0" w:type="auto"/>
        <w:tblInd w:w="0" w:type="dxa"/>
        <w:tblLayout w:type="fixed"/>
        <w:tblCellMar>
          <w:top w:w="0" w:type="dxa"/>
          <w:left w:w="108" w:type="dxa"/>
          <w:bottom w:w="0" w:type="dxa"/>
          <w:right w:w="108" w:type="dxa"/>
        </w:tblCellMar>
      </w:tblPr>
      <w:tblGrid>
        <w:gridCol w:w="7848"/>
        <w:gridCol w:w="1260"/>
      </w:tblGrid>
      <w:tr w14:paraId="512B9978">
        <w:tblPrEx>
          <w:tblCellMar>
            <w:top w:w="0" w:type="dxa"/>
            <w:left w:w="108" w:type="dxa"/>
            <w:bottom w:w="0" w:type="dxa"/>
            <w:right w:w="108" w:type="dxa"/>
          </w:tblCellMar>
        </w:tblPrEx>
        <w:tc>
          <w:tcPr>
            <w:tcW w:w="7848" w:type="dxa"/>
            <w:vAlign w:val="center"/>
          </w:tcPr>
          <w:p w14:paraId="0361FD92">
            <w:pPr>
              <w:ind w:firstLine="480"/>
              <w:jc w:val="center"/>
              <w:rPr>
                <w:color w:val="000000" w:themeColor="text1"/>
                <w14:textFill>
                  <w14:solidFill>
                    <w14:schemeClr w14:val="tx1"/>
                  </w14:solidFill>
                </w14:textFill>
              </w:rPr>
            </w:pPr>
            <w:r>
              <w:rPr>
                <w:color w:val="000000" w:themeColor="text1"/>
                <w:position w:val="-30"/>
                <w14:textFill>
                  <w14:solidFill>
                    <w14:schemeClr w14:val="tx1"/>
                  </w14:solidFill>
                </w14:textFill>
              </w:rPr>
              <w:object>
                <v:shape id="_x0000_i1029" o:spt="75" type="#_x0000_t75" style="height:36pt;width:321.75pt;" o:ole="t" filled="f" o:preferrelative="t" stroked="f" coordsize="21600,21600">
                  <v:path/>
                  <v:fill on="f" focussize="0,0"/>
                  <v:stroke on="f" joinstyle="miter"/>
                  <v:imagedata r:id="rId96" o:title=""/>
                  <o:lock v:ext="edit" aspectratio="t"/>
                  <w10:wrap type="none"/>
                  <w10:anchorlock/>
                </v:shape>
                <o:OLEObject Type="Embed" ProgID="Equation.3" ShapeID="_x0000_i1029" DrawAspect="Content" ObjectID="_1468075729" r:id="rId95">
                  <o:LockedField>false</o:LockedField>
                </o:OLEObject>
              </w:object>
            </w:r>
          </w:p>
        </w:tc>
        <w:tc>
          <w:tcPr>
            <w:tcW w:w="1260" w:type="dxa"/>
            <w:vAlign w:val="center"/>
          </w:tcPr>
          <w:p w14:paraId="4BCDD3FE">
            <w:pPr>
              <w:ind w:firstLine="48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r>
    </w:tbl>
    <w:p w14:paraId="22E9A549">
      <w:pPr>
        <w:autoSpaceDE w:val="0"/>
        <w:autoSpaceDN w:val="0"/>
        <w:adjustRightInd w:val="0"/>
        <w:ind w:firstLine="480"/>
        <w:rPr>
          <w:color w:val="000000" w:themeColor="text1"/>
          <w14:textFill>
            <w14:solidFill>
              <w14:schemeClr w14:val="tx1"/>
            </w14:solidFill>
          </w14:textFill>
        </w:rPr>
      </w:pPr>
    </w:p>
    <w:tbl>
      <w:tblPr>
        <w:tblStyle w:val="43"/>
        <w:tblW w:w="0" w:type="auto"/>
        <w:tblInd w:w="0" w:type="dxa"/>
        <w:tblLayout w:type="fixed"/>
        <w:tblCellMar>
          <w:top w:w="0" w:type="dxa"/>
          <w:left w:w="108" w:type="dxa"/>
          <w:bottom w:w="0" w:type="dxa"/>
          <w:right w:w="108" w:type="dxa"/>
        </w:tblCellMar>
      </w:tblPr>
      <w:tblGrid>
        <w:gridCol w:w="7848"/>
        <w:gridCol w:w="1260"/>
      </w:tblGrid>
      <w:tr w14:paraId="314AA0E6">
        <w:tblPrEx>
          <w:tblCellMar>
            <w:top w:w="0" w:type="dxa"/>
            <w:left w:w="108" w:type="dxa"/>
            <w:bottom w:w="0" w:type="dxa"/>
            <w:right w:w="108" w:type="dxa"/>
          </w:tblCellMar>
        </w:tblPrEx>
        <w:tc>
          <w:tcPr>
            <w:tcW w:w="7848" w:type="dxa"/>
            <w:vAlign w:val="center"/>
          </w:tcPr>
          <w:p w14:paraId="3BCE47AA">
            <w:pPr>
              <w:ind w:firstLine="480"/>
              <w:jc w:val="center"/>
              <w:rPr>
                <w:color w:val="000000" w:themeColor="text1"/>
                <w14:textFill>
                  <w14:solidFill>
                    <w14:schemeClr w14:val="tx1"/>
                  </w14:solidFill>
                </w14:textFill>
              </w:rPr>
            </w:pPr>
            <w:r>
              <w:rPr>
                <w:color w:val="000000" w:themeColor="text1"/>
                <w:position w:val="-30"/>
                <w14:textFill>
                  <w14:solidFill>
                    <w14:schemeClr w14:val="tx1"/>
                  </w14:solidFill>
                </w14:textFill>
              </w:rPr>
              <w:object>
                <v:shape id="_x0000_i1030" o:spt="75" type="#_x0000_t75" style="height:36pt;width:318.75pt;" o:ole="t" filled="f" o:preferrelative="t" stroked="f" coordsize="21600,21600">
                  <v:path/>
                  <v:fill on="f" focussize="0,0"/>
                  <v:stroke on="f" joinstyle="miter"/>
                  <v:imagedata r:id="rId98" o:title=""/>
                  <o:lock v:ext="edit" aspectratio="t"/>
                  <w10:wrap type="none"/>
                  <w10:anchorlock/>
                </v:shape>
                <o:OLEObject Type="Embed" ProgID="Equation.3" ShapeID="_x0000_i1030" DrawAspect="Content" ObjectID="_1468075730" r:id="rId97">
                  <o:LockedField>false</o:LockedField>
                </o:OLEObject>
              </w:object>
            </w:r>
          </w:p>
        </w:tc>
        <w:tc>
          <w:tcPr>
            <w:tcW w:w="1260" w:type="dxa"/>
            <w:vAlign w:val="center"/>
          </w:tcPr>
          <w:p w14:paraId="16869D58">
            <w:pPr>
              <w:ind w:firstLine="48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r>
    </w:tbl>
    <w:p w14:paraId="43BBDFED">
      <w:pPr>
        <w:autoSpaceDE w:val="0"/>
        <w:autoSpaceDN w:val="0"/>
        <w:adjustRightInd w:val="0"/>
        <w:ind w:right="26"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式（2）-（</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）中，</w:t>
      </w:r>
      <w:r>
        <w:rPr>
          <w:color w:val="000000" w:themeColor="text1"/>
          <w:position w:val="-10"/>
          <w14:textFill>
            <w14:solidFill>
              <w14:schemeClr w14:val="tx1"/>
            </w14:solidFill>
          </w14:textFill>
        </w:rPr>
        <w:object>
          <v:shape id="_x0000_i1031" o:spt="75" type="#_x0000_t75" style="height:12.75pt;width:11.25pt;" o:ole="t" filled="f" o:preferrelative="t" stroked="f" coordsize="21600,21600">
            <v:path/>
            <v:fill on="f" focussize="0,0"/>
            <v:stroke on="f" joinstyle="miter"/>
            <v:imagedata r:id="rId100" o:title=""/>
            <o:lock v:ext="edit" aspectratio="t"/>
            <w10:wrap type="none"/>
            <w10:anchorlock/>
          </v:shape>
          <o:OLEObject Type="Embed" ProgID="Equation.3" ShapeID="_x0000_i1031" DrawAspect="Content" ObjectID="_1468075731" r:id="rId99">
            <o:LockedField>false</o:LockedField>
          </o:OLEObject>
        </w:object>
      </w:r>
      <w:r>
        <w:rPr>
          <w:color w:val="000000" w:themeColor="text1"/>
          <w14:textFill>
            <w14:solidFill>
              <w14:schemeClr w14:val="tx1"/>
            </w14:solidFill>
          </w14:textFill>
        </w:rPr>
        <w:t>是重力加速度；</w:t>
      </w:r>
      <w:r>
        <w:rPr>
          <w:color w:val="000000" w:themeColor="text1"/>
          <w:position w:val="-10"/>
          <w14:textFill>
            <w14:solidFill>
              <w14:schemeClr w14:val="tx1"/>
            </w14:solidFill>
          </w14:textFill>
        </w:rPr>
        <w:object>
          <v:shape id="_x0000_i1032" o:spt="75" type="#_x0000_t75" style="height:12.75pt;width:12pt;" o:ole="t" filled="f" o:preferrelative="t" stroked="f" coordsize="21600,21600">
            <v:path/>
            <v:fill on="f" focussize="0,0"/>
            <v:stroke on="f" joinstyle="miter"/>
            <v:imagedata r:id="rId102" o:title=""/>
            <o:lock v:ext="edit" aspectratio="t"/>
            <w10:wrap type="none"/>
            <w10:anchorlock/>
          </v:shape>
          <o:OLEObject Type="Embed" ProgID="Equation.3" ShapeID="_x0000_i1032" DrawAspect="Content" ObjectID="_1468075732" r:id="rId101">
            <o:LockedField>false</o:LockedField>
          </o:OLEObject>
        </w:object>
      </w:r>
      <w:r>
        <w:rPr>
          <w:color w:val="000000" w:themeColor="text1"/>
          <w14:textFill>
            <w14:solidFill>
              <w14:schemeClr w14:val="tx1"/>
            </w14:solidFill>
          </w14:textFill>
        </w:rPr>
        <w:t>是水密度；柯氏力参数</w:t>
      </w:r>
      <w:r>
        <w:rPr>
          <w:color w:val="000000" w:themeColor="text1"/>
          <w:position w:val="-10"/>
          <w14:textFill>
            <w14:solidFill>
              <w14:schemeClr w14:val="tx1"/>
            </w14:solidFill>
          </w14:textFill>
        </w:rPr>
        <w:object>
          <v:shape id="_x0000_i1033" o:spt="75" type="#_x0000_t75" style="height:16.5pt;width:66pt;" o:ole="t" filled="f" o:preferrelative="t" stroked="f" coordsize="21600,21600">
            <v:path/>
            <v:fill on="f" focussize="0,0"/>
            <v:stroke on="f" joinstyle="miter"/>
            <v:imagedata r:id="rId104" o:title=""/>
            <o:lock v:ext="edit" aspectratio="t"/>
            <w10:wrap type="none"/>
            <w10:anchorlock/>
          </v:shape>
          <o:OLEObject Type="Embed" ProgID="Equation.3" ShapeID="_x0000_i1033" DrawAspect="Content" ObjectID="_1468075733" r:id="rId103">
            <o:LockedField>false</o:LockedField>
          </o:OLEObject>
        </w:object>
      </w:r>
      <w:r>
        <w:rPr>
          <w:color w:val="000000" w:themeColor="text1"/>
          <w14:textFill>
            <w14:solidFill>
              <w14:schemeClr w14:val="tx1"/>
            </w14:solidFill>
          </w14:textFill>
        </w:rPr>
        <w:t>，其中</w:t>
      </w:r>
      <w:r>
        <w:rPr>
          <w:color w:val="000000" w:themeColor="text1"/>
          <w:position w:val="-6"/>
          <w14:textFill>
            <w14:solidFill>
              <w14:schemeClr w14:val="tx1"/>
            </w14:solidFill>
          </w14:textFill>
        </w:rPr>
        <w:object>
          <v:shape id="_x0000_i1034" o:spt="75" type="#_x0000_t75" style="height:11.25pt;width:12pt;" o:ole="t" filled="f" o:preferrelative="t" stroked="f" coordsize="21600,21600">
            <v:path/>
            <v:fill on="f" focussize="0,0"/>
            <v:stroke on="f" joinstyle="miter"/>
            <v:imagedata r:id="rId106" o:title=""/>
            <o:lock v:ext="edit" aspectratio="t"/>
            <w10:wrap type="none"/>
            <w10:anchorlock/>
          </v:shape>
          <o:OLEObject Type="Embed" ProgID="Equation.3" ShapeID="_x0000_i1034" DrawAspect="Content" ObjectID="_1468075734" r:id="rId105">
            <o:LockedField>false</o:LockedField>
          </o:OLEObject>
        </w:object>
      </w:r>
      <w:r>
        <w:rPr>
          <w:color w:val="000000" w:themeColor="text1"/>
          <w14:textFill>
            <w14:solidFill>
              <w14:schemeClr w14:val="tx1"/>
            </w14:solidFill>
          </w14:textFill>
        </w:rPr>
        <w:t>是地球自转角速度，</w:t>
      </w:r>
      <w:r>
        <w:rPr>
          <w:color w:val="000000" w:themeColor="text1"/>
          <w:position w:val="-4"/>
          <w14:textFill>
            <w14:solidFill>
              <w14:schemeClr w14:val="tx1"/>
            </w14:solidFill>
          </w14:textFill>
        </w:rPr>
        <w:object>
          <v:shape id="_x0000_i1035" o:spt="75" type="#_x0000_t75" style="height:12pt;width:12.75pt;" o:ole="t" filled="f" o:preferrelative="t" stroked="f" coordsize="21600,21600">
            <v:path/>
            <v:fill on="f" focussize="0,0"/>
            <v:stroke on="f" joinstyle="miter"/>
            <v:imagedata r:id="rId108" o:title=""/>
            <o:lock v:ext="edit" aspectratio="t"/>
            <w10:wrap type="none"/>
            <w10:anchorlock/>
          </v:shape>
          <o:OLEObject Type="Embed" ProgID="Equation.3" ShapeID="_x0000_i1035" DrawAspect="Content" ObjectID="_1468075735" r:id="rId107">
            <o:LockedField>false</o:LockedField>
          </o:OLEObject>
        </w:object>
      </w:r>
      <w:r>
        <w:rPr>
          <w:color w:val="000000" w:themeColor="text1"/>
          <w14:textFill>
            <w14:solidFill>
              <w14:schemeClr w14:val="tx1"/>
            </w14:solidFill>
          </w14:textFill>
        </w:rPr>
        <w:t>是当地纬度</w:t>
      </w:r>
      <w:r>
        <w:rPr>
          <w:rFonts w:hint="eastAsia"/>
          <w:color w:val="000000" w:themeColor="text1"/>
          <w14:textFill>
            <w14:solidFill>
              <w14:schemeClr w14:val="tx1"/>
            </w14:solidFill>
          </w14:textFill>
        </w:rPr>
        <w:t>；</w:t>
      </w:r>
      <w:r>
        <w:rPr>
          <w:color w:val="000000" w:themeColor="text1"/>
          <w:position w:val="-12"/>
          <w14:textFill>
            <w14:solidFill>
              <w14:schemeClr w14:val="tx1"/>
            </w14:solidFill>
          </w14:textFill>
        </w:rPr>
        <w:object>
          <v:shape id="_x0000_i1036" o:spt="75" type="#_x0000_t75" style="height:18.75pt;width:14.25pt;" o:ole="t" filled="f" o:preferrelative="t" stroked="f" coordsize="21600,21600">
            <v:path/>
            <v:fill on="f" focussize="0,0"/>
            <v:stroke on="f" joinstyle="miter"/>
            <v:imagedata r:id="rId110" o:title=""/>
            <o:lock v:ext="edit" aspectratio="t"/>
            <w10:wrap type="none"/>
            <w10:anchorlock/>
          </v:shape>
          <o:OLEObject Type="Embed" ProgID="Equation.3" ShapeID="_x0000_i1036" DrawAspect="Content" ObjectID="_1468075736" r:id="rId109">
            <o:LockedField>false</o:LockedField>
          </o:OLEObject>
        </w:object>
      </w:r>
      <w:r>
        <w:rPr>
          <w:color w:val="000000" w:themeColor="text1"/>
          <w14:textFill>
            <w14:solidFill>
              <w14:schemeClr w14:val="tx1"/>
            </w14:solidFill>
          </w14:textFill>
        </w:rPr>
        <w:t>、</w:t>
      </w:r>
      <w:r>
        <w:rPr>
          <w:color w:val="000000" w:themeColor="text1"/>
          <w:position w:val="-14"/>
          <w14:textFill>
            <w14:solidFill>
              <w14:schemeClr w14:val="tx1"/>
            </w14:solidFill>
          </w14:textFill>
        </w:rPr>
        <w:object>
          <v:shape id="_x0000_i1037" o:spt="75" type="#_x0000_t75" style="height:20.25pt;width:14.25pt;" o:ole="t" filled="f" o:preferrelative="t" stroked="f" coordsize="21600,21600">
            <v:path/>
            <v:fill on="f" focussize="0,0"/>
            <v:stroke on="f" joinstyle="miter"/>
            <v:imagedata r:id="rId112" o:title=""/>
            <o:lock v:ext="edit" aspectratio="t"/>
            <w10:wrap type="none"/>
            <w10:anchorlock/>
          </v:shape>
          <o:OLEObject Type="Embed" ProgID="Equation.3" ShapeID="_x0000_i1037" DrawAspect="Content" ObjectID="_1468075737" r:id="rId111">
            <o:LockedField>false</o:LockedField>
          </o:OLEObject>
        </w:object>
      </w:r>
      <w:r>
        <w:rPr>
          <w:color w:val="000000" w:themeColor="text1"/>
          <w14:textFill>
            <w14:solidFill>
              <w14:schemeClr w14:val="tx1"/>
            </w14:solidFill>
          </w14:textFill>
        </w:rPr>
        <w:t>是风应力分别在</w:t>
      </w:r>
      <w:r>
        <w:rPr>
          <w:rFonts w:hint="eastAsia"/>
          <w:color w:val="000000" w:themeColor="text1"/>
          <w14:textFill>
            <w14:solidFill>
              <w14:schemeClr w14:val="tx1"/>
            </w14:solidFill>
          </w14:textFill>
        </w:rPr>
        <w:t>直角坐标系</w:t>
      </w:r>
      <w:r>
        <w:rPr>
          <w:color w:val="000000" w:themeColor="text1"/>
          <w:position w:val="-6"/>
          <w14:textFill>
            <w14:solidFill>
              <w14:schemeClr w14:val="tx1"/>
            </w14:solidFill>
          </w14:textFill>
        </w:rPr>
        <w:object>
          <v:shape id="_x0000_i1038" o:spt="75" type="#_x0000_t75" style="height:11.25pt;width:9.75pt;" o:ole="t" filled="f" o:preferrelative="t" stroked="f" coordsize="21600,21600">
            <v:path/>
            <v:fill on="f" focussize="0,0"/>
            <v:stroke on="f" joinstyle="miter"/>
            <v:imagedata r:id="rId114" o:title=""/>
            <o:lock v:ext="edit" aspectratio="t"/>
            <w10:wrap type="none"/>
            <w10:anchorlock/>
          </v:shape>
          <o:OLEObject Type="Embed" ProgID="Equation.3" ShapeID="_x0000_i1038" DrawAspect="Content" ObjectID="_1468075738" r:id="rId113">
            <o:LockedField>false</o:LockedField>
          </o:OLEObject>
        </w:object>
      </w:r>
      <w:r>
        <w:rPr>
          <w:color w:val="000000" w:themeColor="text1"/>
          <w14:textFill>
            <w14:solidFill>
              <w14:schemeClr w14:val="tx1"/>
            </w14:solidFill>
          </w14:textFill>
        </w:rPr>
        <w:t>、</w:t>
      </w:r>
      <w:r>
        <w:rPr>
          <w:color w:val="000000" w:themeColor="text1"/>
          <w:position w:val="-10"/>
          <w14:textFill>
            <w14:solidFill>
              <w14:schemeClr w14:val="tx1"/>
            </w14:solidFill>
          </w14:textFill>
        </w:rPr>
        <w:object>
          <v:shape id="_x0000_i1039" o:spt="75" type="#_x0000_t75" style="height:12.75pt;width:11.25pt;" o:ole="t" filled="f" o:preferrelative="t" stroked="f" coordsize="21600,21600">
            <v:path/>
            <v:fill on="f" focussize="0,0"/>
            <v:stroke on="f" joinstyle="miter"/>
            <v:imagedata r:id="rId116" o:title=""/>
            <o:lock v:ext="edit" aspectratio="t"/>
            <w10:wrap type="none"/>
            <w10:anchorlock/>
          </v:shape>
          <o:OLEObject Type="Embed" ProgID="Equation.3" ShapeID="_x0000_i1039" DrawAspect="Content" ObjectID="_1468075739" r:id="rId115">
            <o:LockedField>false</o:LockedField>
          </o:OLEObject>
        </w:object>
      </w:r>
      <w:r>
        <w:rPr>
          <w:color w:val="000000" w:themeColor="text1"/>
          <w14:textFill>
            <w14:solidFill>
              <w14:schemeClr w14:val="tx1"/>
            </w14:solidFill>
          </w14:textFill>
        </w:rPr>
        <w:t>方向上的分量；</w:t>
      </w:r>
      <w:r>
        <w:rPr>
          <w:color w:val="000000" w:themeColor="text1"/>
          <w:position w:val="-12"/>
          <w14:textFill>
            <w14:solidFill>
              <w14:schemeClr w14:val="tx1"/>
            </w14:solidFill>
          </w14:textFill>
        </w:rPr>
        <w:object>
          <v:shape id="_x0000_i1040" o:spt="75" type="#_x0000_t75" style="height:18.75pt;width:14.25pt;" o:ole="t" filled="f" o:preferrelative="t" stroked="f" coordsize="21600,21600">
            <v:path/>
            <v:fill on="f" focussize="0,0"/>
            <v:stroke on="f" joinstyle="miter"/>
            <v:imagedata r:id="rId118" o:title=""/>
            <o:lock v:ext="edit" aspectratio="t"/>
            <w10:wrap type="none"/>
            <w10:anchorlock/>
          </v:shape>
          <o:OLEObject Type="Embed" ProgID="Equation.3" ShapeID="_x0000_i1040" DrawAspect="Content" ObjectID="_1468075740" r:id="rId117">
            <o:LockedField>false</o:LockedField>
          </o:OLEObject>
        </w:object>
      </w:r>
      <w:r>
        <w:rPr>
          <w:color w:val="000000" w:themeColor="text1"/>
          <w14:textFill>
            <w14:solidFill>
              <w14:schemeClr w14:val="tx1"/>
            </w14:solidFill>
          </w14:textFill>
        </w:rPr>
        <w:t>、</w:t>
      </w:r>
      <w:r>
        <w:rPr>
          <w:color w:val="000000" w:themeColor="text1"/>
          <w:position w:val="-14"/>
          <w14:textFill>
            <w14:solidFill>
              <w14:schemeClr w14:val="tx1"/>
            </w14:solidFill>
          </w14:textFill>
        </w:rPr>
        <w:object>
          <v:shape id="_x0000_i1041" o:spt="75" type="#_x0000_t75" style="height:20.25pt;width:14.25pt;" o:ole="t" filled="f" o:preferrelative="t" stroked="f" coordsize="21600,21600">
            <v:path/>
            <v:fill on="f" focussize="0,0"/>
            <v:stroke on="f" joinstyle="miter"/>
            <v:imagedata r:id="rId120" o:title=""/>
            <o:lock v:ext="edit" aspectratio="t"/>
            <w10:wrap type="none"/>
            <w10:anchorlock/>
          </v:shape>
          <o:OLEObject Type="Embed" ProgID="Equation.3" ShapeID="_x0000_i1041" DrawAspect="Content" ObjectID="_1468075741" r:id="rId119">
            <o:LockedField>false</o:LockedField>
          </o:OLEObject>
        </w:object>
      </w:r>
      <w:r>
        <w:rPr>
          <w:color w:val="000000" w:themeColor="text1"/>
          <w14:textFill>
            <w14:solidFill>
              <w14:schemeClr w14:val="tx1"/>
            </w14:solidFill>
          </w14:textFill>
        </w:rPr>
        <w:t>是水流引起的床面切应力分别在</w:t>
      </w:r>
      <w:r>
        <w:rPr>
          <w:color w:val="000000" w:themeColor="text1"/>
          <w:position w:val="-6"/>
          <w14:textFill>
            <w14:solidFill>
              <w14:schemeClr w14:val="tx1"/>
            </w14:solidFill>
          </w14:textFill>
        </w:rPr>
        <w:object>
          <v:shape id="_x0000_i1042" o:spt="75" type="#_x0000_t75" style="height:11.25pt;width:9.75pt;" o:ole="t" filled="f" o:preferrelative="t" stroked="f" coordsize="21600,21600">
            <v:path/>
            <v:fill on="f" focussize="0,0"/>
            <v:stroke on="f" joinstyle="miter"/>
            <v:imagedata r:id="rId122" o:title=""/>
            <o:lock v:ext="edit" aspectratio="t"/>
            <w10:wrap type="none"/>
            <w10:anchorlock/>
          </v:shape>
          <o:OLEObject Type="Embed" ProgID="Equation.3" ShapeID="_x0000_i1042" DrawAspect="Content" ObjectID="_1468075742" r:id="rId121">
            <o:LockedField>false</o:LockedField>
          </o:OLEObject>
        </w:object>
      </w:r>
      <w:r>
        <w:rPr>
          <w:color w:val="000000" w:themeColor="text1"/>
          <w14:textFill>
            <w14:solidFill>
              <w14:schemeClr w14:val="tx1"/>
            </w14:solidFill>
          </w14:textFill>
        </w:rPr>
        <w:t>、</w:t>
      </w:r>
      <w:r>
        <w:rPr>
          <w:color w:val="000000" w:themeColor="text1"/>
          <w:position w:val="-10"/>
          <w14:textFill>
            <w14:solidFill>
              <w14:schemeClr w14:val="tx1"/>
            </w14:solidFill>
          </w14:textFill>
        </w:rPr>
        <w:object>
          <v:shape id="_x0000_i1043" o:spt="75" type="#_x0000_t75" style="height:12.75pt;width:11.25pt;" o:ole="t" filled="f" o:preferrelative="t" stroked="f" coordsize="21600,21600">
            <v:path/>
            <v:fill on="f" focussize="0,0"/>
            <v:stroke on="f" joinstyle="miter"/>
            <v:imagedata r:id="rId116" o:title=""/>
            <o:lock v:ext="edit" aspectratio="t"/>
            <w10:wrap type="none"/>
            <w10:anchorlock/>
          </v:shape>
          <o:OLEObject Type="Embed" ProgID="Equation.3" ShapeID="_x0000_i1043" DrawAspect="Content" ObjectID="_1468075743" r:id="rId123">
            <o:LockedField>false</o:LockedField>
          </o:OLEObject>
        </w:object>
      </w:r>
      <w:r>
        <w:rPr>
          <w:color w:val="000000" w:themeColor="text1"/>
          <w14:textFill>
            <w14:solidFill>
              <w14:schemeClr w14:val="tx1"/>
            </w14:solidFill>
          </w14:textFill>
        </w:rPr>
        <w:t>方向上的分量；</w:t>
      </w:r>
      <w:r>
        <w:rPr>
          <w:color w:val="000000" w:themeColor="text1"/>
          <w:position w:val="-14"/>
          <w14:textFill>
            <w14:solidFill>
              <w14:schemeClr w14:val="tx1"/>
            </w14:solidFill>
          </w14:textFill>
        </w:rPr>
        <w:object>
          <v:shape id="_x0000_i1044" o:spt="75" type="#_x0000_t75" style="height:18.75pt;width:72pt;" o:ole="t" filled="f" o:preferrelative="t" stroked="f" coordsize="21600,21600">
            <v:path/>
            <v:fill on="f" focussize="0,0"/>
            <v:stroke on="f" joinstyle="miter"/>
            <v:imagedata r:id="rId125" o:title=""/>
            <o:lock v:ext="edit" aspectratio="t"/>
            <w10:wrap type="none"/>
            <w10:anchorlock/>
          </v:shape>
          <o:OLEObject Type="Embed" ProgID="Equation.3" ShapeID="_x0000_i1044" DrawAspect="Content" ObjectID="_1468075744" r:id="rId124">
            <o:LockedField>false</o:LockedField>
          </o:OLEObject>
        </w:object>
      </w:r>
      <w:r>
        <w:rPr>
          <w:rFonts w:hint="eastAsia"/>
          <w:color w:val="000000" w:themeColor="text1"/>
          <w14:textFill>
            <w14:solidFill>
              <w14:schemeClr w14:val="tx1"/>
            </w14:solidFill>
          </w14:textFill>
        </w:rPr>
        <w:t>为</w:t>
      </w:r>
      <w:r>
        <w:rPr>
          <w:color w:val="000000" w:themeColor="text1"/>
          <w14:textFill>
            <w14:solidFill>
              <w14:schemeClr w14:val="tx1"/>
            </w14:solidFill>
          </w14:textFill>
        </w:rPr>
        <w:t>紊动切应力</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表面风应力由下式给出：</w:t>
      </w:r>
    </w:p>
    <w:tbl>
      <w:tblPr>
        <w:tblStyle w:val="43"/>
        <w:tblW w:w="0" w:type="auto"/>
        <w:tblInd w:w="0" w:type="dxa"/>
        <w:tblLayout w:type="fixed"/>
        <w:tblCellMar>
          <w:top w:w="0" w:type="dxa"/>
          <w:left w:w="108" w:type="dxa"/>
          <w:bottom w:w="0" w:type="dxa"/>
          <w:right w:w="108" w:type="dxa"/>
        </w:tblCellMar>
      </w:tblPr>
      <w:tblGrid>
        <w:gridCol w:w="7848"/>
        <w:gridCol w:w="1260"/>
      </w:tblGrid>
      <w:tr w14:paraId="1F36445C">
        <w:tblPrEx>
          <w:tblCellMar>
            <w:top w:w="0" w:type="dxa"/>
            <w:left w:w="108" w:type="dxa"/>
            <w:bottom w:w="0" w:type="dxa"/>
            <w:right w:w="108" w:type="dxa"/>
          </w:tblCellMar>
        </w:tblPrEx>
        <w:tc>
          <w:tcPr>
            <w:tcW w:w="7848" w:type="dxa"/>
            <w:vAlign w:val="center"/>
          </w:tcPr>
          <w:p w14:paraId="3A83ABBB">
            <w:pPr>
              <w:ind w:firstLine="480"/>
              <w:jc w:val="center"/>
              <w:rPr>
                <w:color w:val="000000" w:themeColor="text1"/>
                <w14:textFill>
                  <w14:solidFill>
                    <w14:schemeClr w14:val="tx1"/>
                  </w14:solidFill>
                </w14:textFill>
              </w:rPr>
            </w:pPr>
            <w:r>
              <w:rPr>
                <w:color w:val="000000" w:themeColor="text1"/>
                <w:position w:val="-14"/>
                <w14:textFill>
                  <w14:solidFill>
                    <w14:schemeClr w14:val="tx1"/>
                  </w14:solidFill>
                </w14:textFill>
              </w:rPr>
              <w:object>
                <v:shape id="_x0000_i1045" o:spt="75" type="#_x0000_t75" style="height:21.75pt;width:198.75pt;" o:ole="t" filled="f" o:preferrelative="t" stroked="f" coordsize="21600,21600">
                  <v:path/>
                  <v:fill on="f" focussize="0,0"/>
                  <v:stroke on="f" joinstyle="miter"/>
                  <v:imagedata r:id="rId127" o:title=""/>
                  <o:lock v:ext="edit" aspectratio="t"/>
                  <w10:wrap type="none"/>
                  <w10:anchorlock/>
                </v:shape>
                <o:OLEObject Type="Embed" ProgID="Equation.3" ShapeID="_x0000_i1045" DrawAspect="Content" ObjectID="_1468075745" r:id="rId126">
                  <o:LockedField>false</o:LockedField>
                </o:OLEObject>
              </w:object>
            </w:r>
          </w:p>
        </w:tc>
        <w:tc>
          <w:tcPr>
            <w:tcW w:w="1260" w:type="dxa"/>
            <w:vAlign w:val="center"/>
          </w:tcPr>
          <w:p w14:paraId="016E2BB1">
            <w:pPr>
              <w:ind w:firstLine="48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r>
    </w:tbl>
    <w:p w14:paraId="6C2622D7">
      <w:pPr>
        <w:autoSpaceDE w:val="0"/>
        <w:autoSpaceDN w:val="0"/>
        <w:adjustRightInd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式（</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）中，</w:t>
      </w:r>
      <w:r>
        <w:rPr>
          <w:color w:val="000000" w:themeColor="text1"/>
          <w:position w:val="-10"/>
          <w14:textFill>
            <w14:solidFill>
              <w14:schemeClr w14:val="tx1"/>
            </w14:solidFill>
          </w14:textFill>
        </w:rPr>
        <w:object>
          <v:shape id="_x0000_i1046" o:spt="75" type="#_x0000_t75" style="height:12.75pt;width:9.75pt;" o:ole="t" filled="f" o:preferrelative="t" stroked="f" coordsize="21600,21600">
            <v:path/>
            <v:fill on="f" focussize="0,0"/>
            <v:stroke on="f" joinstyle="miter"/>
            <v:imagedata r:id="rId129" o:title=""/>
            <o:lock v:ext="edit" aspectratio="t"/>
            <w10:wrap type="none"/>
            <w10:anchorlock/>
          </v:shape>
          <o:OLEObject Type="Embed" ProgID="Equation.3" ShapeID="_x0000_i1046" DrawAspect="Content" ObjectID="_1468075746" r:id="rId128">
            <o:LockedField>false</o:LockedField>
          </o:OLEObject>
        </w:object>
      </w:r>
      <w:r>
        <w:rPr>
          <w:color w:val="000000" w:themeColor="text1"/>
          <w14:textFill>
            <w14:solidFill>
              <w14:schemeClr w14:val="tx1"/>
            </w14:solidFill>
          </w14:textFill>
        </w:rPr>
        <w:t>是风应力经验系数；</w:t>
      </w:r>
      <w:r>
        <w:rPr>
          <w:color w:val="000000" w:themeColor="text1"/>
          <w:position w:val="-6"/>
          <w14:textFill>
            <w14:solidFill>
              <w14:schemeClr w14:val="tx1"/>
            </w14:solidFill>
          </w14:textFill>
        </w:rPr>
        <w:object>
          <v:shape id="_x0000_i1047" o:spt="75" type="#_x0000_t75" style="height:14.25pt;width:14.25pt;" o:ole="t" filled="f" o:preferrelative="t" stroked="f" coordsize="21600,21600">
            <v:path/>
            <v:fill on="f" focussize="0,0"/>
            <v:stroke on="f" joinstyle="miter"/>
            <v:imagedata r:id="rId131" o:title=""/>
            <o:lock v:ext="edit" aspectratio="t"/>
            <w10:wrap type="none"/>
            <w10:anchorlock/>
          </v:shape>
          <o:OLEObject Type="Embed" ProgID="Equation.3" ShapeID="_x0000_i1047" DrawAspect="Content" ObjectID="_1468075747" r:id="rId130">
            <o:LockedField>false</o:LockedField>
          </o:OLEObject>
        </w:object>
      </w:r>
      <w:r>
        <w:rPr>
          <w:color w:val="000000" w:themeColor="text1"/>
          <w14:textFill>
            <w14:solidFill>
              <w14:schemeClr w14:val="tx1"/>
            </w14:solidFill>
          </w14:textFill>
        </w:rPr>
        <w:t>是风速；</w:t>
      </w:r>
      <w:r>
        <w:rPr>
          <w:color w:val="000000" w:themeColor="text1"/>
          <w:position w:val="-10"/>
          <w14:textFill>
            <w14:solidFill>
              <w14:schemeClr w14:val="tx1"/>
            </w14:solidFill>
          </w14:textFill>
        </w:rPr>
        <w:object>
          <v:shape id="_x0000_i1048" o:spt="75" type="#_x0000_t75" style="height:12.75pt;width:12pt;" o:ole="t" filled="f" o:preferrelative="t" stroked="f" coordsize="21600,21600">
            <v:path/>
            <v:fill on="f" focussize="0,0"/>
            <v:stroke on="f" joinstyle="miter"/>
            <v:imagedata r:id="rId133" o:title=""/>
            <o:lock v:ext="edit" aspectratio="t"/>
            <w10:wrap type="none"/>
            <w10:anchorlock/>
          </v:shape>
          <o:OLEObject Type="Embed" ProgID="Equation.3" ShapeID="_x0000_i1048" DrawAspect="Content" ObjectID="_1468075748" r:id="rId132">
            <o:LockedField>false</o:LockedField>
          </o:OLEObject>
        </w:object>
      </w:r>
      <w:r>
        <w:rPr>
          <w:color w:val="000000" w:themeColor="text1"/>
          <w14:textFill>
            <w14:solidFill>
              <w14:schemeClr w14:val="tx1"/>
            </w14:solidFill>
          </w14:textFill>
        </w:rPr>
        <w:t>是</w:t>
      </w:r>
      <w:r>
        <w:rPr>
          <w:color w:val="000000" w:themeColor="text1"/>
          <w:position w:val="-6"/>
          <w14:textFill>
            <w14:solidFill>
              <w14:schemeClr w14:val="tx1"/>
            </w14:solidFill>
          </w14:textFill>
        </w:rPr>
        <w:object>
          <v:shape id="_x0000_i1049" o:spt="75" type="#_x0000_t75" style="height:11.25pt;width:9.75pt;" o:ole="t" filled="f" o:preferrelative="t" stroked="f" coordsize="21600,21600">
            <v:path/>
            <v:fill on="f" focussize="0,0"/>
            <v:stroke on="f" joinstyle="miter"/>
            <v:imagedata r:id="rId135" o:title=""/>
            <o:lock v:ext="edit" aspectratio="t"/>
            <w10:wrap type="none"/>
            <w10:anchorlock/>
          </v:shape>
          <o:OLEObject Type="Embed" ProgID="Equation.3" ShapeID="_x0000_i1049" DrawAspect="Content" ObjectID="_1468075749" r:id="rId134">
            <o:LockedField>false</o:LockedField>
          </o:OLEObject>
        </w:object>
      </w:r>
      <w:r>
        <w:rPr>
          <w:color w:val="000000" w:themeColor="text1"/>
          <w14:textFill>
            <w14:solidFill>
              <w14:schemeClr w14:val="tx1"/>
            </w14:solidFill>
          </w14:textFill>
        </w:rPr>
        <w:t>正方向与风向的夹角。深</w:t>
      </w:r>
      <w:r>
        <w:rPr>
          <w:rFonts w:hint="eastAsia"/>
          <w:color w:val="000000" w:themeColor="text1"/>
          <w14:textFill>
            <w14:solidFill>
              <w14:schemeClr w14:val="tx1"/>
            </w14:solidFill>
          </w14:textFill>
        </w:rPr>
        <w:t>度</w:t>
      </w:r>
      <w:r>
        <w:rPr>
          <w:color w:val="000000" w:themeColor="text1"/>
          <w14:textFill>
            <w14:solidFill>
              <w14:schemeClr w14:val="tx1"/>
            </w14:solidFill>
          </w14:textFill>
        </w:rPr>
        <w:t>平均的紊动切应力</w:t>
      </w:r>
      <w:r>
        <w:rPr>
          <w:rFonts w:hint="eastAsia"/>
          <w:color w:val="000000" w:themeColor="text1"/>
          <w14:textFill>
            <w14:solidFill>
              <w14:schemeClr w14:val="tx1"/>
            </w14:solidFill>
          </w14:textFill>
        </w:rPr>
        <w:t>为：</w:t>
      </w:r>
    </w:p>
    <w:p w14:paraId="67D01308">
      <w:pPr>
        <w:autoSpaceDE w:val="0"/>
        <w:autoSpaceDN w:val="0"/>
        <w:adjustRightInd w:val="0"/>
        <w:ind w:firstLine="480"/>
        <w:jc w:val="center"/>
        <w:rPr>
          <w:rFonts w:cs="MSTT311e5bd572t00"/>
          <w:color w:val="000000" w:themeColor="text1"/>
          <w:kern w:val="0"/>
          <w14:textFill>
            <w14:solidFill>
              <w14:schemeClr w14:val="tx1"/>
            </w14:solidFill>
          </w14:textFill>
        </w:rPr>
      </w:pPr>
      <w:r>
        <w:rPr>
          <w:color w:val="000000" w:themeColor="text1"/>
          <w:position w:val="-30"/>
          <w14:textFill>
            <w14:solidFill>
              <w14:schemeClr w14:val="tx1"/>
            </w14:solidFill>
          </w14:textFill>
        </w:rPr>
        <w:object>
          <v:shape id="_x0000_i1050" o:spt="75" type="#_x0000_t75" style="height:35.25pt;width:129pt;" o:ole="t" filled="f" o:preferrelative="t" stroked="f" coordsize="21600,21600">
            <v:path/>
            <v:fill on="f" focussize="0,0"/>
            <v:stroke on="f" joinstyle="miter"/>
            <v:imagedata r:id="rId137" o:title=""/>
            <o:lock v:ext="edit" aspectratio="t"/>
            <w10:wrap type="none"/>
            <w10:anchorlock/>
          </v:shape>
          <o:OLEObject Type="Embed" ProgID="Equation.3" ShapeID="_x0000_i1050" DrawAspect="Content" ObjectID="_1468075750" r:id="rId136">
            <o:LockedField>false</o:LockedField>
          </o:OLEObject>
        </w:object>
      </w:r>
    </w:p>
    <w:p w14:paraId="2CBE657C">
      <w:pPr>
        <w:autoSpaceDE w:val="0"/>
        <w:autoSpaceDN w:val="0"/>
        <w:adjustRightInd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其中，</w:t>
      </w:r>
      <w:r>
        <w:rPr>
          <w:color w:val="000000" w:themeColor="text1"/>
          <w:position w:val="-14"/>
          <w14:textFill>
            <w14:solidFill>
              <w14:schemeClr w14:val="tx1"/>
            </w14:solidFill>
          </w14:textFill>
        </w:rPr>
        <w:object>
          <v:shape id="_x0000_i1051" o:spt="75" type="#_x0000_t75" style="height:18.75pt;width:60pt;" o:ole="t" filled="f" o:preferrelative="t" stroked="f" coordsize="21600,21600">
            <v:path/>
            <v:fill on="f" focussize="0,0"/>
            <v:stroke on="f" joinstyle="miter"/>
            <v:imagedata r:id="rId139" o:title=""/>
            <o:lock v:ext="edit" aspectratio="t"/>
            <w10:wrap type="none"/>
            <w10:anchorlock/>
          </v:shape>
          <o:OLEObject Type="Embed" ProgID="Equation.3" ShapeID="_x0000_i1051" DrawAspect="Content" ObjectID="_1468075751" r:id="rId138">
            <o:LockedField>false</o:LockedField>
          </o:OLEObject>
        </w:object>
      </w:r>
      <w:r>
        <w:rPr>
          <w:color w:val="000000" w:themeColor="text1"/>
          <w14:textFill>
            <w14:solidFill>
              <w14:schemeClr w14:val="tx1"/>
            </w14:solidFill>
          </w14:textFill>
        </w:rPr>
        <w:t>；</w:t>
      </w:r>
      <w:r>
        <w:rPr>
          <w:color w:val="000000" w:themeColor="text1"/>
          <w:position w:val="-14"/>
          <w14:textFill>
            <w14:solidFill>
              <w14:schemeClr w14:val="tx1"/>
            </w14:solidFill>
          </w14:textFill>
        </w:rPr>
        <w:object>
          <v:shape id="_x0000_i1052" o:spt="75" type="#_x0000_t75" style="height:18.75pt;width:57.75pt;" o:ole="t" filled="f" o:preferrelative="t" stroked="f" coordsize="21600,21600">
            <v:path/>
            <v:fill on="f" focussize="0,0"/>
            <v:stroke on="f" joinstyle="miter"/>
            <v:imagedata r:id="rId141" o:title=""/>
            <o:lock v:ext="edit" aspectratio="t"/>
            <w10:wrap type="none"/>
            <w10:anchorlock/>
          </v:shape>
          <o:OLEObject Type="Embed" ProgID="Equation.3" ShapeID="_x0000_i1052" DrawAspect="Content" ObjectID="_1468075752" r:id="rId140">
            <o:LockedField>false</o:LockedField>
          </o:OLEObject>
        </w:object>
      </w:r>
      <w:r>
        <w:rPr>
          <w:color w:val="000000" w:themeColor="text1"/>
          <w14:textFill>
            <w14:solidFill>
              <w14:schemeClr w14:val="tx1"/>
            </w14:solidFill>
          </w14:textFill>
        </w:rPr>
        <w:t>；</w:t>
      </w:r>
      <w:r>
        <w:rPr>
          <w:color w:val="000000" w:themeColor="text1"/>
          <w:position w:val="-14"/>
          <w14:textFill>
            <w14:solidFill>
              <w14:schemeClr w14:val="tx1"/>
            </w14:solidFill>
          </w14:textFill>
        </w:rPr>
        <w:object>
          <v:shape id="_x0000_i1053" o:spt="75" type="#_x0000_t75" style="height:18.75pt;width:14.25pt;" o:ole="t" filled="f" o:preferrelative="t" stroked="f" coordsize="21600,21600">
            <v:path/>
            <v:fill on="f" focussize="0,0"/>
            <v:stroke on="f" joinstyle="miter"/>
            <v:imagedata r:id="rId143" o:title=""/>
            <o:lock v:ext="edit" aspectratio="t"/>
            <w10:wrap type="none"/>
            <w10:anchorlock/>
          </v:shape>
          <o:OLEObject Type="Embed" ProgID="Equation.3" ShapeID="_x0000_i1053" DrawAspect="Content" ObjectID="_1468075753" r:id="rId142">
            <o:LockedField>false</o:LockedField>
          </o:OLEObject>
        </w:object>
      </w:r>
      <w:r>
        <w:rPr>
          <w:color w:val="000000" w:themeColor="text1"/>
          <w14:textFill>
            <w14:solidFill>
              <w14:schemeClr w14:val="tx1"/>
            </w14:solidFill>
          </w14:textFill>
        </w:rPr>
        <w:t>是</w:t>
      </w:r>
      <w:r>
        <w:rPr>
          <w:rFonts w:hint="eastAsia"/>
          <w:color w:val="000000" w:themeColor="text1"/>
          <w14:textFill>
            <w14:solidFill>
              <w14:schemeClr w14:val="tx1"/>
            </w14:solidFill>
          </w14:textFill>
        </w:rPr>
        <w:t>垂直于</w:t>
      </w:r>
      <w:r>
        <w:rPr>
          <w:color w:val="000000" w:themeColor="text1"/>
          <w:position w:val="-6"/>
          <w14:textFill>
            <w14:solidFill>
              <w14:schemeClr w14:val="tx1"/>
            </w14:solidFill>
          </w14:textFill>
        </w:rPr>
        <w:object>
          <v:shape id="_x0000_i1054" o:spt="75" type="#_x0000_t75" style="height:12.75pt;width:7.5pt;" o:ole="t" filled="f" o:preferrelative="t" stroked="f" coordsize="21600,21600">
            <v:path/>
            <v:fill on="f" focussize="0,0"/>
            <v:stroke on="f" joinstyle="miter"/>
            <v:imagedata r:id="rId145" o:title=""/>
            <o:lock v:ext="edit" aspectratio="t"/>
            <w10:wrap type="none"/>
            <w10:anchorlock/>
          </v:shape>
          <o:OLEObject Type="Embed" ProgID="Equation.3" ShapeID="_x0000_i1054" DrawAspect="Content" ObjectID="_1468075754" r:id="rId144">
            <o:LockedField>false</o:LockedField>
          </o:OLEObject>
        </w:object>
      </w:r>
      <w:r>
        <w:rPr>
          <w:rFonts w:hint="eastAsia"/>
          <w:color w:val="000000" w:themeColor="text1"/>
          <w14:textFill>
            <w14:solidFill>
              <w14:schemeClr w14:val="tx1"/>
            </w14:solidFill>
          </w14:textFill>
        </w:rPr>
        <w:t>轴平面上的</w:t>
      </w:r>
      <w:r>
        <w:rPr>
          <w:color w:val="000000" w:themeColor="text1"/>
          <w:position w:val="-10"/>
          <w14:textFill>
            <w14:solidFill>
              <w14:schemeClr w14:val="tx1"/>
            </w14:solidFill>
          </w14:textFill>
        </w:rPr>
        <w:object>
          <v:shape id="_x0000_i1055" o:spt="75" type="#_x0000_t75" style="height:15pt;width:9.75pt;" o:ole="t" filled="f" o:preferrelative="t" stroked="f" coordsize="21600,21600">
            <v:path/>
            <v:fill on="f" focussize="0,0"/>
            <v:stroke on="f" joinstyle="miter"/>
            <v:imagedata r:id="rId147" o:title=""/>
            <o:lock v:ext="edit" aspectratio="t"/>
            <w10:wrap type="none"/>
            <w10:anchorlock/>
          </v:shape>
          <o:OLEObject Type="Embed" ProgID="Equation.3" ShapeID="_x0000_i1055" DrawAspect="Content" ObjectID="_1468075755" r:id="rId146">
            <o:LockedField>false</o:LockedField>
          </o:OLEObject>
        </w:object>
      </w:r>
      <w:r>
        <w:rPr>
          <w:rFonts w:hint="eastAsia"/>
          <w:color w:val="000000" w:themeColor="text1"/>
          <w14:textFill>
            <w14:solidFill>
              <w14:schemeClr w14:val="tx1"/>
            </w14:solidFill>
          </w14:textFill>
        </w:rPr>
        <w:t>方向</w:t>
      </w:r>
      <w:r>
        <w:rPr>
          <w:color w:val="000000" w:themeColor="text1"/>
          <w14:textFill>
            <w14:solidFill>
              <w14:schemeClr w14:val="tx1"/>
            </w14:solidFill>
          </w14:textFill>
        </w:rPr>
        <w:t>涡粘</w:t>
      </w:r>
      <w:r>
        <w:rPr>
          <w:rFonts w:hint="eastAsia"/>
          <w:color w:val="000000" w:themeColor="text1"/>
          <w14:textFill>
            <w14:solidFill>
              <w14:schemeClr w14:val="tx1"/>
            </w14:solidFill>
          </w14:textFill>
        </w:rPr>
        <w:t>系数。</w:t>
      </w:r>
    </w:p>
    <w:p w14:paraId="5CE309F6">
      <w:pPr>
        <w:autoSpaceDE w:val="0"/>
        <w:autoSpaceDN w:val="0"/>
        <w:adjustRightInd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底部切应力由下面两式给出：</w:t>
      </w:r>
    </w:p>
    <w:tbl>
      <w:tblPr>
        <w:tblStyle w:val="43"/>
        <w:tblW w:w="0" w:type="auto"/>
        <w:tblInd w:w="0" w:type="dxa"/>
        <w:tblLayout w:type="fixed"/>
        <w:tblCellMar>
          <w:top w:w="0" w:type="dxa"/>
          <w:left w:w="108" w:type="dxa"/>
          <w:bottom w:w="0" w:type="dxa"/>
          <w:right w:w="108" w:type="dxa"/>
        </w:tblCellMar>
      </w:tblPr>
      <w:tblGrid>
        <w:gridCol w:w="7848"/>
        <w:gridCol w:w="1260"/>
      </w:tblGrid>
      <w:tr w14:paraId="79E05A57">
        <w:tblPrEx>
          <w:tblCellMar>
            <w:top w:w="0" w:type="dxa"/>
            <w:left w:w="108" w:type="dxa"/>
            <w:bottom w:w="0" w:type="dxa"/>
            <w:right w:w="108" w:type="dxa"/>
          </w:tblCellMar>
        </w:tblPrEx>
        <w:tc>
          <w:tcPr>
            <w:tcW w:w="7848" w:type="dxa"/>
            <w:vAlign w:val="center"/>
          </w:tcPr>
          <w:p w14:paraId="343843CD">
            <w:pPr>
              <w:ind w:firstLine="480"/>
              <w:jc w:val="center"/>
              <w:rPr>
                <w:color w:val="000000" w:themeColor="text1"/>
                <w14:textFill>
                  <w14:solidFill>
                    <w14:schemeClr w14:val="tx1"/>
                  </w14:solidFill>
                </w14:textFill>
              </w:rPr>
            </w:pPr>
            <w:r>
              <w:rPr>
                <w:color w:val="000000" w:themeColor="text1"/>
                <w:position w:val="-30"/>
                <w14:textFill>
                  <w14:solidFill>
                    <w14:schemeClr w14:val="tx1"/>
                  </w14:solidFill>
                </w14:textFill>
              </w:rPr>
              <w:object>
                <v:shape id="_x0000_i1056" o:spt="75" type="#_x0000_t75" style="height:33.75pt;width:250.5pt;" o:ole="t" filled="f" o:preferrelative="t" stroked="f" coordsize="21600,21600">
                  <v:path/>
                  <v:fill on="f" focussize="0,0"/>
                  <v:stroke on="f" joinstyle="miter"/>
                  <v:imagedata r:id="rId149" o:title=""/>
                  <o:lock v:ext="edit" aspectratio="t"/>
                  <w10:wrap type="none"/>
                  <w10:anchorlock/>
                </v:shape>
                <o:OLEObject Type="Embed" ProgID="Equation.3" ShapeID="_x0000_i1056" DrawAspect="Content" ObjectID="_1468075756" r:id="rId148">
                  <o:LockedField>false</o:LockedField>
                </o:OLEObject>
              </w:object>
            </w:r>
          </w:p>
        </w:tc>
        <w:tc>
          <w:tcPr>
            <w:tcW w:w="1260" w:type="dxa"/>
            <w:vAlign w:val="center"/>
          </w:tcPr>
          <w:p w14:paraId="0649E39C">
            <w:pPr>
              <w:ind w:firstLine="48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r>
    </w:tbl>
    <w:p w14:paraId="59F3DBCC">
      <w:pPr>
        <w:autoSpaceDE w:val="0"/>
        <w:autoSpaceDN w:val="0"/>
        <w:adjustRightInd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上式中，</w:t>
      </w:r>
      <w:r>
        <w:rPr>
          <w:color w:val="000000" w:themeColor="text1"/>
          <w:position w:val="-10"/>
          <w14:textFill>
            <w14:solidFill>
              <w14:schemeClr w14:val="tx1"/>
            </w14:solidFill>
          </w14:textFill>
        </w:rPr>
        <w:object>
          <v:shape id="_x0000_i1057" o:spt="75" type="#_x0000_t75" style="height:17.25pt;width:15.75pt;" o:ole="t" filled="f" o:preferrelative="t" stroked="f" coordsize="21600,21600">
            <v:path/>
            <v:fill on="f" focussize="0,0"/>
            <v:stroke on="f" joinstyle="miter"/>
            <v:imagedata r:id="rId151" o:title=""/>
            <o:lock v:ext="edit" aspectratio="t"/>
            <w10:wrap type="none"/>
            <w10:anchorlock/>
          </v:shape>
          <o:OLEObject Type="Embed" ProgID="Equation.3" ShapeID="_x0000_i1057" DrawAspect="Content" ObjectID="_1468075757" r:id="rId150">
            <o:LockedField>false</o:LockedField>
          </o:OLEObject>
        </w:object>
      </w:r>
      <w:r>
        <w:rPr>
          <w:rFonts w:hint="eastAsia"/>
          <w:color w:val="000000" w:themeColor="text1"/>
          <w14:textFill>
            <w14:solidFill>
              <w14:schemeClr w14:val="tx1"/>
            </w14:solidFill>
          </w14:textFill>
        </w:rPr>
        <w:t>为谢才</w:t>
      </w:r>
      <w:r>
        <w:rPr>
          <w:color w:val="000000" w:themeColor="text1"/>
          <w14:textFill>
            <w14:solidFill>
              <w14:schemeClr w14:val="tx1"/>
            </w14:solidFill>
          </w14:textFill>
        </w:rPr>
        <w:t>系数。</w:t>
      </w:r>
    </w:p>
    <w:p w14:paraId="2C60E259">
      <w:pPr>
        <w:autoSpaceDE w:val="0"/>
        <w:autoSpaceDN w:val="0"/>
        <w:adjustRightInd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将式（4）-（5）</w:t>
      </w:r>
      <w:r>
        <w:rPr>
          <w:color w:val="000000" w:themeColor="text1"/>
          <w14:textFill>
            <w14:solidFill>
              <w14:schemeClr w14:val="tx1"/>
            </w14:solidFill>
          </w14:textFill>
        </w:rPr>
        <w:t>代入</w:t>
      </w:r>
      <w:r>
        <w:rPr>
          <w:rFonts w:hint="eastAsia"/>
          <w:color w:val="000000" w:themeColor="text1"/>
          <w14:textFill>
            <w14:solidFill>
              <w14:schemeClr w14:val="tx1"/>
            </w14:solidFill>
          </w14:textFill>
        </w:rPr>
        <w:t>式（</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得到</w:t>
      </w:r>
      <w:r>
        <w:rPr>
          <w:rFonts w:hint="eastAsia"/>
          <w:color w:val="000000" w:themeColor="text1"/>
          <w14:textFill>
            <w14:solidFill>
              <w14:schemeClr w14:val="tx1"/>
            </w14:solidFill>
          </w14:textFill>
        </w:rPr>
        <w:t>垂线</w:t>
      </w:r>
      <w:r>
        <w:rPr>
          <w:color w:val="000000" w:themeColor="text1"/>
          <w14:textFill>
            <w14:solidFill>
              <w14:schemeClr w14:val="tx1"/>
            </w14:solidFill>
          </w14:textFill>
        </w:rPr>
        <w:t>平均</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运动方程：</w:t>
      </w:r>
    </w:p>
    <w:tbl>
      <w:tblPr>
        <w:tblStyle w:val="43"/>
        <w:tblW w:w="0" w:type="auto"/>
        <w:tblInd w:w="0" w:type="dxa"/>
        <w:tblLayout w:type="fixed"/>
        <w:tblCellMar>
          <w:top w:w="0" w:type="dxa"/>
          <w:left w:w="108" w:type="dxa"/>
          <w:bottom w:w="0" w:type="dxa"/>
          <w:right w:w="108" w:type="dxa"/>
        </w:tblCellMar>
      </w:tblPr>
      <w:tblGrid>
        <w:gridCol w:w="7848"/>
        <w:gridCol w:w="1260"/>
      </w:tblGrid>
      <w:tr w14:paraId="7A4B6103">
        <w:tblPrEx>
          <w:tblCellMar>
            <w:top w:w="0" w:type="dxa"/>
            <w:left w:w="108" w:type="dxa"/>
            <w:bottom w:w="0" w:type="dxa"/>
            <w:right w:w="108" w:type="dxa"/>
          </w:tblCellMar>
        </w:tblPrEx>
        <w:tc>
          <w:tcPr>
            <w:tcW w:w="7848" w:type="dxa"/>
            <w:vAlign w:val="center"/>
          </w:tcPr>
          <w:p w14:paraId="0848B25F">
            <w:pPr>
              <w:ind w:firstLine="480"/>
              <w:jc w:val="center"/>
              <w:rPr>
                <w:color w:val="000000" w:themeColor="text1"/>
                <w14:textFill>
                  <w14:solidFill>
                    <w14:schemeClr w14:val="tx1"/>
                  </w14:solidFill>
                </w14:textFill>
              </w:rPr>
            </w:pPr>
            <w:r>
              <w:rPr>
                <w:color w:val="000000" w:themeColor="text1"/>
                <w:position w:val="-68"/>
                <w14:textFill>
                  <w14:solidFill>
                    <w14:schemeClr w14:val="tx1"/>
                  </w14:solidFill>
                </w14:textFill>
              </w:rPr>
              <w:object>
                <v:shape id="_x0000_i1058" o:spt="75" type="#_x0000_t75" style="height:74.25pt;width:300pt;" o:ole="t" filled="f" o:preferrelative="t" stroked="f" coordsize="21600,21600">
                  <v:path/>
                  <v:fill on="f" focussize="0,0"/>
                  <v:stroke on="f" joinstyle="miter"/>
                  <v:imagedata r:id="rId153" o:title=""/>
                  <o:lock v:ext="edit" aspectratio="t"/>
                  <w10:wrap type="none"/>
                  <w10:anchorlock/>
                </v:shape>
                <o:OLEObject Type="Embed" ProgID="Equation.3" ShapeID="_x0000_i1058" DrawAspect="Content" ObjectID="_1468075758" r:id="rId152">
                  <o:LockedField>false</o:LockedField>
                </o:OLEObject>
              </w:object>
            </w:r>
          </w:p>
        </w:tc>
        <w:tc>
          <w:tcPr>
            <w:tcW w:w="1260" w:type="dxa"/>
            <w:vAlign w:val="center"/>
          </w:tcPr>
          <w:p w14:paraId="5EB39198">
            <w:pPr>
              <w:ind w:firstLine="48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r>
    </w:tbl>
    <w:p w14:paraId="3D3C3AF9">
      <w:pPr>
        <w:autoSpaceDE w:val="0"/>
        <w:autoSpaceDN w:val="0"/>
        <w:adjustRightInd w:val="0"/>
        <w:ind w:firstLine="480"/>
        <w:jc w:val="left"/>
        <w:rPr>
          <w:color w:val="000000" w:themeColor="text1"/>
          <w14:textFill>
            <w14:solidFill>
              <w14:schemeClr w14:val="tx1"/>
            </w14:solidFill>
          </w14:textFill>
        </w:rPr>
      </w:pPr>
    </w:p>
    <w:tbl>
      <w:tblPr>
        <w:tblStyle w:val="43"/>
        <w:tblW w:w="0" w:type="auto"/>
        <w:tblInd w:w="0" w:type="dxa"/>
        <w:tblLayout w:type="fixed"/>
        <w:tblCellMar>
          <w:top w:w="0" w:type="dxa"/>
          <w:left w:w="108" w:type="dxa"/>
          <w:bottom w:w="0" w:type="dxa"/>
          <w:right w:w="108" w:type="dxa"/>
        </w:tblCellMar>
      </w:tblPr>
      <w:tblGrid>
        <w:gridCol w:w="7848"/>
        <w:gridCol w:w="1260"/>
      </w:tblGrid>
      <w:tr w14:paraId="45EE677C">
        <w:tblPrEx>
          <w:tblCellMar>
            <w:top w:w="0" w:type="dxa"/>
            <w:left w:w="108" w:type="dxa"/>
            <w:bottom w:w="0" w:type="dxa"/>
            <w:right w:w="108" w:type="dxa"/>
          </w:tblCellMar>
        </w:tblPrEx>
        <w:tc>
          <w:tcPr>
            <w:tcW w:w="7848" w:type="dxa"/>
            <w:vAlign w:val="center"/>
          </w:tcPr>
          <w:p w14:paraId="20E1F456">
            <w:pPr>
              <w:ind w:firstLine="480"/>
              <w:jc w:val="center"/>
              <w:rPr>
                <w:color w:val="000000" w:themeColor="text1"/>
                <w14:textFill>
                  <w14:solidFill>
                    <w14:schemeClr w14:val="tx1"/>
                  </w14:solidFill>
                </w14:textFill>
              </w:rPr>
            </w:pPr>
            <w:r>
              <w:rPr>
                <w:color w:val="000000" w:themeColor="text1"/>
                <w:position w:val="-68"/>
                <w14:textFill>
                  <w14:solidFill>
                    <w14:schemeClr w14:val="tx1"/>
                  </w14:solidFill>
                </w14:textFill>
              </w:rPr>
              <w:object>
                <v:shape id="_x0000_i1059" o:spt="75" type="#_x0000_t75" style="height:74.25pt;width:306pt;" o:ole="t" filled="f" o:preferrelative="t" stroked="f" coordsize="21600,21600">
                  <v:path/>
                  <v:fill on="f" focussize="0,0"/>
                  <v:stroke on="f" joinstyle="miter"/>
                  <v:imagedata r:id="rId155" o:title=""/>
                  <o:lock v:ext="edit" aspectratio="t"/>
                  <w10:wrap type="none"/>
                  <w10:anchorlock/>
                </v:shape>
                <o:OLEObject Type="Embed" ProgID="Equation.3" ShapeID="_x0000_i1059" DrawAspect="Content" ObjectID="_1468075759" r:id="rId154">
                  <o:LockedField>false</o:LockedField>
                </o:OLEObject>
              </w:object>
            </w:r>
          </w:p>
        </w:tc>
        <w:tc>
          <w:tcPr>
            <w:tcW w:w="1260" w:type="dxa"/>
            <w:vAlign w:val="center"/>
          </w:tcPr>
          <w:p w14:paraId="21AAFC84">
            <w:pPr>
              <w:ind w:firstLine="48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r>
    </w:tbl>
    <w:p w14:paraId="76FE908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模型固定（岸）边界以法向流速为零处理，即</w:t>
      </w:r>
      <w:r>
        <w:rPr>
          <w:color w:val="000000" w:themeColor="text1"/>
          <w:position w:val="-24"/>
          <w14:textFill>
            <w14:solidFill>
              <w14:schemeClr w14:val="tx1"/>
            </w14:solidFill>
          </w14:textFill>
        </w:rPr>
        <w:object>
          <v:shape id="_x0000_i1060" o:spt="75" type="#_x0000_t75" style="height:31.5pt;width:39.75pt;" o:ole="t" filled="f" o:preferrelative="t" stroked="f" coordsize="21600,21600">
            <v:path/>
            <v:fill on="f" focussize="0,0"/>
            <v:stroke on="f" joinstyle="miter"/>
            <v:imagedata r:id="rId157" o:title=""/>
            <o:lock v:ext="edit" aspectratio="t"/>
            <w10:wrap type="none"/>
            <w10:anchorlock/>
          </v:shape>
          <o:OLEObject Type="Embed" ProgID="Equation.3" ShapeID="_x0000_i1060" DrawAspect="Content" ObjectID="_1468075760" r:id="rId156">
            <o:LockedField>false</o:LockedField>
          </o:OLEObject>
        </w:object>
      </w:r>
      <w:r>
        <w:rPr>
          <w:rFonts w:hint="eastAsia"/>
          <w:color w:val="000000" w:themeColor="text1"/>
          <w14:textFill>
            <w14:solidFill>
              <w14:schemeClr w14:val="tx1"/>
            </w14:solidFill>
          </w14:textFill>
        </w:rPr>
        <w:t>。外海开边界由潮位控制，其潮位数据由NAO大洋潮汐预报模式提供，并结合沿岸潮位站验证资料予以调整。</w:t>
      </w:r>
      <w:r>
        <w:rPr>
          <w:color w:val="000000" w:themeColor="text1"/>
          <w14:textFill>
            <w14:solidFill>
              <w14:schemeClr w14:val="tx1"/>
            </w14:solidFill>
          </w14:textFill>
        </w:rPr>
        <w:t xml:space="preserve">NAO (National Astronomical Observatory in </w:t>
      </w:r>
      <w:r>
        <w:rPr>
          <w:rFonts w:hint="eastAsia"/>
          <w:color w:val="000000" w:themeColor="text1"/>
          <w14:textFill>
            <w14:solidFill>
              <w14:schemeClr w14:val="tx1"/>
            </w14:solidFill>
          </w14:textFill>
        </w:rPr>
        <w:t>Japan)全球潮汐模式是由Matsumoto， et al.(2000)采用</w:t>
      </w:r>
      <w:r>
        <w:rPr>
          <w:color w:val="000000" w:themeColor="text1"/>
          <w14:textFill>
            <w14:solidFill>
              <w14:schemeClr w14:val="tx1"/>
            </w14:solidFill>
          </w14:textFill>
        </w:rPr>
        <w:t>TOPEX/POSEIDON</w:t>
      </w:r>
      <w:r>
        <w:rPr>
          <w:rFonts w:hint="eastAsia"/>
          <w:color w:val="000000" w:themeColor="text1"/>
          <w14:textFill>
            <w14:solidFill>
              <w14:schemeClr w14:val="tx1"/>
            </w14:solidFill>
          </w14:textFill>
        </w:rPr>
        <w:t>卫星高度计资料</w:t>
      </w:r>
      <w:r>
        <w:rPr>
          <w:rFonts w:hint="eastAsia" w:cs="宋体"/>
          <w:color w:val="000000" w:themeColor="text1"/>
          <w14:textFill>
            <w14:solidFill>
              <w14:schemeClr w14:val="tx1"/>
            </w14:solidFill>
          </w14:textFill>
        </w:rPr>
        <w:t>，结合水动力模式与资料同化技术研发而成。该模式设计上包含全球及区域模式两部分：环球模式（</w:t>
      </w:r>
      <w:r>
        <w:rPr>
          <w:rFonts w:hint="eastAsia"/>
          <w:color w:val="000000" w:themeColor="text1"/>
          <w14:textFill>
            <w14:solidFill>
              <w14:schemeClr w14:val="tx1"/>
            </w14:solidFill>
          </w14:textFill>
        </w:rPr>
        <w:t>Naotide</w:t>
      </w:r>
      <w:r>
        <w:rPr>
          <w:rFonts w:hint="eastAsia" w:cs="宋体"/>
          <w:color w:val="000000" w:themeColor="text1"/>
          <w14:textFill>
            <w14:solidFill>
              <w14:schemeClr w14:val="tx1"/>
            </w14:solidFill>
          </w14:textFill>
        </w:rPr>
        <w:t>）具有0.5°的空间分辨率；区域模式（</w:t>
      </w:r>
      <w:r>
        <w:rPr>
          <w:rFonts w:hint="eastAsia"/>
          <w:color w:val="000000" w:themeColor="text1"/>
          <w14:textFill>
            <w14:solidFill>
              <w14:schemeClr w14:val="tx1"/>
            </w14:solidFill>
          </w14:textFill>
        </w:rPr>
        <w:t>NaotideJ</w:t>
      </w:r>
      <w:r>
        <w:rPr>
          <w:rFonts w:hint="eastAsia" w:cs="宋体"/>
          <w:color w:val="000000" w:themeColor="text1"/>
          <w14:textFill>
            <w14:solidFill>
              <w14:schemeClr w14:val="tx1"/>
            </w14:solidFill>
          </w14:textFill>
        </w:rPr>
        <w:t>）的空间分辨率为5′，细部海域包括了110°E-165°E以及20°N-65°N的范围。整体模式中，</w:t>
      </w:r>
      <w:r>
        <w:rPr>
          <w:rFonts w:hint="eastAsia"/>
          <w:color w:val="000000" w:themeColor="text1"/>
          <w14:textFill>
            <w14:solidFill>
              <w14:schemeClr w14:val="tx1"/>
            </w14:solidFill>
          </w14:textFill>
        </w:rPr>
        <w:t>NAO99b及NAO99Jb提供了包含 M2、S2、K1、O1、N2、P1、K2、Q1、M1、J1、OO1、2N2、Mu2、Nu2、L2、T2 等共16个天文分潮的调和常数，适用于中国沿海特定期间的短期逐时潮位预报，经与实测潮位值进行比较后得知，除近岸一些地方因局部地形复杂而误差较大外，多数潮位站的预报值与实测值较为接近，其预报结果在日本、台湾、福建以及广东等海域获得较多应用。</w:t>
      </w:r>
    </w:p>
    <w:p w14:paraId="1C50D8C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控制方程组的数值求解采用有限体积法，其基本思想是将微分守恒律在</w:t>
      </w:r>
      <w:r>
        <w:rPr>
          <w:color w:val="000000" w:themeColor="text1"/>
          <w14:textFill>
            <w14:solidFill>
              <w14:schemeClr w14:val="tx1"/>
            </w14:solidFill>
          </w14:textFill>
        </w:rPr>
        <w:t>某一个</w:t>
      </w:r>
      <w:r>
        <w:rPr>
          <w:rFonts w:hint="eastAsia"/>
          <w:color w:val="000000" w:themeColor="text1"/>
          <w14:textFill>
            <w14:solidFill>
              <w14:schemeClr w14:val="tx1"/>
            </w14:solidFill>
          </w14:textFill>
        </w:rPr>
        <w:t>控制体</w:t>
      </w:r>
      <w:r>
        <w:rPr>
          <w:color w:val="000000" w:themeColor="text1"/>
          <w14:textFill>
            <w14:solidFill>
              <w14:schemeClr w14:val="tx1"/>
            </w14:solidFill>
          </w14:textFill>
        </w:rPr>
        <w:t>上积分，得到守恒律的积分形式，再对</w:t>
      </w:r>
      <w:r>
        <w:rPr>
          <w:rFonts w:hint="eastAsia"/>
          <w:color w:val="000000" w:themeColor="text1"/>
          <w14:textFill>
            <w14:solidFill>
              <w14:schemeClr w14:val="tx1"/>
            </w14:solidFill>
          </w14:textFill>
        </w:rPr>
        <w:t>其</w:t>
      </w:r>
      <w:r>
        <w:rPr>
          <w:color w:val="000000" w:themeColor="text1"/>
          <w14:textFill>
            <w14:solidFill>
              <w14:schemeClr w14:val="tx1"/>
            </w14:solidFill>
          </w14:textFill>
        </w:rPr>
        <w:t>离散</w:t>
      </w:r>
      <w:r>
        <w:rPr>
          <w:rFonts w:hint="eastAsia"/>
          <w:color w:val="000000" w:themeColor="text1"/>
          <w14:textFill>
            <w14:solidFill>
              <w14:schemeClr w14:val="tx1"/>
            </w14:solidFill>
          </w14:textFill>
        </w:rPr>
        <w:t>求解。有限体积法吸收、继承了有限差分与有限元法的众多优点，在控制体内又严格满足物理守恒律，因而获得比较广泛的应用，限于篇幅，对其数值求解过程本报告不再赘述，可参考有关文献。</w:t>
      </w:r>
    </w:p>
    <w:p w14:paraId="28D6808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模型计算区域见图5.5.1--1，计算范围从广东西部的乌石港附近至越南太平省东北部沿岸连线的以北海域，包括了整个广西沿海。为真实反映计算区域内岛屿众多、岸线曲折状况，采用非结构三角形网格，并在广西沿岸进行局部加密，网格间距局部岸线处约200m，最宽处约7000m，网格单元共计34918个，见图5.5.1--</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p>
    <w:p w14:paraId="3FD64CD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模型岸线广西沿岸采用现状岸线，越南一侧岸线采用美国海洋大气局(</w:t>
      </w:r>
      <w:r>
        <w:rPr>
          <w:color w:val="000000" w:themeColor="text1"/>
          <w14:textFill>
            <w14:solidFill>
              <w14:schemeClr w14:val="tx1"/>
            </w14:solidFill>
          </w14:textFill>
        </w:rPr>
        <w:t>NOAA</w:t>
      </w:r>
      <w:r>
        <w:rPr>
          <w:rFonts w:hint="eastAsia"/>
          <w:color w:val="000000" w:themeColor="text1"/>
          <w14:textFill>
            <w14:solidFill>
              <w14:schemeClr w14:val="tx1"/>
            </w14:solidFill>
          </w14:textFill>
        </w:rPr>
        <w:t>)提供的数据；水深地形采用中国人民解放军海军司令部航海保证部2005年版之后海图，广西沿岸局部港湾水深更新至201</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年。水深及潮位资料统一至当地平均海平面。模型计算起止时间根据实测水文资料而设定，时长约</w:t>
      </w:r>
      <w:r>
        <w:rPr>
          <w:color w:val="000000" w:themeColor="text1"/>
          <w14:textFill>
            <w14:solidFill>
              <w14:schemeClr w14:val="tx1"/>
            </w14:solidFill>
          </w14:textFill>
        </w:rPr>
        <w:t>90d</w:t>
      </w:r>
      <w:r>
        <w:rPr>
          <w:rFonts w:hint="eastAsia"/>
          <w:color w:val="000000" w:themeColor="text1"/>
          <w14:textFill>
            <w14:solidFill>
              <w14:schemeClr w14:val="tx1"/>
            </w14:solidFill>
          </w14:textFill>
        </w:rPr>
        <w:t>。</w:t>
      </w:r>
    </w:p>
    <w:p w14:paraId="42804BE7">
      <w:pPr>
        <w:ind w:firstLine="199" w:firstLineChars="83"/>
        <w:jc w:val="left"/>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617845" cy="2447925"/>
            <wp:effectExtent l="0" t="0" r="0" b="0"/>
            <wp:docPr id="67" name="图片 67" descr="H:\project\2019\北部湾计算区域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H:\project\2019\北部湾计算区域nn.jpg"/>
                    <pic:cNvPicPr>
                      <a:picLocks noChangeAspect="1" noChangeArrowheads="1"/>
                    </pic:cNvPicPr>
                  </pic:nvPicPr>
                  <pic:blipFill>
                    <a:blip r:embed="rId158" cstate="print"/>
                    <a:srcRect/>
                    <a:stretch>
                      <a:fillRect/>
                    </a:stretch>
                  </pic:blipFill>
                  <pic:spPr>
                    <a:xfrm>
                      <a:off x="0" y="0"/>
                      <a:ext cx="5618016" cy="2448000"/>
                    </a:xfrm>
                    <a:prstGeom prst="rect">
                      <a:avLst/>
                    </a:prstGeom>
                    <a:noFill/>
                    <a:ln w="9525">
                      <a:noFill/>
                      <a:miter lim="800000"/>
                      <a:headEnd/>
                      <a:tailEnd/>
                    </a:ln>
                  </pic:spPr>
                </pic:pic>
              </a:graphicData>
            </a:graphic>
          </wp:inline>
        </w:drawing>
      </w:r>
    </w:p>
    <w:p w14:paraId="095E03CD">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b/>
          <w:color w:val="000000" w:themeColor="text1"/>
          <w14:textFill>
            <w14:solidFill>
              <w14:schemeClr w14:val="tx1"/>
            </w14:solidFill>
          </w14:textFill>
        </w:rPr>
        <w:t>5.5.1--1</w:t>
      </w:r>
      <w:r>
        <w:rPr>
          <w:rFonts w:hint="eastAsia"/>
          <w:b/>
          <w:color w:val="000000" w:themeColor="text1"/>
          <w14:textFill>
            <w14:solidFill>
              <w14:schemeClr w14:val="tx1"/>
            </w14:solidFill>
          </w14:textFill>
        </w:rPr>
        <w:t xml:space="preserve"> 北部湾潮波模型计算区域</w:t>
      </w:r>
    </w:p>
    <w:p w14:paraId="0ECC56FB">
      <w:pPr>
        <w:ind w:firstLine="199" w:firstLineChars="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4310" cy="2294255"/>
            <wp:effectExtent l="0" t="0" r="0" b="0"/>
            <wp:docPr id="68" name="图片 68" descr="G:\project\2024\maiweihai-yiliu\prj\图\北部湾网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G:\project\2024\maiweihai-yiliu\prj\图\北部湾网格‘.jpg"/>
                    <pic:cNvPicPr>
                      <a:picLocks noChangeAspect="1" noChangeArrowheads="1"/>
                    </pic:cNvPicPr>
                  </pic:nvPicPr>
                  <pic:blipFill>
                    <a:blip r:embed="rId159" cstate="print">
                      <a:extLst>
                        <a:ext uri="{28A0092B-C50C-407E-A947-70E740481C1C}">
                          <a14:useLocalDpi xmlns:a14="http://schemas.microsoft.com/office/drawing/2010/main" val="0"/>
                        </a:ext>
                      </a:extLst>
                    </a:blip>
                    <a:srcRect l="1626" t="1406" r="1204" b="32759"/>
                    <a:stretch>
                      <a:fillRect/>
                    </a:stretch>
                  </pic:blipFill>
                  <pic:spPr>
                    <a:xfrm>
                      <a:off x="0" y="0"/>
                      <a:ext cx="5274310" cy="2294343"/>
                    </a:xfrm>
                    <a:prstGeom prst="rect">
                      <a:avLst/>
                    </a:prstGeom>
                    <a:noFill/>
                    <a:ln>
                      <a:noFill/>
                    </a:ln>
                  </pic:spPr>
                </pic:pic>
              </a:graphicData>
            </a:graphic>
          </wp:inline>
        </w:drawing>
      </w:r>
    </w:p>
    <w:p w14:paraId="64C457C3">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图5.5.1--</w:t>
      </w:r>
      <w:r>
        <w:rPr>
          <w:b/>
          <w:color w:val="000000" w:themeColor="text1"/>
          <w14:textFill>
            <w14:solidFill>
              <w14:schemeClr w14:val="tx1"/>
            </w14:solidFill>
          </w14:textFill>
        </w:rPr>
        <w:t>2</w:t>
      </w:r>
      <w:r>
        <w:rPr>
          <w:rFonts w:hint="eastAsia"/>
          <w:b/>
          <w:color w:val="000000" w:themeColor="text1"/>
          <w14:textFill>
            <w14:solidFill>
              <w14:schemeClr w14:val="tx1"/>
            </w14:solidFill>
          </w14:textFill>
        </w:rPr>
        <w:t>北部湾计算区域网格剖分</w:t>
      </w:r>
    </w:p>
    <w:p w14:paraId="2BFB48B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为验证北部湾大范围潮波模型的准确性，选取白龙尾、涠洲岛、企沙验潮站2022年1月的潮位资料对模型进行验证，验证点位置见图</w:t>
      </w:r>
      <w:r>
        <w:rPr>
          <w:b/>
          <w:color w:val="000000" w:themeColor="text1"/>
          <w14:textFill>
            <w14:solidFill>
              <w14:schemeClr w14:val="tx1"/>
            </w14:solidFill>
          </w14:textFill>
        </w:rPr>
        <w:t>5.5.1--1</w:t>
      </w:r>
      <w:r>
        <w:rPr>
          <w:rFonts w:hint="eastAsia"/>
          <w:color w:val="000000" w:themeColor="text1"/>
          <w14:textFill>
            <w14:solidFill>
              <w14:schemeClr w14:val="tx1"/>
            </w14:solidFill>
          </w14:textFill>
        </w:rPr>
        <w:t>，图</w:t>
      </w:r>
      <w:r>
        <w:rPr>
          <w:b/>
          <w:color w:val="000000" w:themeColor="text1"/>
          <w14:textFill>
            <w14:solidFill>
              <w14:schemeClr w14:val="tx1"/>
            </w14:solidFill>
          </w14:textFill>
        </w:rPr>
        <w:t>5.5.1</w:t>
      </w:r>
      <w:r>
        <w:rPr>
          <w:rFonts w:hint="eastAsia"/>
          <w:color w:val="000000" w:themeColor="text1"/>
          <w14:textFill>
            <w14:solidFill>
              <w14:schemeClr w14:val="tx1"/>
            </w14:solidFill>
          </w14:textFill>
        </w:rPr>
        <w:t>-3~图</w:t>
      </w:r>
      <w:r>
        <w:rPr>
          <w:b/>
          <w:color w:val="000000" w:themeColor="text1"/>
          <w14:textFill>
            <w14:solidFill>
              <w14:schemeClr w14:val="tx1"/>
            </w14:solidFill>
          </w14:textFill>
        </w:rPr>
        <w:t>5.5.1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为三个潮位站的潮位对比结果，从图中可见，计算结果与实测值吻合较好，表明模型较好模拟了北部湾海域潮波运动过程，可为局部计算区域提供边界条件。</w:t>
      </w:r>
    </w:p>
    <w:p w14:paraId="11197E62">
      <w:pPr>
        <w:ind w:firstLine="199" w:firstLineChars="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591175" cy="1381125"/>
            <wp:effectExtent l="0" t="0" r="9525" b="9525"/>
            <wp:docPr id="69"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46"/>
                    <pic:cNvPicPr>
                      <a:picLocks noChangeAspect="1" noChangeArrowheads="1"/>
                    </pic:cNvPicPr>
                  </pic:nvPicPr>
                  <pic:blipFill>
                    <a:blip r:embed="rId160" cstate="print"/>
                    <a:srcRect/>
                    <a:stretch>
                      <a:fillRect/>
                    </a:stretch>
                  </pic:blipFill>
                  <pic:spPr>
                    <a:xfrm>
                      <a:off x="0" y="0"/>
                      <a:ext cx="5591175" cy="1381125"/>
                    </a:xfrm>
                    <a:prstGeom prst="rect">
                      <a:avLst/>
                    </a:prstGeom>
                    <a:noFill/>
                    <a:ln w="9525">
                      <a:noFill/>
                      <a:miter lim="800000"/>
                      <a:headEnd/>
                      <a:tailEnd/>
                    </a:ln>
                  </pic:spPr>
                </pic:pic>
              </a:graphicData>
            </a:graphic>
          </wp:inline>
        </w:drawing>
      </w:r>
    </w:p>
    <w:p w14:paraId="30792067">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b/>
          <w:color w:val="000000" w:themeColor="text1"/>
          <w14:textFill>
            <w14:solidFill>
              <w14:schemeClr w14:val="tx1"/>
            </w14:solidFill>
          </w14:textFill>
        </w:rPr>
        <w:t>5.5.1</w:t>
      </w:r>
      <w:r>
        <w:rPr>
          <w:rFonts w:hint="eastAsia"/>
          <w:b/>
          <w:color w:val="000000" w:themeColor="text1"/>
          <w14:textFill>
            <w14:solidFill>
              <w14:schemeClr w14:val="tx1"/>
            </w14:solidFill>
          </w14:textFill>
        </w:rPr>
        <w:t>-3 白龙尾潮位验证</w:t>
      </w:r>
    </w:p>
    <w:p w14:paraId="547D874C">
      <w:pPr>
        <w:ind w:firstLine="199" w:firstLineChars="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572125" cy="1381125"/>
            <wp:effectExtent l="0" t="0" r="9525" b="9525"/>
            <wp:docPr id="70"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47"/>
                    <pic:cNvPicPr>
                      <a:picLocks noChangeAspect="1" noChangeArrowheads="1"/>
                    </pic:cNvPicPr>
                  </pic:nvPicPr>
                  <pic:blipFill>
                    <a:blip r:embed="rId161" cstate="print"/>
                    <a:srcRect/>
                    <a:stretch>
                      <a:fillRect/>
                    </a:stretch>
                  </pic:blipFill>
                  <pic:spPr>
                    <a:xfrm>
                      <a:off x="0" y="0"/>
                      <a:ext cx="5572125" cy="1381125"/>
                    </a:xfrm>
                    <a:prstGeom prst="rect">
                      <a:avLst/>
                    </a:prstGeom>
                    <a:noFill/>
                    <a:ln w="9525">
                      <a:noFill/>
                      <a:miter lim="800000"/>
                      <a:headEnd/>
                      <a:tailEnd/>
                    </a:ln>
                  </pic:spPr>
                </pic:pic>
              </a:graphicData>
            </a:graphic>
          </wp:inline>
        </w:drawing>
      </w:r>
    </w:p>
    <w:p w14:paraId="1ABEC38B">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b/>
          <w:color w:val="000000" w:themeColor="text1"/>
          <w14:textFill>
            <w14:solidFill>
              <w14:schemeClr w14:val="tx1"/>
            </w14:solidFill>
          </w14:textFill>
        </w:rPr>
        <w:t>5.5.1</w:t>
      </w:r>
      <w:r>
        <w:rPr>
          <w:rFonts w:hint="eastAsia"/>
          <w:b/>
          <w:color w:val="000000" w:themeColor="text1"/>
          <w14:textFill>
            <w14:solidFill>
              <w14:schemeClr w14:val="tx1"/>
            </w14:solidFill>
          </w14:textFill>
        </w:rPr>
        <w:t>-4 涠洲岛潮位验证</w:t>
      </w:r>
    </w:p>
    <w:p w14:paraId="265CA7CA">
      <w:pPr>
        <w:ind w:firstLine="198" w:firstLineChars="82"/>
        <w:rPr>
          <w:b/>
          <w:color w:val="000000" w:themeColor="text1"/>
          <w14:textFill>
            <w14:solidFill>
              <w14:schemeClr w14:val="tx1"/>
            </w14:solidFill>
          </w14:textFill>
        </w:rPr>
      </w:pPr>
      <w:r>
        <w:rPr>
          <w:b/>
          <w:color w:val="000000" w:themeColor="text1"/>
          <w14:textFill>
            <w14:solidFill>
              <w14:schemeClr w14:val="tx1"/>
            </w14:solidFill>
          </w14:textFill>
        </w:rPr>
        <w:drawing>
          <wp:inline distT="0" distB="0" distL="0" distR="0">
            <wp:extent cx="5591175" cy="1381125"/>
            <wp:effectExtent l="0" t="0" r="9525" b="952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a:xfrm>
                      <a:off x="0" y="0"/>
                      <a:ext cx="5596337" cy="1382400"/>
                    </a:xfrm>
                    <a:prstGeom prst="rect">
                      <a:avLst/>
                    </a:prstGeom>
                    <a:noFill/>
                  </pic:spPr>
                </pic:pic>
              </a:graphicData>
            </a:graphic>
          </wp:inline>
        </w:drawing>
      </w:r>
    </w:p>
    <w:p w14:paraId="412F5A39">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b/>
          <w:color w:val="000000" w:themeColor="text1"/>
          <w14:textFill>
            <w14:solidFill>
              <w14:schemeClr w14:val="tx1"/>
            </w14:solidFill>
          </w14:textFill>
        </w:rPr>
        <w:t>5.5.1</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5</w:t>
      </w:r>
      <w:r>
        <w:rPr>
          <w:rFonts w:hint="eastAsia"/>
          <w:b/>
          <w:color w:val="000000" w:themeColor="text1"/>
          <w14:textFill>
            <w14:solidFill>
              <w14:schemeClr w14:val="tx1"/>
            </w14:solidFill>
          </w14:textFill>
        </w:rPr>
        <w:t xml:space="preserve"> 企沙潮位验证</w:t>
      </w:r>
    </w:p>
    <w:p w14:paraId="0974397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为对北部湾潮流运动状况有一个初步了解，图</w:t>
      </w:r>
      <w:r>
        <w:rPr>
          <w:b/>
          <w:color w:val="000000" w:themeColor="text1"/>
          <w14:textFill>
            <w14:solidFill>
              <w14:schemeClr w14:val="tx1"/>
            </w14:solidFill>
          </w14:textFill>
        </w:rPr>
        <w:t>5.5.1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与图</w:t>
      </w:r>
      <w:r>
        <w:rPr>
          <w:b/>
          <w:color w:val="000000" w:themeColor="text1"/>
          <w14:textFill>
            <w14:solidFill>
              <w14:schemeClr w14:val="tx1"/>
            </w14:solidFill>
          </w14:textFill>
        </w:rPr>
        <w:t>5.5.1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分别给出了北部湾大潮期间涨急、落急时刻的流场。</w:t>
      </w:r>
    </w:p>
    <w:p w14:paraId="39D5E957">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349240" cy="3959860"/>
            <wp:effectExtent l="0" t="0" r="0" b="0"/>
            <wp:docPr id="77" name="图片 77" descr="1637543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1637543437(1)"/>
                    <pic:cNvPicPr>
                      <a:picLocks noChangeAspect="1"/>
                    </pic:cNvPicPr>
                  </pic:nvPicPr>
                  <pic:blipFill>
                    <a:blip r:embed="rId163"/>
                    <a:stretch>
                      <a:fillRect/>
                    </a:stretch>
                  </pic:blipFill>
                  <pic:spPr>
                    <a:xfrm>
                      <a:off x="0" y="0"/>
                      <a:ext cx="5349728" cy="3960000"/>
                    </a:xfrm>
                    <a:prstGeom prst="rect">
                      <a:avLst/>
                    </a:prstGeom>
                  </pic:spPr>
                </pic:pic>
              </a:graphicData>
            </a:graphic>
          </wp:inline>
        </w:drawing>
      </w:r>
    </w:p>
    <w:p w14:paraId="17430591">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b/>
          <w:color w:val="000000" w:themeColor="text1"/>
          <w14:textFill>
            <w14:solidFill>
              <w14:schemeClr w14:val="tx1"/>
            </w14:solidFill>
          </w14:textFill>
        </w:rPr>
        <w:t xml:space="preserve">5.5.1-6 </w:t>
      </w:r>
      <w:r>
        <w:rPr>
          <w:rFonts w:hint="eastAsia"/>
          <w:b/>
          <w:color w:val="000000" w:themeColor="text1"/>
          <w14:textFill>
            <w14:solidFill>
              <w14:schemeClr w14:val="tx1"/>
            </w14:solidFill>
          </w14:textFill>
        </w:rPr>
        <w:t>北部湾涨急流场</w:t>
      </w:r>
    </w:p>
    <w:p w14:paraId="04480575">
      <w:pPr>
        <w:ind w:firstLine="48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drawing>
          <wp:inline distT="0" distB="0" distL="114300" distR="114300">
            <wp:extent cx="5345430" cy="3959860"/>
            <wp:effectExtent l="0" t="0" r="0" b="0"/>
            <wp:docPr id="80" name="图片 80" descr="1637543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1637543384(1)"/>
                    <pic:cNvPicPr>
                      <a:picLocks noChangeAspect="1"/>
                    </pic:cNvPicPr>
                  </pic:nvPicPr>
                  <pic:blipFill>
                    <a:blip r:embed="rId164"/>
                    <a:stretch>
                      <a:fillRect/>
                    </a:stretch>
                  </pic:blipFill>
                  <pic:spPr>
                    <a:xfrm>
                      <a:off x="0" y="0"/>
                      <a:ext cx="5345688" cy="3960000"/>
                    </a:xfrm>
                    <a:prstGeom prst="rect">
                      <a:avLst/>
                    </a:prstGeom>
                  </pic:spPr>
                </pic:pic>
              </a:graphicData>
            </a:graphic>
          </wp:inline>
        </w:drawing>
      </w:r>
    </w:p>
    <w:p w14:paraId="60FC6E5E">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b/>
          <w:color w:val="000000" w:themeColor="text1"/>
          <w14:textFill>
            <w14:solidFill>
              <w14:schemeClr w14:val="tx1"/>
            </w14:solidFill>
          </w14:textFill>
        </w:rPr>
        <w:t xml:space="preserve">5.5.1-7 </w:t>
      </w:r>
      <w:r>
        <w:rPr>
          <w:rFonts w:hint="eastAsia"/>
          <w:b/>
          <w:color w:val="000000" w:themeColor="text1"/>
          <w14:textFill>
            <w14:solidFill>
              <w14:schemeClr w14:val="tx1"/>
            </w14:solidFill>
          </w14:textFill>
        </w:rPr>
        <w:t>北部湾落急流场</w:t>
      </w:r>
    </w:p>
    <w:p w14:paraId="28F7E547">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钦州湾二维潮流数学模型</w:t>
      </w:r>
    </w:p>
    <w:p w14:paraId="722B766B">
      <w:pPr>
        <w:pStyle w:val="6"/>
        <w:ind w:left="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模型范围及验证</w:t>
      </w:r>
    </w:p>
    <w:p w14:paraId="7BFECBA1">
      <w:pPr>
        <w:ind w:firstLine="480"/>
        <w:rPr>
          <w:color w:val="000000" w:themeColor="text1"/>
          <w:kern w:val="0"/>
          <w14:textFill>
            <w14:solidFill>
              <w14:schemeClr w14:val="tx1"/>
            </w14:solidFill>
          </w14:textFill>
        </w:rPr>
      </w:pPr>
      <w:r>
        <w:rPr>
          <w:rFonts w:hint="eastAsia"/>
          <w:color w:val="000000" w:themeColor="text1"/>
          <w14:textFill>
            <w14:solidFill>
              <w14:schemeClr w14:val="tx1"/>
            </w14:solidFill>
          </w14:textFill>
        </w:rPr>
        <w:t>钦州湾潮流数学模型的</w:t>
      </w:r>
      <w:r>
        <w:rPr>
          <w:rFonts w:hint="eastAsia"/>
          <w:color w:val="000000" w:themeColor="text1"/>
          <w:kern w:val="0"/>
          <w14:textFill>
            <w14:solidFill>
              <w14:schemeClr w14:val="tx1"/>
            </w14:solidFill>
          </w14:textFill>
        </w:rPr>
        <w:t>计算区域、工程区位置以及验证点布置如图5.5.2-</w:t>
      </w:r>
      <w:r>
        <w:rPr>
          <w:color w:val="000000" w:themeColor="text1"/>
          <w:kern w:val="0"/>
          <w14:textFill>
            <w14:solidFill>
              <w14:schemeClr w14:val="tx1"/>
            </w14:solidFill>
          </w14:textFill>
        </w:rPr>
        <w:t>8</w:t>
      </w:r>
      <w:r>
        <w:rPr>
          <w:rFonts w:hint="eastAsia"/>
          <w:color w:val="000000" w:themeColor="text1"/>
          <w:kern w:val="0"/>
          <w14:textFill>
            <w14:solidFill>
              <w14:schemeClr w14:val="tx1"/>
            </w14:solidFill>
          </w14:textFill>
        </w:rPr>
        <w:t>所示。计算范围为108.3</w:t>
      </w:r>
      <w:r>
        <w:rPr>
          <w:color w:val="000000" w:themeColor="text1"/>
          <w:kern w:val="0"/>
          <w14:textFill>
            <w14:solidFill>
              <w14:schemeClr w14:val="tx1"/>
            </w14:solidFill>
          </w14:textFill>
        </w:rPr>
        <w:t>7</w:t>
      </w:r>
      <w:r>
        <w:rPr>
          <w:rFonts w:hint="eastAsia"/>
          <w:color w:val="000000" w:themeColor="text1"/>
          <w:kern w:val="0"/>
          <w14:textFill>
            <w14:solidFill>
              <w14:schemeClr w14:val="tx1"/>
            </w14:solidFill>
          </w14:textFill>
        </w:rPr>
        <w:t>°~10</w:t>
      </w:r>
      <w:r>
        <w:rPr>
          <w:color w:val="000000" w:themeColor="text1"/>
          <w:kern w:val="0"/>
          <w14:textFill>
            <w14:solidFill>
              <w14:schemeClr w14:val="tx1"/>
            </w14:solidFill>
          </w14:textFill>
        </w:rPr>
        <w:t>9</w:t>
      </w:r>
      <w:r>
        <w:rPr>
          <w:rFonts w:hint="eastAsia"/>
          <w:color w:val="000000" w:themeColor="text1"/>
          <w:kern w:val="0"/>
          <w14:textFill>
            <w14:solidFill>
              <w14:schemeClr w14:val="tx1"/>
            </w14:solidFill>
          </w14:textFill>
        </w:rPr>
        <w:t>.</w:t>
      </w:r>
      <w:r>
        <w:rPr>
          <w:color w:val="000000" w:themeColor="text1"/>
          <w:kern w:val="0"/>
          <w14:textFill>
            <w14:solidFill>
              <w14:schemeClr w14:val="tx1"/>
            </w14:solidFill>
          </w14:textFill>
        </w:rPr>
        <w:t>16</w:t>
      </w:r>
      <w:r>
        <w:rPr>
          <w:rFonts w:hint="eastAsia"/>
          <w:color w:val="000000" w:themeColor="text1"/>
          <w:kern w:val="0"/>
          <w14:textFill>
            <w14:solidFill>
              <w14:schemeClr w14:val="tx1"/>
            </w14:solidFill>
          </w14:textFill>
        </w:rPr>
        <w:t>°E，21.</w:t>
      </w:r>
      <w:r>
        <w:rPr>
          <w:color w:val="000000" w:themeColor="text1"/>
          <w:kern w:val="0"/>
          <w14:textFill>
            <w14:solidFill>
              <w14:schemeClr w14:val="tx1"/>
            </w14:solidFill>
          </w14:textFill>
        </w:rPr>
        <w:t>29</w:t>
      </w:r>
      <w:r>
        <w:rPr>
          <w:rFonts w:hint="eastAsia"/>
          <w:color w:val="000000" w:themeColor="text1"/>
          <w:kern w:val="0"/>
          <w14:textFill>
            <w14:solidFill>
              <w14:schemeClr w14:val="tx1"/>
            </w14:solidFill>
          </w14:textFill>
        </w:rPr>
        <w:t>°~21.9</w:t>
      </w:r>
      <w:r>
        <w:rPr>
          <w:color w:val="000000" w:themeColor="text1"/>
          <w:kern w:val="0"/>
          <w14:textFill>
            <w14:solidFill>
              <w14:schemeClr w14:val="tx1"/>
            </w14:solidFill>
          </w14:textFill>
        </w:rPr>
        <w:t>2</w:t>
      </w:r>
      <w:r>
        <w:rPr>
          <w:rFonts w:hint="eastAsia"/>
          <w:color w:val="000000" w:themeColor="text1"/>
          <w:kern w:val="0"/>
          <w14:textFill>
            <w14:solidFill>
              <w14:schemeClr w14:val="tx1"/>
            </w14:solidFill>
          </w14:textFill>
        </w:rPr>
        <w:t>°N，包括钦州湾和防城港湾部分海域，由于项目所在海域岛屿众多，岸线曲折，采用非结构三角形网格可以较好地贴合自然岸线，提高计算精度和计算效率，并便于各种工程情况的准确布置。计算区域的网格剖分如图5.5.2-</w:t>
      </w:r>
      <w:r>
        <w:rPr>
          <w:color w:val="000000" w:themeColor="text1"/>
          <w:kern w:val="0"/>
          <w14:textFill>
            <w14:solidFill>
              <w14:schemeClr w14:val="tx1"/>
            </w14:solidFill>
          </w14:textFill>
        </w:rPr>
        <w:t>9</w:t>
      </w:r>
      <w:r>
        <w:rPr>
          <w:rFonts w:hint="eastAsia"/>
          <w:color w:val="000000" w:themeColor="text1"/>
          <w:kern w:val="0"/>
          <w14:textFill>
            <w14:solidFill>
              <w14:schemeClr w14:val="tx1"/>
            </w14:solidFill>
          </w14:textFill>
        </w:rPr>
        <w:t>所示，工程区附近的网格进行加密，图1</w:t>
      </w:r>
      <w:r>
        <w:rPr>
          <w:color w:val="000000" w:themeColor="text1"/>
          <w:kern w:val="0"/>
          <w14:textFill>
            <w14:solidFill>
              <w14:schemeClr w14:val="tx1"/>
            </w14:solidFill>
          </w14:textFill>
        </w:rPr>
        <w:t>-10</w:t>
      </w:r>
      <w:r>
        <w:rPr>
          <w:rFonts w:hint="eastAsia"/>
          <w:color w:val="000000" w:themeColor="text1"/>
          <w:kern w:val="0"/>
          <w14:textFill>
            <w14:solidFill>
              <w14:schemeClr w14:val="tx1"/>
            </w14:solidFill>
          </w14:textFill>
        </w:rPr>
        <w:t>为本项目码头附近网格，网格空间边长为</w:t>
      </w:r>
      <w:r>
        <w:rPr>
          <w:color w:val="000000" w:themeColor="text1"/>
          <w:kern w:val="0"/>
          <w14:textFill>
            <w14:solidFill>
              <w14:schemeClr w14:val="tx1"/>
            </w14:solidFill>
          </w14:textFill>
        </w:rPr>
        <w:t>20</w:t>
      </w:r>
      <w:r>
        <w:rPr>
          <w:rFonts w:hint="eastAsia"/>
          <w:color w:val="000000" w:themeColor="text1"/>
          <w:kern w:val="0"/>
          <w14:textFill>
            <w14:solidFill>
              <w14:schemeClr w14:val="tx1"/>
            </w14:solidFill>
          </w14:textFill>
        </w:rPr>
        <w:t>-2500m，网格单元</w:t>
      </w:r>
      <w:r>
        <w:rPr>
          <w:color w:val="000000" w:themeColor="text1"/>
          <w:kern w:val="0"/>
          <w14:textFill>
            <w14:solidFill>
              <w14:schemeClr w14:val="tx1"/>
            </w14:solidFill>
          </w14:textFill>
        </w:rPr>
        <w:t>27627</w:t>
      </w:r>
      <w:r>
        <w:rPr>
          <w:rFonts w:hint="eastAsia"/>
          <w:color w:val="000000" w:themeColor="text1"/>
          <w:kern w:val="0"/>
          <w14:textFill>
            <w14:solidFill>
              <w14:schemeClr w14:val="tx1"/>
            </w14:solidFill>
          </w14:textFill>
        </w:rPr>
        <w:t>个，网格节点</w:t>
      </w:r>
      <w:r>
        <w:rPr>
          <w:color w:val="000000" w:themeColor="text1"/>
          <w:kern w:val="0"/>
          <w14:textFill>
            <w14:solidFill>
              <w14:schemeClr w14:val="tx1"/>
            </w14:solidFill>
          </w14:textFill>
        </w:rPr>
        <w:t>15156</w:t>
      </w:r>
      <w:r>
        <w:rPr>
          <w:rFonts w:hint="eastAsia"/>
          <w:color w:val="000000" w:themeColor="text1"/>
          <w:kern w:val="0"/>
          <w14:textFill>
            <w14:solidFill>
              <w14:schemeClr w14:val="tx1"/>
            </w14:solidFill>
          </w14:textFill>
        </w:rPr>
        <w:t>个。</w:t>
      </w:r>
    </w:p>
    <w:p w14:paraId="3CA0D079">
      <w:pPr>
        <w:ind w:firstLine="480"/>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水深地形数据采用20</w:t>
      </w:r>
      <w:r>
        <w:rPr>
          <w:color w:val="000000" w:themeColor="text1"/>
          <w:kern w:val="0"/>
          <w14:textFill>
            <w14:solidFill>
              <w14:schemeClr w14:val="tx1"/>
            </w14:solidFill>
          </w14:textFill>
        </w:rPr>
        <w:t>22</w:t>
      </w:r>
      <w:r>
        <w:rPr>
          <w:rFonts w:hint="eastAsia"/>
          <w:color w:val="000000" w:themeColor="text1"/>
          <w:kern w:val="0"/>
          <w14:textFill>
            <w14:solidFill>
              <w14:schemeClr w14:val="tx1"/>
            </w14:solidFill>
          </w14:textFill>
        </w:rPr>
        <w:t>年版流沙湾至东兴港、北海港、大风江口、钦州湾、防城港湾海图，以及20</w:t>
      </w:r>
      <w:r>
        <w:rPr>
          <w:color w:val="000000" w:themeColor="text1"/>
          <w:kern w:val="0"/>
          <w14:textFill>
            <w14:solidFill>
              <w14:schemeClr w14:val="tx1"/>
            </w14:solidFill>
          </w14:textFill>
        </w:rPr>
        <w:t>24</w:t>
      </w:r>
      <w:r>
        <w:rPr>
          <w:rFonts w:hint="eastAsia"/>
          <w:color w:val="000000" w:themeColor="text1"/>
          <w:kern w:val="0"/>
          <w14:textFill>
            <w14:solidFill>
              <w14:schemeClr w14:val="tx1"/>
            </w14:solidFill>
          </w14:textFill>
        </w:rPr>
        <w:t>年</w:t>
      </w:r>
      <w:r>
        <w:rPr>
          <w:color w:val="000000" w:themeColor="text1"/>
          <w:kern w:val="0"/>
          <w14:textFill>
            <w14:solidFill>
              <w14:schemeClr w14:val="tx1"/>
            </w14:solidFill>
          </w14:textFill>
        </w:rPr>
        <w:t>8</w:t>
      </w:r>
      <w:r>
        <w:rPr>
          <w:rFonts w:hint="eastAsia"/>
          <w:color w:val="000000" w:themeColor="text1"/>
          <w:kern w:val="0"/>
          <w14:textFill>
            <w14:solidFill>
              <w14:schemeClr w14:val="tx1"/>
            </w14:solidFill>
          </w14:textFill>
        </w:rPr>
        <w:t>月工程区海域局部调查数据，计算区域地形分布如图5.5.2-11所示。岸线采用最新的现状岸线。外海潮位开边界由北部湾潮波模型提供，水深及潮位均统一至国家8</w:t>
      </w:r>
      <w:r>
        <w:rPr>
          <w:color w:val="000000" w:themeColor="text1"/>
          <w:kern w:val="0"/>
          <w14:textFill>
            <w14:solidFill>
              <w14:schemeClr w14:val="tx1"/>
            </w14:solidFill>
          </w14:textFill>
        </w:rPr>
        <w:t>5</w:t>
      </w:r>
      <w:r>
        <w:rPr>
          <w:rFonts w:hint="eastAsia"/>
          <w:color w:val="000000" w:themeColor="text1"/>
          <w:kern w:val="0"/>
          <w14:textFill>
            <w14:solidFill>
              <w14:schemeClr w14:val="tx1"/>
            </w14:solidFill>
          </w14:textFill>
        </w:rPr>
        <w:t>高程，坐标系统采用北京54坐标系。一般</w:t>
      </w:r>
      <w:r>
        <w:rPr>
          <w:color w:val="000000" w:themeColor="text1"/>
          <w:kern w:val="0"/>
          <w14:textFill>
            <w14:solidFill>
              <w14:schemeClr w14:val="tx1"/>
            </w14:solidFill>
          </w14:textFill>
        </w:rPr>
        <w:t>5</w:t>
      </w:r>
      <w:r>
        <w:rPr>
          <w:rFonts w:hint="eastAsia"/>
          <w:color w:val="000000" w:themeColor="text1"/>
          <w:kern w:val="0"/>
          <w14:textFill>
            <w14:solidFill>
              <w14:schemeClr w14:val="tx1"/>
            </w14:solidFill>
          </w14:textFill>
        </w:rPr>
        <w:t>月已逐渐转为平水期，故按多年平均径流量估算，钦江、茅岭江径流量分别取</w:t>
      </w:r>
      <w:r>
        <w:rPr>
          <w:color w:val="000000" w:themeColor="text1"/>
          <w:kern w:val="0"/>
          <w14:textFill>
            <w14:solidFill>
              <w14:schemeClr w14:val="tx1"/>
            </w14:solidFill>
          </w14:textFill>
        </w:rPr>
        <w:t xml:space="preserve">37 </w:t>
      </w:r>
      <w:r>
        <w:rPr>
          <w:rFonts w:hint="eastAsia"/>
          <w:color w:val="000000" w:themeColor="text1"/>
          <w:kern w:val="0"/>
          <w14:textFill>
            <w14:solidFill>
              <w14:schemeClr w14:val="tx1"/>
            </w14:solidFill>
          </w14:textFill>
        </w:rPr>
        <w:t>m</w:t>
      </w:r>
      <w:r>
        <w:rPr>
          <w:rFonts w:hint="eastAsia"/>
          <w:color w:val="000000" w:themeColor="text1"/>
          <w:kern w:val="0"/>
          <w:vertAlign w:val="superscript"/>
          <w14:textFill>
            <w14:solidFill>
              <w14:schemeClr w14:val="tx1"/>
            </w14:solidFill>
          </w14:textFill>
        </w:rPr>
        <w:t>3</w:t>
      </w:r>
      <w:r>
        <w:rPr>
          <w:rFonts w:hint="eastAsia"/>
          <w:color w:val="000000" w:themeColor="text1"/>
          <w:kern w:val="0"/>
          <w14:textFill>
            <w14:solidFill>
              <w14:schemeClr w14:val="tx1"/>
            </w14:solidFill>
          </w14:textFill>
        </w:rPr>
        <w:t>/s、5</w:t>
      </w:r>
      <w:r>
        <w:rPr>
          <w:color w:val="000000" w:themeColor="text1"/>
          <w:kern w:val="0"/>
          <w14:textFill>
            <w14:solidFill>
              <w14:schemeClr w14:val="tx1"/>
            </w14:solidFill>
          </w14:textFill>
        </w:rPr>
        <w:t>1</w:t>
      </w:r>
      <w:r>
        <w:rPr>
          <w:rFonts w:hint="eastAsia"/>
          <w:color w:val="000000" w:themeColor="text1"/>
          <w:kern w:val="0"/>
          <w14:textFill>
            <w14:solidFill>
              <w14:schemeClr w14:val="tx1"/>
            </w14:solidFill>
          </w14:textFill>
        </w:rPr>
        <w:t xml:space="preserve"> m</w:t>
      </w:r>
      <w:r>
        <w:rPr>
          <w:rFonts w:hint="eastAsia"/>
          <w:color w:val="000000" w:themeColor="text1"/>
          <w:kern w:val="0"/>
          <w:vertAlign w:val="superscript"/>
          <w14:textFill>
            <w14:solidFill>
              <w14:schemeClr w14:val="tx1"/>
            </w14:solidFill>
          </w14:textFill>
        </w:rPr>
        <w:t>3</w:t>
      </w:r>
      <w:r>
        <w:rPr>
          <w:rFonts w:hint="eastAsia"/>
          <w:color w:val="000000" w:themeColor="text1"/>
          <w:kern w:val="0"/>
          <w14:textFill>
            <w14:solidFill>
              <w14:schemeClr w14:val="tx1"/>
            </w14:solidFill>
          </w14:textFill>
        </w:rPr>
        <w:t>/s。采用20</w:t>
      </w:r>
      <w:r>
        <w:rPr>
          <w:color w:val="000000" w:themeColor="text1"/>
          <w:kern w:val="0"/>
          <w14:textFill>
            <w14:solidFill>
              <w14:schemeClr w14:val="tx1"/>
            </w14:solidFill>
          </w14:textFill>
        </w:rPr>
        <w:t>22</w:t>
      </w:r>
      <w:r>
        <w:rPr>
          <w:rFonts w:hint="eastAsia"/>
          <w:color w:val="000000" w:themeColor="text1"/>
          <w:kern w:val="0"/>
          <w14:textFill>
            <w14:solidFill>
              <w14:schemeClr w14:val="tx1"/>
            </w14:solidFill>
          </w14:textFill>
        </w:rPr>
        <w:t>年</w:t>
      </w:r>
      <w:r>
        <w:rPr>
          <w:color w:val="000000" w:themeColor="text1"/>
          <w:kern w:val="0"/>
          <w14:textFill>
            <w14:solidFill>
              <w14:schemeClr w14:val="tx1"/>
            </w14:solidFill>
          </w14:textFill>
        </w:rPr>
        <w:t>5</w:t>
      </w:r>
      <w:r>
        <w:rPr>
          <w:rFonts w:hint="eastAsia"/>
          <w:color w:val="000000" w:themeColor="text1"/>
          <w:kern w:val="0"/>
          <w14:textFill>
            <w14:solidFill>
              <w14:schemeClr w14:val="tx1"/>
            </w14:solidFill>
          </w14:textFill>
        </w:rPr>
        <w:t>月大潮期的水文观测资料对模型进行验证。钦州港和三娘湾潮位站观测时间为20</w:t>
      </w:r>
      <w:r>
        <w:rPr>
          <w:color w:val="000000" w:themeColor="text1"/>
          <w:kern w:val="0"/>
          <w14:textFill>
            <w14:solidFill>
              <w14:schemeClr w14:val="tx1"/>
            </w14:solidFill>
          </w14:textFill>
        </w:rPr>
        <w:t>22</w:t>
      </w:r>
      <w:r>
        <w:rPr>
          <w:rFonts w:hint="eastAsia"/>
          <w:color w:val="000000" w:themeColor="text1"/>
          <w:kern w:val="0"/>
          <w14:textFill>
            <w14:solidFill>
              <w14:schemeClr w14:val="tx1"/>
            </w14:solidFill>
          </w14:textFill>
        </w:rPr>
        <w:t>年</w:t>
      </w:r>
      <w:r>
        <w:rPr>
          <w:color w:val="000000" w:themeColor="text1"/>
          <w:kern w:val="0"/>
          <w14:textFill>
            <w14:solidFill>
              <w14:schemeClr w14:val="tx1"/>
            </w14:solidFill>
          </w14:textFill>
        </w:rPr>
        <w:t>5</w:t>
      </w:r>
      <w:r>
        <w:rPr>
          <w:rFonts w:hint="eastAsia"/>
          <w:color w:val="000000" w:themeColor="text1"/>
          <w:kern w:val="0"/>
          <w14:textFill>
            <w14:solidFill>
              <w14:schemeClr w14:val="tx1"/>
            </w14:solidFill>
          </w14:textFill>
        </w:rPr>
        <w:t>月</w:t>
      </w:r>
      <w:r>
        <w:rPr>
          <w:color w:val="000000" w:themeColor="text1"/>
          <w:kern w:val="0"/>
          <w14:textFill>
            <w14:solidFill>
              <w14:schemeClr w14:val="tx1"/>
            </w14:solidFill>
          </w14:textFill>
        </w:rPr>
        <w:t>21</w:t>
      </w:r>
      <w:r>
        <w:rPr>
          <w:rFonts w:hint="eastAsia"/>
          <w:color w:val="000000" w:themeColor="text1"/>
          <w:kern w:val="0"/>
          <w14:textFill>
            <w14:solidFill>
              <w14:schemeClr w14:val="tx1"/>
            </w14:solidFill>
          </w14:textFill>
        </w:rPr>
        <w:t>日00:00-</w:t>
      </w:r>
      <w:r>
        <w:rPr>
          <w:color w:val="000000" w:themeColor="text1"/>
          <w:kern w:val="0"/>
          <w14:textFill>
            <w14:solidFill>
              <w14:schemeClr w14:val="tx1"/>
            </w14:solidFill>
          </w14:textFill>
        </w:rPr>
        <w:t>22</w:t>
      </w:r>
      <w:r>
        <w:rPr>
          <w:rFonts w:hint="eastAsia"/>
          <w:color w:val="000000" w:themeColor="text1"/>
          <w:kern w:val="0"/>
          <w14:textFill>
            <w14:solidFill>
              <w14:schemeClr w14:val="tx1"/>
            </w14:solidFill>
          </w14:textFill>
        </w:rPr>
        <w:t>日23:00，钦州湾</w:t>
      </w:r>
      <w:r>
        <w:rPr>
          <w:color w:val="000000" w:themeColor="text1"/>
          <w:kern w:val="0"/>
          <w14:textFill>
            <w14:solidFill>
              <w14:schemeClr w14:val="tx1"/>
            </w14:solidFill>
          </w14:textFill>
        </w:rPr>
        <w:t>6</w:t>
      </w:r>
      <w:r>
        <w:rPr>
          <w:rFonts w:hint="eastAsia"/>
          <w:color w:val="000000" w:themeColor="text1"/>
          <w:kern w:val="0"/>
          <w14:textFill>
            <w14:solidFill>
              <w14:schemeClr w14:val="tx1"/>
            </w14:solidFill>
          </w14:textFill>
        </w:rPr>
        <w:t>个潮流站的观测时间为20</w:t>
      </w:r>
      <w:r>
        <w:rPr>
          <w:color w:val="000000" w:themeColor="text1"/>
          <w:kern w:val="0"/>
          <w14:textFill>
            <w14:solidFill>
              <w14:schemeClr w14:val="tx1"/>
            </w14:solidFill>
          </w14:textFill>
        </w:rPr>
        <w:t>22</w:t>
      </w:r>
      <w:r>
        <w:rPr>
          <w:rFonts w:hint="eastAsia"/>
          <w:color w:val="000000" w:themeColor="text1"/>
          <w:kern w:val="0"/>
          <w14:textFill>
            <w14:solidFill>
              <w14:schemeClr w14:val="tx1"/>
            </w14:solidFill>
          </w14:textFill>
        </w:rPr>
        <w:t>年</w:t>
      </w:r>
      <w:r>
        <w:rPr>
          <w:color w:val="000000" w:themeColor="text1"/>
          <w:kern w:val="0"/>
          <w14:textFill>
            <w14:solidFill>
              <w14:schemeClr w14:val="tx1"/>
            </w14:solidFill>
          </w14:textFill>
        </w:rPr>
        <w:t>5</w:t>
      </w:r>
      <w:r>
        <w:rPr>
          <w:rFonts w:hint="eastAsia"/>
          <w:color w:val="000000" w:themeColor="text1"/>
          <w:kern w:val="0"/>
          <w14:textFill>
            <w14:solidFill>
              <w14:schemeClr w14:val="tx1"/>
            </w14:solidFill>
          </w14:textFill>
        </w:rPr>
        <w:t>月</w:t>
      </w:r>
      <w:r>
        <w:rPr>
          <w:color w:val="000000" w:themeColor="text1"/>
          <w:kern w:val="0"/>
          <w14:textFill>
            <w14:solidFill>
              <w14:schemeClr w14:val="tx1"/>
            </w14:solidFill>
          </w14:textFill>
        </w:rPr>
        <w:t>21</w:t>
      </w:r>
      <w:r>
        <w:rPr>
          <w:rFonts w:hint="eastAsia"/>
          <w:color w:val="000000" w:themeColor="text1"/>
          <w:kern w:val="0"/>
          <w14:textFill>
            <w14:solidFill>
              <w14:schemeClr w14:val="tx1"/>
            </w14:solidFill>
          </w14:textFill>
        </w:rPr>
        <w:t>日至</w:t>
      </w:r>
      <w:r>
        <w:rPr>
          <w:color w:val="000000" w:themeColor="text1"/>
          <w:kern w:val="0"/>
          <w14:textFill>
            <w14:solidFill>
              <w14:schemeClr w14:val="tx1"/>
            </w14:solidFill>
          </w14:textFill>
        </w:rPr>
        <w:t>22</w:t>
      </w:r>
      <w:r>
        <w:rPr>
          <w:rFonts w:hint="eastAsia"/>
          <w:color w:val="000000" w:themeColor="text1"/>
          <w:kern w:val="0"/>
          <w14:textFill>
            <w14:solidFill>
              <w14:schemeClr w14:val="tx1"/>
            </w14:solidFill>
          </w14:textFill>
        </w:rPr>
        <w:t>日，时间与潮位站观测时间同步。模型计算时间为20</w:t>
      </w:r>
      <w:r>
        <w:rPr>
          <w:color w:val="000000" w:themeColor="text1"/>
          <w:kern w:val="0"/>
          <w14:textFill>
            <w14:solidFill>
              <w14:schemeClr w14:val="tx1"/>
            </w14:solidFill>
          </w14:textFill>
        </w:rPr>
        <w:t>22</w:t>
      </w:r>
      <w:r>
        <w:rPr>
          <w:rFonts w:hint="eastAsia"/>
          <w:color w:val="000000" w:themeColor="text1"/>
          <w:kern w:val="0"/>
          <w14:textFill>
            <w14:solidFill>
              <w14:schemeClr w14:val="tx1"/>
            </w14:solidFill>
          </w14:textFill>
        </w:rPr>
        <w:t>年</w:t>
      </w:r>
      <w:r>
        <w:rPr>
          <w:color w:val="000000" w:themeColor="text1"/>
          <w:kern w:val="0"/>
          <w14:textFill>
            <w14:solidFill>
              <w14:schemeClr w14:val="tx1"/>
            </w14:solidFill>
          </w14:textFill>
        </w:rPr>
        <w:t>5</w:t>
      </w:r>
      <w:r>
        <w:rPr>
          <w:rFonts w:hint="eastAsia"/>
          <w:color w:val="000000" w:themeColor="text1"/>
          <w:kern w:val="0"/>
          <w14:textFill>
            <w14:solidFill>
              <w14:schemeClr w14:val="tx1"/>
            </w14:solidFill>
          </w14:textFill>
        </w:rPr>
        <w:t>月</w:t>
      </w:r>
      <w:r>
        <w:rPr>
          <w:color w:val="000000" w:themeColor="text1"/>
          <w:kern w:val="0"/>
          <w14:textFill>
            <w14:solidFill>
              <w14:schemeClr w14:val="tx1"/>
            </w14:solidFill>
          </w14:textFill>
        </w:rPr>
        <w:t>15</w:t>
      </w:r>
      <w:r>
        <w:rPr>
          <w:rFonts w:hint="eastAsia"/>
          <w:color w:val="000000" w:themeColor="text1"/>
          <w:kern w:val="0"/>
          <w14:textFill>
            <w14:solidFill>
              <w14:schemeClr w14:val="tx1"/>
            </w14:solidFill>
          </w14:textFill>
        </w:rPr>
        <w:t>日-</w:t>
      </w:r>
      <w:r>
        <w:rPr>
          <w:color w:val="000000" w:themeColor="text1"/>
          <w:kern w:val="0"/>
          <w14:textFill>
            <w14:solidFill>
              <w14:schemeClr w14:val="tx1"/>
            </w14:solidFill>
          </w14:textFill>
        </w:rPr>
        <w:t>5</w:t>
      </w:r>
      <w:r>
        <w:rPr>
          <w:rFonts w:hint="eastAsia"/>
          <w:color w:val="000000" w:themeColor="text1"/>
          <w:kern w:val="0"/>
          <w14:textFill>
            <w14:solidFill>
              <w14:schemeClr w14:val="tx1"/>
            </w14:solidFill>
          </w14:textFill>
        </w:rPr>
        <w:t>月</w:t>
      </w:r>
      <w:r>
        <w:rPr>
          <w:color w:val="000000" w:themeColor="text1"/>
          <w:kern w:val="0"/>
          <w14:textFill>
            <w14:solidFill>
              <w14:schemeClr w14:val="tx1"/>
            </w14:solidFill>
          </w14:textFill>
        </w:rPr>
        <w:t>30</w:t>
      </w:r>
      <w:r>
        <w:rPr>
          <w:rFonts w:hint="eastAsia"/>
          <w:color w:val="000000" w:themeColor="text1"/>
          <w:kern w:val="0"/>
          <w14:textFill>
            <w14:solidFill>
              <w14:schemeClr w14:val="tx1"/>
            </w14:solidFill>
          </w14:textFill>
        </w:rPr>
        <w:t>日共1</w:t>
      </w:r>
      <w:r>
        <w:rPr>
          <w:color w:val="000000" w:themeColor="text1"/>
          <w:kern w:val="0"/>
          <w14:textFill>
            <w14:solidFill>
              <w14:schemeClr w14:val="tx1"/>
            </w14:solidFill>
          </w14:textFill>
        </w:rPr>
        <w:t>6</w:t>
      </w:r>
      <w:r>
        <w:rPr>
          <w:rFonts w:hint="eastAsia"/>
          <w:color w:val="000000" w:themeColor="text1"/>
          <w:kern w:val="0"/>
          <w14:textFill>
            <w14:solidFill>
              <w14:schemeClr w14:val="tx1"/>
            </w14:solidFill>
          </w14:textFill>
        </w:rPr>
        <w:t>d。</w:t>
      </w:r>
    </w:p>
    <w:p w14:paraId="44F59CBA">
      <w:pPr>
        <w:autoSpaceDE w:val="0"/>
        <w:autoSpaceDN w:val="0"/>
        <w:adjustRightInd w:val="0"/>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t>9</w:t>
      </w:r>
      <w:r>
        <w:rPr>
          <w:color w:val="000000" w:themeColor="text1"/>
          <w14:textFill>
            <w14:solidFill>
              <w14:schemeClr w14:val="tx1"/>
            </w14:solidFill>
          </w14:textFill>
        </w:rPr>
        <w:drawing>
          <wp:inline distT="0" distB="0" distL="0" distR="0">
            <wp:extent cx="3114675" cy="323977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3115002" cy="3240000"/>
                    </a:xfrm>
                    <a:prstGeom prst="rect">
                      <a:avLst/>
                    </a:prstGeom>
                    <a:noFill/>
                    <a:ln>
                      <a:noFill/>
                    </a:ln>
                  </pic:spPr>
                </pic:pic>
              </a:graphicData>
            </a:graphic>
          </wp:inline>
        </w:drawing>
      </w:r>
    </w:p>
    <w:p w14:paraId="68FBBB66">
      <w:pPr>
        <w:autoSpaceDE w:val="0"/>
        <w:autoSpaceDN w:val="0"/>
        <w:adjustRightInd w:val="0"/>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b/>
          <w:color w:val="000000" w:themeColor="text1"/>
          <w14:textFill>
            <w14:solidFill>
              <w14:schemeClr w14:val="tx1"/>
            </w14:solidFill>
          </w14:textFill>
        </w:rPr>
        <w:t>5.5.2</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8</w:t>
      </w:r>
      <w:r>
        <w:rPr>
          <w:rFonts w:hint="eastAsia"/>
          <w:b/>
          <w:color w:val="000000" w:themeColor="text1"/>
          <w14:textFill>
            <w14:solidFill>
              <w14:schemeClr w14:val="tx1"/>
            </w14:solidFill>
          </w14:textFill>
        </w:rPr>
        <w:t xml:space="preserve"> 钦州湾潮流模型计算区域（局部）及验证点布置示意</w:t>
      </w:r>
    </w:p>
    <w:p w14:paraId="6425644B">
      <w:pPr>
        <w:autoSpaceDE w:val="0"/>
        <w:autoSpaceDN w:val="0"/>
        <w:adjustRightInd w:val="0"/>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986020" cy="3959860"/>
            <wp:effectExtent l="0" t="0" r="0" b="0"/>
            <wp:docPr id="82" name="图片 82" descr="H:\project\2025\qinz-1415weihuaping\project\图图\网格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H:\project\2025\qinz-1415weihuaping\project\图图\网格大‘.jpg"/>
                    <pic:cNvPicPr>
                      <a:picLocks noChangeAspect="1" noChangeArrowheads="1"/>
                    </pic:cNvPicPr>
                  </pic:nvPicPr>
                  <pic:blipFill>
                    <a:blip r:embed="rId166" cstate="print">
                      <a:extLst>
                        <a:ext uri="{28A0092B-C50C-407E-A947-70E740481C1C}">
                          <a14:useLocalDpi xmlns:a14="http://schemas.microsoft.com/office/drawing/2010/main" val="0"/>
                        </a:ext>
                      </a:extLst>
                    </a:blip>
                    <a:srcRect l="3108" t="19905" r="21488" b="2580"/>
                    <a:stretch>
                      <a:fillRect/>
                    </a:stretch>
                  </pic:blipFill>
                  <pic:spPr>
                    <a:xfrm>
                      <a:off x="0" y="0"/>
                      <a:ext cx="4986561" cy="3960000"/>
                    </a:xfrm>
                    <a:prstGeom prst="rect">
                      <a:avLst/>
                    </a:prstGeom>
                    <a:noFill/>
                    <a:ln>
                      <a:noFill/>
                    </a:ln>
                  </pic:spPr>
                </pic:pic>
              </a:graphicData>
            </a:graphic>
          </wp:inline>
        </w:drawing>
      </w:r>
    </w:p>
    <w:p w14:paraId="5877CFD0">
      <w:pPr>
        <w:autoSpaceDE w:val="0"/>
        <w:autoSpaceDN w:val="0"/>
        <w:adjustRightInd w:val="0"/>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9</w:t>
      </w:r>
      <w:r>
        <w:rPr>
          <w:rFonts w:hint="eastAsia"/>
          <w:b/>
          <w:color w:val="000000" w:themeColor="text1"/>
          <w14:textFill>
            <w14:solidFill>
              <w14:schemeClr w14:val="tx1"/>
            </w14:solidFill>
          </w14:textFill>
        </w:rPr>
        <w:t xml:space="preserve"> 模型计算区域网格划分</w:t>
      </w:r>
    </w:p>
    <w:p w14:paraId="06DB3A72">
      <w:pPr>
        <w:autoSpaceDE w:val="0"/>
        <w:autoSpaceDN w:val="0"/>
        <w:adjustRightInd w:val="0"/>
        <w:ind w:firstLine="482"/>
        <w:jc w:val="center"/>
        <w:rPr>
          <w:b/>
          <w:color w:val="000000" w:themeColor="text1"/>
          <w14:textFill>
            <w14:solidFill>
              <w14:schemeClr w14:val="tx1"/>
            </w14:solidFill>
          </w14:textFill>
        </w:rPr>
      </w:pPr>
      <w:r>
        <w:rPr>
          <w:b/>
          <w:color w:val="000000" w:themeColor="text1"/>
          <w14:textFill>
            <w14:solidFill>
              <w14:schemeClr w14:val="tx1"/>
            </w14:solidFill>
          </w14:textFill>
        </w:rPr>
        <w:drawing>
          <wp:inline distT="0" distB="0" distL="0" distR="0">
            <wp:extent cx="3787775" cy="3959860"/>
            <wp:effectExtent l="0" t="0" r="0" b="0"/>
            <wp:docPr id="87" name="图片 87" descr="H:\project\2025\qinz-1415weihuaping\project\图图\网格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H:\project\2025\qinz-1415weihuaping\project\图图\网格中'.jpg"/>
                    <pic:cNvPicPr>
                      <a:picLocks noChangeAspect="1" noChangeArrowheads="1"/>
                    </pic:cNvPicPr>
                  </pic:nvPicPr>
                  <pic:blipFill>
                    <a:blip r:embed="rId167" cstate="print">
                      <a:extLst>
                        <a:ext uri="{28A0092B-C50C-407E-A947-70E740481C1C}">
                          <a14:useLocalDpi xmlns:a14="http://schemas.microsoft.com/office/drawing/2010/main" val="0"/>
                        </a:ext>
                      </a:extLst>
                    </a:blip>
                    <a:srcRect l="2291" t="1301" r="39804" b="2460"/>
                    <a:stretch>
                      <a:fillRect/>
                    </a:stretch>
                  </pic:blipFill>
                  <pic:spPr>
                    <a:xfrm>
                      <a:off x="0" y="0"/>
                      <a:ext cx="3787927" cy="3960000"/>
                    </a:xfrm>
                    <a:prstGeom prst="rect">
                      <a:avLst/>
                    </a:prstGeom>
                    <a:noFill/>
                    <a:ln>
                      <a:noFill/>
                    </a:ln>
                  </pic:spPr>
                </pic:pic>
              </a:graphicData>
            </a:graphic>
          </wp:inline>
        </w:drawing>
      </w:r>
    </w:p>
    <w:p w14:paraId="750ECA1A">
      <w:pPr>
        <w:autoSpaceDE w:val="0"/>
        <w:autoSpaceDN w:val="0"/>
        <w:adjustRightInd w:val="0"/>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10</w:t>
      </w:r>
      <w:r>
        <w:rPr>
          <w:rFonts w:hint="eastAsia"/>
          <w:b/>
          <w:color w:val="000000" w:themeColor="text1"/>
          <w14:textFill>
            <w14:solidFill>
              <w14:schemeClr w14:val="tx1"/>
            </w14:solidFill>
          </w14:textFill>
        </w:rPr>
        <w:t xml:space="preserve"> 项目附近局部网格划分</w:t>
      </w:r>
    </w:p>
    <w:p w14:paraId="31D60002">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5608955" cy="3959860"/>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168"/>
                    <a:stretch>
                      <a:fillRect/>
                    </a:stretch>
                  </pic:blipFill>
                  <pic:spPr>
                    <a:xfrm>
                      <a:off x="0" y="0"/>
                      <a:ext cx="5609100" cy="3960000"/>
                    </a:xfrm>
                    <a:prstGeom prst="rect">
                      <a:avLst/>
                    </a:prstGeom>
                  </pic:spPr>
                </pic:pic>
              </a:graphicData>
            </a:graphic>
          </wp:inline>
        </w:drawing>
      </w:r>
    </w:p>
    <w:p w14:paraId="4AF63628">
      <w:pPr>
        <w:autoSpaceDE w:val="0"/>
        <w:autoSpaceDN w:val="0"/>
        <w:adjustRightInd w:val="0"/>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11</w:t>
      </w:r>
      <w:r>
        <w:rPr>
          <w:rFonts w:hint="eastAsia"/>
          <w:b/>
          <w:color w:val="000000" w:themeColor="text1"/>
          <w14:textFill>
            <w14:solidFill>
              <w14:schemeClr w14:val="tx1"/>
            </w14:solidFill>
          </w14:textFill>
        </w:rPr>
        <w:t xml:space="preserve"> 模型计算区域水深地形分布</w:t>
      </w:r>
    </w:p>
    <w:p w14:paraId="7D5EB9B5">
      <w:pPr>
        <w:ind w:firstLine="482"/>
        <w:outlineLvl w:val="3"/>
        <w:rPr>
          <w:b/>
          <w:color w:val="000000" w:themeColor="text1"/>
          <w14:textFill>
            <w14:solidFill>
              <w14:schemeClr w14:val="tx1"/>
            </w14:solidFill>
          </w14:textFill>
        </w:rPr>
      </w:pPr>
      <w:r>
        <w:rPr>
          <w:rFonts w:hint="eastAsia"/>
          <w:b/>
          <w:color w:val="000000" w:themeColor="text1"/>
          <w14:textFill>
            <w14:solidFill>
              <w14:schemeClr w14:val="tx1"/>
            </w14:solidFill>
          </w14:textFill>
        </w:rPr>
        <w:t>1 潮位验证</w:t>
      </w:r>
    </w:p>
    <w:p w14:paraId="7C4563E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color w:val="000000" w:themeColor="text1"/>
          <w14:textFill>
            <w14:solidFill>
              <w14:schemeClr w14:val="tx1"/>
            </w14:solidFill>
          </w14:textFill>
        </w:rPr>
        <w:t>-12与图</w:t>
      </w:r>
      <w:r>
        <w:rPr>
          <w:rFonts w:hint="eastAsia"/>
          <w:color w:val="000000" w:themeColor="text1"/>
          <w:kern w:val="0"/>
          <w14:textFill>
            <w14:solidFill>
              <w14:schemeClr w14:val="tx1"/>
            </w14:solidFill>
          </w14:textFill>
        </w:rPr>
        <w:t>5.5.2</w:t>
      </w:r>
      <w:r>
        <w:rPr>
          <w:rFonts w:hint="eastAsia"/>
          <w:color w:val="000000" w:themeColor="text1"/>
          <w14:textFill>
            <w14:solidFill>
              <w14:schemeClr w14:val="tx1"/>
            </w14:solidFill>
          </w14:textFill>
        </w:rPr>
        <w:t>-13给出了钦州港、三娘湾潮位站实测水位过程与计算值的比较，实测时间均为20</w:t>
      </w:r>
      <w:r>
        <w:rPr>
          <w:color w:val="000000" w:themeColor="text1"/>
          <w14:textFill>
            <w14:solidFill>
              <w14:schemeClr w14:val="tx1"/>
            </w14:solidFill>
          </w14:textFill>
        </w:rPr>
        <w:t>22</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月2</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日-</w:t>
      </w:r>
      <w:r>
        <w:rPr>
          <w:color w:val="000000" w:themeColor="text1"/>
          <w14:textFill>
            <w14:solidFill>
              <w14:schemeClr w14:val="tx1"/>
            </w14:solidFill>
          </w14:textFill>
        </w:rPr>
        <w:t>22</w:t>
      </w:r>
      <w:r>
        <w:rPr>
          <w:rFonts w:hint="eastAsia"/>
          <w:color w:val="000000" w:themeColor="text1"/>
          <w14:textFill>
            <w14:solidFill>
              <w14:schemeClr w14:val="tx1"/>
            </w14:solidFill>
          </w14:textFill>
        </w:rPr>
        <w:t>日。图中红线为计算的潮位值，黑点“</w:t>
      </w:r>
      <w:r>
        <w:rPr>
          <w:rFonts w:hint="eastAsia"/>
          <w:color w:val="000000" w:themeColor="text1"/>
          <w14:textFill>
            <w14:solidFill>
              <w14:schemeClr w14:val="tx1"/>
            </w14:solidFill>
          </w14:textFill>
        </w:rPr>
        <w:sym w:font="Symbol" w:char="F0A8"/>
      </w:r>
      <w:r>
        <w:rPr>
          <w:rFonts w:hint="eastAsia"/>
          <w:color w:val="000000" w:themeColor="text1"/>
          <w14:textFill>
            <w14:solidFill>
              <w14:schemeClr w14:val="tx1"/>
            </w14:solidFill>
          </w14:textFill>
        </w:rPr>
        <w:t>”为实测值。从两图中可以看出，计算的潮位过程与实测资料吻合较好。验证结果表明采用的二维潮流数学模型能模拟钦州湾及其邻近海域水位变化过程，也为准确模拟当地的潮流变化过程奠定基础。</w:t>
      </w:r>
    </w:p>
    <w:p w14:paraId="27CAFD37">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608955" cy="197993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a:xfrm>
                      <a:off x="0" y="0"/>
                      <a:ext cx="5609099" cy="1980000"/>
                    </a:xfrm>
                    <a:prstGeom prst="rect">
                      <a:avLst/>
                    </a:prstGeom>
                    <a:noFill/>
                  </pic:spPr>
                </pic:pic>
              </a:graphicData>
            </a:graphic>
          </wp:inline>
        </w:drawing>
      </w:r>
    </w:p>
    <w:p w14:paraId="214ECF0B">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-12 钦州港站潮位验证</w:t>
      </w:r>
    </w:p>
    <w:p w14:paraId="2D1A2C06">
      <w:pPr>
        <w:ind w:firstLine="482"/>
        <w:jc w:val="center"/>
        <w:rPr>
          <w:b/>
          <w:color w:val="000000" w:themeColor="text1"/>
          <w14:textFill>
            <w14:solidFill>
              <w14:schemeClr w14:val="tx1"/>
            </w14:solidFill>
          </w14:textFill>
        </w:rPr>
      </w:pPr>
      <w:r>
        <w:rPr>
          <w:b/>
          <w:color w:val="000000" w:themeColor="text1"/>
          <w14:textFill>
            <w14:solidFill>
              <w14:schemeClr w14:val="tx1"/>
            </w14:solidFill>
          </w14:textFill>
        </w:rPr>
        <w:drawing>
          <wp:inline distT="0" distB="0" distL="0" distR="0">
            <wp:extent cx="5529580" cy="1979930"/>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a:xfrm>
                      <a:off x="0" y="0"/>
                      <a:ext cx="5529886" cy="1980000"/>
                    </a:xfrm>
                    <a:prstGeom prst="rect">
                      <a:avLst/>
                    </a:prstGeom>
                    <a:noFill/>
                  </pic:spPr>
                </pic:pic>
              </a:graphicData>
            </a:graphic>
          </wp:inline>
        </w:drawing>
      </w:r>
    </w:p>
    <w:p w14:paraId="5795A178">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-13 三娘湾站潮位验证</w:t>
      </w:r>
    </w:p>
    <w:p w14:paraId="7F8BE669">
      <w:pPr>
        <w:ind w:firstLine="482"/>
        <w:outlineLvl w:val="3"/>
        <w:rPr>
          <w:b/>
          <w:color w:val="000000" w:themeColor="text1"/>
          <w14:textFill>
            <w14:solidFill>
              <w14:schemeClr w14:val="tx1"/>
            </w14:solidFill>
          </w14:textFill>
        </w:rPr>
      </w:pPr>
      <w:r>
        <w:rPr>
          <w:rFonts w:hint="eastAsia"/>
          <w:b/>
          <w:color w:val="000000" w:themeColor="text1"/>
          <w14:textFill>
            <w14:solidFill>
              <w14:schemeClr w14:val="tx1"/>
            </w14:solidFill>
          </w14:textFill>
        </w:rPr>
        <w:t>2 流速验证</w:t>
      </w:r>
    </w:p>
    <w:p w14:paraId="2A734332">
      <w:pPr>
        <w:autoSpaceDE w:val="0"/>
        <w:autoSpaceDN w:val="0"/>
        <w:adjustRightIn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图1-14~图</w:t>
      </w:r>
      <w:r>
        <w:rPr>
          <w:rFonts w:hint="eastAsia"/>
          <w:color w:val="000000" w:themeColor="text1"/>
          <w:kern w:val="0"/>
          <w14:textFill>
            <w14:solidFill>
              <w14:schemeClr w14:val="tx1"/>
            </w14:solidFill>
          </w14:textFill>
        </w:rPr>
        <w:t>5.5.2</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给出了20</w:t>
      </w:r>
      <w:r>
        <w:rPr>
          <w:color w:val="000000" w:themeColor="text1"/>
          <w14:textFill>
            <w14:solidFill>
              <w14:schemeClr w14:val="tx1"/>
            </w14:solidFill>
          </w14:textFill>
        </w:rPr>
        <w:t>22</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月</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个潮流测站（L</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#、L</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、L</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#、L</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#、L</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#、L</w:t>
      </w:r>
      <w:r>
        <w:rPr>
          <w:color w:val="000000" w:themeColor="text1"/>
          <w14:textFill>
            <w14:solidFill>
              <w14:schemeClr w14:val="tx1"/>
            </w14:solidFill>
          </w14:textFill>
        </w:rPr>
        <w:t>11#</w:t>
      </w:r>
      <w:r>
        <w:rPr>
          <w:rFonts w:hint="eastAsia"/>
          <w:color w:val="000000" w:themeColor="text1"/>
          <w14:textFill>
            <w14:solidFill>
              <w14:schemeClr w14:val="tx1"/>
            </w14:solidFill>
          </w14:textFill>
        </w:rPr>
        <w:t>）的流速计算结果与实测结果比较。图中黑色“</w:t>
      </w:r>
      <w:r>
        <w:rPr>
          <w:rFonts w:hint="eastAsia"/>
          <w:color w:val="000000" w:themeColor="text1"/>
          <w14:textFill>
            <w14:solidFill>
              <w14:schemeClr w14:val="tx1"/>
            </w14:solidFill>
          </w14:textFill>
        </w:rPr>
        <w:sym w:font="Symbol" w:char="F0A8"/>
      </w:r>
      <w:r>
        <w:rPr>
          <w:rFonts w:hint="eastAsia"/>
          <w:color w:val="000000" w:themeColor="text1"/>
          <w14:textFill>
            <w14:solidFill>
              <w14:schemeClr w14:val="tx1"/>
            </w14:solidFill>
          </w14:textFill>
        </w:rPr>
        <w:t>”为实测值，红色曲线为计算值。流向以北方向为起始，顺时针旋转为正。由图可见，各验证点计算流速和实测资料基本吻合，流向验证较好；由于个别区域的地形数据未更新至最新，这可能导致了个别站点计算结果与实测资料稍有偏差。但总体来看，验证结果符合《海岸与河口潮流泥沙模拟技术规程》(JTS/T 231-2-2010)要求，流速过程线的形态基本一致，这表明建立的二维潮流数学模型能较好地模拟工程所在海区水流传播过程和水流运动规律。</w:t>
      </w:r>
    </w:p>
    <w:p w14:paraId="35168F02">
      <w:pPr>
        <w:autoSpaceDE w:val="0"/>
        <w:autoSpaceDN w:val="0"/>
        <w:adjustRightInd w:val="0"/>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959350" cy="197993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a:xfrm>
                      <a:off x="0" y="0"/>
                      <a:ext cx="4959419" cy="1980000"/>
                    </a:xfrm>
                    <a:prstGeom prst="rect">
                      <a:avLst/>
                    </a:prstGeom>
                    <a:noFill/>
                  </pic:spPr>
                </pic:pic>
              </a:graphicData>
            </a:graphic>
          </wp:inline>
        </w:drawing>
      </w:r>
    </w:p>
    <w:p w14:paraId="67860CB5">
      <w:pPr>
        <w:autoSpaceDE w:val="0"/>
        <w:autoSpaceDN w:val="0"/>
        <w:adjustRightInd w:val="0"/>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959350" cy="197993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a:xfrm>
                      <a:off x="0" y="0"/>
                      <a:ext cx="4959419" cy="1980000"/>
                    </a:xfrm>
                    <a:prstGeom prst="rect">
                      <a:avLst/>
                    </a:prstGeom>
                    <a:noFill/>
                  </pic:spPr>
                </pic:pic>
              </a:graphicData>
            </a:graphic>
          </wp:inline>
        </w:drawing>
      </w:r>
    </w:p>
    <w:p w14:paraId="10C6285A">
      <w:pPr>
        <w:autoSpaceDE w:val="0"/>
        <w:autoSpaceDN w:val="0"/>
        <w:adjustRightInd w:val="0"/>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-1</w:t>
      </w:r>
      <w:r>
        <w:rPr>
          <w:b/>
          <w:color w:val="000000" w:themeColor="text1"/>
          <w14:textFill>
            <w14:solidFill>
              <w14:schemeClr w14:val="tx1"/>
            </w14:solidFill>
          </w14:textFill>
        </w:rPr>
        <w:t>4</w:t>
      </w:r>
      <w:r>
        <w:rPr>
          <w:rFonts w:hint="eastAsia"/>
          <w:b/>
          <w:color w:val="000000" w:themeColor="text1"/>
          <w14:textFill>
            <w14:solidFill>
              <w14:schemeClr w14:val="tx1"/>
            </w14:solidFill>
          </w14:textFill>
        </w:rPr>
        <w:t xml:space="preserve">  </w:t>
      </w:r>
      <w:r>
        <w:rPr>
          <w:b/>
          <w:color w:val="000000" w:themeColor="text1"/>
          <w14:textFill>
            <w14:solidFill>
              <w14:schemeClr w14:val="tx1"/>
            </w14:solidFill>
          </w14:textFill>
        </w:rPr>
        <w:t>L5</w:t>
      </w:r>
      <w:r>
        <w:rPr>
          <w:rFonts w:hint="eastAsia"/>
          <w:b/>
          <w:color w:val="000000" w:themeColor="text1"/>
          <w14:textFill>
            <w14:solidFill>
              <w14:schemeClr w14:val="tx1"/>
            </w14:solidFill>
          </w14:textFill>
        </w:rPr>
        <w:t>#站流速流向验证</w:t>
      </w:r>
    </w:p>
    <w:p w14:paraId="4CEB8BA5">
      <w:pPr>
        <w:autoSpaceDE w:val="0"/>
        <w:autoSpaceDN w:val="0"/>
        <w:adjustRightInd w:val="0"/>
        <w:ind w:firstLine="482"/>
        <w:jc w:val="center"/>
        <w:rPr>
          <w:b/>
          <w:color w:val="000000" w:themeColor="text1"/>
          <w14:textFill>
            <w14:solidFill>
              <w14:schemeClr w14:val="tx1"/>
            </w14:solidFill>
          </w14:textFill>
        </w:rPr>
      </w:pPr>
      <w:r>
        <w:rPr>
          <w:b/>
          <w:color w:val="000000" w:themeColor="text1"/>
          <w14:textFill>
            <w14:solidFill>
              <w14:schemeClr w14:val="tx1"/>
            </w14:solidFill>
          </w14:textFill>
        </w:rPr>
        <w:drawing>
          <wp:inline distT="0" distB="0" distL="0" distR="0">
            <wp:extent cx="4959350" cy="197993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a:xfrm>
                      <a:off x="0" y="0"/>
                      <a:ext cx="4959419" cy="1980000"/>
                    </a:xfrm>
                    <a:prstGeom prst="rect">
                      <a:avLst/>
                    </a:prstGeom>
                    <a:noFill/>
                  </pic:spPr>
                </pic:pic>
              </a:graphicData>
            </a:graphic>
          </wp:inline>
        </w:drawing>
      </w:r>
    </w:p>
    <w:p w14:paraId="1B3AE41D">
      <w:pPr>
        <w:autoSpaceDE w:val="0"/>
        <w:autoSpaceDN w:val="0"/>
        <w:adjustRightInd w:val="0"/>
        <w:ind w:firstLine="482"/>
        <w:jc w:val="center"/>
        <w:rPr>
          <w:b/>
          <w:color w:val="000000" w:themeColor="text1"/>
          <w14:textFill>
            <w14:solidFill>
              <w14:schemeClr w14:val="tx1"/>
            </w14:solidFill>
          </w14:textFill>
        </w:rPr>
      </w:pPr>
      <w:r>
        <w:rPr>
          <w:b/>
          <w:color w:val="000000" w:themeColor="text1"/>
          <w14:textFill>
            <w14:solidFill>
              <w14:schemeClr w14:val="tx1"/>
            </w14:solidFill>
          </w14:textFill>
        </w:rPr>
        <w:drawing>
          <wp:inline distT="0" distB="0" distL="0" distR="0">
            <wp:extent cx="4959350" cy="197993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a:xfrm>
                      <a:off x="0" y="0"/>
                      <a:ext cx="4959419" cy="1980000"/>
                    </a:xfrm>
                    <a:prstGeom prst="rect">
                      <a:avLst/>
                    </a:prstGeom>
                    <a:noFill/>
                  </pic:spPr>
                </pic:pic>
              </a:graphicData>
            </a:graphic>
          </wp:inline>
        </w:drawing>
      </w:r>
    </w:p>
    <w:p w14:paraId="52FC5BFE">
      <w:pPr>
        <w:autoSpaceDE w:val="0"/>
        <w:autoSpaceDN w:val="0"/>
        <w:adjustRightInd w:val="0"/>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-1</w:t>
      </w:r>
      <w:r>
        <w:rPr>
          <w:b/>
          <w:color w:val="000000" w:themeColor="text1"/>
          <w14:textFill>
            <w14:solidFill>
              <w14:schemeClr w14:val="tx1"/>
            </w14:solidFill>
          </w14:textFill>
        </w:rPr>
        <w:t>5</w:t>
      </w:r>
      <w:r>
        <w:rPr>
          <w:rFonts w:hint="eastAsia"/>
          <w:b/>
          <w:color w:val="000000" w:themeColor="text1"/>
          <w14:textFill>
            <w14:solidFill>
              <w14:schemeClr w14:val="tx1"/>
            </w14:solidFill>
          </w14:textFill>
        </w:rPr>
        <w:t xml:space="preserve">  </w:t>
      </w:r>
      <w:r>
        <w:rPr>
          <w:b/>
          <w:color w:val="000000" w:themeColor="text1"/>
          <w14:textFill>
            <w14:solidFill>
              <w14:schemeClr w14:val="tx1"/>
            </w14:solidFill>
          </w14:textFill>
        </w:rPr>
        <w:t>L7</w:t>
      </w:r>
      <w:r>
        <w:rPr>
          <w:rFonts w:hint="eastAsia"/>
          <w:b/>
          <w:color w:val="000000" w:themeColor="text1"/>
          <w14:textFill>
            <w14:solidFill>
              <w14:schemeClr w14:val="tx1"/>
            </w14:solidFill>
          </w14:textFill>
        </w:rPr>
        <w:t>#站流速流向验证</w:t>
      </w:r>
    </w:p>
    <w:p w14:paraId="30E7079A">
      <w:pPr>
        <w:autoSpaceDE w:val="0"/>
        <w:autoSpaceDN w:val="0"/>
        <w:adjustRightInd w:val="0"/>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959350" cy="1979930"/>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a:xfrm>
                      <a:off x="0" y="0"/>
                      <a:ext cx="4959419" cy="1980000"/>
                    </a:xfrm>
                    <a:prstGeom prst="rect">
                      <a:avLst/>
                    </a:prstGeom>
                    <a:noFill/>
                  </pic:spPr>
                </pic:pic>
              </a:graphicData>
            </a:graphic>
          </wp:inline>
        </w:drawing>
      </w:r>
    </w:p>
    <w:p w14:paraId="5968A07F">
      <w:pPr>
        <w:autoSpaceDE w:val="0"/>
        <w:autoSpaceDN w:val="0"/>
        <w:adjustRightInd w:val="0"/>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959350" cy="197993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a:xfrm>
                      <a:off x="0" y="0"/>
                      <a:ext cx="4959419" cy="1980000"/>
                    </a:xfrm>
                    <a:prstGeom prst="rect">
                      <a:avLst/>
                    </a:prstGeom>
                    <a:noFill/>
                  </pic:spPr>
                </pic:pic>
              </a:graphicData>
            </a:graphic>
          </wp:inline>
        </w:drawing>
      </w:r>
    </w:p>
    <w:p w14:paraId="0EE2C7F1">
      <w:pPr>
        <w:autoSpaceDE w:val="0"/>
        <w:autoSpaceDN w:val="0"/>
        <w:adjustRightInd w:val="0"/>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-1</w:t>
      </w:r>
      <w:r>
        <w:rPr>
          <w:b/>
          <w:color w:val="000000" w:themeColor="text1"/>
          <w14:textFill>
            <w14:solidFill>
              <w14:schemeClr w14:val="tx1"/>
            </w14:solidFill>
          </w14:textFill>
        </w:rPr>
        <w:t>6</w:t>
      </w:r>
      <w:r>
        <w:rPr>
          <w:rFonts w:hint="eastAsia"/>
          <w:b/>
          <w:color w:val="000000" w:themeColor="text1"/>
          <w14:textFill>
            <w14:solidFill>
              <w14:schemeClr w14:val="tx1"/>
            </w14:solidFill>
          </w14:textFill>
        </w:rPr>
        <w:t xml:space="preserve">  </w:t>
      </w:r>
      <w:r>
        <w:rPr>
          <w:b/>
          <w:color w:val="000000" w:themeColor="text1"/>
          <w14:textFill>
            <w14:solidFill>
              <w14:schemeClr w14:val="tx1"/>
            </w14:solidFill>
          </w14:textFill>
        </w:rPr>
        <w:t>L8</w:t>
      </w:r>
      <w:r>
        <w:rPr>
          <w:rFonts w:hint="eastAsia"/>
          <w:b/>
          <w:color w:val="000000" w:themeColor="text1"/>
          <w14:textFill>
            <w14:solidFill>
              <w14:schemeClr w14:val="tx1"/>
            </w14:solidFill>
          </w14:textFill>
        </w:rPr>
        <w:t>#站流速流向验证</w:t>
      </w:r>
    </w:p>
    <w:p w14:paraId="1A172BD3">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959350" cy="1979930"/>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a:xfrm>
                      <a:off x="0" y="0"/>
                      <a:ext cx="4959419" cy="1980000"/>
                    </a:xfrm>
                    <a:prstGeom prst="rect">
                      <a:avLst/>
                    </a:prstGeom>
                    <a:noFill/>
                  </pic:spPr>
                </pic:pic>
              </a:graphicData>
            </a:graphic>
          </wp:inline>
        </w:drawing>
      </w:r>
    </w:p>
    <w:p w14:paraId="440B9884">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959350" cy="1979930"/>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a:xfrm>
                      <a:off x="0" y="0"/>
                      <a:ext cx="4959419" cy="1980000"/>
                    </a:xfrm>
                    <a:prstGeom prst="rect">
                      <a:avLst/>
                    </a:prstGeom>
                    <a:noFill/>
                  </pic:spPr>
                </pic:pic>
              </a:graphicData>
            </a:graphic>
          </wp:inline>
        </w:drawing>
      </w:r>
    </w:p>
    <w:p w14:paraId="24E3F2E5">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-1</w:t>
      </w:r>
      <w:r>
        <w:rPr>
          <w:b/>
          <w:color w:val="000000" w:themeColor="text1"/>
          <w14:textFill>
            <w14:solidFill>
              <w14:schemeClr w14:val="tx1"/>
            </w14:solidFill>
          </w14:textFill>
        </w:rPr>
        <w:t>7</w:t>
      </w:r>
      <w:r>
        <w:rPr>
          <w:rFonts w:hint="eastAsia"/>
          <w:b/>
          <w:color w:val="000000" w:themeColor="text1"/>
          <w14:textFill>
            <w14:solidFill>
              <w14:schemeClr w14:val="tx1"/>
            </w14:solidFill>
          </w14:textFill>
        </w:rPr>
        <w:t xml:space="preserve">  </w:t>
      </w:r>
      <w:r>
        <w:rPr>
          <w:b/>
          <w:color w:val="000000" w:themeColor="text1"/>
          <w14:textFill>
            <w14:solidFill>
              <w14:schemeClr w14:val="tx1"/>
            </w14:solidFill>
          </w14:textFill>
        </w:rPr>
        <w:t>L9</w:t>
      </w:r>
      <w:r>
        <w:rPr>
          <w:rFonts w:hint="eastAsia"/>
          <w:b/>
          <w:color w:val="000000" w:themeColor="text1"/>
          <w14:textFill>
            <w14:solidFill>
              <w14:schemeClr w14:val="tx1"/>
            </w14:solidFill>
          </w14:textFill>
        </w:rPr>
        <w:t>#站流速流向验证</w:t>
      </w:r>
    </w:p>
    <w:p w14:paraId="47EBA438">
      <w:pPr>
        <w:ind w:firstLine="482"/>
        <w:jc w:val="center"/>
        <w:rPr>
          <w:rFonts w:eastAsia="黑体"/>
          <w:b/>
          <w:color w:val="000000" w:themeColor="text1"/>
          <w:szCs w:val="21"/>
          <w14:textFill>
            <w14:solidFill>
              <w14:schemeClr w14:val="tx1"/>
            </w14:solidFill>
          </w14:textFill>
        </w:rPr>
      </w:pPr>
      <w:r>
        <w:rPr>
          <w:rFonts w:eastAsia="黑体"/>
          <w:b/>
          <w:color w:val="000000" w:themeColor="text1"/>
          <w:szCs w:val="21"/>
          <w14:textFill>
            <w14:solidFill>
              <w14:schemeClr w14:val="tx1"/>
            </w14:solidFill>
          </w14:textFill>
        </w:rPr>
        <w:drawing>
          <wp:inline distT="0" distB="0" distL="0" distR="0">
            <wp:extent cx="4959350" cy="197993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a:xfrm>
                      <a:off x="0" y="0"/>
                      <a:ext cx="4959419" cy="1980000"/>
                    </a:xfrm>
                    <a:prstGeom prst="rect">
                      <a:avLst/>
                    </a:prstGeom>
                    <a:noFill/>
                  </pic:spPr>
                </pic:pic>
              </a:graphicData>
            </a:graphic>
          </wp:inline>
        </w:drawing>
      </w:r>
    </w:p>
    <w:p w14:paraId="090E4B1B">
      <w:pPr>
        <w:ind w:firstLine="482"/>
        <w:jc w:val="center"/>
        <w:rPr>
          <w:rFonts w:eastAsia="黑体"/>
          <w:b/>
          <w:color w:val="000000" w:themeColor="text1"/>
          <w:szCs w:val="21"/>
          <w14:textFill>
            <w14:solidFill>
              <w14:schemeClr w14:val="tx1"/>
            </w14:solidFill>
          </w14:textFill>
        </w:rPr>
      </w:pPr>
      <w:r>
        <w:rPr>
          <w:rFonts w:eastAsia="黑体"/>
          <w:b/>
          <w:color w:val="000000" w:themeColor="text1"/>
          <w:szCs w:val="21"/>
          <w14:textFill>
            <w14:solidFill>
              <w14:schemeClr w14:val="tx1"/>
            </w14:solidFill>
          </w14:textFill>
        </w:rPr>
        <w:drawing>
          <wp:inline distT="0" distB="0" distL="0" distR="0">
            <wp:extent cx="4959350" cy="1979930"/>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a:xfrm>
                      <a:off x="0" y="0"/>
                      <a:ext cx="4959419" cy="1980000"/>
                    </a:xfrm>
                    <a:prstGeom prst="rect">
                      <a:avLst/>
                    </a:prstGeom>
                    <a:noFill/>
                  </pic:spPr>
                </pic:pic>
              </a:graphicData>
            </a:graphic>
          </wp:inline>
        </w:drawing>
      </w:r>
    </w:p>
    <w:p w14:paraId="4A671FA4">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-1</w:t>
      </w:r>
      <w:r>
        <w:rPr>
          <w:b/>
          <w:color w:val="000000" w:themeColor="text1"/>
          <w14:textFill>
            <w14:solidFill>
              <w14:schemeClr w14:val="tx1"/>
            </w14:solidFill>
          </w14:textFill>
        </w:rPr>
        <w:t>8</w:t>
      </w:r>
      <w:r>
        <w:rPr>
          <w:rFonts w:hint="eastAsia"/>
          <w:b/>
          <w:color w:val="000000" w:themeColor="text1"/>
          <w14:textFill>
            <w14:solidFill>
              <w14:schemeClr w14:val="tx1"/>
            </w14:solidFill>
          </w14:textFill>
        </w:rPr>
        <w:t xml:space="preserve">  </w:t>
      </w:r>
      <w:r>
        <w:rPr>
          <w:b/>
          <w:color w:val="000000" w:themeColor="text1"/>
          <w14:textFill>
            <w14:solidFill>
              <w14:schemeClr w14:val="tx1"/>
            </w14:solidFill>
          </w14:textFill>
        </w:rPr>
        <w:t>L10</w:t>
      </w:r>
      <w:r>
        <w:rPr>
          <w:rFonts w:hint="eastAsia"/>
          <w:b/>
          <w:color w:val="000000" w:themeColor="text1"/>
          <w14:textFill>
            <w14:solidFill>
              <w14:schemeClr w14:val="tx1"/>
            </w14:solidFill>
          </w14:textFill>
        </w:rPr>
        <w:t>#站流速流向验证</w:t>
      </w:r>
    </w:p>
    <w:p w14:paraId="210BB212">
      <w:pPr>
        <w:ind w:firstLine="482"/>
        <w:jc w:val="center"/>
        <w:rPr>
          <w:b/>
          <w:color w:val="000000" w:themeColor="text1"/>
          <w14:textFill>
            <w14:solidFill>
              <w14:schemeClr w14:val="tx1"/>
            </w14:solidFill>
          </w14:textFill>
        </w:rPr>
      </w:pPr>
      <w:r>
        <w:rPr>
          <w:b/>
          <w:color w:val="000000" w:themeColor="text1"/>
          <w14:textFill>
            <w14:solidFill>
              <w14:schemeClr w14:val="tx1"/>
            </w14:solidFill>
          </w14:textFill>
        </w:rPr>
        <w:drawing>
          <wp:inline distT="0" distB="0" distL="0" distR="0">
            <wp:extent cx="4959350" cy="1979930"/>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a:xfrm>
                      <a:off x="0" y="0"/>
                      <a:ext cx="4959419" cy="1980000"/>
                    </a:xfrm>
                    <a:prstGeom prst="rect">
                      <a:avLst/>
                    </a:prstGeom>
                    <a:noFill/>
                  </pic:spPr>
                </pic:pic>
              </a:graphicData>
            </a:graphic>
          </wp:inline>
        </w:drawing>
      </w:r>
    </w:p>
    <w:p w14:paraId="79C46758">
      <w:pPr>
        <w:ind w:firstLine="482"/>
        <w:jc w:val="center"/>
        <w:rPr>
          <w:b/>
          <w:color w:val="000000" w:themeColor="text1"/>
          <w14:textFill>
            <w14:solidFill>
              <w14:schemeClr w14:val="tx1"/>
            </w14:solidFill>
          </w14:textFill>
        </w:rPr>
      </w:pPr>
      <w:r>
        <w:rPr>
          <w:b/>
          <w:color w:val="000000" w:themeColor="text1"/>
          <w14:textFill>
            <w14:solidFill>
              <w14:schemeClr w14:val="tx1"/>
            </w14:solidFill>
          </w14:textFill>
        </w:rPr>
        <w:drawing>
          <wp:inline distT="0" distB="0" distL="0" distR="0">
            <wp:extent cx="4959350" cy="1979930"/>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a:xfrm>
                      <a:off x="0" y="0"/>
                      <a:ext cx="4959419" cy="1980000"/>
                    </a:xfrm>
                    <a:prstGeom prst="rect">
                      <a:avLst/>
                    </a:prstGeom>
                    <a:noFill/>
                  </pic:spPr>
                </pic:pic>
              </a:graphicData>
            </a:graphic>
          </wp:inline>
        </w:drawing>
      </w:r>
    </w:p>
    <w:p w14:paraId="29F51166">
      <w:pPr>
        <w:ind w:firstLine="482"/>
        <w:jc w:val="center"/>
        <w:rPr>
          <w:rFonts w:eastAsia="黑体"/>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-1</w:t>
      </w:r>
      <w:r>
        <w:rPr>
          <w:b/>
          <w:color w:val="000000" w:themeColor="text1"/>
          <w14:textFill>
            <w14:solidFill>
              <w14:schemeClr w14:val="tx1"/>
            </w14:solidFill>
          </w14:textFill>
        </w:rPr>
        <w:t>9</w:t>
      </w:r>
      <w:r>
        <w:rPr>
          <w:rFonts w:hint="eastAsia"/>
          <w:b/>
          <w:color w:val="000000" w:themeColor="text1"/>
          <w14:textFill>
            <w14:solidFill>
              <w14:schemeClr w14:val="tx1"/>
            </w14:solidFill>
          </w14:textFill>
        </w:rPr>
        <w:t xml:space="preserve">  </w:t>
      </w:r>
      <w:r>
        <w:rPr>
          <w:b/>
          <w:color w:val="000000" w:themeColor="text1"/>
          <w14:textFill>
            <w14:solidFill>
              <w14:schemeClr w14:val="tx1"/>
            </w14:solidFill>
          </w14:textFill>
        </w:rPr>
        <w:t>L11</w:t>
      </w:r>
      <w:r>
        <w:rPr>
          <w:rFonts w:hint="eastAsia"/>
          <w:b/>
          <w:color w:val="000000" w:themeColor="text1"/>
          <w14:textFill>
            <w14:solidFill>
              <w14:schemeClr w14:val="tx1"/>
            </w14:solidFill>
          </w14:textFill>
        </w:rPr>
        <w:t>#站流速流向验证</w:t>
      </w:r>
    </w:p>
    <w:p w14:paraId="743BB575">
      <w:pPr>
        <w:pStyle w:val="6"/>
        <w:ind w:left="0"/>
        <w:rPr>
          <w:color w:val="000000" w:themeColor="text1"/>
          <w14:textFill>
            <w14:solidFill>
              <w14:schemeClr w14:val="tx1"/>
            </w14:solidFill>
          </w14:textFill>
        </w:rPr>
      </w:pPr>
      <w:r>
        <w:rPr>
          <w:rFonts w:hint="eastAsia"/>
          <w:color w:val="000000" w:themeColor="text1"/>
          <w14:textFill>
            <w14:solidFill>
              <w14:schemeClr w14:val="tx1"/>
            </w14:solidFill>
          </w14:textFill>
        </w:rPr>
        <w:t>流场计算</w:t>
      </w:r>
    </w:p>
    <w:p w14:paraId="5593875B">
      <w:pPr>
        <w:autoSpaceDE w:val="0"/>
        <w:autoSpaceDN w:val="0"/>
        <w:adjustRightIn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21</w:t>
      </w:r>
      <w:r>
        <w:rPr>
          <w:rFonts w:hint="eastAsia"/>
          <w:color w:val="000000" w:themeColor="text1"/>
          <w14:textFill>
            <w14:solidFill>
              <w14:schemeClr w14:val="tx1"/>
            </w14:solidFill>
          </w14:textFill>
        </w:rPr>
        <w:t>为模型计算区域20</w:t>
      </w:r>
      <w:r>
        <w:rPr>
          <w:color w:val="000000" w:themeColor="text1"/>
          <w14:textFill>
            <w14:solidFill>
              <w14:schemeClr w14:val="tx1"/>
            </w14:solidFill>
          </w14:textFill>
        </w:rPr>
        <w:t>22</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月春季大潮钦州湾及其邻近海域大潮涨落急时刻的流场，图</w:t>
      </w:r>
      <w:r>
        <w:rPr>
          <w:rFonts w:hint="eastAsia"/>
          <w:color w:val="000000" w:themeColor="text1"/>
          <w:kern w:val="0"/>
          <w14:textFill>
            <w14:solidFill>
              <w14:schemeClr w14:val="tx1"/>
            </w14:solidFill>
          </w14:textFill>
        </w:rPr>
        <w:t>5.5.2</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为工程区附近海域涨、落急流场。从图中可以看出，</w:t>
      </w:r>
      <w:r>
        <w:rPr>
          <w:color w:val="000000" w:themeColor="text1"/>
          <w14:textFill>
            <w14:solidFill>
              <w14:schemeClr w14:val="tx1"/>
            </w14:solidFill>
          </w14:textFill>
        </w:rPr>
        <w:t>钦州湾潮流运动形式以往复流为主，涨</w:t>
      </w:r>
      <w:r>
        <w:rPr>
          <w:rFonts w:hint="eastAsia"/>
          <w:color w:val="000000" w:themeColor="text1"/>
          <w14:textFill>
            <w14:solidFill>
              <w14:schemeClr w14:val="tx1"/>
            </w14:solidFill>
          </w14:textFill>
        </w:rPr>
        <w:t>潮时</w:t>
      </w:r>
      <w:r>
        <w:rPr>
          <w:color w:val="000000" w:themeColor="text1"/>
          <w14:textFill>
            <w14:solidFill>
              <w14:schemeClr w14:val="tx1"/>
            </w14:solidFill>
          </w14:textFill>
        </w:rPr>
        <w:t>钦州湾大部分海域流向以偏北方向为主，涨潮流从湾口汇入龙门峡口，至茅尾海后呈放射状散开，流向总体较均匀，局部受地形影响而发生偏转。开阔水域流速较大，流向较均匀，浅滩、岛屿周围以及岸边流速相对较小，流向多变；航道和深槽处流速最大，流向与航道、深槽走向基本一致</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落</w:t>
      </w:r>
      <w:r>
        <w:rPr>
          <w:rFonts w:hint="eastAsia"/>
          <w:color w:val="000000" w:themeColor="text1"/>
          <w14:textFill>
            <w14:solidFill>
              <w14:schemeClr w14:val="tx1"/>
            </w14:solidFill>
          </w14:textFill>
        </w:rPr>
        <w:t>潮时</w:t>
      </w:r>
      <w:r>
        <w:rPr>
          <w:color w:val="000000" w:themeColor="text1"/>
          <w14:textFill>
            <w14:solidFill>
              <w14:schemeClr w14:val="tx1"/>
            </w14:solidFill>
          </w14:textFill>
        </w:rPr>
        <w:t>，钦州湾大部分海域流向基本向南，落潮流从茅尾海汇入龙门峡口，</w:t>
      </w:r>
      <w:r>
        <w:rPr>
          <w:rFonts w:hint="eastAsia"/>
          <w:color w:val="000000" w:themeColor="text1"/>
          <w14:textFill>
            <w14:solidFill>
              <w14:schemeClr w14:val="tx1"/>
            </w14:solidFill>
          </w14:textFill>
        </w:rPr>
        <w:t>沿3条航道深槽运动</w:t>
      </w:r>
      <w:r>
        <w:rPr>
          <w:color w:val="000000" w:themeColor="text1"/>
          <w14:textFill>
            <w14:solidFill>
              <w14:schemeClr w14:val="tx1"/>
            </w14:solidFill>
          </w14:textFill>
        </w:rPr>
        <w:t>至钦州外湾后呈放射状散开</w:t>
      </w:r>
      <w:r>
        <w:rPr>
          <w:rFonts w:hint="eastAsia"/>
          <w:color w:val="000000" w:themeColor="text1"/>
          <w14:textFill>
            <w14:solidFill>
              <w14:schemeClr w14:val="tx1"/>
            </w14:solidFill>
          </w14:textFill>
        </w:rPr>
        <w:t>。对于本项目附近海域而言，受金鼓江地形影响，工程区海域的涨落潮流方向为东北偏北-西南偏南，涨、落急流速最大可达0</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/s</w:t>
      </w:r>
      <w:r>
        <w:rPr>
          <w:rFonts w:hint="eastAsia"/>
          <w:color w:val="000000" w:themeColor="text1"/>
          <w14:textFill>
            <w14:solidFill>
              <w14:schemeClr w14:val="tx1"/>
            </w14:solidFill>
          </w14:textFill>
        </w:rPr>
        <w:t>，一般航道处流速大于两侧浅滩流速。一般而言，钦州</w:t>
      </w:r>
      <w:r>
        <w:rPr>
          <w:rFonts w:hint="eastAsia" w:ascii="宋体" w:hAnsi="宋体"/>
          <w:color w:val="000000" w:themeColor="text1"/>
          <w14:textFill>
            <w14:solidFill>
              <w14:schemeClr w14:val="tx1"/>
            </w14:solidFill>
          </w14:textFill>
        </w:rPr>
        <w:t>湾海域落潮流速大于涨潮流速</w:t>
      </w:r>
      <w:r>
        <w:rPr>
          <w:rFonts w:hint="eastAsia"/>
          <w:color w:val="000000" w:themeColor="text1"/>
          <w14:textFill>
            <w14:solidFill>
              <w14:schemeClr w14:val="tx1"/>
            </w14:solidFill>
          </w14:textFill>
        </w:rPr>
        <w:t>。总体而言，钦州湾海域落潮流速大于涨潮流速。</w:t>
      </w:r>
    </w:p>
    <w:p w14:paraId="2A441D12">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5360035" cy="3959860"/>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83"/>
                    <a:stretch>
                      <a:fillRect/>
                    </a:stretch>
                  </pic:blipFill>
                  <pic:spPr>
                    <a:xfrm>
                      <a:off x="0" y="0"/>
                      <a:ext cx="5360456" cy="3960000"/>
                    </a:xfrm>
                    <a:prstGeom prst="rect">
                      <a:avLst/>
                    </a:prstGeom>
                  </pic:spPr>
                </pic:pic>
              </a:graphicData>
            </a:graphic>
          </wp:inline>
        </w:drawing>
      </w:r>
    </w:p>
    <w:p w14:paraId="16E45F80">
      <w:pPr>
        <w:autoSpaceDE w:val="0"/>
        <w:autoSpaceDN w:val="0"/>
        <w:adjustRightInd w:val="0"/>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20</w:t>
      </w:r>
      <w:r>
        <w:rPr>
          <w:rFonts w:hint="eastAsia"/>
          <w:b/>
          <w:color w:val="000000" w:themeColor="text1"/>
          <w14:textFill>
            <w14:solidFill>
              <w14:schemeClr w14:val="tx1"/>
            </w14:solidFill>
          </w14:textFill>
        </w:rPr>
        <w:t xml:space="preserve"> 钦州湾及其邻近海域涨急流场</w:t>
      </w:r>
    </w:p>
    <w:p w14:paraId="3A8C0092">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5324475" cy="3959860"/>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84"/>
                    <a:stretch>
                      <a:fillRect/>
                    </a:stretch>
                  </pic:blipFill>
                  <pic:spPr>
                    <a:xfrm>
                      <a:off x="0" y="0"/>
                      <a:ext cx="5324876" cy="3960000"/>
                    </a:xfrm>
                    <a:prstGeom prst="rect">
                      <a:avLst/>
                    </a:prstGeom>
                  </pic:spPr>
                </pic:pic>
              </a:graphicData>
            </a:graphic>
          </wp:inline>
        </w:drawing>
      </w:r>
    </w:p>
    <w:p w14:paraId="3FF46C83">
      <w:pPr>
        <w:autoSpaceDE w:val="0"/>
        <w:autoSpaceDN w:val="0"/>
        <w:adjustRightInd w:val="0"/>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21</w:t>
      </w:r>
      <w:r>
        <w:rPr>
          <w:rFonts w:hint="eastAsia"/>
          <w:b/>
          <w:color w:val="000000" w:themeColor="text1"/>
          <w14:textFill>
            <w14:solidFill>
              <w14:schemeClr w14:val="tx1"/>
            </w14:solidFill>
          </w14:textFill>
        </w:rPr>
        <w:t xml:space="preserve"> 钦州湾及其邻近海域落急流场</w:t>
      </w:r>
    </w:p>
    <w:p w14:paraId="7E4FD745">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4138930" cy="3959860"/>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185"/>
                    <a:stretch>
                      <a:fillRect/>
                    </a:stretch>
                  </pic:blipFill>
                  <pic:spPr>
                    <a:xfrm>
                      <a:off x="0" y="0"/>
                      <a:ext cx="4139411" cy="3960000"/>
                    </a:xfrm>
                    <a:prstGeom prst="rect">
                      <a:avLst/>
                    </a:prstGeom>
                  </pic:spPr>
                </pic:pic>
              </a:graphicData>
            </a:graphic>
          </wp:inline>
        </w:drawing>
      </w:r>
    </w:p>
    <w:p w14:paraId="3E547E69">
      <w:pPr>
        <w:autoSpaceDE w:val="0"/>
        <w:autoSpaceDN w:val="0"/>
        <w:adjustRightInd w:val="0"/>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 xml:space="preserve">22 </w:t>
      </w:r>
      <w:r>
        <w:rPr>
          <w:rFonts w:hint="eastAsia"/>
          <w:b/>
          <w:color w:val="000000" w:themeColor="text1"/>
          <w14:textFill>
            <w14:solidFill>
              <w14:schemeClr w14:val="tx1"/>
            </w14:solidFill>
          </w14:textFill>
        </w:rPr>
        <w:t>项目工程区附近涨急流场</w:t>
      </w:r>
    </w:p>
    <w:p w14:paraId="71176E89">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4138930" cy="3959860"/>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86"/>
                    <a:stretch>
                      <a:fillRect/>
                    </a:stretch>
                  </pic:blipFill>
                  <pic:spPr>
                    <a:xfrm>
                      <a:off x="0" y="0"/>
                      <a:ext cx="4139411" cy="3960000"/>
                    </a:xfrm>
                    <a:prstGeom prst="rect">
                      <a:avLst/>
                    </a:prstGeom>
                  </pic:spPr>
                </pic:pic>
              </a:graphicData>
            </a:graphic>
          </wp:inline>
        </w:drawing>
      </w:r>
    </w:p>
    <w:p w14:paraId="1AE79AB9">
      <w:pPr>
        <w:autoSpaceDE w:val="0"/>
        <w:autoSpaceDN w:val="0"/>
        <w:adjustRightInd w:val="0"/>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 xml:space="preserve">23 </w:t>
      </w:r>
      <w:r>
        <w:rPr>
          <w:rFonts w:hint="eastAsia"/>
          <w:b/>
          <w:color w:val="000000" w:themeColor="text1"/>
          <w14:textFill>
            <w14:solidFill>
              <w14:schemeClr w14:val="tx1"/>
            </w14:solidFill>
          </w14:textFill>
        </w:rPr>
        <w:t>项目工程区附近落急流场</w:t>
      </w:r>
    </w:p>
    <w:p w14:paraId="1A8DCC94">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溢油风险事故与不可溶化学品</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预测与分析</w:t>
      </w:r>
    </w:p>
    <w:p w14:paraId="020A83D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不同类型的危险品由于其特性不同，在水域中的污染风险表现是不同的。</w:t>
      </w:r>
    </w:p>
    <w:p w14:paraId="6CAFFD5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对于不溶性、密度&lt;1g/cm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液态危险货物，比如燃料油，发生泄漏风险事故时，一旦危险货物进入水域内将漂浮在水面上，在水动力条件和风、浪的综合作用下扩散，对周围水域的影响程度和范围均较大。燃料油和柴油存在于船舶油舱中，存在量较大，若发生泄漏，泄漏量远大于一个集装箱油品货物，故选择燃料油为海洋环境风险代表物质。</w:t>
      </w:r>
    </w:p>
    <w:p w14:paraId="2E623C3A">
      <w:pPr>
        <w:pStyle w:val="6"/>
        <w:ind w:left="0"/>
        <w:rPr>
          <w:color w:val="000000" w:themeColor="text1"/>
          <w14:textFill>
            <w14:solidFill>
              <w14:schemeClr w14:val="tx1"/>
            </w14:solidFill>
          </w14:textFill>
        </w:rPr>
      </w:pPr>
      <w:r>
        <w:rPr>
          <w:rFonts w:hint="eastAsia"/>
          <w:color w:val="000000" w:themeColor="text1"/>
          <w14:textFill>
            <w14:solidFill>
              <w14:schemeClr w14:val="tx1"/>
            </w14:solidFill>
          </w14:textFill>
        </w:rPr>
        <w:t>溢油风险事故统计分析</w:t>
      </w:r>
    </w:p>
    <w:p w14:paraId="69D369B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随着钦州市港口经济以及航运事业发展，进出钦州港的船舶数量日益增加，船舶大型化趋势明显，船舶事故风险增加，由此导致的溢油风险随之增加。</w:t>
      </w:r>
    </w:p>
    <w:p w14:paraId="3492425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根据有关统计资料，</w:t>
      </w:r>
      <w:r>
        <w:rPr>
          <w:color w:val="000000" w:themeColor="text1"/>
          <w14:textFill>
            <w14:solidFill>
              <w14:schemeClr w14:val="tx1"/>
            </w14:solidFill>
          </w14:textFill>
        </w:rPr>
        <w:t>钦州港从2011年到2018年共发生事故63件，其中碰撞事故22件，搁浅事故13件，触损事故10件，自沉10件，风灾事故1件，火灾事故3件，交通事故统计情况如表</w:t>
      </w:r>
      <w:r>
        <w:rPr>
          <w:rFonts w:hint="eastAsia"/>
          <w:color w:val="000000" w:themeColor="text1"/>
          <w14:textFill>
            <w14:solidFill>
              <w14:schemeClr w14:val="tx1"/>
            </w14:solidFill>
          </w14:textFill>
        </w:rPr>
        <w:t>5.5-</w:t>
      </w:r>
      <w:r>
        <w:rPr>
          <w:color w:val="000000" w:themeColor="text1"/>
          <w14:textFill>
            <w14:solidFill>
              <w14:schemeClr w14:val="tx1"/>
            </w14:solidFill>
          </w14:textFill>
        </w:rPr>
        <w:t>1所示。</w:t>
      </w:r>
      <w:r>
        <w:rPr>
          <w:rFonts w:hint="eastAsia"/>
          <w:color w:val="000000" w:themeColor="text1"/>
          <w14:textFill>
            <w14:solidFill>
              <w14:schemeClr w14:val="tx1"/>
            </w14:solidFill>
          </w14:textFill>
        </w:rPr>
        <w:t>发生事故的船种有大中型散货船、杂货船、中小型集装箱船、渔船、运输船等，其中以中小型散货船、渔船为主。船舶交通事故多发生在锚地、航道附近，3成以上为船舶碰撞。</w:t>
      </w:r>
    </w:p>
    <w:p w14:paraId="65D34A5E">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钦州港辖区事故种类统计表</w:t>
      </w:r>
    </w:p>
    <w:tbl>
      <w:tblPr>
        <w:tblStyle w:val="43"/>
        <w:tblW w:w="4902"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1065"/>
        <w:gridCol w:w="910"/>
        <w:gridCol w:w="914"/>
        <w:gridCol w:w="911"/>
        <w:gridCol w:w="911"/>
        <w:gridCol w:w="911"/>
        <w:gridCol w:w="911"/>
        <w:gridCol w:w="911"/>
        <w:gridCol w:w="911"/>
      </w:tblGrid>
      <w:tr w14:paraId="2F8A769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38" w:type="pct"/>
            <w:vAlign w:val="center"/>
          </w:tcPr>
          <w:p w14:paraId="0A95B8D1">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年份</w:t>
            </w:r>
          </w:p>
        </w:tc>
        <w:tc>
          <w:tcPr>
            <w:tcW w:w="545" w:type="pct"/>
            <w:vAlign w:val="center"/>
          </w:tcPr>
          <w:p w14:paraId="6B56BE48">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碰撞</w:t>
            </w:r>
          </w:p>
        </w:tc>
        <w:tc>
          <w:tcPr>
            <w:tcW w:w="547" w:type="pct"/>
            <w:vAlign w:val="center"/>
          </w:tcPr>
          <w:p w14:paraId="33F22871">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触损</w:t>
            </w:r>
          </w:p>
        </w:tc>
        <w:tc>
          <w:tcPr>
            <w:tcW w:w="545" w:type="pct"/>
            <w:vAlign w:val="center"/>
          </w:tcPr>
          <w:p w14:paraId="03CA3EBC">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搁浅</w:t>
            </w:r>
          </w:p>
        </w:tc>
        <w:tc>
          <w:tcPr>
            <w:tcW w:w="545" w:type="pct"/>
            <w:vAlign w:val="center"/>
          </w:tcPr>
          <w:p w14:paraId="749E39C5">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自沉</w:t>
            </w:r>
          </w:p>
        </w:tc>
        <w:tc>
          <w:tcPr>
            <w:tcW w:w="545" w:type="pct"/>
            <w:vAlign w:val="center"/>
          </w:tcPr>
          <w:p w14:paraId="529108C5">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火灾</w:t>
            </w:r>
          </w:p>
        </w:tc>
        <w:tc>
          <w:tcPr>
            <w:tcW w:w="545" w:type="pct"/>
            <w:vAlign w:val="center"/>
          </w:tcPr>
          <w:p w14:paraId="10F9E0A3">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风灾</w:t>
            </w:r>
          </w:p>
        </w:tc>
        <w:tc>
          <w:tcPr>
            <w:tcW w:w="545" w:type="pct"/>
            <w:vAlign w:val="center"/>
          </w:tcPr>
          <w:p w14:paraId="34AA367C">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触礁</w:t>
            </w:r>
          </w:p>
        </w:tc>
        <w:tc>
          <w:tcPr>
            <w:tcW w:w="545" w:type="pct"/>
            <w:vAlign w:val="center"/>
          </w:tcPr>
          <w:p w14:paraId="1A0D5FDF">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其他</w:t>
            </w:r>
          </w:p>
        </w:tc>
      </w:tr>
      <w:tr w14:paraId="489786B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38" w:type="pct"/>
            <w:vAlign w:val="center"/>
          </w:tcPr>
          <w:p w14:paraId="4225A39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2011</w:t>
            </w:r>
          </w:p>
        </w:tc>
        <w:tc>
          <w:tcPr>
            <w:tcW w:w="545" w:type="pct"/>
            <w:vAlign w:val="center"/>
          </w:tcPr>
          <w:p w14:paraId="6F5BAF34">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w:t>
            </w:r>
          </w:p>
        </w:tc>
        <w:tc>
          <w:tcPr>
            <w:tcW w:w="547" w:type="pct"/>
            <w:vAlign w:val="center"/>
          </w:tcPr>
          <w:p w14:paraId="03FAF118">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53388905">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5" w:type="pct"/>
            <w:vAlign w:val="center"/>
          </w:tcPr>
          <w:p w14:paraId="068E6764">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5" w:type="pct"/>
            <w:vAlign w:val="center"/>
          </w:tcPr>
          <w:p w14:paraId="282FB696">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1EFA473D">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6CDB2118">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7DB572BB">
            <w:pPr>
              <w:spacing w:line="240" w:lineRule="atLeast"/>
              <w:ind w:firstLine="0" w:firstLineChars="0"/>
              <w:jc w:val="center"/>
              <w:rPr>
                <w:color w:val="000000" w:themeColor="text1"/>
                <w:sz w:val="21"/>
                <w:szCs w:val="21"/>
                <w14:textFill>
                  <w14:solidFill>
                    <w14:schemeClr w14:val="tx1"/>
                  </w14:solidFill>
                </w14:textFill>
              </w:rPr>
            </w:pPr>
          </w:p>
        </w:tc>
      </w:tr>
      <w:tr w14:paraId="0E8B3C2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38" w:type="pct"/>
            <w:vAlign w:val="center"/>
          </w:tcPr>
          <w:p w14:paraId="546650D3">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2012</w:t>
            </w:r>
          </w:p>
        </w:tc>
        <w:tc>
          <w:tcPr>
            <w:tcW w:w="545" w:type="pct"/>
            <w:vAlign w:val="center"/>
          </w:tcPr>
          <w:p w14:paraId="293E14F8">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7" w:type="pct"/>
            <w:vAlign w:val="center"/>
          </w:tcPr>
          <w:p w14:paraId="49E6988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5" w:type="pct"/>
            <w:vAlign w:val="center"/>
          </w:tcPr>
          <w:p w14:paraId="0DBE9E4B">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545" w:type="pct"/>
            <w:vAlign w:val="center"/>
          </w:tcPr>
          <w:p w14:paraId="2639C81E">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21573D5B">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2657AD9B">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7EC0F799">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0414D5BF">
            <w:pPr>
              <w:spacing w:line="240" w:lineRule="atLeast"/>
              <w:ind w:firstLine="0" w:firstLineChars="0"/>
              <w:jc w:val="center"/>
              <w:rPr>
                <w:color w:val="000000" w:themeColor="text1"/>
                <w:sz w:val="21"/>
                <w:szCs w:val="21"/>
                <w14:textFill>
                  <w14:solidFill>
                    <w14:schemeClr w14:val="tx1"/>
                  </w14:solidFill>
                </w14:textFill>
              </w:rPr>
            </w:pPr>
          </w:p>
        </w:tc>
      </w:tr>
      <w:tr w14:paraId="6AD5A68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38" w:type="pct"/>
            <w:vAlign w:val="center"/>
          </w:tcPr>
          <w:p w14:paraId="316A5CF5">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2013</w:t>
            </w:r>
          </w:p>
        </w:tc>
        <w:tc>
          <w:tcPr>
            <w:tcW w:w="545" w:type="pct"/>
            <w:vAlign w:val="center"/>
          </w:tcPr>
          <w:p w14:paraId="5D2CD85F">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7" w:type="pct"/>
            <w:vAlign w:val="center"/>
          </w:tcPr>
          <w:p w14:paraId="23DB365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545" w:type="pct"/>
            <w:vAlign w:val="center"/>
          </w:tcPr>
          <w:p w14:paraId="30624D2F">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545" w:type="pct"/>
            <w:vAlign w:val="center"/>
          </w:tcPr>
          <w:p w14:paraId="5A4A9C7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5" w:type="pct"/>
            <w:vAlign w:val="center"/>
          </w:tcPr>
          <w:p w14:paraId="4C242E38">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3659ABD8">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1089B200">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7AD87434">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r>
      <w:tr w14:paraId="59CE4485">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38" w:type="pct"/>
            <w:vAlign w:val="center"/>
          </w:tcPr>
          <w:p w14:paraId="70CE9730">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2014</w:t>
            </w:r>
          </w:p>
        </w:tc>
        <w:tc>
          <w:tcPr>
            <w:tcW w:w="545" w:type="pct"/>
            <w:vAlign w:val="center"/>
          </w:tcPr>
          <w:p w14:paraId="3A3A9303">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547" w:type="pct"/>
            <w:vAlign w:val="center"/>
          </w:tcPr>
          <w:p w14:paraId="7A9B3523">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545" w:type="pct"/>
            <w:vAlign w:val="center"/>
          </w:tcPr>
          <w:p w14:paraId="3619BB0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545" w:type="pct"/>
            <w:vAlign w:val="center"/>
          </w:tcPr>
          <w:p w14:paraId="31D4B874">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20EA2877">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061763D2">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1F91DB5E">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4C917BB2">
            <w:pPr>
              <w:spacing w:line="240" w:lineRule="atLeast"/>
              <w:ind w:firstLine="0" w:firstLineChars="0"/>
              <w:jc w:val="center"/>
              <w:rPr>
                <w:color w:val="000000" w:themeColor="text1"/>
                <w:sz w:val="21"/>
                <w:szCs w:val="21"/>
                <w14:textFill>
                  <w14:solidFill>
                    <w14:schemeClr w14:val="tx1"/>
                  </w14:solidFill>
                </w14:textFill>
              </w:rPr>
            </w:pPr>
          </w:p>
        </w:tc>
      </w:tr>
      <w:tr w14:paraId="2C9F813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38" w:type="pct"/>
            <w:vAlign w:val="center"/>
          </w:tcPr>
          <w:p w14:paraId="46A3C762">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2015</w:t>
            </w:r>
          </w:p>
        </w:tc>
        <w:tc>
          <w:tcPr>
            <w:tcW w:w="545" w:type="pct"/>
            <w:vAlign w:val="center"/>
          </w:tcPr>
          <w:p w14:paraId="73C2B7C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7" w:type="pct"/>
            <w:vAlign w:val="center"/>
          </w:tcPr>
          <w:p w14:paraId="46D1D824">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5" w:type="pct"/>
            <w:vAlign w:val="center"/>
          </w:tcPr>
          <w:p w14:paraId="158BC5F2">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545" w:type="pct"/>
            <w:vAlign w:val="center"/>
          </w:tcPr>
          <w:p w14:paraId="5CACCF00">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545" w:type="pct"/>
            <w:vAlign w:val="center"/>
          </w:tcPr>
          <w:p w14:paraId="221FC6EF">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5" w:type="pct"/>
            <w:vAlign w:val="center"/>
          </w:tcPr>
          <w:p w14:paraId="2A2022B5">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2F9B54A4">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5AE238C2">
            <w:pPr>
              <w:spacing w:line="240" w:lineRule="atLeast"/>
              <w:ind w:firstLine="0" w:firstLineChars="0"/>
              <w:jc w:val="center"/>
              <w:rPr>
                <w:color w:val="000000" w:themeColor="text1"/>
                <w:sz w:val="21"/>
                <w:szCs w:val="21"/>
                <w14:textFill>
                  <w14:solidFill>
                    <w14:schemeClr w14:val="tx1"/>
                  </w14:solidFill>
                </w14:textFill>
              </w:rPr>
            </w:pPr>
          </w:p>
        </w:tc>
      </w:tr>
      <w:tr w14:paraId="07C8969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38" w:type="pct"/>
            <w:vAlign w:val="center"/>
          </w:tcPr>
          <w:p w14:paraId="4DE0FA6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2016</w:t>
            </w:r>
          </w:p>
        </w:tc>
        <w:tc>
          <w:tcPr>
            <w:tcW w:w="545" w:type="pct"/>
            <w:vAlign w:val="center"/>
          </w:tcPr>
          <w:p w14:paraId="287F08EB">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547" w:type="pct"/>
            <w:vAlign w:val="center"/>
          </w:tcPr>
          <w:p w14:paraId="56E051B2">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545" w:type="pct"/>
            <w:vAlign w:val="center"/>
          </w:tcPr>
          <w:p w14:paraId="46B04B6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545" w:type="pct"/>
            <w:vAlign w:val="center"/>
          </w:tcPr>
          <w:p w14:paraId="43A9586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5" w:type="pct"/>
            <w:vAlign w:val="center"/>
          </w:tcPr>
          <w:p w14:paraId="04A36EA5">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545" w:type="pct"/>
            <w:vAlign w:val="center"/>
          </w:tcPr>
          <w:p w14:paraId="39B9C301">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36AE46EF">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364A9765">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r w14:paraId="32EDC5C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38" w:type="pct"/>
            <w:vAlign w:val="center"/>
          </w:tcPr>
          <w:p w14:paraId="32C8E06E">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2017</w:t>
            </w:r>
          </w:p>
        </w:tc>
        <w:tc>
          <w:tcPr>
            <w:tcW w:w="545" w:type="pct"/>
            <w:vAlign w:val="center"/>
          </w:tcPr>
          <w:p w14:paraId="5F0FAB23">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w:t>
            </w:r>
          </w:p>
        </w:tc>
        <w:tc>
          <w:tcPr>
            <w:tcW w:w="547" w:type="pct"/>
            <w:vAlign w:val="center"/>
          </w:tcPr>
          <w:p w14:paraId="3E3CB5D3">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5" w:type="pct"/>
            <w:vAlign w:val="center"/>
          </w:tcPr>
          <w:p w14:paraId="69F3524D">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2E45183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p>
        </w:tc>
        <w:tc>
          <w:tcPr>
            <w:tcW w:w="545" w:type="pct"/>
            <w:vAlign w:val="center"/>
          </w:tcPr>
          <w:p w14:paraId="47EFBC7A">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285DA38C">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7EEF3AA6">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59E8F17F">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r w14:paraId="5576DA6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38" w:type="pct"/>
            <w:vAlign w:val="center"/>
          </w:tcPr>
          <w:p w14:paraId="332C117E">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2018</w:t>
            </w:r>
          </w:p>
        </w:tc>
        <w:tc>
          <w:tcPr>
            <w:tcW w:w="545" w:type="pct"/>
            <w:vAlign w:val="center"/>
          </w:tcPr>
          <w:p w14:paraId="3EF25F31">
            <w:pPr>
              <w:spacing w:line="240" w:lineRule="atLeast"/>
              <w:ind w:firstLine="0" w:firstLineChars="0"/>
              <w:jc w:val="center"/>
              <w:rPr>
                <w:color w:val="000000" w:themeColor="text1"/>
                <w:sz w:val="21"/>
                <w:szCs w:val="21"/>
                <w14:textFill>
                  <w14:solidFill>
                    <w14:schemeClr w14:val="tx1"/>
                  </w14:solidFill>
                </w14:textFill>
              </w:rPr>
            </w:pPr>
          </w:p>
        </w:tc>
        <w:tc>
          <w:tcPr>
            <w:tcW w:w="547" w:type="pct"/>
            <w:vAlign w:val="center"/>
          </w:tcPr>
          <w:p w14:paraId="42FDC24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545" w:type="pct"/>
            <w:vAlign w:val="center"/>
          </w:tcPr>
          <w:p w14:paraId="58751072">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545" w:type="pct"/>
            <w:vAlign w:val="center"/>
          </w:tcPr>
          <w:p w14:paraId="56A16F2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5" w:type="pct"/>
            <w:vAlign w:val="center"/>
          </w:tcPr>
          <w:p w14:paraId="69F023E1">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23A0AD5C">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3CF028F8">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12B51C12">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r>
      <w:tr w14:paraId="2005925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38" w:type="pct"/>
            <w:vAlign w:val="center"/>
          </w:tcPr>
          <w:p w14:paraId="12FE51F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合计</w:t>
            </w:r>
          </w:p>
        </w:tc>
        <w:tc>
          <w:tcPr>
            <w:tcW w:w="545" w:type="pct"/>
            <w:vAlign w:val="center"/>
          </w:tcPr>
          <w:p w14:paraId="605CD020">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22</w:t>
            </w:r>
          </w:p>
        </w:tc>
        <w:tc>
          <w:tcPr>
            <w:tcW w:w="547" w:type="pct"/>
            <w:vAlign w:val="center"/>
          </w:tcPr>
          <w:p w14:paraId="110C4A2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w:t>
            </w:r>
          </w:p>
        </w:tc>
        <w:tc>
          <w:tcPr>
            <w:tcW w:w="545" w:type="pct"/>
            <w:vAlign w:val="center"/>
          </w:tcPr>
          <w:p w14:paraId="1D79AA3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c>
          <w:tcPr>
            <w:tcW w:w="545" w:type="pct"/>
            <w:vAlign w:val="center"/>
          </w:tcPr>
          <w:p w14:paraId="48338EF0">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w:t>
            </w:r>
          </w:p>
        </w:tc>
        <w:tc>
          <w:tcPr>
            <w:tcW w:w="545" w:type="pct"/>
            <w:vAlign w:val="center"/>
          </w:tcPr>
          <w:p w14:paraId="2DC86680">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545" w:type="pct"/>
            <w:vAlign w:val="center"/>
          </w:tcPr>
          <w:p w14:paraId="5D8A6D3B">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5" w:type="pct"/>
            <w:vAlign w:val="center"/>
          </w:tcPr>
          <w:p w14:paraId="3F3DEDE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545" w:type="pct"/>
            <w:vAlign w:val="center"/>
          </w:tcPr>
          <w:p w14:paraId="3932FF98">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w:t>
            </w:r>
          </w:p>
        </w:tc>
      </w:tr>
    </w:tbl>
    <w:p w14:paraId="50F152FC">
      <w:pPr>
        <w:spacing w:before="163" w:beforeLines="5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由于溢油事故将对海洋生态环境产生巨大破环，以下通过建立溢油数学模型，模拟计算不同情况下溢油扩散轨迹与影响范围，为及时采取有效的应对措施提供参考。</w:t>
      </w:r>
    </w:p>
    <w:p w14:paraId="5F7F9CBA">
      <w:pPr>
        <w:pStyle w:val="6"/>
        <w:ind w:left="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溢油漂移轨迹模型简介</w:t>
      </w:r>
    </w:p>
    <w:p w14:paraId="19C74E9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溢油自身的扩展是影响其漂移轨迹的重要因素之一。事故溢油多为突发性，因此计算其扩展时，通常将其视为自由状态。油比重较小，溢油初期在海面上受自身重力、粘性力、惯性力和表面张力等作用而扩展。由于随着油入海时间增加，各作用力都将发生变化，按主要作用力来组合，油膜的连续扩展可分为三个阶段，各阶段油膜扩展可近似看成以R为半径的等效圆，其半径的计算公式如下：</w:t>
      </w:r>
    </w:p>
    <w:p w14:paraId="216F868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惯性重力阶段：</w:t>
      </w:r>
    </w:p>
    <w:p w14:paraId="620FF5FD">
      <w:pPr>
        <w:ind w:firstLine="480"/>
        <w:jc w:val="center"/>
        <w:rPr>
          <w:color w:val="000000" w:themeColor="text1"/>
          <w14:textFill>
            <w14:solidFill>
              <w14:schemeClr w14:val="tx1"/>
            </w14:solidFill>
          </w14:textFill>
        </w:rPr>
      </w:pPr>
      <w:r>
        <w:rPr>
          <w:color w:val="000000" w:themeColor="text1"/>
          <w:position w:val="-10"/>
          <w14:textFill>
            <w14:solidFill>
              <w14:schemeClr w14:val="tx1"/>
            </w14:solidFill>
          </w14:textFill>
        </w:rPr>
        <w:drawing>
          <wp:inline distT="0" distB="0" distL="0" distR="0">
            <wp:extent cx="1296035" cy="270510"/>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a:xfrm>
                      <a:off x="0" y="0"/>
                      <a:ext cx="1296035" cy="270510"/>
                    </a:xfrm>
                    <a:prstGeom prst="rect">
                      <a:avLst/>
                    </a:prstGeom>
                    <a:noFill/>
                    <a:ln>
                      <a:noFill/>
                    </a:ln>
                  </pic:spPr>
                </pic:pic>
              </a:graphicData>
            </a:graphic>
          </wp:inline>
        </w:drawing>
      </w:r>
    </w:p>
    <w:p w14:paraId="369EFA4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重力粘性阶段：</w:t>
      </w:r>
    </w:p>
    <w:p w14:paraId="79D694F8">
      <w:pPr>
        <w:ind w:firstLine="480"/>
        <w:jc w:val="center"/>
        <w:rPr>
          <w:color w:val="000000" w:themeColor="text1"/>
          <w14:textFill>
            <w14:solidFill>
              <w14:schemeClr w14:val="tx1"/>
            </w14:solidFill>
          </w14:textFill>
        </w:rPr>
      </w:pPr>
      <w:r>
        <w:rPr>
          <w:color w:val="000000" w:themeColor="text1"/>
          <w:position w:val="-10"/>
          <w14:textFill>
            <w14:solidFill>
              <w14:schemeClr w14:val="tx1"/>
            </w14:solidFill>
          </w14:textFill>
        </w:rPr>
        <w:drawing>
          <wp:inline distT="0" distB="0" distL="0" distR="0">
            <wp:extent cx="1916430" cy="27051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a:xfrm>
                      <a:off x="0" y="0"/>
                      <a:ext cx="1916430" cy="270510"/>
                    </a:xfrm>
                    <a:prstGeom prst="rect">
                      <a:avLst/>
                    </a:prstGeom>
                    <a:noFill/>
                    <a:ln>
                      <a:noFill/>
                    </a:ln>
                  </pic:spPr>
                </pic:pic>
              </a:graphicData>
            </a:graphic>
          </wp:inline>
        </w:drawing>
      </w:r>
    </w:p>
    <w:p w14:paraId="784E568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粘性张力阶段：</w:t>
      </w:r>
    </w:p>
    <w:p w14:paraId="056A2EC0">
      <w:pPr>
        <w:ind w:firstLine="480"/>
        <w:jc w:val="center"/>
        <w:rPr>
          <w:color w:val="000000" w:themeColor="text1"/>
          <w14:textFill>
            <w14:solidFill>
              <w14:schemeClr w14:val="tx1"/>
            </w14:solidFill>
          </w14:textFill>
        </w:rPr>
      </w:pPr>
      <w:r>
        <w:rPr>
          <w:color w:val="000000" w:themeColor="text1"/>
          <w:position w:val="-12"/>
          <w14:textFill>
            <w14:solidFill>
              <w14:schemeClr w14:val="tx1"/>
            </w14:solidFill>
          </w14:textFill>
        </w:rPr>
        <w:drawing>
          <wp:inline distT="0" distB="0" distL="0" distR="0">
            <wp:extent cx="1534795" cy="278130"/>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a:xfrm>
                      <a:off x="0" y="0"/>
                      <a:ext cx="1534795" cy="278130"/>
                    </a:xfrm>
                    <a:prstGeom prst="rect">
                      <a:avLst/>
                    </a:prstGeom>
                    <a:noFill/>
                    <a:ln>
                      <a:noFill/>
                    </a:ln>
                  </pic:spPr>
                </pic:pic>
              </a:graphicData>
            </a:graphic>
          </wp:inline>
        </w:drawing>
      </w:r>
    </w:p>
    <w:p w14:paraId="0D3DC62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上述各式中，</w:t>
      </w:r>
      <w:r>
        <w:rPr>
          <w:color w:val="000000" w:themeColor="text1"/>
          <w:position w:val="-12"/>
          <w14:textFill>
            <w14:solidFill>
              <w14:schemeClr w14:val="tx1"/>
            </w14:solidFill>
          </w14:textFill>
        </w:rPr>
        <w:drawing>
          <wp:inline distT="0" distB="0" distL="0" distR="0">
            <wp:extent cx="914400" cy="230505"/>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a:xfrm>
                      <a:off x="0" y="0"/>
                      <a:ext cx="914400" cy="230505"/>
                    </a:xfrm>
                    <a:prstGeom prst="rect">
                      <a:avLst/>
                    </a:prstGeom>
                    <a:noFill/>
                    <a:ln>
                      <a:noFill/>
                    </a:ln>
                  </pic:spPr>
                </pic:pic>
              </a:graphicData>
            </a:graphic>
          </wp:inline>
        </w:drawing>
      </w:r>
      <w:r>
        <w:rPr>
          <w:rFonts w:hint="eastAsia"/>
          <w:color w:val="000000" w:themeColor="text1"/>
          <w14:textFill>
            <w14:solidFill>
              <w14:schemeClr w14:val="tx1"/>
            </w14:solidFill>
          </w14:textFill>
        </w:rPr>
        <w:t>；</w:t>
      </w:r>
      <w:r>
        <w:rPr>
          <w:color w:val="000000" w:themeColor="text1"/>
          <w:position w:val="-12"/>
          <w14:textFill>
            <w14:solidFill>
              <w14:schemeClr w14:val="tx1"/>
            </w14:solidFill>
          </w14:textFill>
        </w:rPr>
        <w:drawing>
          <wp:inline distT="0" distB="0" distL="0" distR="0">
            <wp:extent cx="191135" cy="230505"/>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a:xfrm>
                      <a:off x="0" y="0"/>
                      <a:ext cx="191135" cy="230505"/>
                    </a:xfrm>
                    <a:prstGeom prst="rect">
                      <a:avLst/>
                    </a:prstGeom>
                    <a:noFill/>
                    <a:ln>
                      <a:noFill/>
                    </a:ln>
                  </pic:spPr>
                </pic:pic>
              </a:graphicData>
            </a:graphic>
          </wp:inline>
        </w:drawing>
      </w:r>
      <w:r>
        <w:rPr>
          <w:rFonts w:hint="eastAsia"/>
          <w:color w:val="000000" w:themeColor="text1"/>
          <w14:textFill>
            <w14:solidFill>
              <w14:schemeClr w14:val="tx1"/>
            </w14:solidFill>
          </w14:textFill>
        </w:rPr>
        <w:t>，</w:t>
      </w:r>
      <w:r>
        <w:rPr>
          <w:color w:val="000000" w:themeColor="text1"/>
          <w:position w:val="-12"/>
          <w14:textFill>
            <w14:solidFill>
              <w14:schemeClr w14:val="tx1"/>
            </w14:solidFill>
          </w14:textFill>
        </w:rPr>
        <w:drawing>
          <wp:inline distT="0" distB="0" distL="0" distR="0">
            <wp:extent cx="198755" cy="230505"/>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a:xfrm>
                      <a:off x="0" y="0"/>
                      <a:ext cx="198755" cy="230505"/>
                    </a:xfrm>
                    <a:prstGeom prst="rect">
                      <a:avLst/>
                    </a:prstGeom>
                    <a:noFill/>
                    <a:ln>
                      <a:noFill/>
                    </a:ln>
                  </pic:spPr>
                </pic:pic>
              </a:graphicData>
            </a:graphic>
          </wp:inline>
        </w:drawing>
      </w:r>
      <w:r>
        <w:rPr>
          <w:rFonts w:hint="eastAsia"/>
          <w:color w:val="000000" w:themeColor="text1"/>
          <w14:textFill>
            <w14:solidFill>
              <w14:schemeClr w14:val="tx1"/>
            </w14:solidFill>
          </w14:textFill>
        </w:rPr>
        <w:t>分别为油和海水的密度(</w:t>
      </w:r>
      <w:r>
        <w:rPr>
          <w:color w:val="000000" w:themeColor="text1"/>
          <w14:textFill>
            <w14:solidFill>
              <w14:schemeClr w14:val="tx1"/>
            </w14:solidFill>
          </w14:textFill>
        </w:rPr>
        <w:t>1012</w:t>
      </w:r>
      <w:r>
        <w:rPr>
          <w:color w:val="000000" w:themeColor="text1"/>
          <w:position w:val="-10"/>
          <w14:textFill>
            <w14:solidFill>
              <w14:schemeClr w14:val="tx1"/>
            </w14:solidFill>
          </w14:textFill>
        </w:rPr>
        <w:drawing>
          <wp:inline distT="0" distB="0" distL="0" distR="0">
            <wp:extent cx="445135" cy="230505"/>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a:xfrm>
                      <a:off x="0" y="0"/>
                      <a:ext cx="445135" cy="230505"/>
                    </a:xfrm>
                    <a:prstGeom prst="rect">
                      <a:avLst/>
                    </a:prstGeom>
                    <a:noFill/>
                    <a:ln>
                      <a:noFill/>
                    </a:ln>
                  </pic:spPr>
                </pic:pic>
              </a:graphicData>
            </a:graphic>
          </wp:inline>
        </w:drawing>
      </w:r>
      <w:r>
        <w:rPr>
          <w:rFonts w:hint="eastAsia"/>
          <w:color w:val="000000" w:themeColor="text1"/>
          <w14:textFill>
            <w14:solidFill>
              <w14:schemeClr w14:val="tx1"/>
            </w14:solidFill>
          </w14:textFill>
        </w:rPr>
        <w:t>)；</w:t>
      </w:r>
      <w:r>
        <w:rPr>
          <w:color w:val="000000" w:themeColor="text1"/>
          <w:position w:val="-6"/>
          <w14:textFill>
            <w14:solidFill>
              <w14:schemeClr w14:val="tx1"/>
            </w14:solidFill>
          </w14:textFill>
        </w:rPr>
        <w:drawing>
          <wp:inline distT="0" distB="0" distL="0" distR="0">
            <wp:extent cx="151130" cy="182880"/>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a:xfrm>
                      <a:off x="0" y="0"/>
                      <a:ext cx="151130" cy="182880"/>
                    </a:xfrm>
                    <a:prstGeom prst="rect">
                      <a:avLst/>
                    </a:prstGeom>
                    <a:noFill/>
                    <a:ln>
                      <a:noFill/>
                    </a:ln>
                  </pic:spPr>
                </pic:pic>
              </a:graphicData>
            </a:graphic>
          </wp:inline>
        </w:drawing>
      </w:r>
      <w:r>
        <w:rPr>
          <w:rFonts w:hint="eastAsia"/>
          <w:color w:val="000000" w:themeColor="text1"/>
          <w14:textFill>
            <w14:solidFill>
              <w14:schemeClr w14:val="tx1"/>
            </w14:solidFill>
          </w14:textFill>
        </w:rPr>
        <w:t>为溢油体积；</w:t>
      </w:r>
      <w:r>
        <w:rPr>
          <w:color w:val="000000" w:themeColor="text1"/>
          <w:position w:val="-6"/>
          <w14:textFill>
            <w14:solidFill>
              <w14:schemeClr w14:val="tx1"/>
            </w14:solidFill>
          </w14:textFill>
        </w:rPr>
        <w:drawing>
          <wp:inline distT="0" distB="0" distL="0" distR="0">
            <wp:extent cx="87630" cy="151130"/>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a:xfrm>
                      <a:off x="0" y="0"/>
                      <a:ext cx="87630" cy="151130"/>
                    </a:xfrm>
                    <a:prstGeom prst="rect">
                      <a:avLst/>
                    </a:prstGeom>
                    <a:noFill/>
                    <a:ln>
                      <a:noFill/>
                    </a:ln>
                  </pic:spPr>
                </pic:pic>
              </a:graphicData>
            </a:graphic>
          </wp:inline>
        </w:drawing>
      </w:r>
      <w:r>
        <w:rPr>
          <w:rFonts w:hint="eastAsia"/>
          <w:color w:val="000000" w:themeColor="text1"/>
          <w14:textFill>
            <w14:solidFill>
              <w14:schemeClr w14:val="tx1"/>
            </w14:solidFill>
          </w14:textFill>
        </w:rPr>
        <w:t>为入海后时间；</w:t>
      </w:r>
      <w:r>
        <w:rPr>
          <w:color w:val="000000" w:themeColor="text1"/>
          <w:position w:val="-10"/>
          <w14:textFill>
            <w14:solidFill>
              <w14:schemeClr w14:val="tx1"/>
            </w14:solidFill>
          </w14:textFill>
        </w:rPr>
        <w:drawing>
          <wp:inline distT="0" distB="0" distL="0" distR="0">
            <wp:extent cx="127000" cy="158750"/>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a:xfrm>
                      <a:off x="0" y="0"/>
                      <a:ext cx="127000" cy="158750"/>
                    </a:xfrm>
                    <a:prstGeom prst="rect">
                      <a:avLst/>
                    </a:prstGeom>
                    <a:noFill/>
                    <a:ln>
                      <a:noFill/>
                    </a:ln>
                  </pic:spPr>
                </pic:pic>
              </a:graphicData>
            </a:graphic>
          </wp:inline>
        </w:drawing>
      </w:r>
      <w:r>
        <w:rPr>
          <w:rFonts w:hint="eastAsia"/>
          <w:color w:val="000000" w:themeColor="text1"/>
          <w14:textFill>
            <w14:solidFill>
              <w14:schemeClr w14:val="tx1"/>
            </w14:solidFill>
          </w14:textFill>
        </w:rPr>
        <w:t>为水的运动粘度(</w:t>
      </w:r>
      <w:r>
        <w:rPr>
          <w:color w:val="000000" w:themeColor="text1"/>
          <w:position w:val="-6"/>
          <w14:textFill>
            <w14:solidFill>
              <w14:schemeClr w14:val="tx1"/>
            </w14:solidFill>
          </w14:textFill>
        </w:rPr>
        <w:drawing>
          <wp:inline distT="0" distB="0" distL="0" distR="0">
            <wp:extent cx="1025525" cy="198755"/>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a:xfrm>
                      <a:off x="0" y="0"/>
                      <a:ext cx="1025525" cy="198755"/>
                    </a:xfrm>
                    <a:prstGeom prst="rect">
                      <a:avLst/>
                    </a:prstGeom>
                    <a:noFill/>
                    <a:ln>
                      <a:noFill/>
                    </a:ln>
                  </pic:spPr>
                </pic:pic>
              </a:graphicData>
            </a:graphic>
          </wp:inline>
        </w:drawing>
      </w:r>
      <w:r>
        <w:rPr>
          <w:rFonts w:hint="eastAsia"/>
          <w:color w:val="000000" w:themeColor="text1"/>
          <w14:textFill>
            <w14:solidFill>
              <w14:schemeClr w14:val="tx1"/>
            </w14:solidFill>
          </w14:textFill>
        </w:rPr>
        <w:t>)；</w:t>
      </w:r>
      <w:r>
        <w:rPr>
          <w:color w:val="000000" w:themeColor="text1"/>
          <w:position w:val="-6"/>
          <w14:textFill>
            <w14:solidFill>
              <w14:schemeClr w14:val="tx1"/>
            </w14:solidFill>
          </w14:textFill>
        </w:rPr>
        <w:drawing>
          <wp:inline distT="0" distB="0" distL="0" distR="0">
            <wp:extent cx="142875" cy="182880"/>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a:xfrm>
                      <a:off x="0" y="0"/>
                      <a:ext cx="142875" cy="182880"/>
                    </a:xfrm>
                    <a:prstGeom prst="rect">
                      <a:avLst/>
                    </a:prstGeom>
                    <a:noFill/>
                    <a:ln>
                      <a:noFill/>
                    </a:ln>
                  </pic:spPr>
                </pic:pic>
              </a:graphicData>
            </a:graphic>
          </wp:inline>
        </w:drawing>
      </w:r>
      <w:r>
        <w:rPr>
          <w:rFonts w:hint="eastAsia"/>
          <w:color w:val="000000" w:themeColor="text1"/>
          <w14:textFill>
            <w14:solidFill>
              <w14:schemeClr w14:val="tx1"/>
            </w14:solidFill>
          </w14:textFill>
        </w:rPr>
        <w:t>为表面张力。</w:t>
      </w:r>
    </w:p>
    <w:p w14:paraId="5ACD86B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当溢油连续扩展，油膜厚度减小到某一临界值时，在波浪湍流的作用下，油膜被撕裂成碎片，即进入碎片紊动扩散阶段。这时的碎片扩散受表面尺度涡流所支配，碎片呈高斯分布，油膜碎片覆盖的污染区的相当半径为：</w:t>
      </w:r>
      <w:r>
        <w:rPr>
          <w:color w:val="000000" w:themeColor="text1"/>
          <w:position w:val="-10"/>
          <w14:textFill>
            <w14:solidFill>
              <w14:schemeClr w14:val="tx1"/>
            </w14:solidFill>
          </w14:textFill>
        </w:rPr>
        <w:drawing>
          <wp:inline distT="0" distB="0" distL="0" distR="0">
            <wp:extent cx="1248410" cy="238760"/>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a:xfrm>
                      <a:off x="0" y="0"/>
                      <a:ext cx="1248410" cy="238760"/>
                    </a:xfrm>
                    <a:prstGeom prst="rect">
                      <a:avLst/>
                    </a:prstGeom>
                    <a:noFill/>
                    <a:ln>
                      <a:noFill/>
                    </a:ln>
                  </pic:spPr>
                </pic:pic>
              </a:graphicData>
            </a:graphic>
          </wp:inline>
        </w:drawing>
      </w:r>
      <w:r>
        <w:rPr>
          <w:rFonts w:hint="eastAsia"/>
          <w:color w:val="000000" w:themeColor="text1"/>
          <w14:textFill>
            <w14:solidFill>
              <w14:schemeClr w14:val="tx1"/>
            </w14:solidFill>
          </w14:textFill>
        </w:rPr>
        <w:t>，在各向异性的海洋中，油膜主要运动方向(</w:t>
      </w:r>
      <w:r>
        <w:rPr>
          <w:color w:val="000000" w:themeColor="text1"/>
          <w:position w:val="-6"/>
          <w14:textFill>
            <w14:solidFill>
              <w14:schemeClr w14:val="tx1"/>
            </w14:solidFill>
          </w14:textFill>
        </w:rPr>
        <w:drawing>
          <wp:inline distT="0" distB="0" distL="0" distR="0">
            <wp:extent cx="111125" cy="142875"/>
            <wp:effectExtent l="0" t="0" r="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a:xfrm>
                      <a:off x="0" y="0"/>
                      <a:ext cx="111125" cy="142875"/>
                    </a:xfrm>
                    <a:prstGeom prst="rect">
                      <a:avLst/>
                    </a:prstGeom>
                    <a:noFill/>
                    <a:ln>
                      <a:noFill/>
                    </a:ln>
                  </pic:spPr>
                </pic:pic>
              </a:graphicData>
            </a:graphic>
          </wp:inline>
        </w:drawing>
      </w:r>
      <w:r>
        <w:rPr>
          <w:rFonts w:hint="eastAsia"/>
          <w:color w:val="000000" w:themeColor="text1"/>
          <w14:textFill>
            <w14:solidFill>
              <w14:schemeClr w14:val="tx1"/>
            </w14:solidFill>
          </w14:textFill>
        </w:rPr>
        <w:t>)和次要运动方向(</w:t>
      </w:r>
      <w:r>
        <w:rPr>
          <w:color w:val="000000" w:themeColor="text1"/>
          <w:position w:val="-6"/>
          <w14:textFill>
            <w14:solidFill>
              <w14:schemeClr w14:val="tx1"/>
            </w14:solidFill>
          </w14:textFill>
        </w:rPr>
        <w:drawing>
          <wp:inline distT="0" distB="0" distL="0" distR="0">
            <wp:extent cx="127000" cy="142875"/>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a:xfrm>
                      <a:off x="0" y="0"/>
                      <a:ext cx="127000" cy="142875"/>
                    </a:xfrm>
                    <a:prstGeom prst="rect">
                      <a:avLst/>
                    </a:prstGeom>
                    <a:noFill/>
                    <a:ln>
                      <a:noFill/>
                    </a:ln>
                  </pic:spPr>
                </pic:pic>
              </a:graphicData>
            </a:graphic>
          </wp:inline>
        </w:drawing>
      </w:r>
      <w:r>
        <w:rPr>
          <w:rFonts w:hint="eastAsia"/>
          <w:color w:val="000000" w:themeColor="text1"/>
          <w14:textFill>
            <w14:solidFill>
              <w14:schemeClr w14:val="tx1"/>
            </w14:solidFill>
          </w14:textFill>
        </w:rPr>
        <w:t>)的扩展尺度</w:t>
      </w:r>
      <w:r>
        <w:rPr>
          <w:color w:val="000000" w:themeColor="text1"/>
          <w:position w:val="-6"/>
          <w14:textFill>
            <w14:solidFill>
              <w14:schemeClr w14:val="tx1"/>
            </w14:solidFill>
          </w14:textFill>
        </w:rPr>
        <w:drawing>
          <wp:inline distT="0" distB="0" distL="0" distR="0">
            <wp:extent cx="191135" cy="182880"/>
            <wp:effectExtent l="0" t="0" r="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a:xfrm>
                      <a:off x="0" y="0"/>
                      <a:ext cx="191135" cy="182880"/>
                    </a:xfrm>
                    <a:prstGeom prst="rect">
                      <a:avLst/>
                    </a:prstGeom>
                    <a:noFill/>
                    <a:ln>
                      <a:noFill/>
                    </a:ln>
                  </pic:spPr>
                </pic:pic>
              </a:graphicData>
            </a:graphic>
          </wp:inline>
        </w:drawing>
      </w:r>
      <w:r>
        <w:rPr>
          <w:rFonts w:hint="eastAsia"/>
          <w:color w:val="000000" w:themeColor="text1"/>
          <w14:textFill>
            <w14:solidFill>
              <w14:schemeClr w14:val="tx1"/>
            </w14:solidFill>
          </w14:textFill>
        </w:rPr>
        <w:t>和</w:t>
      </w:r>
      <w:r>
        <w:rPr>
          <w:color w:val="000000" w:themeColor="text1"/>
          <w:position w:val="-6"/>
          <w14:textFill>
            <w14:solidFill>
              <w14:schemeClr w14:val="tx1"/>
            </w14:solidFill>
          </w14:textFill>
        </w:rPr>
        <w:drawing>
          <wp:inline distT="0" distB="0" distL="0" distR="0">
            <wp:extent cx="198755" cy="182880"/>
            <wp:effectExtent l="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a:xfrm>
                      <a:off x="0" y="0"/>
                      <a:ext cx="198755" cy="182880"/>
                    </a:xfrm>
                    <a:prstGeom prst="rect">
                      <a:avLst/>
                    </a:prstGeom>
                    <a:noFill/>
                    <a:ln>
                      <a:noFill/>
                    </a:ln>
                  </pic:spPr>
                </pic:pic>
              </a:graphicData>
            </a:graphic>
          </wp:inline>
        </w:drawing>
      </w:r>
      <w:r>
        <w:rPr>
          <w:rFonts w:hint="eastAsia"/>
          <w:color w:val="000000" w:themeColor="text1"/>
          <w14:textFill>
            <w14:solidFill>
              <w14:schemeClr w14:val="tx1"/>
            </w14:solidFill>
          </w14:textFill>
        </w:rPr>
        <w:t>可按下式计算：</w:t>
      </w:r>
      <w:r>
        <w:rPr>
          <w:color w:val="000000" w:themeColor="text1"/>
          <w:position w:val="-12"/>
          <w14:textFill>
            <w14:solidFill>
              <w14:schemeClr w14:val="tx1"/>
            </w14:solidFill>
          </w14:textFill>
        </w:rPr>
        <w:drawing>
          <wp:inline distT="0" distB="0" distL="0" distR="0">
            <wp:extent cx="596265" cy="230505"/>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a:xfrm>
                      <a:off x="0" y="0"/>
                      <a:ext cx="596265" cy="230505"/>
                    </a:xfrm>
                    <a:prstGeom prst="rect">
                      <a:avLst/>
                    </a:prstGeom>
                    <a:noFill/>
                    <a:ln>
                      <a:noFill/>
                    </a:ln>
                  </pic:spPr>
                </pic:pic>
              </a:graphicData>
            </a:graphic>
          </wp:inline>
        </w:drawing>
      </w:r>
      <w:r>
        <w:rPr>
          <w:rFonts w:hint="eastAsia"/>
          <w:color w:val="000000" w:themeColor="text1"/>
          <w14:textFill>
            <w14:solidFill>
              <w14:schemeClr w14:val="tx1"/>
            </w14:solidFill>
          </w14:textFill>
        </w:rPr>
        <w:t>，</w:t>
      </w:r>
      <w:r>
        <w:rPr>
          <w:color w:val="000000" w:themeColor="text1"/>
          <w:position w:val="-12"/>
          <w14:textFill>
            <w14:solidFill>
              <w14:schemeClr w14:val="tx1"/>
            </w14:solidFill>
          </w14:textFill>
        </w:rPr>
        <w:drawing>
          <wp:inline distT="0" distB="0" distL="0" distR="0">
            <wp:extent cx="612140" cy="230505"/>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a:xfrm>
                      <a:off x="0" y="0"/>
                      <a:ext cx="612140" cy="230505"/>
                    </a:xfrm>
                    <a:prstGeom prst="rect">
                      <a:avLst/>
                    </a:prstGeom>
                    <a:noFill/>
                    <a:ln>
                      <a:noFill/>
                    </a:ln>
                  </pic:spPr>
                </pic:pic>
              </a:graphicData>
            </a:graphic>
          </wp:inline>
        </w:drawing>
      </w:r>
      <w:r>
        <w:rPr>
          <w:rFonts w:hint="eastAsia"/>
          <w:color w:val="000000" w:themeColor="text1"/>
          <w14:textFill>
            <w14:solidFill>
              <w14:schemeClr w14:val="tx1"/>
            </w14:solidFill>
          </w14:textFill>
        </w:rPr>
        <w:t>。</w:t>
      </w:r>
    </w:p>
    <w:p w14:paraId="1D98259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本次预测</w:t>
      </w:r>
      <w:r>
        <w:rPr>
          <w:color w:val="000000" w:themeColor="text1"/>
          <w:position w:val="-6"/>
          <w14:textFill>
            <w14:solidFill>
              <w14:schemeClr w14:val="tx1"/>
            </w14:solidFill>
          </w14:textFill>
        </w:rPr>
        <w:drawing>
          <wp:inline distT="0" distB="0" distL="0" distR="0">
            <wp:extent cx="151130" cy="142875"/>
            <wp:effectExtent l="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a:xfrm>
                      <a:off x="0" y="0"/>
                      <a:ext cx="151130" cy="142875"/>
                    </a:xfrm>
                    <a:prstGeom prst="rect">
                      <a:avLst/>
                    </a:prstGeom>
                    <a:noFill/>
                    <a:ln>
                      <a:noFill/>
                    </a:ln>
                  </pic:spPr>
                </pic:pic>
              </a:graphicData>
            </a:graphic>
          </wp:inline>
        </w:drawing>
      </w:r>
      <w:r>
        <w:rPr>
          <w:rFonts w:hint="eastAsia"/>
          <w:color w:val="000000" w:themeColor="text1"/>
          <w14:textFill>
            <w14:solidFill>
              <w14:schemeClr w14:val="tx1"/>
            </w14:solidFill>
          </w14:textFill>
        </w:rPr>
        <w:t>值按Okubo等人的经验公式（</w:t>
      </w:r>
      <w:r>
        <w:rPr>
          <w:color w:val="000000" w:themeColor="text1"/>
          <w:position w:val="-6"/>
          <w14:textFill>
            <w14:solidFill>
              <w14:schemeClr w14:val="tx1"/>
            </w14:solidFill>
          </w14:textFill>
        </w:rPr>
        <w:drawing>
          <wp:inline distT="0" distB="0" distL="0" distR="0">
            <wp:extent cx="850900" cy="198755"/>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a:xfrm>
                      <a:off x="0" y="0"/>
                      <a:ext cx="850900" cy="198755"/>
                    </a:xfrm>
                    <a:prstGeom prst="rect">
                      <a:avLst/>
                    </a:prstGeom>
                    <a:noFill/>
                    <a:ln>
                      <a:noFill/>
                    </a:ln>
                  </pic:spPr>
                </pic:pic>
              </a:graphicData>
            </a:graphic>
          </wp:inline>
        </w:drawing>
      </w:r>
      <w:r>
        <w:rPr>
          <w:rFonts w:hint="eastAsia"/>
          <w:color w:val="000000" w:themeColor="text1"/>
          <w14:textFill>
            <w14:solidFill>
              <w14:schemeClr w14:val="tx1"/>
            </w14:solidFill>
          </w14:textFill>
        </w:rPr>
        <w:t>）求取，</w:t>
      </w:r>
      <w:r>
        <w:rPr>
          <w:color w:val="000000" w:themeColor="text1"/>
          <w:position w:val="-6"/>
          <w14:textFill>
            <w14:solidFill>
              <w14:schemeClr w14:val="tx1"/>
            </w14:solidFill>
          </w14:textFill>
        </w:rPr>
        <w:drawing>
          <wp:inline distT="0" distB="0" distL="0" distR="0">
            <wp:extent cx="151130" cy="142875"/>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a:xfrm>
                      <a:off x="0" y="0"/>
                      <a:ext cx="151130" cy="142875"/>
                    </a:xfrm>
                    <a:prstGeom prst="rect">
                      <a:avLst/>
                    </a:prstGeom>
                    <a:noFill/>
                    <a:ln>
                      <a:noFill/>
                    </a:ln>
                  </pic:spPr>
                </pic:pic>
              </a:graphicData>
            </a:graphic>
          </wp:inline>
        </w:drawing>
      </w:r>
      <w:r>
        <w:rPr>
          <w:rFonts w:hint="eastAsia"/>
          <w:color w:val="000000" w:themeColor="text1"/>
          <w14:textFill>
            <w14:solidFill>
              <w14:schemeClr w14:val="tx1"/>
            </w14:solidFill>
          </w14:textFill>
        </w:rPr>
        <w:t>及</w:t>
      </w:r>
      <w:r>
        <w:rPr>
          <w:color w:val="000000" w:themeColor="text1"/>
          <w:position w:val="-6"/>
          <w14:textFill>
            <w14:solidFill>
              <w14:schemeClr w14:val="tx1"/>
            </w14:solidFill>
          </w14:textFill>
        </w:rPr>
        <w:drawing>
          <wp:inline distT="0" distB="0" distL="0" distR="0">
            <wp:extent cx="158750" cy="142875"/>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a:xfrm>
                      <a:off x="0" y="0"/>
                      <a:ext cx="158750" cy="142875"/>
                    </a:xfrm>
                    <a:prstGeom prst="rect">
                      <a:avLst/>
                    </a:prstGeom>
                    <a:noFill/>
                    <a:ln>
                      <a:noFill/>
                    </a:ln>
                  </pic:spPr>
                </pic:pic>
              </a:graphicData>
            </a:graphic>
          </wp:inline>
        </w:drawing>
      </w:r>
      <w:r>
        <w:rPr>
          <w:rFonts w:hint="eastAsia"/>
          <w:color w:val="000000" w:themeColor="text1"/>
          <w14:textFill>
            <w14:solidFill>
              <w14:schemeClr w14:val="tx1"/>
            </w14:solidFill>
          </w14:textFill>
        </w:rPr>
        <w:t>分别取</w:t>
      </w:r>
      <w:r>
        <w:rPr>
          <w:color w:val="000000" w:themeColor="text1"/>
          <w:position w:val="-10"/>
          <w14:textFill>
            <w14:solidFill>
              <w14:schemeClr w14:val="tx1"/>
            </w14:solidFill>
          </w14:textFill>
        </w:rPr>
        <w:drawing>
          <wp:inline distT="0" distB="0" distL="0" distR="0">
            <wp:extent cx="421640" cy="238760"/>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a:xfrm>
                      <a:off x="0" y="0"/>
                      <a:ext cx="421640" cy="238760"/>
                    </a:xfrm>
                    <a:prstGeom prst="rect">
                      <a:avLst/>
                    </a:prstGeom>
                    <a:noFill/>
                    <a:ln>
                      <a:noFill/>
                    </a:ln>
                  </pic:spPr>
                </pic:pic>
              </a:graphicData>
            </a:graphic>
          </wp:inline>
        </w:drawing>
      </w:r>
      <w:r>
        <w:rPr>
          <w:rFonts w:hint="eastAsia"/>
          <w:color w:val="000000" w:themeColor="text1"/>
          <w14:textFill>
            <w14:solidFill>
              <w14:schemeClr w14:val="tx1"/>
            </w14:solidFill>
          </w14:textFill>
        </w:rPr>
        <w:t>和</w:t>
      </w:r>
      <w:r>
        <w:rPr>
          <w:color w:val="000000" w:themeColor="text1"/>
          <w:position w:val="-10"/>
          <w14:textFill>
            <w14:solidFill>
              <w14:schemeClr w14:val="tx1"/>
            </w14:solidFill>
          </w14:textFill>
        </w:rPr>
        <w:drawing>
          <wp:inline distT="0" distB="0" distL="0" distR="0">
            <wp:extent cx="421640" cy="238760"/>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a:xfrm>
                      <a:off x="0" y="0"/>
                      <a:ext cx="421640" cy="238760"/>
                    </a:xfrm>
                    <a:prstGeom prst="rect">
                      <a:avLst/>
                    </a:prstGeom>
                    <a:noFill/>
                    <a:ln>
                      <a:noFill/>
                    </a:ln>
                  </pic:spPr>
                </pic:pic>
              </a:graphicData>
            </a:graphic>
          </wp:inline>
        </w:drawing>
      </w:r>
      <w:r>
        <w:rPr>
          <w:rFonts w:hint="eastAsia"/>
          <w:color w:val="000000" w:themeColor="text1"/>
          <w14:textFill>
            <w14:solidFill>
              <w14:schemeClr w14:val="tx1"/>
            </w14:solidFill>
          </w14:textFill>
        </w:rPr>
        <w:t>。</w:t>
      </w:r>
    </w:p>
    <w:p w14:paraId="72620C5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溢油入海后，很快便扩展成油膜，在风和流的作用下，发生水平漂移的同时，溢油本身扩展的等效圆油膜还不断地增大。因此，溢油污染范围就是这个不断扩大而漂移的等效圆油膜所经过的海面面积。溢油的漂移与扩展不同，它与溢油量无关。漂移大小通常以溢油等效圆中心位移来判断，其拉格朗日迁移矢量为：</w:t>
      </w:r>
    </w:p>
    <w:p w14:paraId="68C9C40A">
      <w:pPr>
        <w:ind w:firstLine="480"/>
        <w:jc w:val="center"/>
        <w:rPr>
          <w:color w:val="000000" w:themeColor="text1"/>
          <w14:textFill>
            <w14:solidFill>
              <w14:schemeClr w14:val="tx1"/>
            </w14:solidFill>
          </w14:textFill>
        </w:rPr>
      </w:pPr>
      <w:r>
        <w:rPr>
          <w:color w:val="000000" w:themeColor="text1"/>
          <w:position w:val="-22"/>
          <w14:textFill>
            <w14:solidFill>
              <w14:schemeClr w14:val="tx1"/>
            </w14:solidFill>
          </w14:textFill>
        </w:rPr>
        <w:drawing>
          <wp:inline distT="0" distB="0" distL="0" distR="0">
            <wp:extent cx="1248410" cy="349885"/>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a:xfrm>
                      <a:off x="0" y="0"/>
                      <a:ext cx="1248410" cy="349885"/>
                    </a:xfrm>
                    <a:prstGeom prst="rect">
                      <a:avLst/>
                    </a:prstGeom>
                    <a:noFill/>
                    <a:ln>
                      <a:noFill/>
                    </a:ln>
                  </pic:spPr>
                </pic:pic>
              </a:graphicData>
            </a:graphic>
          </wp:inline>
        </w:drawing>
      </w:r>
    </w:p>
    <w:p w14:paraId="4945FA2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w:t>
      </w:r>
      <w:r>
        <w:rPr>
          <w:color w:val="000000" w:themeColor="text1"/>
          <w:position w:val="-12"/>
          <w14:textFill>
            <w14:solidFill>
              <w14:schemeClr w14:val="tx1"/>
            </w14:solidFill>
          </w14:textFill>
        </w:rPr>
        <w:drawing>
          <wp:inline distT="0" distB="0" distL="0" distR="0">
            <wp:extent cx="1288415" cy="270510"/>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a:xfrm>
                      <a:off x="0" y="0"/>
                      <a:ext cx="1288415" cy="270510"/>
                    </a:xfrm>
                    <a:prstGeom prst="rect">
                      <a:avLst/>
                    </a:prstGeom>
                    <a:noFill/>
                    <a:ln>
                      <a:noFill/>
                    </a:ln>
                  </pic:spPr>
                </pic:pic>
              </a:graphicData>
            </a:graphic>
          </wp:inline>
        </w:drawing>
      </w:r>
      <w:r>
        <w:rPr>
          <w:rFonts w:hint="eastAsia"/>
          <w:color w:val="000000" w:themeColor="text1"/>
          <w14:textFill>
            <w14:solidFill>
              <w14:schemeClr w14:val="tx1"/>
            </w14:solidFill>
          </w14:textFill>
        </w:rPr>
        <w:t>，</w:t>
      </w:r>
      <w:r>
        <w:rPr>
          <w:color w:val="000000" w:themeColor="text1"/>
          <w:position w:val="-6"/>
          <w14:textFill>
            <w14:solidFill>
              <w14:schemeClr w14:val="tx1"/>
            </w14:solidFill>
          </w14:textFill>
        </w:rPr>
        <w:drawing>
          <wp:inline distT="0" distB="0" distL="0" distR="0">
            <wp:extent cx="238760" cy="230505"/>
            <wp:effectExtent l="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a:xfrm>
                      <a:off x="0" y="0"/>
                      <a:ext cx="238760" cy="230505"/>
                    </a:xfrm>
                    <a:prstGeom prst="rect">
                      <a:avLst/>
                    </a:prstGeom>
                    <a:noFill/>
                    <a:ln>
                      <a:noFill/>
                    </a:ln>
                  </pic:spPr>
                </pic:pic>
              </a:graphicData>
            </a:graphic>
          </wp:inline>
        </w:drawing>
      </w:r>
      <w:r>
        <w:rPr>
          <w:rFonts w:hint="eastAsia"/>
          <w:color w:val="000000" w:themeColor="text1"/>
          <w14:textFill>
            <w14:solidFill>
              <w14:schemeClr w14:val="tx1"/>
            </w14:solidFill>
          </w14:textFill>
        </w:rPr>
        <w:t>为垂向平均的海流速度，</w:t>
      </w:r>
      <w:r>
        <w:rPr>
          <w:color w:val="000000" w:themeColor="text1"/>
          <w:position w:val="-6"/>
          <w14:textFill>
            <w14:solidFill>
              <w14:schemeClr w14:val="tx1"/>
            </w14:solidFill>
          </w14:textFill>
        </w:rPr>
        <w:drawing>
          <wp:inline distT="0" distB="0" distL="0" distR="0">
            <wp:extent cx="254635" cy="230505"/>
            <wp:effectExtent l="0" t="0" r="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a:xfrm>
                      <a:off x="0" y="0"/>
                      <a:ext cx="254635" cy="230505"/>
                    </a:xfrm>
                    <a:prstGeom prst="rect">
                      <a:avLst/>
                    </a:prstGeom>
                    <a:noFill/>
                    <a:ln>
                      <a:noFill/>
                    </a:ln>
                  </pic:spPr>
                </pic:pic>
              </a:graphicData>
            </a:graphic>
          </wp:inline>
        </w:drawing>
      </w:r>
      <w:r>
        <w:rPr>
          <w:rFonts w:hint="eastAsia"/>
          <w:color w:val="000000" w:themeColor="text1"/>
          <w14:textFill>
            <w14:solidFill>
              <w14:schemeClr w14:val="tx1"/>
            </w14:solidFill>
          </w14:textFill>
        </w:rPr>
        <w:t>为海面上</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m处的风速，</w:t>
      </w:r>
      <w:r>
        <w:rPr>
          <w:color w:val="000000" w:themeColor="text1"/>
          <w:position w:val="-12"/>
          <w14:textFill>
            <w14:solidFill>
              <w14:schemeClr w14:val="tx1"/>
            </w14:solidFill>
          </w14:textFill>
        </w:rPr>
        <w:drawing>
          <wp:inline distT="0" distB="0" distL="0" distR="0">
            <wp:extent cx="198755" cy="230505"/>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a:xfrm>
                      <a:off x="0" y="0"/>
                      <a:ext cx="198755" cy="230505"/>
                    </a:xfrm>
                    <a:prstGeom prst="rect">
                      <a:avLst/>
                    </a:prstGeom>
                    <a:noFill/>
                    <a:ln>
                      <a:noFill/>
                    </a:ln>
                  </pic:spPr>
                </pic:pic>
              </a:graphicData>
            </a:graphic>
          </wp:inline>
        </w:drawing>
      </w:r>
      <w:r>
        <w:rPr>
          <w:rFonts w:hint="eastAsia"/>
          <w:color w:val="000000" w:themeColor="text1"/>
          <w14:textFill>
            <w14:solidFill>
              <w14:schemeClr w14:val="tx1"/>
            </w14:solidFill>
          </w14:textFill>
        </w:rPr>
        <w:t>取</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w:t>
      </w:r>
      <w:r>
        <w:rPr>
          <w:color w:val="000000" w:themeColor="text1"/>
          <w:position w:val="-12"/>
          <w14:textFill>
            <w14:solidFill>
              <w14:schemeClr w14:val="tx1"/>
            </w14:solidFill>
          </w14:textFill>
        </w:rPr>
        <w:drawing>
          <wp:inline distT="0" distB="0" distL="0" distR="0">
            <wp:extent cx="230505" cy="230505"/>
            <wp:effectExtent l="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a:xfrm>
                      <a:off x="0" y="0"/>
                      <a:ext cx="230505" cy="230505"/>
                    </a:xfrm>
                    <a:prstGeom prst="rect">
                      <a:avLst/>
                    </a:prstGeom>
                    <a:noFill/>
                    <a:ln>
                      <a:noFill/>
                    </a:ln>
                  </pic:spPr>
                </pic:pic>
              </a:graphicData>
            </a:graphic>
          </wp:inline>
        </w:drawing>
      </w:r>
      <w:r>
        <w:rPr>
          <w:rFonts w:hint="eastAsia"/>
          <w:color w:val="000000" w:themeColor="text1"/>
          <w14:textFill>
            <w14:solidFill>
              <w14:schemeClr w14:val="tx1"/>
            </w14:solidFill>
          </w14:textFill>
        </w:rPr>
        <w:t>视油的密度大小取</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030</w:t>
      </w:r>
      <w:r>
        <w:rPr>
          <w:rFonts w:hint="eastAsia"/>
          <w:color w:val="000000" w:themeColor="text1"/>
          <w14:textFill>
            <w14:solidFill>
              <w14:schemeClr w14:val="tx1"/>
            </w14:solidFill>
          </w14:textFill>
        </w:rPr>
        <w:t>～0.035。</w:t>
      </w:r>
    </w:p>
    <w:p w14:paraId="03380F2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在油膜漂移过程扩展中，油的源强变化也是影响油膜漂移轨迹的原因之一，引起油的源强衰减的主要原因是蒸发和分散作用。</w:t>
      </w:r>
    </w:p>
    <w:p w14:paraId="516352C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油溢出后，海面浮油中低碳数组分很快蒸发到大气中。其蒸发的速率取决于溢油的组分、油膜的表面积、气温、海水温度、海面状况以及太阳辐射强弱等多种因素。因此，按一般蒸发和溢油总量来估算源损，不能反映影响蒸发的上述各种条件，因为蒸发是溢油量与溢油时间的变化率，也就是蒸发随溢油迁移过程变化的。但是给出确切的蒸发计算公式也是相当困难的。为简化计算，多把蒸发理想化处理。参考Fallash和Stark求取公式：</w:t>
      </w:r>
    </w:p>
    <w:p w14:paraId="570101A9">
      <w:pPr>
        <w:ind w:firstLine="480"/>
        <w:jc w:val="center"/>
        <w:rPr>
          <w:color w:val="000000" w:themeColor="text1"/>
          <w14:textFill>
            <w14:solidFill>
              <w14:schemeClr w14:val="tx1"/>
            </w14:solidFill>
          </w14:textFill>
        </w:rPr>
      </w:pPr>
      <w:r>
        <w:rPr>
          <w:color w:val="000000" w:themeColor="text1"/>
          <w:position w:val="-18"/>
          <w14:textFill>
            <w14:solidFill>
              <w14:schemeClr w14:val="tx1"/>
            </w14:solidFill>
          </w14:textFill>
        </w:rPr>
        <w:drawing>
          <wp:inline distT="0" distB="0" distL="0" distR="0">
            <wp:extent cx="1478915" cy="302260"/>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a:xfrm>
                      <a:off x="0" y="0"/>
                      <a:ext cx="1478915" cy="302260"/>
                    </a:xfrm>
                    <a:prstGeom prst="rect">
                      <a:avLst/>
                    </a:prstGeom>
                    <a:noFill/>
                    <a:ln>
                      <a:noFill/>
                    </a:ln>
                  </pic:spPr>
                </pic:pic>
              </a:graphicData>
            </a:graphic>
          </wp:inline>
        </w:drawing>
      </w:r>
    </w:p>
    <w:p w14:paraId="2157F78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w:t>
      </w:r>
      <w:r>
        <w:rPr>
          <w:color w:val="000000" w:themeColor="text1"/>
          <w:position w:val="-4"/>
          <w14:textFill>
            <w14:solidFill>
              <w14:schemeClr w14:val="tx1"/>
            </w14:solidFill>
          </w14:textFill>
        </w:rPr>
        <w:drawing>
          <wp:inline distT="0" distB="0" distL="0" distR="0">
            <wp:extent cx="151130" cy="158750"/>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a:xfrm>
                      <a:off x="0" y="0"/>
                      <a:ext cx="151130" cy="158750"/>
                    </a:xfrm>
                    <a:prstGeom prst="rect">
                      <a:avLst/>
                    </a:prstGeom>
                    <a:noFill/>
                    <a:ln>
                      <a:noFill/>
                    </a:ln>
                  </pic:spPr>
                </pic:pic>
              </a:graphicData>
            </a:graphic>
          </wp:inline>
        </w:drawing>
      </w:r>
      <w:r>
        <w:rPr>
          <w:rFonts w:hint="eastAsia"/>
          <w:color w:val="000000" w:themeColor="text1"/>
          <w14:textFill>
            <w14:solidFill>
              <w14:schemeClr w14:val="tx1"/>
            </w14:solidFill>
          </w14:textFill>
        </w:rPr>
        <w:t>-油膜表面积；</w:t>
      </w:r>
      <w:r>
        <w:rPr>
          <w:color w:val="000000" w:themeColor="text1"/>
          <w:position w:val="-6"/>
          <w14:textFill>
            <w14:solidFill>
              <w14:schemeClr w14:val="tx1"/>
            </w14:solidFill>
          </w14:textFill>
        </w:rPr>
        <w:drawing>
          <wp:inline distT="0" distB="0" distL="0" distR="0">
            <wp:extent cx="182880" cy="182880"/>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a:xfrm>
                      <a:off x="0" y="0"/>
                      <a:ext cx="182880" cy="182880"/>
                    </a:xfrm>
                    <a:prstGeom prst="rect">
                      <a:avLst/>
                    </a:prstGeom>
                    <a:noFill/>
                    <a:ln>
                      <a:noFill/>
                    </a:ln>
                  </pic:spPr>
                </pic:pic>
              </a:graphicData>
            </a:graphic>
          </wp:inline>
        </w:drawing>
      </w:r>
      <w:r>
        <w:rPr>
          <w:rFonts w:hint="eastAsia"/>
          <w:color w:val="000000" w:themeColor="text1"/>
          <w14:textFill>
            <w14:solidFill>
              <w14:schemeClr w14:val="tx1"/>
            </w14:solidFill>
          </w14:textFill>
        </w:rPr>
        <w:t>为油膜上某高度的风速；</w:t>
      </w:r>
      <w:r>
        <w:rPr>
          <w:color w:val="000000" w:themeColor="text1"/>
          <w:position w:val="-12"/>
          <w14:textFill>
            <w14:solidFill>
              <w14:schemeClr w14:val="tx1"/>
            </w14:solidFill>
          </w14:textFill>
        </w:rPr>
        <w:drawing>
          <wp:inline distT="0" distB="0" distL="0" distR="0">
            <wp:extent cx="158750" cy="230505"/>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a:xfrm>
                      <a:off x="0" y="0"/>
                      <a:ext cx="158750" cy="230505"/>
                    </a:xfrm>
                    <a:prstGeom prst="rect">
                      <a:avLst/>
                    </a:prstGeom>
                    <a:noFill/>
                    <a:ln>
                      <a:noFill/>
                    </a:ln>
                  </pic:spPr>
                </pic:pic>
              </a:graphicData>
            </a:graphic>
          </wp:inline>
        </w:drawing>
      </w:r>
      <w:r>
        <w:rPr>
          <w:rFonts w:hint="eastAsia"/>
          <w:color w:val="000000" w:themeColor="text1"/>
          <w14:textFill>
            <w14:solidFill>
              <w14:schemeClr w14:val="tx1"/>
            </w14:solidFill>
          </w14:textFill>
        </w:rPr>
        <w:t>为油温为</w:t>
      </w:r>
      <w:r>
        <w:rPr>
          <w:color w:val="000000" w:themeColor="text1"/>
          <w:position w:val="-6"/>
          <w14:textFill>
            <w14:solidFill>
              <w14:schemeClr w14:val="tx1"/>
            </w14:solidFill>
          </w14:textFill>
        </w:rPr>
        <w:drawing>
          <wp:inline distT="0" distB="0" distL="0" distR="0">
            <wp:extent cx="142875" cy="182880"/>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a:xfrm>
                      <a:off x="0" y="0"/>
                      <a:ext cx="142875" cy="182880"/>
                    </a:xfrm>
                    <a:prstGeom prst="rect">
                      <a:avLst/>
                    </a:prstGeom>
                    <a:noFill/>
                    <a:ln>
                      <a:noFill/>
                    </a:ln>
                  </pic:spPr>
                </pic:pic>
              </a:graphicData>
            </a:graphic>
          </wp:inline>
        </w:drawing>
      </w:r>
      <w:r>
        <w:rPr>
          <w:rFonts w:hint="eastAsia"/>
          <w:color w:val="000000" w:themeColor="text1"/>
          <w14:textFill>
            <w14:solidFill>
              <w14:schemeClr w14:val="tx1"/>
            </w14:solidFill>
          </w14:textFill>
        </w:rPr>
        <w:t>时的饱和蒸气压；</w:t>
      </w:r>
      <w:r>
        <w:rPr>
          <w:color w:val="000000" w:themeColor="text1"/>
          <w:position w:val="-12"/>
          <w14:textFill>
            <w14:solidFill>
              <w14:schemeClr w14:val="tx1"/>
            </w14:solidFill>
          </w14:textFill>
        </w:rPr>
        <w:drawing>
          <wp:inline distT="0" distB="0" distL="0" distR="0">
            <wp:extent cx="182880" cy="230505"/>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a:xfrm>
                      <a:off x="0" y="0"/>
                      <a:ext cx="182880" cy="230505"/>
                    </a:xfrm>
                    <a:prstGeom prst="rect">
                      <a:avLst/>
                    </a:prstGeom>
                    <a:noFill/>
                    <a:ln>
                      <a:noFill/>
                    </a:ln>
                  </pic:spPr>
                </pic:pic>
              </a:graphicData>
            </a:graphic>
          </wp:inline>
        </w:drawing>
      </w:r>
      <w:r>
        <w:rPr>
          <w:rFonts w:hint="eastAsia"/>
          <w:color w:val="000000" w:themeColor="text1"/>
          <w14:textFill>
            <w14:solidFill>
              <w14:schemeClr w14:val="tx1"/>
            </w14:solidFill>
          </w14:textFill>
        </w:rPr>
        <w:t>为大气中某高度上蒸气压；</w:t>
      </w:r>
      <w:r>
        <w:rPr>
          <w:color w:val="000000" w:themeColor="text1"/>
          <w:position w:val="-6"/>
          <w14:textFill>
            <w14:solidFill>
              <w14:schemeClr w14:val="tx1"/>
            </w14:solidFill>
          </w14:textFill>
        </w:rPr>
        <w:drawing>
          <wp:inline distT="0" distB="0" distL="0" distR="0">
            <wp:extent cx="111125" cy="142875"/>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a:xfrm>
                      <a:off x="0" y="0"/>
                      <a:ext cx="111125" cy="142875"/>
                    </a:xfrm>
                    <a:prstGeom prst="rect">
                      <a:avLst/>
                    </a:prstGeom>
                    <a:noFill/>
                    <a:ln>
                      <a:noFill/>
                    </a:ln>
                  </pic:spPr>
                </pic:pic>
              </a:graphicData>
            </a:graphic>
          </wp:inline>
        </w:drawing>
      </w:r>
      <w:r>
        <w:rPr>
          <w:rFonts w:hint="eastAsia"/>
          <w:color w:val="000000" w:themeColor="text1"/>
          <w14:textFill>
            <w14:solidFill>
              <w14:schemeClr w14:val="tx1"/>
            </w14:solidFill>
          </w14:textFill>
        </w:rPr>
        <w:t>为溢油体积；</w:t>
      </w:r>
      <w:r>
        <w:rPr>
          <w:color w:val="000000" w:themeColor="text1"/>
          <w:position w:val="-6"/>
          <w14:textFill>
            <w14:solidFill>
              <w14:schemeClr w14:val="tx1"/>
            </w14:solidFill>
          </w14:textFill>
        </w:rPr>
        <w:drawing>
          <wp:inline distT="0" distB="0" distL="0" distR="0">
            <wp:extent cx="87630" cy="151130"/>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a:xfrm>
                      <a:off x="0" y="0"/>
                      <a:ext cx="87630" cy="151130"/>
                    </a:xfrm>
                    <a:prstGeom prst="rect">
                      <a:avLst/>
                    </a:prstGeom>
                    <a:noFill/>
                    <a:ln>
                      <a:noFill/>
                    </a:ln>
                  </pic:spPr>
                </pic:pic>
              </a:graphicData>
            </a:graphic>
          </wp:inline>
        </w:drawing>
      </w:r>
      <w:r>
        <w:rPr>
          <w:rFonts w:hint="eastAsia"/>
          <w:color w:val="000000" w:themeColor="text1"/>
          <w14:textFill>
            <w14:solidFill>
              <w14:schemeClr w14:val="tx1"/>
            </w14:solidFill>
          </w14:textFill>
        </w:rPr>
        <w:t>为时间；</w:t>
      </w:r>
      <w:r>
        <w:rPr>
          <w:color w:val="000000" w:themeColor="text1"/>
          <w:position w:val="-10"/>
          <w14:textFill>
            <w14:solidFill>
              <w14:schemeClr w14:val="tx1"/>
            </w14:solidFill>
          </w14:textFill>
        </w:rPr>
        <w:drawing>
          <wp:inline distT="0" distB="0" distL="0" distR="0">
            <wp:extent cx="659765" cy="198755"/>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a:xfrm>
                      <a:off x="0" y="0"/>
                      <a:ext cx="659765" cy="198755"/>
                    </a:xfrm>
                    <a:prstGeom prst="rect">
                      <a:avLst/>
                    </a:prstGeom>
                    <a:noFill/>
                    <a:ln>
                      <a:noFill/>
                    </a:ln>
                  </pic:spPr>
                </pic:pic>
              </a:graphicData>
            </a:graphic>
          </wp:inline>
        </w:drawing>
      </w:r>
      <w:r>
        <w:rPr>
          <w:rFonts w:hint="eastAsia"/>
          <w:color w:val="000000" w:themeColor="text1"/>
          <w14:textFill>
            <w14:solidFill>
              <w14:schemeClr w14:val="tx1"/>
            </w14:solidFill>
          </w14:textFill>
        </w:rPr>
        <w:t>为常数。这一公式表示了溢油蒸发与溢油量和溢油时间有关，说明不同溢油时间有不同的蒸发率。本次按Aravamudan建议取值：</w:t>
      </w:r>
      <w:r>
        <w:rPr>
          <w:color w:val="000000" w:themeColor="text1"/>
          <w:position w:val="-10"/>
          <w14:textFill>
            <w14:solidFill>
              <w14:schemeClr w14:val="tx1"/>
            </w14:solidFill>
          </w14:textFill>
        </w:rPr>
        <w:drawing>
          <wp:inline distT="0" distB="0" distL="0" distR="0">
            <wp:extent cx="620395" cy="198755"/>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a:xfrm>
                      <a:off x="0" y="0"/>
                      <a:ext cx="620395" cy="198755"/>
                    </a:xfrm>
                    <a:prstGeom prst="rect">
                      <a:avLst/>
                    </a:prstGeom>
                    <a:noFill/>
                    <a:ln>
                      <a:noFill/>
                    </a:ln>
                  </pic:spPr>
                </pic:pic>
              </a:graphicData>
            </a:graphic>
          </wp:inline>
        </w:drawing>
      </w:r>
      <w:r>
        <w:rPr>
          <w:rFonts w:hint="eastAsia"/>
          <w:color w:val="000000" w:themeColor="text1"/>
          <w14:textFill>
            <w14:solidFill>
              <w14:schemeClr w14:val="tx1"/>
            </w14:solidFill>
          </w14:textFill>
        </w:rPr>
        <w:t>。</w:t>
      </w:r>
    </w:p>
    <w:p w14:paraId="2ECE93A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由于破碎波的分散作用引起溢油以油滴形式进入水体，致使油膜的总油量减小的变化率为：</w:t>
      </w:r>
    </w:p>
    <w:p w14:paraId="46F9F045">
      <w:pPr>
        <w:ind w:firstLine="480"/>
        <w:jc w:val="center"/>
        <w:rPr>
          <w:color w:val="000000" w:themeColor="text1"/>
          <w14:textFill>
            <w14:solidFill>
              <w14:schemeClr w14:val="tx1"/>
            </w14:solidFill>
          </w14:textFill>
        </w:rPr>
      </w:pPr>
      <w:r>
        <w:rPr>
          <w:color w:val="000000" w:themeColor="text1"/>
          <w:position w:val="-24"/>
          <w14:textFill>
            <w14:solidFill>
              <w14:schemeClr w14:val="tx1"/>
            </w14:solidFill>
          </w14:textFill>
        </w:rPr>
        <w:drawing>
          <wp:inline distT="0" distB="0" distL="0" distR="0">
            <wp:extent cx="731520" cy="389890"/>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a:xfrm>
                      <a:off x="0" y="0"/>
                      <a:ext cx="731520" cy="389890"/>
                    </a:xfrm>
                    <a:prstGeom prst="rect">
                      <a:avLst/>
                    </a:prstGeom>
                    <a:noFill/>
                    <a:ln>
                      <a:noFill/>
                    </a:ln>
                  </pic:spPr>
                </pic:pic>
              </a:graphicData>
            </a:graphic>
          </wp:inline>
        </w:drawing>
      </w:r>
    </w:p>
    <w:p w14:paraId="6A84F3B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w:t>
      </w:r>
      <w:r>
        <w:rPr>
          <w:color w:val="000000" w:themeColor="text1"/>
          <w:position w:val="-6"/>
          <w14:textFill>
            <w14:solidFill>
              <w14:schemeClr w14:val="tx1"/>
            </w14:solidFill>
          </w14:textFill>
        </w:rPr>
        <w:drawing>
          <wp:inline distT="0" distB="0" distL="0" distR="0">
            <wp:extent cx="182880" cy="182880"/>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a:xfrm>
                      <a:off x="0" y="0"/>
                      <a:ext cx="182880" cy="182880"/>
                    </a:xfrm>
                    <a:prstGeom prst="rect">
                      <a:avLst/>
                    </a:prstGeom>
                    <a:noFill/>
                    <a:ln>
                      <a:noFill/>
                    </a:ln>
                  </pic:spPr>
                </pic:pic>
              </a:graphicData>
            </a:graphic>
          </wp:inline>
        </w:drawing>
      </w:r>
      <w:r>
        <w:rPr>
          <w:rFonts w:hint="eastAsia"/>
          <w:color w:val="000000" w:themeColor="text1"/>
          <w14:textFill>
            <w14:solidFill>
              <w14:schemeClr w14:val="tx1"/>
            </w14:solidFill>
          </w14:textFill>
        </w:rPr>
        <w:t>为单位时间中的油膜范围内破碎作用的机率。对于充分成熟的波浪，按Pierson-Moskvititz谱理论，破浪机率为常数，如令破碎波波长等于平均波波长，则可求得</w:t>
      </w:r>
      <w:r>
        <w:rPr>
          <w:color w:val="000000" w:themeColor="text1"/>
          <w:position w:val="-6"/>
          <w14:textFill>
            <w14:solidFill>
              <w14:schemeClr w14:val="tx1"/>
            </w14:solidFill>
          </w14:textFill>
        </w:rPr>
        <w:drawing>
          <wp:inline distT="0" distB="0" distL="0" distR="0">
            <wp:extent cx="182880" cy="182880"/>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a:xfrm>
                      <a:off x="0" y="0"/>
                      <a:ext cx="182880" cy="182880"/>
                    </a:xfrm>
                    <a:prstGeom prst="rect">
                      <a:avLst/>
                    </a:prstGeom>
                    <a:noFill/>
                    <a:ln>
                      <a:noFill/>
                    </a:ln>
                  </pic:spPr>
                </pic:pic>
              </a:graphicData>
            </a:graphic>
          </wp:inline>
        </w:drawing>
      </w:r>
      <w:r>
        <w:rPr>
          <w:rFonts w:hint="eastAsia"/>
          <w:color w:val="000000" w:themeColor="text1"/>
          <w14:textFill>
            <w14:solidFill>
              <w14:schemeClr w14:val="tx1"/>
            </w14:solidFill>
          </w14:textFill>
        </w:rPr>
        <w:t>值如下：</w:t>
      </w:r>
      <w:r>
        <w:rPr>
          <w:color w:val="000000" w:themeColor="text1"/>
          <w:position w:val="-24"/>
          <w14:textFill>
            <w14:solidFill>
              <w14:schemeClr w14:val="tx1"/>
            </w14:solidFill>
          </w14:textFill>
        </w:rPr>
        <w:drawing>
          <wp:inline distT="0" distB="0" distL="0" distR="0">
            <wp:extent cx="914400" cy="389890"/>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a:xfrm>
                      <a:off x="0" y="0"/>
                      <a:ext cx="914400" cy="389890"/>
                    </a:xfrm>
                    <a:prstGeom prst="rect">
                      <a:avLst/>
                    </a:prstGeom>
                    <a:noFill/>
                    <a:ln>
                      <a:noFill/>
                    </a:ln>
                  </pic:spPr>
                </pic:pic>
              </a:graphicData>
            </a:graphic>
          </wp:inline>
        </w:drawing>
      </w:r>
      <w:r>
        <w:rPr>
          <w:rFonts w:hint="eastAsia"/>
          <w:color w:val="000000" w:themeColor="text1"/>
          <w14:textFill>
            <w14:solidFill>
              <w14:schemeClr w14:val="tx1"/>
            </w14:solidFill>
          </w14:textFill>
        </w:rPr>
        <w:t>，式中</w:t>
      </w:r>
      <w:r>
        <w:rPr>
          <w:color w:val="000000" w:themeColor="text1"/>
          <w:position w:val="-4"/>
          <w14:textFill>
            <w14:solidFill>
              <w14:schemeClr w14:val="tx1"/>
            </w14:solidFill>
          </w14:textFill>
        </w:rPr>
        <w:drawing>
          <wp:inline distT="0" distB="0" distL="0" distR="0">
            <wp:extent cx="142875" cy="158750"/>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a:xfrm>
                      <a:off x="0" y="0"/>
                      <a:ext cx="142875" cy="158750"/>
                    </a:xfrm>
                    <a:prstGeom prst="rect">
                      <a:avLst/>
                    </a:prstGeom>
                    <a:noFill/>
                    <a:ln>
                      <a:noFill/>
                    </a:ln>
                  </pic:spPr>
                </pic:pic>
              </a:graphicData>
            </a:graphic>
          </wp:inline>
        </w:drawing>
      </w:r>
      <w:r>
        <w:rPr>
          <w:rFonts w:hint="eastAsia"/>
          <w:color w:val="000000" w:themeColor="text1"/>
          <w14:textFill>
            <w14:solidFill>
              <w14:schemeClr w14:val="tx1"/>
            </w14:solidFill>
          </w14:textFill>
        </w:rPr>
        <w:t>为波浪平均周期。</w:t>
      </w:r>
    </w:p>
    <w:p w14:paraId="7768B033">
      <w:pPr>
        <w:pStyle w:val="6"/>
        <w:ind w:left="0"/>
        <w:rPr>
          <w:color w:val="000000" w:themeColor="text1"/>
          <w14:textFill>
            <w14:solidFill>
              <w14:schemeClr w14:val="tx1"/>
            </w14:solidFill>
          </w14:textFill>
        </w:rPr>
      </w:pPr>
      <w:r>
        <w:rPr>
          <w:rFonts w:hint="eastAsia"/>
          <w:color w:val="000000" w:themeColor="text1"/>
          <w14:textFill>
            <w14:solidFill>
              <w14:schemeClr w14:val="tx1"/>
            </w14:solidFill>
          </w14:textFill>
        </w:rPr>
        <w:t>溢油模型计算结果</w:t>
      </w:r>
    </w:p>
    <w:p w14:paraId="364B93A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水上溢油环境风险评估技术导则》（JT/T1143-2017），已运营的水运工程项目最大可信水上船舶溢油事故溢油量按照实际航行和作业船舶中载油量最大船型的1个货油边舱或燃料边舱容积确定，本项目运输船型为</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万吨级船舶，非货油运输船型，可能最大事故泄漏量取</w:t>
      </w:r>
      <w:r>
        <w:rPr>
          <w:color w:val="000000" w:themeColor="text1"/>
          <w14:textFill>
            <w14:solidFill>
              <w14:schemeClr w14:val="tx1"/>
            </w14:solidFill>
          </w14:textFill>
        </w:rPr>
        <w:t>930.13</w:t>
      </w:r>
      <w:r>
        <w:rPr>
          <w:rFonts w:hint="eastAsia"/>
          <w:color w:val="000000" w:themeColor="text1"/>
          <w14:textFill>
            <w14:solidFill>
              <w14:schemeClr w14:val="tx1"/>
            </w14:solidFill>
          </w14:textFill>
        </w:rPr>
        <w:t>t（具体见表5.4-7）.</w:t>
      </w:r>
    </w:p>
    <w:p w14:paraId="611D35C7">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假设本次溢油发生在钦州港金鼓江航道与本项目回旋水域附近。</w:t>
      </w:r>
      <w:r>
        <w:rPr>
          <w:color w:val="000000" w:themeColor="text1"/>
          <w:u w:val="single"/>
          <w14:textFill>
            <w14:solidFill>
              <w14:schemeClr w14:val="tx1"/>
            </w14:solidFill>
          </w14:textFill>
        </w:rPr>
        <w:t>对</w:t>
      </w:r>
      <w:r>
        <w:rPr>
          <w:rFonts w:hint="eastAsia"/>
          <w:color w:val="000000" w:themeColor="text1"/>
          <w:u w:val="single"/>
          <w14:textFill>
            <w14:solidFill>
              <w14:schemeClr w14:val="tx1"/>
            </w14:solidFill>
          </w14:textFill>
        </w:rPr>
        <w:t>于</w:t>
      </w:r>
      <w:r>
        <w:rPr>
          <w:color w:val="000000" w:themeColor="text1"/>
          <w:u w:val="single"/>
          <w14:textFill>
            <w14:solidFill>
              <w14:schemeClr w14:val="tx1"/>
            </w14:solidFill>
          </w14:textFill>
        </w:rPr>
        <w:t>溢油而言，</w:t>
      </w:r>
      <w:r>
        <w:rPr>
          <w:rFonts w:hint="eastAsia"/>
          <w:color w:val="000000" w:themeColor="text1"/>
          <w:u w:val="single"/>
          <w14:textFill>
            <w14:solidFill>
              <w14:schemeClr w14:val="tx1"/>
            </w14:solidFill>
          </w14:textFill>
        </w:rPr>
        <w:t>风</w:t>
      </w:r>
      <w:r>
        <w:rPr>
          <w:color w:val="000000" w:themeColor="text1"/>
          <w:u w:val="single"/>
          <w14:textFill>
            <w14:solidFill>
              <w14:schemeClr w14:val="tx1"/>
            </w14:solidFill>
          </w14:textFill>
        </w:rPr>
        <w:t>是</w:t>
      </w:r>
      <w:r>
        <w:rPr>
          <w:rFonts w:hint="eastAsia"/>
          <w:color w:val="000000" w:themeColor="text1"/>
          <w:u w:val="single"/>
          <w14:textFill>
            <w14:solidFill>
              <w14:schemeClr w14:val="tx1"/>
            </w14:solidFill>
          </w14:textFill>
        </w:rPr>
        <w:t>一种重要的</w:t>
      </w:r>
      <w:r>
        <w:rPr>
          <w:color w:val="000000" w:themeColor="text1"/>
          <w:u w:val="single"/>
          <w14:textFill>
            <w14:solidFill>
              <w14:schemeClr w14:val="tx1"/>
            </w14:solidFill>
          </w14:textFill>
        </w:rPr>
        <w:t>驱动力</w:t>
      </w:r>
      <w:r>
        <w:rPr>
          <w:rFonts w:hint="eastAsia"/>
          <w:color w:val="000000" w:themeColor="text1"/>
          <w:u w:val="single"/>
          <w14:textFill>
            <w14:solidFill>
              <w14:schemeClr w14:val="tx1"/>
            </w14:solidFill>
          </w14:textFill>
        </w:rPr>
        <w:t>，本次计算</w:t>
      </w:r>
      <w:r>
        <w:rPr>
          <w:color w:val="000000" w:themeColor="text1"/>
          <w:u w:val="single"/>
          <w14:textFill>
            <w14:solidFill>
              <w14:schemeClr w14:val="tx1"/>
            </w14:solidFill>
          </w14:textFill>
        </w:rPr>
        <w:t>选取区域代表性的冬季主导风向、夏季主导风向</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不利风向等</w:t>
      </w:r>
      <w:r>
        <w:rPr>
          <w:rFonts w:hint="eastAsia"/>
          <w:color w:val="000000" w:themeColor="text1"/>
          <w:u w:val="single"/>
          <w14:textFill>
            <w14:solidFill>
              <w14:schemeClr w14:val="tx1"/>
            </w14:solidFill>
          </w14:textFill>
        </w:rPr>
        <w:t>6种</w:t>
      </w:r>
      <w:r>
        <w:rPr>
          <w:color w:val="000000" w:themeColor="text1"/>
          <w:u w:val="single"/>
          <w14:textFill>
            <w14:solidFill>
              <w14:schemeClr w14:val="tx1"/>
            </w14:solidFill>
          </w14:textFill>
        </w:rPr>
        <w:t>在不同涨落潮态构成典型风险条件，具体见表</w:t>
      </w:r>
      <w:r>
        <w:rPr>
          <w:rFonts w:hint="eastAsia"/>
          <w:color w:val="000000" w:themeColor="text1"/>
          <w:u w:val="single"/>
          <w14:textFill>
            <w14:solidFill>
              <w14:schemeClr w14:val="tx1"/>
            </w14:solidFill>
          </w14:textFill>
        </w:rPr>
        <w:t>5.5-</w:t>
      </w:r>
      <w:r>
        <w:rPr>
          <w:color w:val="000000" w:themeColor="text1"/>
          <w:u w:val="single"/>
          <w14:textFill>
            <w14:solidFill>
              <w14:schemeClr w14:val="tx1"/>
            </w14:solidFill>
          </w14:textFill>
        </w:rPr>
        <w:t>2</w:t>
      </w:r>
      <w:r>
        <w:rPr>
          <w:rFonts w:hint="eastAsia"/>
          <w:color w:val="000000" w:themeColor="text1"/>
          <w:u w:val="single"/>
          <w14:textFill>
            <w14:solidFill>
              <w14:schemeClr w14:val="tx1"/>
            </w14:solidFill>
          </w14:textFill>
        </w:rPr>
        <w:t>。本次预测按一级环境风险评价等级进行预测，即预测溢油发生7</w:t>
      </w:r>
      <w:r>
        <w:rPr>
          <w:color w:val="000000" w:themeColor="text1"/>
          <w:u w:val="single"/>
          <w14:textFill>
            <w14:solidFill>
              <w14:schemeClr w14:val="tx1"/>
            </w14:solidFill>
          </w14:textFill>
        </w:rPr>
        <w:t>2</w:t>
      </w:r>
      <w:r>
        <w:rPr>
          <w:rFonts w:hint="eastAsia"/>
          <w:color w:val="000000" w:themeColor="text1"/>
          <w:u w:val="single"/>
          <w14:textFill>
            <w14:solidFill>
              <w14:schemeClr w14:val="tx1"/>
            </w14:solidFill>
          </w14:textFill>
        </w:rPr>
        <w:t>小时对海洋环境的影响。</w:t>
      </w:r>
    </w:p>
    <w:p w14:paraId="6ED01954">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溢油事故情景参数</w:t>
      </w:r>
    </w:p>
    <w:tbl>
      <w:tblPr>
        <w:tblStyle w:val="43"/>
        <w:tblW w:w="8292"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289"/>
        <w:gridCol w:w="1478"/>
        <w:gridCol w:w="959"/>
        <w:gridCol w:w="2182"/>
        <w:gridCol w:w="1435"/>
        <w:gridCol w:w="949"/>
      </w:tblGrid>
      <w:tr w14:paraId="1D55B7A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67" w:hRule="atLeast"/>
          <w:jc w:val="center"/>
        </w:trPr>
        <w:tc>
          <w:tcPr>
            <w:tcW w:w="1289" w:type="dxa"/>
            <w:vAlign w:val="center"/>
          </w:tcPr>
          <w:p w14:paraId="55229104">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溢油位置</w:t>
            </w:r>
          </w:p>
        </w:tc>
        <w:tc>
          <w:tcPr>
            <w:tcW w:w="1478" w:type="dxa"/>
            <w:vAlign w:val="center"/>
          </w:tcPr>
          <w:p w14:paraId="67EC5F8B">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溢油规模</w:t>
            </w:r>
          </w:p>
        </w:tc>
        <w:tc>
          <w:tcPr>
            <w:tcW w:w="959" w:type="dxa"/>
            <w:vAlign w:val="center"/>
          </w:tcPr>
          <w:p w14:paraId="4943BEA9">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油种</w:t>
            </w:r>
          </w:p>
        </w:tc>
        <w:tc>
          <w:tcPr>
            <w:tcW w:w="2182" w:type="dxa"/>
            <w:vAlign w:val="center"/>
          </w:tcPr>
          <w:p w14:paraId="26B8FA96">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典型风向</w:t>
            </w:r>
          </w:p>
        </w:tc>
        <w:tc>
          <w:tcPr>
            <w:tcW w:w="1435" w:type="dxa"/>
            <w:vAlign w:val="center"/>
          </w:tcPr>
          <w:p w14:paraId="0AA89151">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代表风速m/s</w:t>
            </w:r>
          </w:p>
        </w:tc>
        <w:tc>
          <w:tcPr>
            <w:tcW w:w="949" w:type="dxa"/>
            <w:vAlign w:val="center"/>
          </w:tcPr>
          <w:p w14:paraId="6D6382F9">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涨落潮</w:t>
            </w:r>
          </w:p>
        </w:tc>
      </w:tr>
      <w:tr w14:paraId="526A064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29" w:hRule="atLeast"/>
          <w:jc w:val="center"/>
        </w:trPr>
        <w:tc>
          <w:tcPr>
            <w:tcW w:w="1289" w:type="dxa"/>
            <w:vMerge w:val="restart"/>
            <w:vAlign w:val="center"/>
          </w:tcPr>
          <w:p w14:paraId="6EABB884">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本项目回旋水域与金鼓江航道交汇处附近</w:t>
            </w:r>
          </w:p>
        </w:tc>
        <w:tc>
          <w:tcPr>
            <w:tcW w:w="1478" w:type="dxa"/>
            <w:vMerge w:val="restart"/>
            <w:vAlign w:val="center"/>
          </w:tcPr>
          <w:p w14:paraId="6F3743F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930.13</w:t>
            </w:r>
            <w:r>
              <w:rPr>
                <w:rFonts w:hint="eastAsia"/>
                <w:color w:val="000000" w:themeColor="text1"/>
                <w:sz w:val="21"/>
                <w:szCs w:val="21"/>
                <w14:textFill>
                  <w14:solidFill>
                    <w14:schemeClr w14:val="tx1"/>
                  </w14:solidFill>
                </w14:textFill>
              </w:rPr>
              <w:t>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小时</w:t>
            </w:r>
          </w:p>
        </w:tc>
        <w:tc>
          <w:tcPr>
            <w:tcW w:w="959" w:type="dxa"/>
            <w:vMerge w:val="restart"/>
            <w:vAlign w:val="center"/>
          </w:tcPr>
          <w:p w14:paraId="61A273B0">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燃料油</w:t>
            </w:r>
            <w:r>
              <w:rPr>
                <w:rFonts w:hint="eastAsia"/>
                <w:color w:val="000000" w:themeColor="text1"/>
                <w:sz w:val="21"/>
                <w:szCs w:val="21"/>
                <w14:textFill>
                  <w14:solidFill>
                    <w14:schemeClr w14:val="tx1"/>
                  </w14:solidFill>
                </w14:textFill>
              </w:rPr>
              <w:t>（生物柴油）</w:t>
            </w:r>
          </w:p>
        </w:tc>
        <w:tc>
          <w:tcPr>
            <w:tcW w:w="2182" w:type="dxa"/>
            <w:vMerge w:val="restart"/>
            <w:vAlign w:val="center"/>
          </w:tcPr>
          <w:p w14:paraId="6E9ED19E">
            <w:pPr>
              <w:spacing w:line="240" w:lineRule="atLeast"/>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w:t>
            </w:r>
            <w:r>
              <w:rPr>
                <w:rFonts w:hint="eastAsia"/>
                <w:color w:val="000000" w:themeColor="text1"/>
                <w:sz w:val="21"/>
                <w:szCs w:val="21"/>
                <w14:textFill>
                  <w14:solidFill>
                    <w14:schemeClr w14:val="tx1"/>
                  </w14:solidFill>
                </w14:textFill>
              </w:rPr>
              <w:t>风，冬</w:t>
            </w:r>
            <w:r>
              <w:rPr>
                <w:color w:val="000000" w:themeColor="text1"/>
                <w:sz w:val="21"/>
                <w:szCs w:val="21"/>
                <w14:textFill>
                  <w14:solidFill>
                    <w14:schemeClr w14:val="tx1"/>
                  </w14:solidFill>
                </w14:textFill>
              </w:rPr>
              <w:t>季主导风</w:t>
            </w:r>
          </w:p>
        </w:tc>
        <w:tc>
          <w:tcPr>
            <w:tcW w:w="1435" w:type="dxa"/>
            <w:vMerge w:val="restart"/>
            <w:vAlign w:val="center"/>
          </w:tcPr>
          <w:p w14:paraId="6B15380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w:t>
            </w:r>
            <w:r>
              <w:rPr>
                <w:rFonts w:hint="eastAsia"/>
                <w:color w:val="000000" w:themeColor="text1"/>
                <w:sz w:val="21"/>
                <w:szCs w:val="21"/>
                <w14:textFill>
                  <w14:solidFill>
                    <w14:schemeClr w14:val="tx1"/>
                  </w14:solidFill>
                </w14:textFill>
              </w:rPr>
              <w:t>.7</w:t>
            </w:r>
          </w:p>
        </w:tc>
        <w:tc>
          <w:tcPr>
            <w:tcW w:w="949" w:type="dxa"/>
            <w:vAlign w:val="center"/>
          </w:tcPr>
          <w:p w14:paraId="1D41113D">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涨潮</w:t>
            </w:r>
          </w:p>
        </w:tc>
      </w:tr>
      <w:tr w14:paraId="7064E32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01" w:hRule="atLeast"/>
          <w:jc w:val="center"/>
        </w:trPr>
        <w:tc>
          <w:tcPr>
            <w:tcW w:w="1289" w:type="dxa"/>
            <w:vMerge w:val="continue"/>
            <w:vAlign w:val="center"/>
          </w:tcPr>
          <w:p w14:paraId="56FC8944">
            <w:pPr>
              <w:spacing w:line="240" w:lineRule="atLeast"/>
              <w:ind w:firstLine="0" w:firstLineChars="0"/>
              <w:jc w:val="center"/>
              <w:rPr>
                <w:color w:val="000000" w:themeColor="text1"/>
                <w:sz w:val="21"/>
                <w:szCs w:val="21"/>
                <w14:textFill>
                  <w14:solidFill>
                    <w14:schemeClr w14:val="tx1"/>
                  </w14:solidFill>
                </w14:textFill>
              </w:rPr>
            </w:pPr>
          </w:p>
        </w:tc>
        <w:tc>
          <w:tcPr>
            <w:tcW w:w="1478" w:type="dxa"/>
            <w:vMerge w:val="continue"/>
            <w:vAlign w:val="center"/>
          </w:tcPr>
          <w:p w14:paraId="26D218C4">
            <w:pPr>
              <w:spacing w:line="240" w:lineRule="atLeast"/>
              <w:ind w:firstLine="0" w:firstLineChars="0"/>
              <w:jc w:val="center"/>
              <w:rPr>
                <w:color w:val="000000" w:themeColor="text1"/>
                <w:sz w:val="21"/>
                <w:szCs w:val="21"/>
                <w14:textFill>
                  <w14:solidFill>
                    <w14:schemeClr w14:val="tx1"/>
                  </w14:solidFill>
                </w14:textFill>
              </w:rPr>
            </w:pPr>
          </w:p>
        </w:tc>
        <w:tc>
          <w:tcPr>
            <w:tcW w:w="959" w:type="dxa"/>
            <w:vMerge w:val="continue"/>
            <w:vAlign w:val="center"/>
          </w:tcPr>
          <w:p w14:paraId="27B364DE">
            <w:pPr>
              <w:spacing w:line="240" w:lineRule="atLeast"/>
              <w:ind w:firstLine="0" w:firstLineChars="0"/>
              <w:jc w:val="center"/>
              <w:rPr>
                <w:color w:val="000000" w:themeColor="text1"/>
                <w:sz w:val="21"/>
                <w:szCs w:val="21"/>
                <w14:textFill>
                  <w14:solidFill>
                    <w14:schemeClr w14:val="tx1"/>
                  </w14:solidFill>
                </w14:textFill>
              </w:rPr>
            </w:pPr>
          </w:p>
        </w:tc>
        <w:tc>
          <w:tcPr>
            <w:tcW w:w="2182" w:type="dxa"/>
            <w:vMerge w:val="continue"/>
            <w:vAlign w:val="center"/>
          </w:tcPr>
          <w:p w14:paraId="3FCC2131">
            <w:pPr>
              <w:spacing w:line="240" w:lineRule="atLeast"/>
              <w:ind w:firstLine="0" w:firstLineChars="0"/>
              <w:jc w:val="center"/>
              <w:rPr>
                <w:color w:val="000000" w:themeColor="text1"/>
                <w:sz w:val="21"/>
                <w:szCs w:val="21"/>
                <w14:textFill>
                  <w14:solidFill>
                    <w14:schemeClr w14:val="tx1"/>
                  </w14:solidFill>
                </w14:textFill>
              </w:rPr>
            </w:pPr>
          </w:p>
        </w:tc>
        <w:tc>
          <w:tcPr>
            <w:tcW w:w="1435" w:type="dxa"/>
            <w:vMerge w:val="continue"/>
            <w:vAlign w:val="center"/>
          </w:tcPr>
          <w:p w14:paraId="00BA7B0B">
            <w:pPr>
              <w:spacing w:line="240" w:lineRule="atLeast"/>
              <w:ind w:firstLine="0" w:firstLineChars="0"/>
              <w:jc w:val="center"/>
              <w:rPr>
                <w:color w:val="000000" w:themeColor="text1"/>
                <w:sz w:val="21"/>
                <w:szCs w:val="21"/>
                <w14:textFill>
                  <w14:solidFill>
                    <w14:schemeClr w14:val="tx1"/>
                  </w14:solidFill>
                </w14:textFill>
              </w:rPr>
            </w:pPr>
          </w:p>
        </w:tc>
        <w:tc>
          <w:tcPr>
            <w:tcW w:w="949" w:type="dxa"/>
            <w:vAlign w:val="center"/>
          </w:tcPr>
          <w:p w14:paraId="714BFEA2">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落潮</w:t>
            </w:r>
          </w:p>
        </w:tc>
      </w:tr>
      <w:tr w14:paraId="2D5C842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639" w:hRule="atLeast"/>
          <w:jc w:val="center"/>
        </w:trPr>
        <w:tc>
          <w:tcPr>
            <w:tcW w:w="1289" w:type="dxa"/>
            <w:vMerge w:val="continue"/>
            <w:vAlign w:val="center"/>
          </w:tcPr>
          <w:p w14:paraId="2032FDD8">
            <w:pPr>
              <w:spacing w:line="240" w:lineRule="atLeast"/>
              <w:ind w:firstLine="0" w:firstLineChars="0"/>
              <w:jc w:val="center"/>
              <w:rPr>
                <w:color w:val="000000" w:themeColor="text1"/>
                <w:sz w:val="21"/>
                <w:szCs w:val="21"/>
                <w14:textFill>
                  <w14:solidFill>
                    <w14:schemeClr w14:val="tx1"/>
                  </w14:solidFill>
                </w14:textFill>
              </w:rPr>
            </w:pPr>
          </w:p>
        </w:tc>
        <w:tc>
          <w:tcPr>
            <w:tcW w:w="1478" w:type="dxa"/>
            <w:vMerge w:val="continue"/>
            <w:vAlign w:val="center"/>
          </w:tcPr>
          <w:p w14:paraId="2C963257">
            <w:pPr>
              <w:spacing w:line="240" w:lineRule="atLeast"/>
              <w:ind w:firstLine="0" w:firstLineChars="0"/>
              <w:jc w:val="center"/>
              <w:rPr>
                <w:color w:val="000000" w:themeColor="text1"/>
                <w:sz w:val="21"/>
                <w:szCs w:val="21"/>
                <w14:textFill>
                  <w14:solidFill>
                    <w14:schemeClr w14:val="tx1"/>
                  </w14:solidFill>
                </w14:textFill>
              </w:rPr>
            </w:pPr>
          </w:p>
        </w:tc>
        <w:tc>
          <w:tcPr>
            <w:tcW w:w="959" w:type="dxa"/>
            <w:vMerge w:val="continue"/>
            <w:vAlign w:val="center"/>
          </w:tcPr>
          <w:p w14:paraId="6BAA7240">
            <w:pPr>
              <w:spacing w:line="240" w:lineRule="atLeast"/>
              <w:ind w:firstLine="0" w:firstLineChars="0"/>
              <w:jc w:val="center"/>
              <w:rPr>
                <w:color w:val="000000" w:themeColor="text1"/>
                <w:sz w:val="21"/>
                <w:szCs w:val="21"/>
                <w14:textFill>
                  <w14:solidFill>
                    <w14:schemeClr w14:val="tx1"/>
                  </w14:solidFill>
                </w14:textFill>
              </w:rPr>
            </w:pPr>
          </w:p>
        </w:tc>
        <w:tc>
          <w:tcPr>
            <w:tcW w:w="2182" w:type="dxa"/>
            <w:vMerge w:val="restart"/>
            <w:vAlign w:val="center"/>
          </w:tcPr>
          <w:p w14:paraId="58FED5CA">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S风，夏季主导</w:t>
            </w:r>
            <w:r>
              <w:rPr>
                <w:color w:val="000000" w:themeColor="text1"/>
                <w:sz w:val="21"/>
                <w:szCs w:val="21"/>
                <w14:textFill>
                  <w14:solidFill>
                    <w14:schemeClr w14:val="tx1"/>
                  </w14:solidFill>
                </w14:textFill>
              </w:rPr>
              <w:t>风向</w:t>
            </w:r>
          </w:p>
        </w:tc>
        <w:tc>
          <w:tcPr>
            <w:tcW w:w="1435" w:type="dxa"/>
            <w:vMerge w:val="restart"/>
            <w:vAlign w:val="center"/>
          </w:tcPr>
          <w:p w14:paraId="2D6A33ED">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r>
              <w:rPr>
                <w:rFonts w:hint="eastAsia"/>
                <w:color w:val="000000" w:themeColor="text1"/>
                <w:sz w:val="21"/>
                <w:szCs w:val="21"/>
                <w14:textFill>
                  <w14:solidFill>
                    <w14:schemeClr w14:val="tx1"/>
                  </w14:solidFill>
                </w14:textFill>
              </w:rPr>
              <w:t>1</w:t>
            </w:r>
          </w:p>
        </w:tc>
        <w:tc>
          <w:tcPr>
            <w:tcW w:w="949" w:type="dxa"/>
            <w:vAlign w:val="center"/>
          </w:tcPr>
          <w:p w14:paraId="1A1D77C0">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涨潮</w:t>
            </w:r>
          </w:p>
        </w:tc>
      </w:tr>
      <w:tr w14:paraId="7F49055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194" w:hRule="atLeast"/>
          <w:jc w:val="center"/>
        </w:trPr>
        <w:tc>
          <w:tcPr>
            <w:tcW w:w="1289" w:type="dxa"/>
            <w:vMerge w:val="continue"/>
            <w:vAlign w:val="center"/>
          </w:tcPr>
          <w:p w14:paraId="0EE13861">
            <w:pPr>
              <w:spacing w:line="240" w:lineRule="atLeast"/>
              <w:ind w:firstLine="0" w:firstLineChars="0"/>
              <w:jc w:val="center"/>
              <w:rPr>
                <w:color w:val="000000" w:themeColor="text1"/>
                <w:sz w:val="21"/>
                <w:szCs w:val="21"/>
                <w14:textFill>
                  <w14:solidFill>
                    <w14:schemeClr w14:val="tx1"/>
                  </w14:solidFill>
                </w14:textFill>
              </w:rPr>
            </w:pPr>
          </w:p>
        </w:tc>
        <w:tc>
          <w:tcPr>
            <w:tcW w:w="1478" w:type="dxa"/>
            <w:vMerge w:val="continue"/>
            <w:vAlign w:val="center"/>
          </w:tcPr>
          <w:p w14:paraId="52056836">
            <w:pPr>
              <w:spacing w:line="240" w:lineRule="atLeast"/>
              <w:ind w:firstLine="0" w:firstLineChars="0"/>
              <w:jc w:val="center"/>
              <w:rPr>
                <w:color w:val="000000" w:themeColor="text1"/>
                <w:sz w:val="21"/>
                <w:szCs w:val="21"/>
                <w14:textFill>
                  <w14:solidFill>
                    <w14:schemeClr w14:val="tx1"/>
                  </w14:solidFill>
                </w14:textFill>
              </w:rPr>
            </w:pPr>
          </w:p>
        </w:tc>
        <w:tc>
          <w:tcPr>
            <w:tcW w:w="959" w:type="dxa"/>
            <w:vMerge w:val="continue"/>
            <w:vAlign w:val="center"/>
          </w:tcPr>
          <w:p w14:paraId="04B3131D">
            <w:pPr>
              <w:spacing w:line="240" w:lineRule="atLeast"/>
              <w:ind w:firstLine="0" w:firstLineChars="0"/>
              <w:jc w:val="center"/>
              <w:rPr>
                <w:color w:val="000000" w:themeColor="text1"/>
                <w:sz w:val="21"/>
                <w:szCs w:val="21"/>
                <w14:textFill>
                  <w14:solidFill>
                    <w14:schemeClr w14:val="tx1"/>
                  </w14:solidFill>
                </w14:textFill>
              </w:rPr>
            </w:pPr>
          </w:p>
        </w:tc>
        <w:tc>
          <w:tcPr>
            <w:tcW w:w="2182" w:type="dxa"/>
            <w:vMerge w:val="continue"/>
            <w:vAlign w:val="center"/>
          </w:tcPr>
          <w:p w14:paraId="6BD3AFF9">
            <w:pPr>
              <w:spacing w:line="240" w:lineRule="atLeast"/>
              <w:ind w:firstLine="0" w:firstLineChars="0"/>
              <w:jc w:val="center"/>
              <w:rPr>
                <w:color w:val="000000" w:themeColor="text1"/>
                <w:sz w:val="21"/>
                <w:szCs w:val="21"/>
                <w14:textFill>
                  <w14:solidFill>
                    <w14:schemeClr w14:val="tx1"/>
                  </w14:solidFill>
                </w14:textFill>
              </w:rPr>
            </w:pPr>
          </w:p>
        </w:tc>
        <w:tc>
          <w:tcPr>
            <w:tcW w:w="1435" w:type="dxa"/>
            <w:vMerge w:val="continue"/>
            <w:vAlign w:val="center"/>
          </w:tcPr>
          <w:p w14:paraId="6BB34973">
            <w:pPr>
              <w:spacing w:line="240" w:lineRule="atLeast"/>
              <w:ind w:firstLine="0" w:firstLineChars="0"/>
              <w:jc w:val="center"/>
              <w:rPr>
                <w:color w:val="000000" w:themeColor="text1"/>
                <w:sz w:val="21"/>
                <w:szCs w:val="21"/>
                <w14:textFill>
                  <w14:solidFill>
                    <w14:schemeClr w14:val="tx1"/>
                  </w14:solidFill>
                </w14:textFill>
              </w:rPr>
            </w:pPr>
          </w:p>
        </w:tc>
        <w:tc>
          <w:tcPr>
            <w:tcW w:w="949" w:type="dxa"/>
            <w:vAlign w:val="center"/>
          </w:tcPr>
          <w:p w14:paraId="4E29F12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落潮</w:t>
            </w:r>
          </w:p>
        </w:tc>
      </w:tr>
      <w:tr w14:paraId="19C5185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194" w:hRule="atLeast"/>
          <w:jc w:val="center"/>
        </w:trPr>
        <w:tc>
          <w:tcPr>
            <w:tcW w:w="1289" w:type="dxa"/>
            <w:vMerge w:val="continue"/>
            <w:vAlign w:val="center"/>
          </w:tcPr>
          <w:p w14:paraId="234140D1">
            <w:pPr>
              <w:spacing w:line="240" w:lineRule="atLeast"/>
              <w:ind w:firstLine="0" w:firstLineChars="0"/>
              <w:jc w:val="center"/>
              <w:rPr>
                <w:color w:val="000000" w:themeColor="text1"/>
                <w:sz w:val="21"/>
                <w:szCs w:val="21"/>
                <w14:textFill>
                  <w14:solidFill>
                    <w14:schemeClr w14:val="tx1"/>
                  </w14:solidFill>
                </w14:textFill>
              </w:rPr>
            </w:pPr>
          </w:p>
        </w:tc>
        <w:tc>
          <w:tcPr>
            <w:tcW w:w="1478" w:type="dxa"/>
            <w:vMerge w:val="continue"/>
            <w:vAlign w:val="center"/>
          </w:tcPr>
          <w:p w14:paraId="0428ABFC">
            <w:pPr>
              <w:spacing w:line="240" w:lineRule="atLeast"/>
              <w:ind w:firstLine="0" w:firstLineChars="0"/>
              <w:jc w:val="center"/>
              <w:rPr>
                <w:color w:val="000000" w:themeColor="text1"/>
                <w:sz w:val="21"/>
                <w:szCs w:val="21"/>
                <w14:textFill>
                  <w14:solidFill>
                    <w14:schemeClr w14:val="tx1"/>
                  </w14:solidFill>
                </w14:textFill>
              </w:rPr>
            </w:pPr>
          </w:p>
        </w:tc>
        <w:tc>
          <w:tcPr>
            <w:tcW w:w="959" w:type="dxa"/>
            <w:vMerge w:val="continue"/>
            <w:vAlign w:val="center"/>
          </w:tcPr>
          <w:p w14:paraId="0251D9D5">
            <w:pPr>
              <w:spacing w:line="240" w:lineRule="atLeast"/>
              <w:ind w:firstLine="0" w:firstLineChars="0"/>
              <w:jc w:val="center"/>
              <w:rPr>
                <w:color w:val="000000" w:themeColor="text1"/>
                <w:sz w:val="21"/>
                <w:szCs w:val="21"/>
                <w14:textFill>
                  <w14:solidFill>
                    <w14:schemeClr w14:val="tx1"/>
                  </w14:solidFill>
                </w14:textFill>
              </w:rPr>
            </w:pPr>
          </w:p>
        </w:tc>
        <w:tc>
          <w:tcPr>
            <w:tcW w:w="2182" w:type="dxa"/>
            <w:vMerge w:val="restart"/>
            <w:vAlign w:val="center"/>
          </w:tcPr>
          <w:p w14:paraId="442BD643">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NE风，不利风向</w:t>
            </w:r>
          </w:p>
        </w:tc>
        <w:tc>
          <w:tcPr>
            <w:tcW w:w="1435" w:type="dxa"/>
            <w:vMerge w:val="restart"/>
            <w:vAlign w:val="center"/>
          </w:tcPr>
          <w:p w14:paraId="65E65F02">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6.9</w:t>
            </w:r>
          </w:p>
        </w:tc>
        <w:tc>
          <w:tcPr>
            <w:tcW w:w="949" w:type="dxa"/>
            <w:vAlign w:val="center"/>
          </w:tcPr>
          <w:p w14:paraId="0023CB6F">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涨潮</w:t>
            </w:r>
          </w:p>
        </w:tc>
      </w:tr>
      <w:tr w14:paraId="74BDA2E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10" w:hRule="atLeast"/>
          <w:jc w:val="center"/>
        </w:trPr>
        <w:tc>
          <w:tcPr>
            <w:tcW w:w="1289" w:type="dxa"/>
            <w:vMerge w:val="continue"/>
            <w:vAlign w:val="center"/>
          </w:tcPr>
          <w:p w14:paraId="12A59DE0">
            <w:pPr>
              <w:spacing w:line="240" w:lineRule="atLeast"/>
              <w:ind w:firstLine="0" w:firstLineChars="0"/>
              <w:jc w:val="center"/>
              <w:rPr>
                <w:color w:val="000000" w:themeColor="text1"/>
                <w:sz w:val="21"/>
                <w:szCs w:val="21"/>
                <w14:textFill>
                  <w14:solidFill>
                    <w14:schemeClr w14:val="tx1"/>
                  </w14:solidFill>
                </w14:textFill>
              </w:rPr>
            </w:pPr>
          </w:p>
        </w:tc>
        <w:tc>
          <w:tcPr>
            <w:tcW w:w="1478" w:type="dxa"/>
            <w:vMerge w:val="continue"/>
            <w:vAlign w:val="center"/>
          </w:tcPr>
          <w:p w14:paraId="318B45A4">
            <w:pPr>
              <w:spacing w:line="240" w:lineRule="atLeast"/>
              <w:ind w:firstLine="0" w:firstLineChars="0"/>
              <w:jc w:val="center"/>
              <w:rPr>
                <w:color w:val="000000" w:themeColor="text1"/>
                <w:sz w:val="21"/>
                <w:szCs w:val="21"/>
                <w14:textFill>
                  <w14:solidFill>
                    <w14:schemeClr w14:val="tx1"/>
                  </w14:solidFill>
                </w14:textFill>
              </w:rPr>
            </w:pPr>
          </w:p>
        </w:tc>
        <w:tc>
          <w:tcPr>
            <w:tcW w:w="959" w:type="dxa"/>
            <w:vMerge w:val="continue"/>
            <w:vAlign w:val="center"/>
          </w:tcPr>
          <w:p w14:paraId="2BEA45D3">
            <w:pPr>
              <w:spacing w:line="240" w:lineRule="atLeast"/>
              <w:ind w:firstLine="0" w:firstLineChars="0"/>
              <w:jc w:val="center"/>
              <w:rPr>
                <w:color w:val="000000" w:themeColor="text1"/>
                <w:sz w:val="21"/>
                <w:szCs w:val="21"/>
                <w14:textFill>
                  <w14:solidFill>
                    <w14:schemeClr w14:val="tx1"/>
                  </w14:solidFill>
                </w14:textFill>
              </w:rPr>
            </w:pPr>
          </w:p>
        </w:tc>
        <w:tc>
          <w:tcPr>
            <w:tcW w:w="2182" w:type="dxa"/>
            <w:vMerge w:val="continue"/>
            <w:vAlign w:val="center"/>
          </w:tcPr>
          <w:p w14:paraId="7C38BB49">
            <w:pPr>
              <w:spacing w:line="240" w:lineRule="atLeast"/>
              <w:ind w:firstLine="0" w:firstLineChars="0"/>
              <w:jc w:val="center"/>
              <w:rPr>
                <w:color w:val="000000" w:themeColor="text1"/>
                <w:sz w:val="21"/>
                <w:szCs w:val="21"/>
                <w14:textFill>
                  <w14:solidFill>
                    <w14:schemeClr w14:val="tx1"/>
                  </w14:solidFill>
                </w14:textFill>
              </w:rPr>
            </w:pPr>
          </w:p>
        </w:tc>
        <w:tc>
          <w:tcPr>
            <w:tcW w:w="1435" w:type="dxa"/>
            <w:vMerge w:val="continue"/>
            <w:vAlign w:val="center"/>
          </w:tcPr>
          <w:p w14:paraId="4088C55E">
            <w:pPr>
              <w:spacing w:line="240" w:lineRule="atLeast"/>
              <w:ind w:firstLine="0" w:firstLineChars="0"/>
              <w:jc w:val="center"/>
              <w:rPr>
                <w:color w:val="000000" w:themeColor="text1"/>
                <w:sz w:val="21"/>
                <w:szCs w:val="21"/>
                <w14:textFill>
                  <w14:solidFill>
                    <w14:schemeClr w14:val="tx1"/>
                  </w14:solidFill>
                </w14:textFill>
              </w:rPr>
            </w:pPr>
          </w:p>
        </w:tc>
        <w:tc>
          <w:tcPr>
            <w:tcW w:w="949" w:type="dxa"/>
            <w:vAlign w:val="center"/>
          </w:tcPr>
          <w:p w14:paraId="778F40E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落潮</w:t>
            </w:r>
          </w:p>
        </w:tc>
      </w:tr>
    </w:tbl>
    <w:p w14:paraId="2E344417">
      <w:pPr>
        <w:spacing w:before="163" w:beforeLines="5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（1）冬</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N，大潮涨潮</w:t>
      </w:r>
    </w:p>
    <w:p w14:paraId="4322BD5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大</w:t>
      </w:r>
      <w:r>
        <w:rPr>
          <w:rFonts w:hint="eastAsia"/>
          <w:color w:val="000000" w:themeColor="text1"/>
          <w:u w:val="single"/>
          <w14:textFill>
            <w14:solidFill>
              <w14:schemeClr w14:val="tx1"/>
            </w14:solidFill>
          </w14:textFill>
        </w:rPr>
        <w:t>潮涨潮时，在N</w:t>
      </w:r>
      <w:r>
        <w:rPr>
          <w:color w:val="000000" w:themeColor="text1"/>
          <w:u w:val="single"/>
          <w14:textFill>
            <w14:solidFill>
              <w14:schemeClr w14:val="tx1"/>
            </w14:solidFill>
          </w14:textFill>
        </w:rPr>
        <w:t>向风及涨潮流作用下</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油膜向</w:t>
      </w:r>
      <w:r>
        <w:rPr>
          <w:rFonts w:hint="eastAsia"/>
          <w:color w:val="000000" w:themeColor="text1"/>
          <w:u w:val="single"/>
          <w14:textFill>
            <w14:solidFill>
              <w14:schemeClr w14:val="tx1"/>
            </w14:solidFill>
          </w14:textFill>
        </w:rPr>
        <w:t>金鼓江上游</w:t>
      </w:r>
      <w:r>
        <w:rPr>
          <w:color w:val="000000" w:themeColor="text1"/>
          <w:u w:val="single"/>
          <w14:textFill>
            <w14:solidFill>
              <w14:schemeClr w14:val="tx1"/>
            </w14:solidFill>
          </w14:textFill>
        </w:rPr>
        <w:t>飘去</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3</w:t>
      </w:r>
      <w:r>
        <w:rPr>
          <w:rFonts w:hint="eastAsia"/>
          <w:color w:val="000000" w:themeColor="text1"/>
          <w:u w:val="single"/>
          <w14:textFill>
            <w14:solidFill>
              <w14:schemeClr w14:val="tx1"/>
            </w14:solidFill>
          </w14:textFill>
        </w:rPr>
        <w:t>小时后部分油膜进入淡水湾海域并逐渐靠岸登陆，另有部分油膜继续沿金鼓江北上，6小时油膜到达金鼓江大桥上游望鸦江口门附近，此后继续沿着金鼓江主流北上，逐渐污染整个金鼓江水面，1</w:t>
      </w:r>
      <w:r>
        <w:rPr>
          <w:color w:val="000000" w:themeColor="text1"/>
          <w:u w:val="single"/>
          <w14:textFill>
            <w14:solidFill>
              <w14:schemeClr w14:val="tx1"/>
            </w14:solidFill>
          </w14:textFill>
        </w:rPr>
        <w:t>0</w:t>
      </w:r>
      <w:r>
        <w:rPr>
          <w:rFonts w:hint="eastAsia"/>
          <w:color w:val="000000" w:themeColor="text1"/>
          <w:u w:val="single"/>
          <w14:textFill>
            <w14:solidFill>
              <w14:schemeClr w14:val="tx1"/>
            </w14:solidFill>
          </w14:textFill>
        </w:rPr>
        <w:t>小时后受金鼓江两岸曲折岸线的阻挡和吸附，剩余油膜全部在沿线登陆，由于金鼓江海域地形狭窄，1</w:t>
      </w:r>
      <w:r>
        <w:rPr>
          <w:color w:val="000000" w:themeColor="text1"/>
          <w:u w:val="single"/>
          <w14:textFill>
            <w14:solidFill>
              <w14:schemeClr w14:val="tx1"/>
            </w14:solidFill>
          </w14:textFill>
        </w:rPr>
        <w:t>0</w:t>
      </w:r>
      <w:r>
        <w:rPr>
          <w:rFonts w:hint="eastAsia"/>
          <w:color w:val="000000" w:themeColor="text1"/>
          <w:u w:val="single"/>
          <w14:textFill>
            <w14:solidFill>
              <w14:schemeClr w14:val="tx1"/>
            </w14:solidFill>
          </w14:textFill>
        </w:rPr>
        <w:t>小时后残油油膜平均厚度仍有</w:t>
      </w:r>
      <w:r>
        <w:rPr>
          <w:color w:val="000000" w:themeColor="text1"/>
          <w:u w:val="single"/>
          <w14:textFill>
            <w14:solidFill>
              <w14:schemeClr w14:val="tx1"/>
            </w14:solidFill>
          </w14:textFill>
        </w:rPr>
        <w:t>200.94mm</w:t>
      </w:r>
      <w:r>
        <w:rPr>
          <w:rFonts w:hint="eastAsia"/>
          <w:color w:val="000000" w:themeColor="text1"/>
          <w:u w:val="single"/>
          <w14:textFill>
            <w14:solidFill>
              <w14:schemeClr w14:val="tx1"/>
            </w14:solidFill>
          </w14:textFill>
        </w:rPr>
        <w:t>。受岸线阻挡吸附及风、流顶托作用，此后油膜基本停止运动。溢油发生</w:t>
      </w:r>
      <w:r>
        <w:rPr>
          <w:color w:val="000000" w:themeColor="text1"/>
          <w:u w:val="single"/>
          <w14:textFill>
            <w14:solidFill>
              <w14:schemeClr w14:val="tx1"/>
            </w14:solidFill>
          </w14:textFill>
        </w:rPr>
        <w:t>72</w:t>
      </w:r>
      <w:r>
        <w:rPr>
          <w:rFonts w:hint="eastAsia"/>
          <w:color w:val="000000" w:themeColor="text1"/>
          <w:u w:val="single"/>
          <w14:textFill>
            <w14:solidFill>
              <w14:schemeClr w14:val="tx1"/>
            </w14:solidFill>
          </w14:textFill>
        </w:rPr>
        <w:t>小时内油膜扫海面积及残油油膜平均厚度见表5.3-</w:t>
      </w:r>
      <w:r>
        <w:rPr>
          <w:color w:val="000000" w:themeColor="text1"/>
          <w:u w:val="single"/>
          <w14:textFill>
            <w14:solidFill>
              <w14:schemeClr w14:val="tx1"/>
            </w14:solidFill>
          </w14:textFill>
        </w:rPr>
        <w:t>3</w:t>
      </w:r>
      <w:r>
        <w:rPr>
          <w:rFonts w:hint="eastAsia"/>
          <w:color w:val="000000" w:themeColor="text1"/>
          <w:u w:val="single"/>
          <w14:textFill>
            <w14:solidFill>
              <w14:schemeClr w14:val="tx1"/>
            </w14:solidFill>
          </w14:textFill>
        </w:rPr>
        <w:t>，72小时内油膜合计影响范围见图</w:t>
      </w:r>
      <w:r>
        <w:rPr>
          <w:rFonts w:hint="eastAsia"/>
          <w:color w:val="000000" w:themeColor="text1"/>
          <w:kern w:val="0"/>
          <w:u w:val="single"/>
          <w14:textFill>
            <w14:solidFill>
              <w14:schemeClr w14:val="tx1"/>
            </w14:solidFill>
          </w14:textFill>
        </w:rPr>
        <w:t>5.5.3</w:t>
      </w:r>
      <w:r>
        <w:rPr>
          <w:color w:val="000000" w:themeColor="text1"/>
          <w:u w:val="single"/>
          <w14:textFill>
            <w14:solidFill>
              <w14:schemeClr w14:val="tx1"/>
            </w14:solidFill>
          </w14:textFill>
        </w:rPr>
        <w:t>-1</w:t>
      </w:r>
      <w:r>
        <w:rPr>
          <w:rFonts w:hint="eastAsia"/>
          <w:color w:val="000000" w:themeColor="text1"/>
          <w:u w:val="single"/>
          <w14:textFill>
            <w14:solidFill>
              <w14:schemeClr w14:val="tx1"/>
            </w14:solidFill>
          </w14:textFill>
        </w:rPr>
        <w:t>，油膜运动趋势与环境敏感目标叠置如图</w:t>
      </w:r>
      <w:r>
        <w:rPr>
          <w:rFonts w:hint="eastAsia"/>
          <w:color w:val="000000" w:themeColor="text1"/>
          <w:kern w:val="0"/>
          <w:u w:val="single"/>
          <w14:textFill>
            <w14:solidFill>
              <w14:schemeClr w14:val="tx1"/>
            </w14:solidFill>
          </w14:textFill>
        </w:rPr>
        <w:t>5.5.3</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2</w:t>
      </w:r>
      <w:r>
        <w:rPr>
          <w:rFonts w:hint="eastAsia"/>
          <w:color w:val="000000" w:themeColor="text1"/>
          <w:u w:val="single"/>
          <w14:textFill>
            <w14:solidFill>
              <w14:schemeClr w14:val="tx1"/>
            </w14:solidFill>
          </w14:textFill>
        </w:rPr>
        <w:t>所示</w:t>
      </w:r>
      <w:r>
        <w:rPr>
          <w:rFonts w:hint="eastAsia"/>
          <w:color w:val="000000" w:themeColor="text1"/>
          <w14:textFill>
            <w14:solidFill>
              <w14:schemeClr w14:val="tx1"/>
            </w14:solidFill>
          </w14:textFill>
        </w:rPr>
        <w:t>。</w:t>
      </w:r>
    </w:p>
    <w:p w14:paraId="7283A3E6">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冬</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N条件下涨潮时溢油扫海面积</w:t>
      </w:r>
    </w:p>
    <w:tbl>
      <w:tblPr>
        <w:tblStyle w:val="43"/>
        <w:tblW w:w="490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441"/>
        <w:gridCol w:w="1383"/>
        <w:gridCol w:w="1384"/>
        <w:gridCol w:w="1383"/>
        <w:gridCol w:w="1384"/>
        <w:gridCol w:w="1385"/>
      </w:tblGrid>
      <w:tr w14:paraId="735922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862" w:type="pct"/>
            <w:vMerge w:val="restart"/>
            <w:tcMar>
              <w:top w:w="57" w:type="dxa"/>
              <w:bottom w:w="57" w:type="dxa"/>
            </w:tcMar>
            <w:vAlign w:val="center"/>
          </w:tcPr>
          <w:p w14:paraId="585C60FF">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4138" w:type="pct"/>
            <w:gridSpan w:val="5"/>
            <w:tcMar>
              <w:top w:w="57" w:type="dxa"/>
              <w:bottom w:w="57" w:type="dxa"/>
            </w:tcMar>
            <w:vAlign w:val="center"/>
          </w:tcPr>
          <w:p w14:paraId="0D6DD99E">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泄漏发生经历时间（小时）</w:t>
            </w:r>
          </w:p>
        </w:tc>
      </w:tr>
      <w:tr w14:paraId="7787CA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 w:hRule="atLeast"/>
          <w:jc w:val="center"/>
        </w:trPr>
        <w:tc>
          <w:tcPr>
            <w:tcW w:w="862" w:type="pct"/>
            <w:vMerge w:val="continue"/>
            <w:tcMar>
              <w:top w:w="57" w:type="dxa"/>
              <w:bottom w:w="57" w:type="dxa"/>
            </w:tcMar>
            <w:vAlign w:val="center"/>
          </w:tcPr>
          <w:p w14:paraId="4A74D9BF">
            <w:pPr>
              <w:spacing w:line="240" w:lineRule="atLeast"/>
              <w:ind w:firstLine="0" w:firstLineChars="0"/>
              <w:jc w:val="center"/>
              <w:rPr>
                <w:color w:val="000000" w:themeColor="text1"/>
                <w:sz w:val="21"/>
                <w:szCs w:val="21"/>
                <w14:textFill>
                  <w14:solidFill>
                    <w14:schemeClr w14:val="tx1"/>
                  </w14:solidFill>
                </w14:textFill>
              </w:rPr>
            </w:pPr>
          </w:p>
        </w:tc>
        <w:tc>
          <w:tcPr>
            <w:tcW w:w="827" w:type="pct"/>
            <w:tcMar>
              <w:top w:w="57" w:type="dxa"/>
              <w:bottom w:w="57" w:type="dxa"/>
            </w:tcMar>
            <w:vAlign w:val="center"/>
          </w:tcPr>
          <w:p w14:paraId="66061E7E">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w:t>
            </w:r>
          </w:p>
        </w:tc>
        <w:tc>
          <w:tcPr>
            <w:tcW w:w="828" w:type="pct"/>
            <w:tcMar>
              <w:top w:w="57" w:type="dxa"/>
              <w:bottom w:w="57" w:type="dxa"/>
            </w:tcMar>
            <w:vAlign w:val="center"/>
          </w:tcPr>
          <w:p w14:paraId="2ED0F6D2">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3</w:t>
            </w:r>
          </w:p>
        </w:tc>
        <w:tc>
          <w:tcPr>
            <w:tcW w:w="827" w:type="pct"/>
            <w:tcMar>
              <w:top w:w="57" w:type="dxa"/>
              <w:bottom w:w="57" w:type="dxa"/>
            </w:tcMar>
            <w:vAlign w:val="center"/>
          </w:tcPr>
          <w:p w14:paraId="11AE54F8">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6</w:t>
            </w:r>
          </w:p>
        </w:tc>
        <w:tc>
          <w:tcPr>
            <w:tcW w:w="828" w:type="pct"/>
            <w:tcBorders>
              <w:right w:val="single" w:color="auto" w:sz="12" w:space="0"/>
            </w:tcBorders>
            <w:vAlign w:val="center"/>
          </w:tcPr>
          <w:p w14:paraId="62D33B71">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10（登陆）</w:t>
            </w:r>
          </w:p>
        </w:tc>
        <w:tc>
          <w:tcPr>
            <w:tcW w:w="828" w:type="pct"/>
            <w:tcBorders>
              <w:left w:val="single" w:color="auto" w:sz="12" w:space="0"/>
            </w:tcBorders>
            <w:vAlign w:val="center"/>
          </w:tcPr>
          <w:p w14:paraId="055BB12C">
            <w:pPr>
              <w:ind w:firstLine="0" w:firstLineChars="0"/>
              <w:jc w:val="center"/>
              <w:rPr>
                <w:b/>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7</w:t>
            </w:r>
            <w:r>
              <w:rPr>
                <w:b/>
                <w:color w:val="000000" w:themeColor="text1"/>
                <w:szCs w:val="21"/>
                <w14:textFill>
                  <w14:solidFill>
                    <w14:schemeClr w14:val="tx1"/>
                  </w14:solidFill>
                </w14:textFill>
              </w:rPr>
              <w:t>2</w:t>
            </w:r>
          </w:p>
        </w:tc>
      </w:tr>
      <w:tr w14:paraId="475C2F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2" w:type="pct"/>
            <w:tcMar>
              <w:top w:w="57" w:type="dxa"/>
              <w:bottom w:w="57" w:type="dxa"/>
            </w:tcMar>
            <w:vAlign w:val="center"/>
          </w:tcPr>
          <w:p w14:paraId="34D40D01">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油膜扫海面积（km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w:t>
            </w:r>
          </w:p>
        </w:tc>
        <w:tc>
          <w:tcPr>
            <w:tcW w:w="827" w:type="pct"/>
            <w:tcMar>
              <w:top w:w="57" w:type="dxa"/>
              <w:bottom w:w="57" w:type="dxa"/>
            </w:tcMar>
            <w:vAlign w:val="center"/>
          </w:tcPr>
          <w:p w14:paraId="3BD026C5">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0.39</w:t>
            </w:r>
            <w:r>
              <w:rPr>
                <w:color w:val="000000" w:themeColor="text1"/>
                <w:sz w:val="21"/>
                <w:szCs w:val="21"/>
                <w14:textFill>
                  <w14:solidFill>
                    <w14:schemeClr w14:val="tx1"/>
                  </w14:solidFill>
                </w14:textFill>
              </w:rPr>
              <w:t>6</w:t>
            </w:r>
          </w:p>
        </w:tc>
        <w:tc>
          <w:tcPr>
            <w:tcW w:w="828" w:type="pct"/>
            <w:tcMar>
              <w:top w:w="57" w:type="dxa"/>
              <w:bottom w:w="57" w:type="dxa"/>
            </w:tcMar>
            <w:vAlign w:val="center"/>
          </w:tcPr>
          <w:p w14:paraId="26E09433">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w:t>
            </w:r>
            <w:r>
              <w:rPr>
                <w:color w:val="000000" w:themeColor="text1"/>
                <w:sz w:val="21"/>
                <w:szCs w:val="21"/>
                <w14:textFill>
                  <w14:solidFill>
                    <w14:schemeClr w14:val="tx1"/>
                  </w14:solidFill>
                </w14:textFill>
              </w:rPr>
              <w:t>92</w:t>
            </w:r>
          </w:p>
        </w:tc>
        <w:tc>
          <w:tcPr>
            <w:tcW w:w="827" w:type="pct"/>
            <w:tcMar>
              <w:top w:w="57" w:type="dxa"/>
              <w:bottom w:w="57" w:type="dxa"/>
            </w:tcMar>
            <w:vAlign w:val="center"/>
          </w:tcPr>
          <w:p w14:paraId="1A445ADF">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4.1</w:t>
            </w:r>
            <w:r>
              <w:rPr>
                <w:color w:val="000000" w:themeColor="text1"/>
                <w:sz w:val="21"/>
                <w:szCs w:val="21"/>
                <w14:textFill>
                  <w14:solidFill>
                    <w14:schemeClr w14:val="tx1"/>
                  </w14:solidFill>
                </w14:textFill>
              </w:rPr>
              <w:t>64</w:t>
            </w:r>
          </w:p>
        </w:tc>
        <w:tc>
          <w:tcPr>
            <w:tcW w:w="828" w:type="pct"/>
            <w:tcBorders>
              <w:right w:val="single" w:color="auto" w:sz="12" w:space="0"/>
            </w:tcBorders>
            <w:vAlign w:val="center"/>
          </w:tcPr>
          <w:p w14:paraId="66ED2FB4">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5.8</w:t>
            </w:r>
            <w:r>
              <w:rPr>
                <w:color w:val="000000" w:themeColor="text1"/>
                <w:sz w:val="21"/>
                <w:szCs w:val="21"/>
                <w14:textFill>
                  <w14:solidFill>
                    <w14:schemeClr w14:val="tx1"/>
                  </w14:solidFill>
                </w14:textFill>
              </w:rPr>
              <w:t>64</w:t>
            </w:r>
          </w:p>
        </w:tc>
        <w:tc>
          <w:tcPr>
            <w:tcW w:w="828" w:type="pct"/>
            <w:tcBorders>
              <w:left w:val="single" w:color="auto" w:sz="12" w:space="0"/>
            </w:tcBorders>
            <w:vAlign w:val="center"/>
          </w:tcPr>
          <w:p w14:paraId="45208FE2">
            <w:pPr>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r>
              <w:rPr>
                <w:color w:val="000000" w:themeColor="text1"/>
                <w:szCs w:val="21"/>
                <w14:textFill>
                  <w14:solidFill>
                    <w14:schemeClr w14:val="tx1"/>
                  </w14:solidFill>
                </w14:textFill>
              </w:rPr>
              <w:t>.876</w:t>
            </w:r>
          </w:p>
        </w:tc>
      </w:tr>
      <w:tr w14:paraId="2C3E47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2" w:type="pct"/>
            <w:tcMar>
              <w:top w:w="57" w:type="dxa"/>
              <w:bottom w:w="57" w:type="dxa"/>
            </w:tcMar>
            <w:vAlign w:val="center"/>
          </w:tcPr>
          <w:p w14:paraId="64D273EB">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残油油膜平均厚度（m</w:t>
            </w:r>
            <w:r>
              <w:rPr>
                <w:color w:val="000000" w:themeColor="text1"/>
                <w:sz w:val="21"/>
                <w:szCs w:val="21"/>
                <w14:textFill>
                  <w14:solidFill>
                    <w14:schemeClr w14:val="tx1"/>
                  </w14:solidFill>
                </w14:textFill>
              </w:rPr>
              <w:t>m</w:t>
            </w:r>
            <w:r>
              <w:rPr>
                <w:rFonts w:hint="eastAsia"/>
                <w:color w:val="000000" w:themeColor="text1"/>
                <w:sz w:val="21"/>
                <w:szCs w:val="21"/>
                <w14:textFill>
                  <w14:solidFill>
                    <w14:schemeClr w14:val="tx1"/>
                  </w14:solidFill>
                </w14:textFill>
              </w:rPr>
              <w:t>）</w:t>
            </w:r>
          </w:p>
        </w:tc>
        <w:tc>
          <w:tcPr>
            <w:tcW w:w="827" w:type="pct"/>
            <w:tcMar>
              <w:top w:w="57" w:type="dxa"/>
              <w:bottom w:w="57" w:type="dxa"/>
            </w:tcMar>
            <w:vAlign w:val="center"/>
          </w:tcPr>
          <w:p w14:paraId="6EB96B5D">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4143.82 </w:t>
            </w:r>
          </w:p>
        </w:tc>
        <w:tc>
          <w:tcPr>
            <w:tcW w:w="828" w:type="pct"/>
            <w:tcMar>
              <w:top w:w="57" w:type="dxa"/>
              <w:bottom w:w="57" w:type="dxa"/>
            </w:tcMar>
            <w:vAlign w:val="center"/>
          </w:tcPr>
          <w:p w14:paraId="62CD3BFC">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1910.30 </w:t>
            </w:r>
          </w:p>
        </w:tc>
        <w:tc>
          <w:tcPr>
            <w:tcW w:w="827" w:type="pct"/>
            <w:tcMar>
              <w:top w:w="57" w:type="dxa"/>
              <w:bottom w:w="57" w:type="dxa"/>
            </w:tcMar>
            <w:vAlign w:val="center"/>
          </w:tcPr>
          <w:p w14:paraId="7FAC0DCF">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218.92 </w:t>
            </w:r>
          </w:p>
        </w:tc>
        <w:tc>
          <w:tcPr>
            <w:tcW w:w="828" w:type="pct"/>
            <w:tcBorders>
              <w:right w:val="single" w:color="auto" w:sz="12" w:space="0"/>
            </w:tcBorders>
            <w:vAlign w:val="center"/>
          </w:tcPr>
          <w:p w14:paraId="348E2C69">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200.94 </w:t>
            </w:r>
          </w:p>
        </w:tc>
        <w:tc>
          <w:tcPr>
            <w:tcW w:w="828" w:type="pct"/>
            <w:tcBorders>
              <w:left w:val="single" w:color="auto" w:sz="12" w:space="0"/>
            </w:tcBorders>
            <w:vAlign w:val="center"/>
          </w:tcPr>
          <w:p w14:paraId="61CB429E">
            <w:pPr>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r>
              <w:rPr>
                <w:color w:val="000000" w:themeColor="text1"/>
                <w:szCs w:val="21"/>
                <w14:textFill>
                  <w14:solidFill>
                    <w14:schemeClr w14:val="tx1"/>
                  </w14:solidFill>
                </w14:textFill>
              </w:rPr>
              <w:t>00.62</w:t>
            </w:r>
          </w:p>
        </w:tc>
      </w:tr>
    </w:tbl>
    <w:p w14:paraId="03CCD43D">
      <w:pPr>
        <w:ind w:firstLine="482"/>
        <w:jc w:val="center"/>
        <w:rPr>
          <w:rFonts w:ascii="宋体" w:hAnsi="宋体"/>
          <w:b/>
          <w:color w:val="000000" w:themeColor="text1"/>
          <w14:textFill>
            <w14:solidFill>
              <w14:schemeClr w14:val="tx1"/>
            </w14:solidFill>
          </w14:textFill>
        </w:rPr>
      </w:pPr>
      <w:r>
        <w:rPr>
          <w:rFonts w:ascii="宋体" w:hAnsi="宋体"/>
          <w:b/>
          <w:color w:val="000000" w:themeColor="text1"/>
          <w14:textFill>
            <w14:solidFill>
              <w14:schemeClr w14:val="tx1"/>
            </w14:solidFill>
          </w14:textFill>
        </w:rPr>
        <w:drawing>
          <wp:inline distT="0" distB="0" distL="0" distR="0">
            <wp:extent cx="3037840" cy="3819525"/>
            <wp:effectExtent l="0" t="0" r="0" b="0"/>
            <wp:docPr id="238" name="图片 238" descr="G:\project\2022\jingujiang14-15#\yiyou\zhangn251128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G:\project\2022\jingujiang14-15#\yiyou\zhangn251128油.jpg"/>
                    <pic:cNvPicPr>
                      <a:picLocks noChangeAspect="1" noChangeArrowheads="1"/>
                    </pic:cNvPicPr>
                  </pic:nvPicPr>
                  <pic:blipFill>
                    <a:blip r:embed="rId232" cstate="print">
                      <a:extLst>
                        <a:ext uri="{28A0092B-C50C-407E-A947-70E740481C1C}">
                          <a14:useLocalDpi xmlns:a14="http://schemas.microsoft.com/office/drawing/2010/main" val="0"/>
                        </a:ext>
                      </a:extLst>
                    </a:blip>
                    <a:srcRect t="1230" r="2673" b="11886"/>
                    <a:stretch>
                      <a:fillRect/>
                    </a:stretch>
                  </pic:blipFill>
                  <pic:spPr>
                    <a:xfrm>
                      <a:off x="0" y="0"/>
                      <a:ext cx="3036304" cy="3817212"/>
                    </a:xfrm>
                    <a:prstGeom prst="rect">
                      <a:avLst/>
                    </a:prstGeom>
                    <a:noFill/>
                    <a:ln>
                      <a:noFill/>
                    </a:ln>
                  </pic:spPr>
                </pic:pic>
              </a:graphicData>
            </a:graphic>
          </wp:inline>
        </w:drawing>
      </w:r>
    </w:p>
    <w:p w14:paraId="72C79445">
      <w:pPr>
        <w:ind w:firstLine="482"/>
        <w:jc w:val="center"/>
        <w:rPr>
          <w:rFonts w:ascii="宋体" w:hAnsi="宋体"/>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b/>
          <w:color w:val="000000" w:themeColor="text1"/>
          <w14:textFill>
            <w14:solidFill>
              <w14:schemeClr w14:val="tx1"/>
            </w14:solidFill>
          </w14:textFill>
        </w:rPr>
        <w:t>-1</w:t>
      </w:r>
      <w:r>
        <w:rPr>
          <w:rFonts w:hint="eastAsia"/>
          <w:b/>
          <w:color w:val="000000" w:themeColor="text1"/>
          <w14:textFill>
            <w14:solidFill>
              <w14:schemeClr w14:val="tx1"/>
            </w14:solidFill>
          </w14:textFill>
        </w:rPr>
        <w:t xml:space="preserve"> 冬</w:t>
      </w:r>
      <w:r>
        <w:rPr>
          <w:b/>
          <w:color w:val="000000" w:themeColor="text1"/>
          <w14:textFill>
            <w14:solidFill>
              <w14:schemeClr w14:val="tx1"/>
            </w14:solidFill>
          </w14:textFill>
        </w:rPr>
        <w:t>季主导风</w:t>
      </w:r>
      <w:r>
        <w:rPr>
          <w:rFonts w:hint="eastAsia"/>
          <w:b/>
          <w:color w:val="000000" w:themeColor="text1"/>
          <w14:textFill>
            <w14:solidFill>
              <w14:schemeClr w14:val="tx1"/>
            </w14:solidFill>
          </w14:textFill>
        </w:rPr>
        <w:t>N下涨潮时溢油油膜影响范围示意</w:t>
      </w:r>
    </w:p>
    <w:p w14:paraId="237C23F4">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3033395" cy="3959860"/>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233"/>
                    <a:stretch>
                      <a:fillRect/>
                    </a:stretch>
                  </pic:blipFill>
                  <pic:spPr>
                    <a:xfrm>
                      <a:off x="0" y="0"/>
                      <a:ext cx="3033735" cy="3960000"/>
                    </a:xfrm>
                    <a:prstGeom prst="rect">
                      <a:avLst/>
                    </a:prstGeom>
                  </pic:spPr>
                </pic:pic>
              </a:graphicData>
            </a:graphic>
          </wp:inline>
        </w:drawing>
      </w:r>
    </w:p>
    <w:p w14:paraId="34471266">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b/>
          <w:color w:val="000000" w:themeColor="text1"/>
          <w14:textFill>
            <w14:solidFill>
              <w14:schemeClr w14:val="tx1"/>
            </w14:solidFill>
          </w14:textFill>
        </w:rPr>
        <w:t>-2</w:t>
      </w:r>
      <w:r>
        <w:rPr>
          <w:rFonts w:hint="eastAsia"/>
          <w:b/>
          <w:color w:val="000000" w:themeColor="text1"/>
          <w14:textFill>
            <w14:solidFill>
              <w14:schemeClr w14:val="tx1"/>
            </w14:solidFill>
          </w14:textFill>
        </w:rPr>
        <w:t xml:space="preserve"> 冬</w:t>
      </w:r>
      <w:r>
        <w:rPr>
          <w:b/>
          <w:color w:val="000000" w:themeColor="text1"/>
          <w14:textFill>
            <w14:solidFill>
              <w14:schemeClr w14:val="tx1"/>
            </w14:solidFill>
          </w14:textFill>
        </w:rPr>
        <w:t>季主导风</w:t>
      </w:r>
      <w:r>
        <w:rPr>
          <w:rFonts w:hint="eastAsia"/>
          <w:b/>
          <w:color w:val="000000" w:themeColor="text1"/>
          <w14:textFill>
            <w14:solidFill>
              <w14:schemeClr w14:val="tx1"/>
            </w14:solidFill>
          </w14:textFill>
        </w:rPr>
        <w:t>N下涨潮时溢油油膜运动轨迹（叠加敏感目标）</w:t>
      </w:r>
    </w:p>
    <w:p w14:paraId="0002E3A5">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（2）</w:t>
      </w:r>
      <w:r>
        <w:rPr>
          <w:rFonts w:hint="eastAsia"/>
          <w:color w:val="000000" w:themeColor="text1"/>
          <w14:textFill>
            <w14:solidFill>
              <w14:schemeClr w14:val="tx1"/>
            </w14:solidFill>
          </w14:textFill>
        </w:rPr>
        <w:t>冬</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N，大潮落潮</w:t>
      </w:r>
    </w:p>
    <w:p w14:paraId="0BD00A66">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大潮落潮时，当溢油发生后，油膜随着落潮流向南漂移，1</w:t>
      </w:r>
      <w:r>
        <w:rPr>
          <w:color w:val="000000" w:themeColor="text1"/>
          <w:u w:val="single"/>
          <w14:textFill>
            <w14:solidFill>
              <w14:schemeClr w14:val="tx1"/>
            </w14:solidFill>
          </w14:textFill>
        </w:rPr>
        <w:t>2</w:t>
      </w:r>
      <w:r>
        <w:rPr>
          <w:rFonts w:hint="eastAsia"/>
          <w:color w:val="000000" w:themeColor="text1"/>
          <w:u w:val="single"/>
          <w14:textFill>
            <w14:solidFill>
              <w14:schemeClr w14:val="tx1"/>
            </w14:solidFill>
          </w14:textFill>
        </w:rPr>
        <w:t>时后运动至钦州湾湾口三墩西南端附近海域；在涨潮流和N风的作用下，12-24时油膜在钦州湾口附近徘徊；随后在落潮流及风的作用下，2</w:t>
      </w:r>
      <w:r>
        <w:rPr>
          <w:color w:val="000000" w:themeColor="text1"/>
          <w:u w:val="single"/>
          <w14:textFill>
            <w14:solidFill>
              <w14:schemeClr w14:val="tx1"/>
            </w14:solidFill>
          </w14:textFill>
        </w:rPr>
        <w:t>8</w:t>
      </w:r>
      <w:r>
        <w:rPr>
          <w:rFonts w:hint="eastAsia"/>
          <w:color w:val="000000" w:themeColor="text1"/>
          <w:u w:val="single"/>
          <w14:textFill>
            <w14:solidFill>
              <w14:schemeClr w14:val="tx1"/>
            </w14:solidFill>
          </w14:textFill>
        </w:rPr>
        <w:t>时油膜进入北部湾二长棘鲷长毛对虾国家级种质资源保护区（实验区），</w:t>
      </w:r>
      <w:r>
        <w:rPr>
          <w:color w:val="000000" w:themeColor="text1"/>
          <w:u w:val="single"/>
          <w14:textFill>
            <w14:solidFill>
              <w14:schemeClr w14:val="tx1"/>
            </w14:solidFill>
          </w14:textFill>
        </w:rPr>
        <w:t>28-48</w:t>
      </w:r>
      <w:r>
        <w:rPr>
          <w:rFonts w:hint="eastAsia"/>
          <w:color w:val="000000" w:themeColor="text1"/>
          <w:u w:val="single"/>
          <w14:textFill>
            <w14:solidFill>
              <w14:schemeClr w14:val="tx1"/>
            </w14:solidFill>
          </w14:textFill>
        </w:rPr>
        <w:t>时油膜在保护区的实验区内往复运动并逐渐漂向外海，</w:t>
      </w:r>
      <w:r>
        <w:rPr>
          <w:color w:val="000000" w:themeColor="text1"/>
          <w:u w:val="single"/>
          <w14:textFill>
            <w14:solidFill>
              <w14:schemeClr w14:val="tx1"/>
            </w14:solidFill>
          </w14:textFill>
        </w:rPr>
        <w:t>40</w:t>
      </w:r>
      <w:r>
        <w:rPr>
          <w:rFonts w:hint="eastAsia"/>
          <w:color w:val="000000" w:themeColor="text1"/>
          <w:u w:val="single"/>
          <w14:textFill>
            <w14:solidFill>
              <w14:schemeClr w14:val="tx1"/>
            </w14:solidFill>
          </w14:textFill>
        </w:rPr>
        <w:t>时进入三娘湾离岸浅海养殖区南侧海域，4</w:t>
      </w:r>
      <w:r>
        <w:rPr>
          <w:color w:val="000000" w:themeColor="text1"/>
          <w:u w:val="single"/>
          <w14:textFill>
            <w14:solidFill>
              <w14:schemeClr w14:val="tx1"/>
            </w14:solidFill>
          </w14:textFill>
        </w:rPr>
        <w:t>8-71</w:t>
      </w:r>
      <w:r>
        <w:rPr>
          <w:rFonts w:hint="eastAsia"/>
          <w:color w:val="000000" w:themeColor="text1"/>
          <w:u w:val="single"/>
          <w14:textFill>
            <w14:solidFill>
              <w14:schemeClr w14:val="tx1"/>
            </w14:solidFill>
          </w14:textFill>
        </w:rPr>
        <w:t>时油膜继续向南运动，约6</w:t>
      </w:r>
      <w:r>
        <w:rPr>
          <w:color w:val="000000" w:themeColor="text1"/>
          <w:u w:val="single"/>
          <w14:textFill>
            <w14:solidFill>
              <w14:schemeClr w14:val="tx1"/>
            </w14:solidFill>
          </w14:textFill>
        </w:rPr>
        <w:t>8</w:t>
      </w:r>
      <w:r>
        <w:rPr>
          <w:rFonts w:hint="eastAsia"/>
          <w:color w:val="000000" w:themeColor="text1"/>
          <w:u w:val="single"/>
          <w14:textFill>
            <w14:solidFill>
              <w14:schemeClr w14:val="tx1"/>
            </w14:solidFill>
          </w14:textFill>
        </w:rPr>
        <w:t>时进入海洋牧场，7</w:t>
      </w:r>
      <w:r>
        <w:rPr>
          <w:color w:val="000000" w:themeColor="text1"/>
          <w:u w:val="single"/>
          <w14:textFill>
            <w14:solidFill>
              <w14:schemeClr w14:val="tx1"/>
            </w14:solidFill>
          </w14:textFill>
        </w:rPr>
        <w:t>1</w:t>
      </w:r>
      <w:r>
        <w:rPr>
          <w:rFonts w:hint="eastAsia"/>
          <w:color w:val="000000" w:themeColor="text1"/>
          <w:u w:val="single"/>
          <w14:textFill>
            <w14:solidFill>
              <w14:schemeClr w14:val="tx1"/>
            </w14:solidFill>
          </w14:textFill>
        </w:rPr>
        <w:t>~72时逐渐飘出计算域，由于溢油量较大，此时残油油膜平均厚度仍有</w:t>
      </w:r>
      <w:r>
        <w:rPr>
          <w:color w:val="000000" w:themeColor="text1"/>
          <w:u w:val="single"/>
          <w14:textFill>
            <w14:solidFill>
              <w14:schemeClr w14:val="tx1"/>
            </w14:solidFill>
          </w14:textFill>
        </w:rPr>
        <w:t>53.70mm</w:t>
      </w:r>
      <w:r>
        <w:rPr>
          <w:rFonts w:hint="eastAsia"/>
          <w:color w:val="000000" w:themeColor="text1"/>
          <w:u w:val="single"/>
          <w14:textFill>
            <w14:solidFill>
              <w14:schemeClr w14:val="tx1"/>
            </w14:solidFill>
          </w14:textFill>
        </w:rPr>
        <w:t>。因计算区域外海开边界距北部湾二长棘鲷长毛对虾国家级种质资源保护区（核心区）仅5.5km，</w:t>
      </w:r>
      <w:r>
        <w:rPr>
          <w:color w:val="000000" w:themeColor="text1"/>
          <w:u w:val="single"/>
          <w14:textFill>
            <w14:solidFill>
              <w14:schemeClr w14:val="tx1"/>
            </w14:solidFill>
          </w14:textFill>
        </w:rPr>
        <w:t>72</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84</w:t>
      </w:r>
      <w:r>
        <w:rPr>
          <w:rFonts w:hint="eastAsia"/>
          <w:color w:val="000000" w:themeColor="text1"/>
          <w:u w:val="single"/>
          <w14:textFill>
            <w14:solidFill>
              <w14:schemeClr w14:val="tx1"/>
            </w14:solidFill>
          </w14:textFill>
        </w:rPr>
        <w:t>时为涨潮阶段，根据估算油膜将继续在实验区南部边缘徘徊，溢油发生</w:t>
      </w:r>
      <w:r>
        <w:rPr>
          <w:color w:val="000000" w:themeColor="text1"/>
          <w:u w:val="single"/>
          <w14:textFill>
            <w14:solidFill>
              <w14:schemeClr w14:val="tx1"/>
            </w14:solidFill>
          </w14:textFill>
        </w:rPr>
        <w:t>85</w:t>
      </w:r>
      <w:r>
        <w:rPr>
          <w:rFonts w:hint="eastAsia"/>
          <w:color w:val="000000" w:themeColor="text1"/>
          <w:u w:val="single"/>
          <w14:textFill>
            <w14:solidFill>
              <w14:schemeClr w14:val="tx1"/>
            </w14:solidFill>
          </w14:textFill>
        </w:rPr>
        <w:t>小时左右进入核心区。溢油发生</w:t>
      </w:r>
      <w:r>
        <w:rPr>
          <w:color w:val="000000" w:themeColor="text1"/>
          <w:u w:val="single"/>
          <w14:textFill>
            <w14:solidFill>
              <w14:schemeClr w14:val="tx1"/>
            </w14:solidFill>
          </w14:textFill>
        </w:rPr>
        <w:t>7</w:t>
      </w:r>
      <w:r>
        <w:rPr>
          <w:rFonts w:hint="eastAsia"/>
          <w:color w:val="000000" w:themeColor="text1"/>
          <w:u w:val="single"/>
          <w14:textFill>
            <w14:solidFill>
              <w14:schemeClr w14:val="tx1"/>
            </w14:solidFill>
          </w14:textFill>
        </w:rPr>
        <w:t>2小时内油膜扫海面积及残油油膜平均厚度见表5.5-</w:t>
      </w:r>
      <w:r>
        <w:rPr>
          <w:color w:val="000000" w:themeColor="text1"/>
          <w:u w:val="single"/>
          <w14:textFill>
            <w14:solidFill>
              <w14:schemeClr w14:val="tx1"/>
            </w14:solidFill>
          </w14:textFill>
        </w:rPr>
        <w:t>4</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7</w:t>
      </w:r>
      <w:r>
        <w:rPr>
          <w:rFonts w:hint="eastAsia"/>
          <w:color w:val="000000" w:themeColor="text1"/>
          <w:u w:val="single"/>
          <w14:textFill>
            <w14:solidFill>
              <w14:schemeClr w14:val="tx1"/>
            </w14:solidFill>
          </w14:textFill>
        </w:rPr>
        <w:t>2小时内油膜合计影响范围见图</w:t>
      </w:r>
      <w:r>
        <w:rPr>
          <w:rFonts w:hint="eastAsia"/>
          <w:color w:val="000000" w:themeColor="text1"/>
          <w:kern w:val="0"/>
          <w:u w:val="single"/>
          <w14:textFill>
            <w14:solidFill>
              <w14:schemeClr w14:val="tx1"/>
            </w14:solidFill>
          </w14:textFill>
        </w:rPr>
        <w:t>5.5.3</w:t>
      </w:r>
      <w:r>
        <w:rPr>
          <w:color w:val="000000" w:themeColor="text1"/>
          <w:u w:val="single"/>
          <w14:textFill>
            <w14:solidFill>
              <w14:schemeClr w14:val="tx1"/>
            </w14:solidFill>
          </w14:textFill>
        </w:rPr>
        <w:t>-3</w:t>
      </w:r>
      <w:r>
        <w:rPr>
          <w:rFonts w:hint="eastAsia"/>
          <w:color w:val="000000" w:themeColor="text1"/>
          <w:u w:val="single"/>
          <w14:textFill>
            <w14:solidFill>
              <w14:schemeClr w14:val="tx1"/>
            </w14:solidFill>
          </w14:textFill>
        </w:rPr>
        <w:t>，油膜运动趋势与环境敏感目标叠置如图</w:t>
      </w:r>
      <w:r>
        <w:rPr>
          <w:rFonts w:hint="eastAsia"/>
          <w:color w:val="000000" w:themeColor="text1"/>
          <w:kern w:val="0"/>
          <w:u w:val="single"/>
          <w14:textFill>
            <w14:solidFill>
              <w14:schemeClr w14:val="tx1"/>
            </w14:solidFill>
          </w14:textFill>
        </w:rPr>
        <w:t>5.5.3</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4</w:t>
      </w:r>
      <w:r>
        <w:rPr>
          <w:rFonts w:hint="eastAsia"/>
          <w:color w:val="000000" w:themeColor="text1"/>
          <w:u w:val="single"/>
          <w14:textFill>
            <w14:solidFill>
              <w14:schemeClr w14:val="tx1"/>
            </w14:solidFill>
          </w14:textFill>
        </w:rPr>
        <w:t>所示。</w:t>
      </w:r>
    </w:p>
    <w:p w14:paraId="405ED7B8">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冬</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N条件下落潮时溢油扫海面积</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83"/>
        <w:gridCol w:w="1387"/>
        <w:gridCol w:w="1387"/>
        <w:gridCol w:w="1387"/>
        <w:gridCol w:w="1388"/>
        <w:gridCol w:w="1390"/>
      </w:tblGrid>
      <w:tr w14:paraId="04EF62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929" w:type="pct"/>
            <w:vMerge w:val="restart"/>
            <w:tcMar>
              <w:top w:w="57" w:type="dxa"/>
              <w:bottom w:w="57" w:type="dxa"/>
            </w:tcMar>
            <w:vAlign w:val="center"/>
          </w:tcPr>
          <w:p w14:paraId="5A3721E9">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4071" w:type="pct"/>
            <w:gridSpan w:val="5"/>
            <w:tcMar>
              <w:top w:w="57" w:type="dxa"/>
              <w:bottom w:w="57" w:type="dxa"/>
            </w:tcMar>
            <w:vAlign w:val="center"/>
          </w:tcPr>
          <w:p w14:paraId="52051C18">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泄漏发生经历时间（小时）</w:t>
            </w:r>
          </w:p>
        </w:tc>
      </w:tr>
      <w:tr w14:paraId="19A22F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 w:hRule="atLeast"/>
          <w:jc w:val="center"/>
        </w:trPr>
        <w:tc>
          <w:tcPr>
            <w:tcW w:w="929" w:type="pct"/>
            <w:vMerge w:val="continue"/>
            <w:tcMar>
              <w:top w:w="57" w:type="dxa"/>
              <w:bottom w:w="57" w:type="dxa"/>
            </w:tcMar>
            <w:vAlign w:val="center"/>
          </w:tcPr>
          <w:p w14:paraId="646DF347">
            <w:pPr>
              <w:spacing w:line="240" w:lineRule="atLeast"/>
              <w:ind w:firstLine="0" w:firstLineChars="0"/>
              <w:jc w:val="center"/>
              <w:rPr>
                <w:color w:val="000000" w:themeColor="text1"/>
                <w:sz w:val="21"/>
                <w:szCs w:val="21"/>
                <w14:textFill>
                  <w14:solidFill>
                    <w14:schemeClr w14:val="tx1"/>
                  </w14:solidFill>
                </w14:textFill>
              </w:rPr>
            </w:pPr>
          </w:p>
        </w:tc>
        <w:tc>
          <w:tcPr>
            <w:tcW w:w="814" w:type="pct"/>
            <w:tcMar>
              <w:top w:w="57" w:type="dxa"/>
              <w:bottom w:w="57" w:type="dxa"/>
            </w:tcMar>
            <w:vAlign w:val="center"/>
          </w:tcPr>
          <w:p w14:paraId="7B046004">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w:t>
            </w:r>
          </w:p>
        </w:tc>
        <w:tc>
          <w:tcPr>
            <w:tcW w:w="814" w:type="pct"/>
            <w:vAlign w:val="center"/>
          </w:tcPr>
          <w:p w14:paraId="6862AE16">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12</w:t>
            </w:r>
          </w:p>
        </w:tc>
        <w:tc>
          <w:tcPr>
            <w:tcW w:w="814" w:type="pct"/>
            <w:tcMar>
              <w:top w:w="57" w:type="dxa"/>
              <w:bottom w:w="57" w:type="dxa"/>
            </w:tcMar>
            <w:vAlign w:val="center"/>
          </w:tcPr>
          <w:p w14:paraId="10509517">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24</w:t>
            </w:r>
          </w:p>
        </w:tc>
        <w:tc>
          <w:tcPr>
            <w:tcW w:w="814" w:type="pct"/>
            <w:tcMar>
              <w:top w:w="57" w:type="dxa"/>
              <w:bottom w:w="57" w:type="dxa"/>
            </w:tcMar>
            <w:vAlign w:val="center"/>
          </w:tcPr>
          <w:p w14:paraId="5F6250A6">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48</w:t>
            </w:r>
          </w:p>
        </w:tc>
        <w:tc>
          <w:tcPr>
            <w:tcW w:w="815" w:type="pct"/>
            <w:vAlign w:val="center"/>
          </w:tcPr>
          <w:p w14:paraId="19373B0D">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7</w:t>
            </w:r>
            <w:r>
              <w:rPr>
                <w:rFonts w:hint="eastAsia"/>
                <w:b/>
                <w:color w:val="000000" w:themeColor="text1"/>
                <w:sz w:val="21"/>
                <w:szCs w:val="21"/>
                <w14:textFill>
                  <w14:solidFill>
                    <w14:schemeClr w14:val="tx1"/>
                  </w14:solidFill>
                </w14:textFill>
              </w:rPr>
              <w:t>2</w:t>
            </w:r>
          </w:p>
        </w:tc>
      </w:tr>
      <w:tr w14:paraId="2B8469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1EFDF8D9">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油膜扫海面积（km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545AE4F3">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0.30</w:t>
            </w:r>
            <w:r>
              <w:rPr>
                <w:color w:val="000000" w:themeColor="text1"/>
                <w:sz w:val="21"/>
                <w:szCs w:val="21"/>
                <w14:textFill>
                  <w14:solidFill>
                    <w14:schemeClr w14:val="tx1"/>
                  </w14:solidFill>
                </w14:textFill>
              </w:rPr>
              <w:t>6</w:t>
            </w:r>
          </w:p>
        </w:tc>
        <w:tc>
          <w:tcPr>
            <w:tcW w:w="814" w:type="pct"/>
            <w:vAlign w:val="center"/>
          </w:tcPr>
          <w:p w14:paraId="6EA49705">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r>
              <w:rPr>
                <w:color w:val="000000" w:themeColor="text1"/>
                <w:sz w:val="21"/>
                <w:szCs w:val="21"/>
                <w14:textFill>
                  <w14:solidFill>
                    <w14:schemeClr w14:val="tx1"/>
                  </w14:solidFill>
                </w14:textFill>
              </w:rPr>
              <w:t>4</w:t>
            </w:r>
            <w:r>
              <w:rPr>
                <w:rFonts w:hint="eastAsia"/>
                <w:color w:val="000000" w:themeColor="text1"/>
                <w:sz w:val="21"/>
                <w:szCs w:val="21"/>
                <w14:textFill>
                  <w14:solidFill>
                    <w14:schemeClr w14:val="tx1"/>
                  </w14:solidFill>
                </w14:textFill>
              </w:rPr>
              <w:t>5</w:t>
            </w:r>
            <w:r>
              <w:rPr>
                <w:color w:val="000000" w:themeColor="text1"/>
                <w:sz w:val="21"/>
                <w:szCs w:val="21"/>
                <w14:textFill>
                  <w14:solidFill>
                    <w14:schemeClr w14:val="tx1"/>
                  </w14:solidFill>
                </w14:textFill>
              </w:rPr>
              <w:t>6</w:t>
            </w:r>
          </w:p>
        </w:tc>
        <w:tc>
          <w:tcPr>
            <w:tcW w:w="814" w:type="pct"/>
            <w:tcMar>
              <w:top w:w="57" w:type="dxa"/>
              <w:bottom w:w="57" w:type="dxa"/>
            </w:tcMar>
            <w:vAlign w:val="center"/>
          </w:tcPr>
          <w:p w14:paraId="0A20B4DC">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33.</w:t>
            </w:r>
            <w:r>
              <w:rPr>
                <w:color w:val="000000" w:themeColor="text1"/>
                <w:sz w:val="21"/>
                <w:szCs w:val="21"/>
                <w14:textFill>
                  <w14:solidFill>
                    <w14:schemeClr w14:val="tx1"/>
                  </w14:solidFill>
                </w14:textFill>
              </w:rPr>
              <w:t>5</w:t>
            </w:r>
            <w:r>
              <w:rPr>
                <w:rFonts w:hint="eastAsia"/>
                <w:color w:val="000000" w:themeColor="text1"/>
                <w:sz w:val="21"/>
                <w:szCs w:val="21"/>
                <w14:textFill>
                  <w14:solidFill>
                    <w14:schemeClr w14:val="tx1"/>
                  </w14:solidFill>
                </w14:textFill>
              </w:rPr>
              <w:t>4</w:t>
            </w:r>
            <w:r>
              <w:rPr>
                <w:color w:val="000000" w:themeColor="text1"/>
                <w:sz w:val="21"/>
                <w:szCs w:val="21"/>
                <w14:textFill>
                  <w14:solidFill>
                    <w14:schemeClr w14:val="tx1"/>
                  </w14:solidFill>
                </w14:textFill>
              </w:rPr>
              <w:t>6</w:t>
            </w:r>
          </w:p>
        </w:tc>
        <w:tc>
          <w:tcPr>
            <w:tcW w:w="814" w:type="pct"/>
            <w:tcMar>
              <w:top w:w="57" w:type="dxa"/>
              <w:bottom w:w="57" w:type="dxa"/>
            </w:tcMar>
            <w:vAlign w:val="center"/>
          </w:tcPr>
          <w:p w14:paraId="7B1F1B61">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r>
              <w:rPr>
                <w:color w:val="000000" w:themeColor="text1"/>
                <w:sz w:val="21"/>
                <w:szCs w:val="21"/>
                <w14:textFill>
                  <w14:solidFill>
                    <w14:schemeClr w14:val="tx1"/>
                  </w14:solidFill>
                </w14:textFill>
              </w:rPr>
              <w:t>7</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112</w:t>
            </w:r>
          </w:p>
        </w:tc>
        <w:tc>
          <w:tcPr>
            <w:tcW w:w="815" w:type="pct"/>
            <w:vAlign w:val="center"/>
          </w:tcPr>
          <w:p w14:paraId="14D85A8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206.689</w:t>
            </w:r>
          </w:p>
        </w:tc>
      </w:tr>
      <w:tr w14:paraId="06DDF8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02FD7377">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残油油膜平均厚度（m</w:t>
            </w:r>
            <w:r>
              <w:rPr>
                <w:color w:val="000000" w:themeColor="text1"/>
                <w:sz w:val="21"/>
                <w:szCs w:val="21"/>
                <w14:textFill>
                  <w14:solidFill>
                    <w14:schemeClr w14:val="tx1"/>
                  </w14:solidFill>
                </w14:textFill>
              </w:rPr>
              <w:t>m</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58945C4B">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4998.21 </w:t>
            </w:r>
          </w:p>
        </w:tc>
        <w:tc>
          <w:tcPr>
            <w:tcW w:w="814" w:type="pct"/>
            <w:vAlign w:val="center"/>
          </w:tcPr>
          <w:p w14:paraId="418BDF45">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606.60 </w:t>
            </w:r>
          </w:p>
        </w:tc>
        <w:tc>
          <w:tcPr>
            <w:tcW w:w="814" w:type="pct"/>
            <w:tcMar>
              <w:top w:w="57" w:type="dxa"/>
              <w:bottom w:w="57" w:type="dxa"/>
            </w:tcMar>
            <w:vAlign w:val="center"/>
          </w:tcPr>
          <w:p w14:paraId="34D17F00">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130.67 </w:t>
            </w:r>
          </w:p>
        </w:tc>
        <w:tc>
          <w:tcPr>
            <w:tcW w:w="814" w:type="pct"/>
            <w:tcMar>
              <w:top w:w="57" w:type="dxa"/>
              <w:bottom w:w="57" w:type="dxa"/>
            </w:tcMar>
            <w:vAlign w:val="center"/>
          </w:tcPr>
          <w:p w14:paraId="203072D6">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65.24 </w:t>
            </w:r>
          </w:p>
        </w:tc>
        <w:tc>
          <w:tcPr>
            <w:tcW w:w="815" w:type="pct"/>
            <w:vAlign w:val="center"/>
          </w:tcPr>
          <w:p w14:paraId="1139AE0D">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 xml:space="preserve">53.13 </w:t>
            </w:r>
            <w:r>
              <w:rPr>
                <w:rFonts w:hint="eastAsia"/>
                <w:color w:val="000000" w:themeColor="text1"/>
                <w:sz w:val="21"/>
                <w:szCs w:val="21"/>
                <w14:textFill>
                  <w14:solidFill>
                    <w14:schemeClr w14:val="tx1"/>
                  </w14:solidFill>
                </w14:textFill>
              </w:rPr>
              <w:t xml:space="preserve"> </w:t>
            </w:r>
          </w:p>
        </w:tc>
      </w:tr>
    </w:tbl>
    <w:p w14:paraId="1F32DDE3">
      <w:pPr>
        <w:widowControl/>
        <w:ind w:firstLine="480"/>
        <w:jc w:val="center"/>
        <w:rPr>
          <w:rFonts w:ascii="宋体" w:hAnsi="宋体" w:cs="宋体"/>
          <w:color w:val="000000" w:themeColor="text1"/>
          <w:kern w:val="0"/>
          <w14:textFill>
            <w14:solidFill>
              <w14:schemeClr w14:val="tx1"/>
            </w14:solidFill>
          </w14:textFill>
        </w:rPr>
      </w:pPr>
    </w:p>
    <w:p w14:paraId="1B1ED1CD">
      <w:pPr>
        <w:widowControl/>
        <w:ind w:firstLine="480"/>
        <w:jc w:val="center"/>
        <w:rPr>
          <w:rFonts w:ascii="宋体" w:hAnsi="宋体" w:cs="宋体"/>
          <w:color w:val="000000" w:themeColor="text1"/>
          <w:kern w:val="0"/>
          <w14:textFill>
            <w14:solidFill>
              <w14:schemeClr w14:val="tx1"/>
            </w14:solidFill>
          </w14:textFill>
        </w:rPr>
      </w:pPr>
      <w:r>
        <w:rPr>
          <w:rFonts w:ascii="宋体" w:hAnsi="宋体" w:cs="宋体"/>
          <w:color w:val="000000" w:themeColor="text1"/>
          <w:kern w:val="0"/>
          <w14:textFill>
            <w14:solidFill>
              <w14:schemeClr w14:val="tx1"/>
            </w14:solidFill>
          </w14:textFill>
        </w:rPr>
        <w:drawing>
          <wp:inline distT="0" distB="0" distL="0" distR="0">
            <wp:extent cx="3009900" cy="3848100"/>
            <wp:effectExtent l="0" t="0" r="0" b="0"/>
            <wp:docPr id="243" name="图片 243" descr="G:\project\2022\jingujiang14-15#\yiyou\luon251128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G:\project\2022\jingujiang14-15#\yiyou\luon251128油.jpg"/>
                    <pic:cNvPicPr>
                      <a:picLocks noChangeAspect="1" noChangeArrowheads="1"/>
                    </pic:cNvPicPr>
                  </pic:nvPicPr>
                  <pic:blipFill>
                    <a:blip r:embed="rId234" cstate="print">
                      <a:extLst>
                        <a:ext uri="{28A0092B-C50C-407E-A947-70E740481C1C}">
                          <a14:useLocalDpi xmlns:a14="http://schemas.microsoft.com/office/drawing/2010/main" val="0"/>
                        </a:ext>
                      </a:extLst>
                    </a:blip>
                    <a:srcRect l="655" t="1231" r="3000" b="12101"/>
                    <a:stretch>
                      <a:fillRect/>
                    </a:stretch>
                  </pic:blipFill>
                  <pic:spPr>
                    <a:xfrm>
                      <a:off x="0" y="0"/>
                      <a:ext cx="3013167" cy="3852277"/>
                    </a:xfrm>
                    <a:prstGeom prst="rect">
                      <a:avLst/>
                    </a:prstGeom>
                    <a:noFill/>
                    <a:ln>
                      <a:noFill/>
                    </a:ln>
                  </pic:spPr>
                </pic:pic>
              </a:graphicData>
            </a:graphic>
          </wp:inline>
        </w:drawing>
      </w:r>
    </w:p>
    <w:p w14:paraId="579DFBE8">
      <w:pPr>
        <w:widowControl/>
        <w:ind w:firstLine="482"/>
        <w:jc w:val="center"/>
        <w:rPr>
          <w:rFonts w:ascii="宋体" w:hAnsi="宋体" w:cs="宋体"/>
          <w:color w:val="000000" w:themeColor="text1"/>
          <w:kern w:val="0"/>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3</w:t>
      </w:r>
      <w:r>
        <w:rPr>
          <w:rFonts w:hint="eastAsia"/>
          <w:b/>
          <w:color w:val="000000" w:themeColor="text1"/>
          <w14:textFill>
            <w14:solidFill>
              <w14:schemeClr w14:val="tx1"/>
            </w14:solidFill>
          </w14:textFill>
        </w:rPr>
        <w:t xml:space="preserve"> 冬</w:t>
      </w:r>
      <w:r>
        <w:rPr>
          <w:b/>
          <w:color w:val="000000" w:themeColor="text1"/>
          <w14:textFill>
            <w14:solidFill>
              <w14:schemeClr w14:val="tx1"/>
            </w14:solidFill>
          </w14:textFill>
        </w:rPr>
        <w:t>季主导风</w:t>
      </w:r>
      <w:r>
        <w:rPr>
          <w:rFonts w:hint="eastAsia"/>
          <w:b/>
          <w:color w:val="000000" w:themeColor="text1"/>
          <w14:textFill>
            <w14:solidFill>
              <w14:schemeClr w14:val="tx1"/>
            </w14:solidFill>
          </w14:textFill>
        </w:rPr>
        <w:t>N下落潮时溢油油膜影响范围示意</w:t>
      </w:r>
    </w:p>
    <w:p w14:paraId="76521333">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3021965" cy="3959860"/>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235"/>
                    <a:stretch>
                      <a:fillRect/>
                    </a:stretch>
                  </pic:blipFill>
                  <pic:spPr>
                    <a:xfrm>
                      <a:off x="0" y="0"/>
                      <a:ext cx="3022306" cy="3960000"/>
                    </a:xfrm>
                    <a:prstGeom prst="rect">
                      <a:avLst/>
                    </a:prstGeom>
                  </pic:spPr>
                </pic:pic>
              </a:graphicData>
            </a:graphic>
          </wp:inline>
        </w:drawing>
      </w:r>
    </w:p>
    <w:p w14:paraId="7D9EFB51">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4</w:t>
      </w:r>
      <w:r>
        <w:rPr>
          <w:rFonts w:hint="eastAsia"/>
          <w:b/>
          <w:color w:val="000000" w:themeColor="text1"/>
          <w14:textFill>
            <w14:solidFill>
              <w14:schemeClr w14:val="tx1"/>
            </w14:solidFill>
          </w14:textFill>
        </w:rPr>
        <w:t xml:space="preserve"> 冬</w:t>
      </w:r>
      <w:r>
        <w:rPr>
          <w:b/>
          <w:color w:val="000000" w:themeColor="text1"/>
          <w14:textFill>
            <w14:solidFill>
              <w14:schemeClr w14:val="tx1"/>
            </w14:solidFill>
          </w14:textFill>
        </w:rPr>
        <w:t>季主导风</w:t>
      </w:r>
      <w:r>
        <w:rPr>
          <w:rFonts w:hint="eastAsia"/>
          <w:b/>
          <w:color w:val="000000" w:themeColor="text1"/>
          <w14:textFill>
            <w14:solidFill>
              <w14:schemeClr w14:val="tx1"/>
            </w14:solidFill>
          </w14:textFill>
        </w:rPr>
        <w:t>N下落潮时溢油油膜运动轨迹（叠加敏感目标）</w:t>
      </w:r>
    </w:p>
    <w:p w14:paraId="1F5BC75D">
      <w:pPr>
        <w:ind w:firstLine="480"/>
        <w:rPr>
          <w:color w:val="000000" w:themeColor="text1"/>
          <w14:textFill>
            <w14:solidFill>
              <w14:schemeClr w14:val="tx1"/>
            </w14:solidFill>
          </w14:textFill>
        </w:rPr>
      </w:pPr>
      <w:r>
        <w:rPr>
          <w:rFonts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3</w:t>
      </w:r>
      <w:r>
        <w:rPr>
          <w:rFonts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夏</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S，大潮涨潮</w:t>
      </w:r>
    </w:p>
    <w:p w14:paraId="7FB9CC37">
      <w:pPr>
        <w:ind w:firstLine="480"/>
        <w:rPr>
          <w:rFonts w:hAnsi="宋体"/>
          <w:color w:val="000000" w:themeColor="text1"/>
          <w:u w:val="single"/>
          <w14:textFill>
            <w14:solidFill>
              <w14:schemeClr w14:val="tx1"/>
            </w14:solidFill>
          </w14:textFill>
        </w:rPr>
      </w:pPr>
      <w:r>
        <w:rPr>
          <w:rFonts w:hint="eastAsia" w:hAnsi="宋体"/>
          <w:color w:val="000000" w:themeColor="text1"/>
          <w:u w:val="single"/>
          <w14:textFill>
            <w14:solidFill>
              <w14:schemeClr w14:val="tx1"/>
            </w14:solidFill>
          </w14:textFill>
        </w:rPr>
        <w:t>在5.1m/s的S风以及涨潮流作用下</w:t>
      </w:r>
      <w:r>
        <w:rPr>
          <w:rFonts w:hAnsi="宋体"/>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溢油发生1小时后部分油膜在本项目北侧临近岸线登陆，剩余油膜继续向金鼓江上游运动，</w:t>
      </w:r>
      <w:r>
        <w:rPr>
          <w:color w:val="000000" w:themeColor="text1"/>
          <w:u w:val="single"/>
          <w14:textFill>
            <w14:solidFill>
              <w14:schemeClr w14:val="tx1"/>
            </w14:solidFill>
          </w14:textFill>
        </w:rPr>
        <w:t>3</w:t>
      </w:r>
      <w:r>
        <w:rPr>
          <w:rFonts w:hint="eastAsia"/>
          <w:color w:val="000000" w:themeColor="text1"/>
          <w:u w:val="single"/>
          <w14:textFill>
            <w14:solidFill>
              <w14:schemeClr w14:val="tx1"/>
            </w14:solidFill>
          </w14:textFill>
        </w:rPr>
        <w:t>小时后油膜到达金鼓江支流-望鸦江口，油膜一支沿望鸦江北上6小时后受岸线阻挡吸附而完全登陆，油膜另一支继续沿金鼓江主流北上逐渐扫过整个江面，1</w:t>
      </w:r>
      <w:r>
        <w:rPr>
          <w:color w:val="000000" w:themeColor="text1"/>
          <w:u w:val="single"/>
          <w14:textFill>
            <w14:solidFill>
              <w14:schemeClr w14:val="tx1"/>
            </w14:solidFill>
          </w14:textFill>
        </w:rPr>
        <w:t>0</w:t>
      </w:r>
      <w:r>
        <w:rPr>
          <w:rFonts w:hint="eastAsia"/>
          <w:color w:val="000000" w:themeColor="text1"/>
          <w:u w:val="single"/>
          <w14:textFill>
            <w14:solidFill>
              <w14:schemeClr w14:val="tx1"/>
            </w14:solidFill>
          </w14:textFill>
        </w:rPr>
        <w:t>时后受岸线阻挡而全部登陆</w:t>
      </w:r>
      <w:r>
        <w:rPr>
          <w:rFonts w:hAnsi="宋体"/>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由于扩散区域地形限制，1</w:t>
      </w:r>
      <w:r>
        <w:rPr>
          <w:color w:val="000000" w:themeColor="text1"/>
          <w:u w:val="single"/>
          <w14:textFill>
            <w14:solidFill>
              <w14:schemeClr w14:val="tx1"/>
            </w14:solidFill>
          </w14:textFill>
        </w:rPr>
        <w:t>0</w:t>
      </w:r>
      <w:r>
        <w:rPr>
          <w:rFonts w:hint="eastAsia"/>
          <w:color w:val="000000" w:themeColor="text1"/>
          <w:u w:val="single"/>
          <w14:textFill>
            <w14:solidFill>
              <w14:schemeClr w14:val="tx1"/>
            </w14:solidFill>
          </w14:textFill>
        </w:rPr>
        <w:t>小时后残油油膜平均厚度仍有</w:t>
      </w:r>
      <w:r>
        <w:rPr>
          <w:color w:val="000000" w:themeColor="text1"/>
          <w:u w:val="single"/>
          <w14:textFill>
            <w14:solidFill>
              <w14:schemeClr w14:val="tx1"/>
            </w14:solidFill>
          </w14:textFill>
        </w:rPr>
        <w:t>98.90mm</w:t>
      </w:r>
      <w:r>
        <w:rPr>
          <w:rFonts w:hint="eastAsia"/>
          <w:color w:val="000000" w:themeColor="text1"/>
          <w:u w:val="single"/>
          <w14:textFill>
            <w14:solidFill>
              <w14:schemeClr w14:val="tx1"/>
            </w14:solidFill>
          </w14:textFill>
        </w:rPr>
        <w:t>。受岸线阻挡吸附及风、流顶托作用，此后油膜基本停止运动。溢油发生</w:t>
      </w:r>
      <w:r>
        <w:rPr>
          <w:color w:val="000000" w:themeColor="text1"/>
          <w:u w:val="single"/>
          <w14:textFill>
            <w14:solidFill>
              <w14:schemeClr w14:val="tx1"/>
            </w14:solidFill>
          </w14:textFill>
        </w:rPr>
        <w:t>72</w:t>
      </w:r>
      <w:r>
        <w:rPr>
          <w:rFonts w:hint="eastAsia"/>
          <w:color w:val="000000" w:themeColor="text1"/>
          <w:u w:val="single"/>
          <w14:textFill>
            <w14:solidFill>
              <w14:schemeClr w14:val="tx1"/>
            </w14:solidFill>
          </w14:textFill>
        </w:rPr>
        <w:t>小时内油膜扫海面积及残油油膜平均厚度见表5.5-</w:t>
      </w:r>
      <w:r>
        <w:rPr>
          <w:color w:val="000000" w:themeColor="text1"/>
          <w:u w:val="single"/>
          <w14:textFill>
            <w14:solidFill>
              <w14:schemeClr w14:val="tx1"/>
            </w14:solidFill>
          </w14:textFill>
        </w:rPr>
        <w:t>5</w:t>
      </w:r>
      <w:r>
        <w:rPr>
          <w:rFonts w:hint="eastAsia"/>
          <w:color w:val="000000" w:themeColor="text1"/>
          <w:u w:val="single"/>
          <w14:textFill>
            <w14:solidFill>
              <w14:schemeClr w14:val="tx1"/>
            </w14:solidFill>
          </w14:textFill>
        </w:rPr>
        <w:t>，72小时内油膜合计影响范围见图</w:t>
      </w:r>
      <w:r>
        <w:rPr>
          <w:rFonts w:hint="eastAsia"/>
          <w:color w:val="000000" w:themeColor="text1"/>
          <w:kern w:val="0"/>
          <w:u w:val="single"/>
          <w14:textFill>
            <w14:solidFill>
              <w14:schemeClr w14:val="tx1"/>
            </w14:solidFill>
          </w14:textFill>
        </w:rPr>
        <w:t>5.5.3</w:t>
      </w:r>
      <w:r>
        <w:rPr>
          <w:color w:val="000000" w:themeColor="text1"/>
          <w:u w:val="single"/>
          <w14:textFill>
            <w14:solidFill>
              <w14:schemeClr w14:val="tx1"/>
            </w14:solidFill>
          </w14:textFill>
        </w:rPr>
        <w:t>-5</w:t>
      </w:r>
      <w:r>
        <w:rPr>
          <w:rFonts w:hint="eastAsia"/>
          <w:color w:val="000000" w:themeColor="text1"/>
          <w:u w:val="single"/>
          <w14:textFill>
            <w14:solidFill>
              <w14:schemeClr w14:val="tx1"/>
            </w14:solidFill>
          </w14:textFill>
        </w:rPr>
        <w:t>，油膜运动趋势与环境敏感目标叠置如图</w:t>
      </w:r>
      <w:r>
        <w:rPr>
          <w:rFonts w:hint="eastAsia"/>
          <w:color w:val="000000" w:themeColor="text1"/>
          <w:kern w:val="0"/>
          <w:u w:val="single"/>
          <w14:textFill>
            <w14:solidFill>
              <w14:schemeClr w14:val="tx1"/>
            </w14:solidFill>
          </w14:textFill>
        </w:rPr>
        <w:t>5.5.3</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6</w:t>
      </w:r>
      <w:r>
        <w:rPr>
          <w:rFonts w:hint="eastAsia"/>
          <w:color w:val="000000" w:themeColor="text1"/>
          <w:u w:val="single"/>
          <w14:textFill>
            <w14:solidFill>
              <w14:schemeClr w14:val="tx1"/>
            </w14:solidFill>
          </w14:textFill>
        </w:rPr>
        <w:t>所示。</w:t>
      </w:r>
    </w:p>
    <w:p w14:paraId="20B3F206">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冬</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S条件下涨潮时溢油扫海面积</w:t>
      </w:r>
    </w:p>
    <w:tbl>
      <w:tblPr>
        <w:tblStyle w:val="43"/>
        <w:tblW w:w="490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521"/>
        <w:gridCol w:w="1167"/>
        <w:gridCol w:w="1169"/>
        <w:gridCol w:w="1169"/>
        <w:gridCol w:w="1169"/>
        <w:gridCol w:w="1165"/>
      </w:tblGrid>
      <w:tr w14:paraId="48B6E9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508" w:type="pct"/>
            <w:vMerge w:val="restart"/>
            <w:tcMar>
              <w:top w:w="57" w:type="dxa"/>
              <w:bottom w:w="57" w:type="dxa"/>
            </w:tcMar>
            <w:vAlign w:val="center"/>
          </w:tcPr>
          <w:p w14:paraId="34CE3243">
            <w:pPr>
              <w:spacing w:line="240" w:lineRule="atLeast"/>
              <w:ind w:firstLine="0" w:firstLineChars="0"/>
              <w:jc w:val="center"/>
              <w:rPr>
                <w:b/>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3492" w:type="pct"/>
            <w:gridSpan w:val="5"/>
            <w:tcMar>
              <w:top w:w="57" w:type="dxa"/>
              <w:bottom w:w="57" w:type="dxa"/>
            </w:tcMar>
            <w:vAlign w:val="center"/>
          </w:tcPr>
          <w:p w14:paraId="089E9FC0">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泄漏发生经历时间（小时）</w:t>
            </w:r>
          </w:p>
        </w:tc>
      </w:tr>
      <w:tr w14:paraId="7A4DA3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5" w:hRule="atLeast"/>
          <w:jc w:val="center"/>
        </w:trPr>
        <w:tc>
          <w:tcPr>
            <w:tcW w:w="1508" w:type="pct"/>
            <w:vMerge w:val="continue"/>
            <w:tcMar>
              <w:top w:w="57" w:type="dxa"/>
              <w:bottom w:w="57" w:type="dxa"/>
            </w:tcMar>
            <w:vAlign w:val="center"/>
          </w:tcPr>
          <w:p w14:paraId="3BCE1B7E">
            <w:pPr>
              <w:spacing w:line="240" w:lineRule="atLeast"/>
              <w:ind w:firstLine="0" w:firstLineChars="0"/>
              <w:jc w:val="center"/>
              <w:rPr>
                <w:b/>
                <w:color w:val="000000" w:themeColor="text1"/>
                <w:sz w:val="21"/>
                <w:szCs w:val="21"/>
                <w14:textFill>
                  <w14:solidFill>
                    <w14:schemeClr w14:val="tx1"/>
                  </w14:solidFill>
                </w14:textFill>
              </w:rPr>
            </w:pPr>
          </w:p>
        </w:tc>
        <w:tc>
          <w:tcPr>
            <w:tcW w:w="698" w:type="pct"/>
            <w:tcMar>
              <w:top w:w="57" w:type="dxa"/>
              <w:bottom w:w="57" w:type="dxa"/>
            </w:tcMar>
            <w:vAlign w:val="center"/>
          </w:tcPr>
          <w:p w14:paraId="4B31EBF3">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w:t>
            </w:r>
          </w:p>
        </w:tc>
        <w:tc>
          <w:tcPr>
            <w:tcW w:w="699" w:type="pct"/>
            <w:tcMar>
              <w:top w:w="57" w:type="dxa"/>
              <w:bottom w:w="57" w:type="dxa"/>
            </w:tcMar>
            <w:vAlign w:val="center"/>
          </w:tcPr>
          <w:p w14:paraId="716F1A42">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3</w:t>
            </w:r>
          </w:p>
        </w:tc>
        <w:tc>
          <w:tcPr>
            <w:tcW w:w="699" w:type="pct"/>
            <w:tcMar>
              <w:top w:w="57" w:type="dxa"/>
              <w:bottom w:w="57" w:type="dxa"/>
            </w:tcMar>
            <w:vAlign w:val="center"/>
          </w:tcPr>
          <w:p w14:paraId="52054355">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6</w:t>
            </w:r>
          </w:p>
        </w:tc>
        <w:tc>
          <w:tcPr>
            <w:tcW w:w="699" w:type="pct"/>
            <w:vAlign w:val="center"/>
          </w:tcPr>
          <w:p w14:paraId="7725369A">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10（登陆）</w:t>
            </w:r>
          </w:p>
        </w:tc>
        <w:tc>
          <w:tcPr>
            <w:tcW w:w="699" w:type="pct"/>
            <w:vAlign w:val="center"/>
          </w:tcPr>
          <w:p w14:paraId="462A7454">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72</w:t>
            </w:r>
          </w:p>
        </w:tc>
      </w:tr>
      <w:tr w14:paraId="4FA7E7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508" w:type="pct"/>
            <w:tcMar>
              <w:top w:w="57" w:type="dxa"/>
              <w:bottom w:w="57" w:type="dxa"/>
            </w:tcMar>
            <w:vAlign w:val="center"/>
          </w:tcPr>
          <w:p w14:paraId="7A79D03B">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油膜扫海面积（km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w:t>
            </w:r>
          </w:p>
        </w:tc>
        <w:tc>
          <w:tcPr>
            <w:tcW w:w="698" w:type="pct"/>
            <w:tcMar>
              <w:top w:w="57" w:type="dxa"/>
              <w:bottom w:w="57" w:type="dxa"/>
            </w:tcMar>
            <w:vAlign w:val="center"/>
          </w:tcPr>
          <w:p w14:paraId="681891E9">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0.14</w:t>
            </w:r>
            <w:r>
              <w:rPr>
                <w:color w:val="000000" w:themeColor="text1"/>
                <w:sz w:val="21"/>
                <w:szCs w:val="21"/>
                <w14:textFill>
                  <w14:solidFill>
                    <w14:schemeClr w14:val="tx1"/>
                  </w14:solidFill>
                </w14:textFill>
              </w:rPr>
              <w:t>6</w:t>
            </w:r>
          </w:p>
        </w:tc>
        <w:tc>
          <w:tcPr>
            <w:tcW w:w="699" w:type="pct"/>
            <w:tcMar>
              <w:top w:w="57" w:type="dxa"/>
              <w:bottom w:w="57" w:type="dxa"/>
            </w:tcMar>
            <w:vAlign w:val="center"/>
          </w:tcPr>
          <w:p w14:paraId="2669761A">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0.6</w:t>
            </w:r>
            <w:r>
              <w:rPr>
                <w:color w:val="000000" w:themeColor="text1"/>
                <w:sz w:val="21"/>
                <w:szCs w:val="21"/>
                <w14:textFill>
                  <w14:solidFill>
                    <w14:schemeClr w14:val="tx1"/>
                  </w14:solidFill>
                </w14:textFill>
              </w:rPr>
              <w:t>48</w:t>
            </w:r>
          </w:p>
        </w:tc>
        <w:tc>
          <w:tcPr>
            <w:tcW w:w="699" w:type="pct"/>
            <w:tcMar>
              <w:top w:w="57" w:type="dxa"/>
              <w:bottom w:w="57" w:type="dxa"/>
            </w:tcMar>
            <w:vAlign w:val="center"/>
          </w:tcPr>
          <w:p w14:paraId="26CE8698">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2.6</w:t>
            </w:r>
            <w:r>
              <w:rPr>
                <w:color w:val="000000" w:themeColor="text1"/>
                <w:sz w:val="21"/>
                <w:szCs w:val="21"/>
                <w14:textFill>
                  <w14:solidFill>
                    <w14:schemeClr w14:val="tx1"/>
                  </w14:solidFill>
                </w14:textFill>
              </w:rPr>
              <w:t>39</w:t>
            </w:r>
          </w:p>
        </w:tc>
        <w:tc>
          <w:tcPr>
            <w:tcW w:w="699" w:type="pct"/>
            <w:vAlign w:val="center"/>
          </w:tcPr>
          <w:p w14:paraId="40673620">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4.5</w:t>
            </w:r>
            <w:r>
              <w:rPr>
                <w:color w:val="000000" w:themeColor="text1"/>
                <w:sz w:val="21"/>
                <w:szCs w:val="21"/>
                <w14:textFill>
                  <w14:solidFill>
                    <w14:schemeClr w14:val="tx1"/>
                  </w14:solidFill>
                </w14:textFill>
              </w:rPr>
              <w:t>88</w:t>
            </w:r>
          </w:p>
        </w:tc>
        <w:tc>
          <w:tcPr>
            <w:tcW w:w="699" w:type="pct"/>
            <w:vAlign w:val="center"/>
          </w:tcPr>
          <w:p w14:paraId="1AE8E55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4.595</w:t>
            </w:r>
          </w:p>
        </w:tc>
      </w:tr>
      <w:tr w14:paraId="4063DA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508" w:type="pct"/>
            <w:tcMar>
              <w:top w:w="57" w:type="dxa"/>
              <w:bottom w:w="57" w:type="dxa"/>
            </w:tcMar>
            <w:vAlign w:val="center"/>
          </w:tcPr>
          <w:p w14:paraId="3E89803F">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残油油膜平均厚度（m</w:t>
            </w:r>
            <w:r>
              <w:rPr>
                <w:color w:val="000000" w:themeColor="text1"/>
                <w:sz w:val="21"/>
                <w:szCs w:val="21"/>
                <w14:textFill>
                  <w14:solidFill>
                    <w14:schemeClr w14:val="tx1"/>
                  </w14:solidFill>
                </w14:textFill>
              </w:rPr>
              <w:t>m</w:t>
            </w:r>
            <w:r>
              <w:rPr>
                <w:rFonts w:hint="eastAsia"/>
                <w:color w:val="000000" w:themeColor="text1"/>
                <w:sz w:val="21"/>
                <w:szCs w:val="21"/>
                <w14:textFill>
                  <w14:solidFill>
                    <w14:schemeClr w14:val="tx1"/>
                  </w14:solidFill>
                </w14:textFill>
              </w:rPr>
              <w:t>）</w:t>
            </w:r>
          </w:p>
        </w:tc>
        <w:tc>
          <w:tcPr>
            <w:tcW w:w="698" w:type="pct"/>
            <w:tcMar>
              <w:top w:w="57" w:type="dxa"/>
              <w:bottom w:w="57" w:type="dxa"/>
            </w:tcMar>
            <w:vAlign w:val="center"/>
          </w:tcPr>
          <w:p w14:paraId="1740C718">
            <w:pPr>
              <w:widowControl/>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5518.43</w:t>
            </w:r>
          </w:p>
        </w:tc>
        <w:tc>
          <w:tcPr>
            <w:tcW w:w="699" w:type="pct"/>
            <w:tcMar>
              <w:top w:w="57" w:type="dxa"/>
              <w:bottom w:w="57" w:type="dxa"/>
            </w:tcMar>
            <w:vAlign w:val="center"/>
          </w:tcPr>
          <w:p w14:paraId="00057EA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3419.22</w:t>
            </w:r>
          </w:p>
        </w:tc>
        <w:tc>
          <w:tcPr>
            <w:tcW w:w="699" w:type="pct"/>
            <w:tcMar>
              <w:top w:w="57" w:type="dxa"/>
              <w:bottom w:w="57" w:type="dxa"/>
            </w:tcMar>
            <w:vAlign w:val="center"/>
          </w:tcPr>
          <w:p w14:paraId="5545488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1355.72</w:t>
            </w:r>
          </w:p>
        </w:tc>
        <w:tc>
          <w:tcPr>
            <w:tcW w:w="699" w:type="pct"/>
            <w:vAlign w:val="center"/>
          </w:tcPr>
          <w:p w14:paraId="75B9194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98.90</w:t>
            </w:r>
          </w:p>
        </w:tc>
        <w:tc>
          <w:tcPr>
            <w:tcW w:w="699" w:type="pct"/>
            <w:vAlign w:val="center"/>
          </w:tcPr>
          <w:p w14:paraId="6BFE1F5E">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98.76</w:t>
            </w:r>
          </w:p>
        </w:tc>
      </w:tr>
    </w:tbl>
    <w:p w14:paraId="1E609C50">
      <w:pPr>
        <w:widowControl/>
        <w:ind w:firstLine="480"/>
        <w:jc w:val="center"/>
        <w:rPr>
          <w:rFonts w:ascii="宋体" w:hAnsi="宋体" w:cs="宋体"/>
          <w:color w:val="000000" w:themeColor="text1"/>
          <w:kern w:val="0"/>
          <w14:textFill>
            <w14:solidFill>
              <w14:schemeClr w14:val="tx1"/>
            </w14:solidFill>
          </w14:textFill>
        </w:rPr>
      </w:pPr>
      <w:r>
        <w:rPr>
          <w:rFonts w:ascii="宋体" w:hAnsi="宋体" w:cs="宋体"/>
          <w:color w:val="000000" w:themeColor="text1"/>
          <w:kern w:val="0"/>
          <w14:textFill>
            <w14:solidFill>
              <w14:schemeClr w14:val="tx1"/>
            </w14:solidFill>
          </w14:textFill>
        </w:rPr>
        <w:drawing>
          <wp:inline distT="0" distB="0" distL="0" distR="0">
            <wp:extent cx="3028315" cy="3838575"/>
            <wp:effectExtent l="0" t="0" r="635" b="0"/>
            <wp:docPr id="245" name="图片 245" descr="G:\project\2022\jingujiang14-15#\yiyou\zhangs251128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G:\project\2022\jingujiang14-15#\yiyou\zhangs251128油.jpg"/>
                    <pic:cNvPicPr>
                      <a:picLocks noChangeAspect="1" noChangeArrowheads="1"/>
                    </pic:cNvPicPr>
                  </pic:nvPicPr>
                  <pic:blipFill>
                    <a:blip r:embed="rId236" cstate="print">
                      <a:extLst>
                        <a:ext uri="{28A0092B-C50C-407E-A947-70E740481C1C}">
                          <a14:useLocalDpi xmlns:a14="http://schemas.microsoft.com/office/drawing/2010/main" val="0"/>
                        </a:ext>
                      </a:extLst>
                    </a:blip>
                    <a:srcRect t="1231" r="3000" b="11897"/>
                    <a:stretch>
                      <a:fillRect/>
                    </a:stretch>
                  </pic:blipFill>
                  <pic:spPr>
                    <a:xfrm>
                      <a:off x="0" y="0"/>
                      <a:ext cx="3026503" cy="3836250"/>
                    </a:xfrm>
                    <a:prstGeom prst="rect">
                      <a:avLst/>
                    </a:prstGeom>
                    <a:noFill/>
                    <a:ln>
                      <a:noFill/>
                    </a:ln>
                  </pic:spPr>
                </pic:pic>
              </a:graphicData>
            </a:graphic>
          </wp:inline>
        </w:drawing>
      </w:r>
    </w:p>
    <w:p w14:paraId="5AACAD6E">
      <w:pPr>
        <w:widowControl/>
        <w:ind w:firstLine="482"/>
        <w:jc w:val="center"/>
        <w:rPr>
          <w:rFonts w:ascii="宋体" w:hAnsi="宋体" w:cs="宋体"/>
          <w:color w:val="000000" w:themeColor="text1"/>
          <w:kern w:val="0"/>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5</w:t>
      </w:r>
      <w:r>
        <w:rPr>
          <w:rFonts w:hint="eastAsia"/>
          <w:b/>
          <w:color w:val="000000" w:themeColor="text1"/>
          <w14:textFill>
            <w14:solidFill>
              <w14:schemeClr w14:val="tx1"/>
            </w14:solidFill>
          </w14:textFill>
        </w:rPr>
        <w:t xml:space="preserve"> 夏季主导风S条件下涨潮时溢油油膜影响范围示意</w:t>
      </w:r>
    </w:p>
    <w:p w14:paraId="19E54003">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3013075" cy="395986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237"/>
                    <a:stretch>
                      <a:fillRect/>
                    </a:stretch>
                  </pic:blipFill>
                  <pic:spPr>
                    <a:xfrm>
                      <a:off x="0" y="0"/>
                      <a:ext cx="3013170" cy="3960000"/>
                    </a:xfrm>
                    <a:prstGeom prst="rect">
                      <a:avLst/>
                    </a:prstGeom>
                  </pic:spPr>
                </pic:pic>
              </a:graphicData>
            </a:graphic>
          </wp:inline>
        </w:drawing>
      </w:r>
    </w:p>
    <w:p w14:paraId="5042805F">
      <w:pPr>
        <w:ind w:firstLine="482"/>
        <w:jc w:val="center"/>
        <w:rPr>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ascii="宋体" w:hAnsi="宋体"/>
          <w:b/>
          <w:color w:val="000000" w:themeColor="text1"/>
          <w14:textFill>
            <w14:solidFill>
              <w14:schemeClr w14:val="tx1"/>
            </w14:solidFill>
          </w14:textFill>
        </w:rPr>
        <w:t>-</w:t>
      </w:r>
      <w:r>
        <w:rPr>
          <w:rFonts w:ascii="宋体" w:hAnsi="宋体"/>
          <w:b/>
          <w:color w:val="000000" w:themeColor="text1"/>
          <w14:textFill>
            <w14:solidFill>
              <w14:schemeClr w14:val="tx1"/>
            </w14:solidFill>
          </w14:textFill>
        </w:rPr>
        <w:t>6</w:t>
      </w:r>
      <w:r>
        <w:rPr>
          <w:rFonts w:hint="eastAsia" w:ascii="宋体" w:hAnsi="宋体"/>
          <w:b/>
          <w:color w:val="000000" w:themeColor="text1"/>
          <w14:textFill>
            <w14:solidFill>
              <w14:schemeClr w14:val="tx1"/>
            </w14:solidFill>
          </w14:textFill>
        </w:rPr>
        <w:t xml:space="preserve"> 夏季主导风S条件下涨潮时溢油油膜运动轨迹</w:t>
      </w:r>
      <w:r>
        <w:rPr>
          <w:rFonts w:hint="eastAsia"/>
          <w:b/>
          <w:color w:val="000000" w:themeColor="text1"/>
          <w14:textFill>
            <w14:solidFill>
              <w14:schemeClr w14:val="tx1"/>
            </w14:solidFill>
          </w14:textFill>
        </w:rPr>
        <w:t>（叠加敏感目标）</w:t>
      </w:r>
    </w:p>
    <w:p w14:paraId="580579C6">
      <w:pPr>
        <w:ind w:firstLine="480"/>
        <w:rPr>
          <w:rFonts w:hAnsi="宋体"/>
          <w:color w:val="000000" w:themeColor="text1"/>
          <w14:textFill>
            <w14:solidFill>
              <w14:schemeClr w14:val="tx1"/>
            </w14:solidFill>
          </w14:textFill>
        </w:rPr>
      </w:pPr>
      <w:r>
        <w:rPr>
          <w:rFonts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4</w:t>
      </w:r>
      <w:r>
        <w:rPr>
          <w:rFonts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夏</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S</w:t>
      </w:r>
      <w:r>
        <w:rPr>
          <w:rFonts w:hint="eastAsia" w:hAnsi="宋体"/>
          <w:color w:val="000000" w:themeColor="text1"/>
          <w14:textFill>
            <w14:solidFill>
              <w14:schemeClr w14:val="tx1"/>
            </w14:solidFill>
          </w14:textFill>
        </w:rPr>
        <w:t>，</w:t>
      </w:r>
      <w:r>
        <w:rPr>
          <w:rFonts w:hAnsi="宋体"/>
          <w:color w:val="000000" w:themeColor="text1"/>
          <w14:textFill>
            <w14:solidFill>
              <w14:schemeClr w14:val="tx1"/>
            </w14:solidFill>
          </w14:textFill>
        </w:rPr>
        <w:t>大潮</w:t>
      </w:r>
      <w:r>
        <w:rPr>
          <w:rFonts w:hint="eastAsia" w:hAnsi="宋体"/>
          <w:color w:val="000000" w:themeColor="text1"/>
          <w14:textFill>
            <w14:solidFill>
              <w14:schemeClr w14:val="tx1"/>
            </w14:solidFill>
          </w14:textFill>
        </w:rPr>
        <w:t>落潮</w:t>
      </w:r>
    </w:p>
    <w:p w14:paraId="6F419B6E">
      <w:pPr>
        <w:ind w:firstLine="480"/>
        <w:rPr>
          <w:color w:val="000000" w:themeColor="text1"/>
          <w:u w:val="single"/>
          <w14:textFill>
            <w14:solidFill>
              <w14:schemeClr w14:val="tx1"/>
            </w14:solidFill>
          </w14:textFill>
        </w:rPr>
      </w:pPr>
      <w:r>
        <w:rPr>
          <w:rFonts w:hint="eastAsia" w:hAnsi="宋体"/>
          <w:color w:val="000000" w:themeColor="text1"/>
          <w:u w:val="single"/>
          <w14:textFill>
            <w14:solidFill>
              <w14:schemeClr w14:val="tx1"/>
            </w14:solidFill>
          </w14:textFill>
        </w:rPr>
        <w:t>在5.1m/s的S风以及落潮流作用下，</w:t>
      </w:r>
      <w:r>
        <w:rPr>
          <w:rFonts w:hint="eastAsia"/>
          <w:color w:val="000000" w:themeColor="text1"/>
          <w:u w:val="single"/>
          <w14:textFill>
            <w14:solidFill>
              <w14:schemeClr w14:val="tx1"/>
            </w14:solidFill>
          </w14:textFill>
        </w:rPr>
        <w:t>当溢油发生1小时后油膜逐渐向本项目西南方岸线靠近</w:t>
      </w:r>
      <w:r>
        <w:rPr>
          <w:rFonts w:hint="eastAsia" w:hAnsi="宋体"/>
          <w:color w:val="000000" w:themeColor="text1"/>
          <w:u w:val="single"/>
          <w14:textFill>
            <w14:solidFill>
              <w14:schemeClr w14:val="tx1"/>
            </w14:solidFill>
          </w14:textFill>
        </w:rPr>
        <w:t>，</w:t>
      </w:r>
      <w:r>
        <w:rPr>
          <w:rFonts w:hAnsi="宋体"/>
          <w:color w:val="000000" w:themeColor="text1"/>
          <w:u w:val="single"/>
          <w14:textFill>
            <w14:solidFill>
              <w14:schemeClr w14:val="tx1"/>
            </w14:solidFill>
          </w14:textFill>
        </w:rPr>
        <w:t>3</w:t>
      </w:r>
      <w:r>
        <w:rPr>
          <w:rFonts w:hint="eastAsia" w:hAnsi="宋体"/>
          <w:color w:val="000000" w:themeColor="text1"/>
          <w:u w:val="single"/>
          <w14:textFill>
            <w14:solidFill>
              <w14:schemeClr w14:val="tx1"/>
            </w14:solidFill>
          </w14:textFill>
        </w:rPr>
        <w:t>小时后油膜受钦州燃煤电厂</w:t>
      </w:r>
      <w:r>
        <w:rPr>
          <w:rFonts w:hint="eastAsia"/>
          <w:color w:val="000000" w:themeColor="text1"/>
          <w:u w:val="single"/>
          <w14:textFill>
            <w14:solidFill>
              <w14:schemeClr w14:val="tx1"/>
            </w14:solidFill>
          </w14:textFill>
        </w:rPr>
        <w:t>东南部岸线阻挡及吸附而登陆，5小时后油膜全部登陆。由于溢油量较大且扩散区域地形限制，</w:t>
      </w:r>
      <w:r>
        <w:rPr>
          <w:color w:val="000000" w:themeColor="text1"/>
          <w:u w:val="single"/>
          <w14:textFill>
            <w14:solidFill>
              <w14:schemeClr w14:val="tx1"/>
            </w14:solidFill>
          </w14:textFill>
        </w:rPr>
        <w:t>5</w:t>
      </w:r>
      <w:r>
        <w:rPr>
          <w:rFonts w:hint="eastAsia"/>
          <w:color w:val="000000" w:themeColor="text1"/>
          <w:u w:val="single"/>
          <w14:textFill>
            <w14:solidFill>
              <w14:schemeClr w14:val="tx1"/>
            </w14:solidFill>
          </w14:textFill>
        </w:rPr>
        <w:t>小时后残油油膜在岸边堆积的平均厚度仍有</w:t>
      </w:r>
      <w:r>
        <w:rPr>
          <w:color w:val="000000" w:themeColor="text1"/>
          <w:sz w:val="22"/>
          <w:szCs w:val="22"/>
          <w:u w:val="single"/>
          <w14:textFill>
            <w14:solidFill>
              <w14:schemeClr w14:val="tx1"/>
            </w14:solidFill>
          </w14:textFill>
        </w:rPr>
        <w:t>4816.51</w:t>
      </w:r>
      <w:r>
        <w:rPr>
          <w:color w:val="000000" w:themeColor="text1"/>
          <w:u w:val="single"/>
          <w14:textFill>
            <w14:solidFill>
              <w14:schemeClr w14:val="tx1"/>
            </w14:solidFill>
          </w14:textFill>
        </w:rPr>
        <w:t>mm</w:t>
      </w:r>
      <w:bookmarkStart w:id="732" w:name="OLE_LINK2"/>
      <w:bookmarkStart w:id="733" w:name="OLE_LINK3"/>
      <w:r>
        <w:rPr>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受岸线阻挡吸附及风、流顶托作用，此后油膜基本停止运动</w:t>
      </w:r>
      <w:bookmarkEnd w:id="732"/>
      <w:bookmarkEnd w:id="733"/>
      <w:r>
        <w:rPr>
          <w:rFonts w:hint="eastAsia"/>
          <w:color w:val="000000" w:themeColor="text1"/>
          <w:u w:val="single"/>
          <w14:textFill>
            <w14:solidFill>
              <w14:schemeClr w14:val="tx1"/>
            </w14:solidFill>
          </w14:textFill>
        </w:rPr>
        <w:t>。溢油发生72小时内油膜扫海面积及残油油膜平均厚度见表5.5-</w:t>
      </w:r>
      <w:r>
        <w:rPr>
          <w:color w:val="000000" w:themeColor="text1"/>
          <w:u w:val="single"/>
          <w14:textFill>
            <w14:solidFill>
              <w14:schemeClr w14:val="tx1"/>
            </w14:solidFill>
          </w14:textFill>
        </w:rPr>
        <w:t>6</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5</w:t>
      </w:r>
      <w:r>
        <w:rPr>
          <w:rFonts w:hint="eastAsia"/>
          <w:color w:val="000000" w:themeColor="text1"/>
          <w:u w:val="single"/>
          <w14:textFill>
            <w14:solidFill>
              <w14:schemeClr w14:val="tx1"/>
            </w14:solidFill>
          </w14:textFill>
        </w:rPr>
        <w:t>小时内油膜合计影响范围见图</w:t>
      </w:r>
      <w:r>
        <w:rPr>
          <w:rFonts w:hint="eastAsia"/>
          <w:color w:val="000000" w:themeColor="text1"/>
          <w:kern w:val="0"/>
          <w:u w:val="single"/>
          <w14:textFill>
            <w14:solidFill>
              <w14:schemeClr w14:val="tx1"/>
            </w14:solidFill>
          </w14:textFill>
        </w:rPr>
        <w:t>5.5.3</w:t>
      </w:r>
      <w:r>
        <w:rPr>
          <w:color w:val="000000" w:themeColor="text1"/>
          <w:u w:val="single"/>
          <w14:textFill>
            <w14:solidFill>
              <w14:schemeClr w14:val="tx1"/>
            </w14:solidFill>
          </w14:textFill>
        </w:rPr>
        <w:t>-7</w:t>
      </w:r>
      <w:r>
        <w:rPr>
          <w:rFonts w:hint="eastAsia"/>
          <w:color w:val="000000" w:themeColor="text1"/>
          <w:u w:val="single"/>
          <w14:textFill>
            <w14:solidFill>
              <w14:schemeClr w14:val="tx1"/>
            </w14:solidFill>
          </w14:textFill>
        </w:rPr>
        <w:t>，油膜运动趋势与环境敏感目标叠置如图</w:t>
      </w:r>
      <w:r>
        <w:rPr>
          <w:rFonts w:hint="eastAsia"/>
          <w:color w:val="000000" w:themeColor="text1"/>
          <w:kern w:val="0"/>
          <w:u w:val="single"/>
          <w14:textFill>
            <w14:solidFill>
              <w14:schemeClr w14:val="tx1"/>
            </w14:solidFill>
          </w14:textFill>
        </w:rPr>
        <w:t>5.5.3</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8</w:t>
      </w:r>
      <w:r>
        <w:rPr>
          <w:rFonts w:hint="eastAsia"/>
          <w:color w:val="000000" w:themeColor="text1"/>
          <w:u w:val="single"/>
          <w14:textFill>
            <w14:solidFill>
              <w14:schemeClr w14:val="tx1"/>
            </w14:solidFill>
          </w14:textFill>
        </w:rPr>
        <w:t>所示。</w:t>
      </w:r>
    </w:p>
    <w:p w14:paraId="77921375">
      <w:pPr>
        <w:pStyle w:val="7"/>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 xml:space="preserve"> 冬</w:t>
      </w:r>
      <w:r>
        <w:rPr>
          <w:color w:val="000000" w:themeColor="text1"/>
          <w:u w:val="single"/>
          <w14:textFill>
            <w14:solidFill>
              <w14:schemeClr w14:val="tx1"/>
            </w14:solidFill>
          </w14:textFill>
        </w:rPr>
        <w:t>季主导风</w:t>
      </w:r>
      <w:r>
        <w:rPr>
          <w:rFonts w:hint="eastAsia"/>
          <w:color w:val="000000" w:themeColor="text1"/>
          <w:u w:val="single"/>
          <w14:textFill>
            <w14:solidFill>
              <w14:schemeClr w14:val="tx1"/>
            </w14:solidFill>
          </w14:textFill>
        </w:rPr>
        <w:t>S条件下落潮时溢油扫海面积</w:t>
      </w:r>
    </w:p>
    <w:tbl>
      <w:tblPr>
        <w:tblStyle w:val="43"/>
        <w:tblW w:w="490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53"/>
        <w:gridCol w:w="1700"/>
        <w:gridCol w:w="1702"/>
        <w:gridCol w:w="1700"/>
        <w:gridCol w:w="1705"/>
      </w:tblGrid>
      <w:tr w14:paraId="345EC0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929" w:type="pct"/>
            <w:vMerge w:val="restart"/>
            <w:tcMar>
              <w:top w:w="57" w:type="dxa"/>
              <w:bottom w:w="57" w:type="dxa"/>
            </w:tcMar>
            <w:vAlign w:val="center"/>
          </w:tcPr>
          <w:p w14:paraId="61A16885">
            <w:pPr>
              <w:spacing w:line="240" w:lineRule="atLeast"/>
              <w:ind w:firstLine="0" w:firstLineChars="0"/>
              <w:jc w:val="center"/>
              <w:rPr>
                <w:b/>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4071" w:type="pct"/>
            <w:gridSpan w:val="4"/>
            <w:tcMar>
              <w:top w:w="57" w:type="dxa"/>
              <w:bottom w:w="57" w:type="dxa"/>
            </w:tcMar>
            <w:vAlign w:val="center"/>
          </w:tcPr>
          <w:p w14:paraId="4CD23F3B">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泄漏发生经历时间（小时）</w:t>
            </w:r>
          </w:p>
        </w:tc>
      </w:tr>
      <w:tr w14:paraId="6D035D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 w:hRule="atLeast"/>
          <w:jc w:val="center"/>
        </w:trPr>
        <w:tc>
          <w:tcPr>
            <w:tcW w:w="929" w:type="pct"/>
            <w:vMerge w:val="continue"/>
            <w:tcMar>
              <w:top w:w="57" w:type="dxa"/>
              <w:bottom w:w="57" w:type="dxa"/>
            </w:tcMar>
            <w:vAlign w:val="center"/>
          </w:tcPr>
          <w:p w14:paraId="71D6125D">
            <w:pPr>
              <w:spacing w:line="240" w:lineRule="atLeast"/>
              <w:ind w:firstLine="0" w:firstLineChars="0"/>
              <w:jc w:val="center"/>
              <w:rPr>
                <w:b/>
                <w:color w:val="000000" w:themeColor="text1"/>
                <w:sz w:val="21"/>
                <w:szCs w:val="21"/>
                <w14:textFill>
                  <w14:solidFill>
                    <w14:schemeClr w14:val="tx1"/>
                  </w14:solidFill>
                </w14:textFill>
              </w:rPr>
            </w:pPr>
          </w:p>
        </w:tc>
        <w:tc>
          <w:tcPr>
            <w:tcW w:w="1017" w:type="pct"/>
            <w:tcMar>
              <w:top w:w="57" w:type="dxa"/>
              <w:bottom w:w="57" w:type="dxa"/>
            </w:tcMar>
            <w:vAlign w:val="center"/>
          </w:tcPr>
          <w:p w14:paraId="1CD9A82A">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w:t>
            </w:r>
          </w:p>
        </w:tc>
        <w:tc>
          <w:tcPr>
            <w:tcW w:w="1018" w:type="pct"/>
            <w:tcMar>
              <w:top w:w="57" w:type="dxa"/>
              <w:bottom w:w="57" w:type="dxa"/>
            </w:tcMar>
            <w:vAlign w:val="center"/>
          </w:tcPr>
          <w:p w14:paraId="344C2895">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3</w:t>
            </w:r>
          </w:p>
        </w:tc>
        <w:tc>
          <w:tcPr>
            <w:tcW w:w="1017" w:type="pct"/>
            <w:tcMar>
              <w:top w:w="57" w:type="dxa"/>
              <w:bottom w:w="57" w:type="dxa"/>
            </w:tcMar>
            <w:vAlign w:val="center"/>
          </w:tcPr>
          <w:p w14:paraId="19EAB13C">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5（登陆）</w:t>
            </w:r>
          </w:p>
        </w:tc>
        <w:tc>
          <w:tcPr>
            <w:tcW w:w="1018" w:type="pct"/>
            <w:vAlign w:val="center"/>
          </w:tcPr>
          <w:p w14:paraId="0A5ACC9F">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72</w:t>
            </w:r>
          </w:p>
        </w:tc>
      </w:tr>
      <w:tr w14:paraId="769257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5FCCC05B">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油膜扫海面积（km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w:t>
            </w:r>
          </w:p>
        </w:tc>
        <w:tc>
          <w:tcPr>
            <w:tcW w:w="1017" w:type="pct"/>
            <w:tcMar>
              <w:top w:w="57" w:type="dxa"/>
              <w:bottom w:w="57" w:type="dxa"/>
            </w:tcMar>
            <w:vAlign w:val="center"/>
          </w:tcPr>
          <w:p w14:paraId="05005DED">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r>
              <w:rPr>
                <w:color w:val="000000" w:themeColor="text1"/>
                <w:sz w:val="21"/>
                <w:szCs w:val="21"/>
                <w14:textFill>
                  <w14:solidFill>
                    <w14:schemeClr w14:val="tx1"/>
                  </w14:solidFill>
                </w14:textFill>
              </w:rPr>
              <w:t>.471</w:t>
            </w:r>
          </w:p>
        </w:tc>
        <w:tc>
          <w:tcPr>
            <w:tcW w:w="1018" w:type="pct"/>
            <w:tcMar>
              <w:top w:w="57" w:type="dxa"/>
              <w:bottom w:w="57" w:type="dxa"/>
            </w:tcMar>
            <w:vAlign w:val="center"/>
          </w:tcPr>
          <w:p w14:paraId="7B8A63C3">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1.268</w:t>
            </w:r>
          </w:p>
        </w:tc>
        <w:tc>
          <w:tcPr>
            <w:tcW w:w="1017" w:type="pct"/>
            <w:tcMar>
              <w:top w:w="57" w:type="dxa"/>
              <w:bottom w:w="57" w:type="dxa"/>
            </w:tcMar>
            <w:vAlign w:val="center"/>
          </w:tcPr>
          <w:p w14:paraId="67EC070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1.741</w:t>
            </w:r>
          </w:p>
        </w:tc>
        <w:tc>
          <w:tcPr>
            <w:tcW w:w="1018" w:type="pct"/>
            <w:vAlign w:val="center"/>
          </w:tcPr>
          <w:p w14:paraId="659F1FA4">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1.752</w:t>
            </w:r>
          </w:p>
        </w:tc>
      </w:tr>
      <w:tr w14:paraId="308333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3C2BB18E">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残油油膜平均厚度（m</w:t>
            </w:r>
            <w:r>
              <w:rPr>
                <w:color w:val="000000" w:themeColor="text1"/>
                <w:sz w:val="21"/>
                <w:szCs w:val="21"/>
                <w14:textFill>
                  <w14:solidFill>
                    <w14:schemeClr w14:val="tx1"/>
                  </w14:solidFill>
                </w14:textFill>
              </w:rPr>
              <w:t>m</w:t>
            </w:r>
            <w:r>
              <w:rPr>
                <w:rFonts w:hint="eastAsia"/>
                <w:color w:val="000000" w:themeColor="text1"/>
                <w:sz w:val="21"/>
                <w:szCs w:val="21"/>
                <w14:textFill>
                  <w14:solidFill>
                    <w14:schemeClr w14:val="tx1"/>
                  </w14:solidFill>
                </w14:textFill>
              </w:rPr>
              <w:t>）</w:t>
            </w:r>
          </w:p>
        </w:tc>
        <w:tc>
          <w:tcPr>
            <w:tcW w:w="1017" w:type="pct"/>
            <w:tcMar>
              <w:top w:w="57" w:type="dxa"/>
              <w:bottom w:w="57" w:type="dxa"/>
            </w:tcMar>
            <w:vAlign w:val="center"/>
          </w:tcPr>
          <w:p w14:paraId="6954B6A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6012.23</w:t>
            </w:r>
          </w:p>
        </w:tc>
        <w:tc>
          <w:tcPr>
            <w:tcW w:w="1018" w:type="pct"/>
            <w:tcMar>
              <w:top w:w="57" w:type="dxa"/>
              <w:bottom w:w="57" w:type="dxa"/>
            </w:tcMar>
            <w:vAlign w:val="center"/>
          </w:tcPr>
          <w:p w14:paraId="72F69292">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5062.33</w:t>
            </w:r>
          </w:p>
        </w:tc>
        <w:tc>
          <w:tcPr>
            <w:tcW w:w="1017" w:type="pct"/>
            <w:tcMar>
              <w:top w:w="57" w:type="dxa"/>
              <w:bottom w:w="57" w:type="dxa"/>
            </w:tcMar>
            <w:vAlign w:val="center"/>
          </w:tcPr>
          <w:p w14:paraId="60EF9E4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4816.51</w:t>
            </w:r>
          </w:p>
        </w:tc>
        <w:tc>
          <w:tcPr>
            <w:tcW w:w="1018" w:type="pct"/>
            <w:vAlign w:val="center"/>
          </w:tcPr>
          <w:p w14:paraId="4C94B9EC">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4816.28</w:t>
            </w:r>
          </w:p>
        </w:tc>
      </w:tr>
    </w:tbl>
    <w:p w14:paraId="0AA2E3CD">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016885" cy="3819525"/>
            <wp:effectExtent l="0" t="0" r="0" b="0"/>
            <wp:docPr id="247" name="图片 247" descr="G:\project\2022\jingujiang14-15#\yiyou\luos251128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G:\project\2022\jingujiang14-15#\yiyou\luos251128油.jpg"/>
                    <pic:cNvPicPr>
                      <a:picLocks noChangeAspect="1" noChangeArrowheads="1"/>
                    </pic:cNvPicPr>
                  </pic:nvPicPr>
                  <pic:blipFill>
                    <a:blip r:embed="rId238" cstate="print">
                      <a:extLst>
                        <a:ext uri="{28A0092B-C50C-407E-A947-70E740481C1C}">
                          <a14:useLocalDpi xmlns:a14="http://schemas.microsoft.com/office/drawing/2010/main" val="0"/>
                        </a:ext>
                      </a:extLst>
                    </a:blip>
                    <a:srcRect l="327" t="1232" r="3163" b="12009"/>
                    <a:stretch>
                      <a:fillRect/>
                    </a:stretch>
                  </pic:blipFill>
                  <pic:spPr>
                    <a:xfrm>
                      <a:off x="0" y="0"/>
                      <a:ext cx="3015072" cy="3817212"/>
                    </a:xfrm>
                    <a:prstGeom prst="rect">
                      <a:avLst/>
                    </a:prstGeom>
                    <a:noFill/>
                    <a:ln>
                      <a:noFill/>
                    </a:ln>
                  </pic:spPr>
                </pic:pic>
              </a:graphicData>
            </a:graphic>
          </wp:inline>
        </w:drawing>
      </w:r>
    </w:p>
    <w:p w14:paraId="5FB3AEFF">
      <w:pPr>
        <w:ind w:firstLine="482"/>
        <w:jc w:val="center"/>
        <w:rPr>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ascii="宋体" w:hAnsi="宋体"/>
          <w:b/>
          <w:color w:val="000000" w:themeColor="text1"/>
          <w14:textFill>
            <w14:solidFill>
              <w14:schemeClr w14:val="tx1"/>
            </w14:solidFill>
          </w14:textFill>
        </w:rPr>
        <w:t>-</w:t>
      </w:r>
      <w:r>
        <w:rPr>
          <w:rFonts w:ascii="宋体" w:hAnsi="宋体"/>
          <w:b/>
          <w:color w:val="000000" w:themeColor="text1"/>
          <w14:textFill>
            <w14:solidFill>
              <w14:schemeClr w14:val="tx1"/>
            </w14:solidFill>
          </w14:textFill>
        </w:rPr>
        <w:t>7</w:t>
      </w:r>
      <w:r>
        <w:rPr>
          <w:rFonts w:hint="eastAsia" w:ascii="宋体" w:hAnsi="宋体"/>
          <w:b/>
          <w:color w:val="000000" w:themeColor="text1"/>
          <w14:textFill>
            <w14:solidFill>
              <w14:schemeClr w14:val="tx1"/>
            </w14:solidFill>
          </w14:textFill>
        </w:rPr>
        <w:t xml:space="preserve"> 夏季主导S条件下落潮时溢油</w:t>
      </w:r>
      <w:r>
        <w:rPr>
          <w:rFonts w:hint="eastAsia"/>
          <w:b/>
          <w:color w:val="000000" w:themeColor="text1"/>
          <w14:textFill>
            <w14:solidFill>
              <w14:schemeClr w14:val="tx1"/>
            </w14:solidFill>
          </w14:textFill>
        </w:rPr>
        <w:t>油膜影响范围示意</w:t>
      </w:r>
    </w:p>
    <w:p w14:paraId="123402DA">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3015615" cy="3959860"/>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239"/>
                    <a:stretch>
                      <a:fillRect/>
                    </a:stretch>
                  </pic:blipFill>
                  <pic:spPr>
                    <a:xfrm>
                      <a:off x="0" y="0"/>
                      <a:ext cx="3016209" cy="3960000"/>
                    </a:xfrm>
                    <a:prstGeom prst="rect">
                      <a:avLst/>
                    </a:prstGeom>
                  </pic:spPr>
                </pic:pic>
              </a:graphicData>
            </a:graphic>
          </wp:inline>
        </w:drawing>
      </w:r>
    </w:p>
    <w:p w14:paraId="1FF70A62">
      <w:pPr>
        <w:ind w:firstLine="482"/>
        <w:jc w:val="center"/>
        <w:rPr>
          <w:rFonts w:ascii="宋体" w:hAnsi="宋体"/>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8</w:t>
      </w:r>
      <w:r>
        <w:rPr>
          <w:rFonts w:hint="eastAsia"/>
          <w:b/>
          <w:color w:val="000000" w:themeColor="text1"/>
          <w14:textFill>
            <w14:solidFill>
              <w14:schemeClr w14:val="tx1"/>
            </w14:solidFill>
          </w14:textFill>
        </w:rPr>
        <w:t xml:space="preserve"> 夏季主导S条件下落潮时溢油油膜运动轨迹（叠加敏感目标）</w:t>
      </w:r>
    </w:p>
    <w:p w14:paraId="6D996747">
      <w:pPr>
        <w:ind w:firstLine="480"/>
        <w:rPr>
          <w:rFonts w:hAnsi="宋体"/>
          <w:color w:val="000000" w:themeColor="text1"/>
          <w14:textFill>
            <w14:solidFill>
              <w14:schemeClr w14:val="tx1"/>
            </w14:solidFill>
          </w14:textFill>
        </w:rPr>
      </w:pPr>
      <w:r>
        <w:rPr>
          <w:rFonts w:hint="eastAsia" w:hAnsi="宋体"/>
          <w:color w:val="000000" w:themeColor="text1"/>
          <w14:textFill>
            <w14:solidFill>
              <w14:schemeClr w14:val="tx1"/>
            </w14:solidFill>
          </w14:textFill>
        </w:rPr>
        <w:t>（5）不利风向NE，大潮涨潮</w:t>
      </w:r>
    </w:p>
    <w:p w14:paraId="382CF8F8">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大潮涨潮时，在NE</w:t>
      </w:r>
      <w:r>
        <w:rPr>
          <w:color w:val="000000" w:themeColor="text1"/>
          <w:u w:val="single"/>
          <w14:textFill>
            <w14:solidFill>
              <w14:schemeClr w14:val="tx1"/>
            </w14:solidFill>
          </w14:textFill>
        </w:rPr>
        <w:t>向风及涨潮流作用下</w:t>
      </w:r>
      <w:r>
        <w:rPr>
          <w:rFonts w:hint="eastAsia"/>
          <w:color w:val="000000" w:themeColor="text1"/>
          <w:u w:val="single"/>
          <w14:textFill>
            <w14:solidFill>
              <w14:schemeClr w14:val="tx1"/>
            </w14:solidFill>
          </w14:textFill>
        </w:rPr>
        <w:t>，溢油发生1小时后部分油膜在本项目北侧临近岸线登陆，剩余油膜继续沿金鼓江西侧向北运动，</w:t>
      </w:r>
      <w:r>
        <w:rPr>
          <w:color w:val="000000" w:themeColor="text1"/>
          <w:u w:val="single"/>
          <w14:textFill>
            <w14:solidFill>
              <w14:schemeClr w14:val="tx1"/>
            </w14:solidFill>
          </w14:textFill>
        </w:rPr>
        <w:t>3</w:t>
      </w:r>
      <w:r>
        <w:rPr>
          <w:rFonts w:hint="eastAsia"/>
          <w:color w:val="000000" w:themeColor="text1"/>
          <w:u w:val="single"/>
          <w14:textFill>
            <w14:solidFill>
              <w14:schemeClr w14:val="tx1"/>
            </w14:solidFill>
          </w14:textFill>
        </w:rPr>
        <w:t>小时后油膜到达金鼓江大桥附近，6时左右到达金鼓江支流-望鸦江口，油膜一支沿望鸦江北上8</w:t>
      </w:r>
      <w:r>
        <w:rPr>
          <w:color w:val="000000" w:themeColor="text1"/>
          <w:u w:val="single"/>
          <w14:textFill>
            <w14:solidFill>
              <w14:schemeClr w14:val="tx1"/>
            </w14:solidFill>
          </w14:textFill>
        </w:rPr>
        <w:t>-9</w:t>
      </w:r>
      <w:r>
        <w:rPr>
          <w:rFonts w:hint="eastAsia"/>
          <w:color w:val="000000" w:themeColor="text1"/>
          <w:u w:val="single"/>
          <w14:textFill>
            <w14:solidFill>
              <w14:schemeClr w14:val="tx1"/>
            </w14:solidFill>
          </w14:textFill>
        </w:rPr>
        <w:t>小时后受岸线阻挡吸附而完全登陆，油膜另一支继续沿金鼓江主流北上逐渐扫过整个江面，1</w:t>
      </w:r>
      <w:r>
        <w:rPr>
          <w:color w:val="000000" w:themeColor="text1"/>
          <w:u w:val="single"/>
          <w14:textFill>
            <w14:solidFill>
              <w14:schemeClr w14:val="tx1"/>
            </w14:solidFill>
          </w14:textFill>
        </w:rPr>
        <w:t>0</w:t>
      </w:r>
      <w:r>
        <w:rPr>
          <w:rFonts w:hint="eastAsia"/>
          <w:color w:val="000000" w:themeColor="text1"/>
          <w:u w:val="single"/>
          <w14:textFill>
            <w14:solidFill>
              <w14:schemeClr w14:val="tx1"/>
            </w14:solidFill>
          </w14:textFill>
        </w:rPr>
        <w:t>时后受岸线阻挡而全部登陆。由于扩散区域地形限制，</w:t>
      </w:r>
      <w:r>
        <w:rPr>
          <w:color w:val="000000" w:themeColor="text1"/>
          <w:u w:val="single"/>
          <w14:textFill>
            <w14:solidFill>
              <w14:schemeClr w14:val="tx1"/>
            </w14:solidFill>
          </w14:textFill>
        </w:rPr>
        <w:t>10</w:t>
      </w:r>
      <w:r>
        <w:rPr>
          <w:rFonts w:hint="eastAsia"/>
          <w:color w:val="000000" w:themeColor="text1"/>
          <w:u w:val="single"/>
          <w14:textFill>
            <w14:solidFill>
              <w14:schemeClr w14:val="tx1"/>
            </w14:solidFill>
          </w14:textFill>
        </w:rPr>
        <w:t>小时后残油油膜在岸边堆积的平均厚度仍有</w:t>
      </w:r>
      <w:r>
        <w:rPr>
          <w:color w:val="000000" w:themeColor="text1"/>
          <w:u w:val="single"/>
          <w14:textFill>
            <w14:solidFill>
              <w14:schemeClr w14:val="tx1"/>
            </w14:solidFill>
          </w14:textFill>
        </w:rPr>
        <w:t>191.47mm</w:t>
      </w:r>
      <w:r>
        <w:rPr>
          <w:rFonts w:hint="eastAsia"/>
          <w:color w:val="000000" w:themeColor="text1"/>
          <w:u w:val="single"/>
          <w14:textFill>
            <w14:solidFill>
              <w14:schemeClr w14:val="tx1"/>
            </w14:solidFill>
          </w14:textFill>
        </w:rPr>
        <w:t>。受岸线阻挡吸附及风、流顶托作用，此后油膜基本停止运动。溢油发生72小时内油膜扫海面积及残油油膜平均厚度见表5.5-</w:t>
      </w:r>
      <w:r>
        <w:rPr>
          <w:color w:val="000000" w:themeColor="text1"/>
          <w:u w:val="single"/>
          <w14:textFill>
            <w14:solidFill>
              <w14:schemeClr w14:val="tx1"/>
            </w14:solidFill>
          </w14:textFill>
        </w:rPr>
        <w:t>7</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10</w:t>
      </w:r>
      <w:r>
        <w:rPr>
          <w:rFonts w:hint="eastAsia"/>
          <w:color w:val="000000" w:themeColor="text1"/>
          <w:u w:val="single"/>
          <w14:textFill>
            <w14:solidFill>
              <w14:schemeClr w14:val="tx1"/>
            </w14:solidFill>
          </w14:textFill>
        </w:rPr>
        <w:t>小时内油膜合计影响范围见图</w:t>
      </w:r>
      <w:r>
        <w:rPr>
          <w:rFonts w:hint="eastAsia"/>
          <w:color w:val="000000" w:themeColor="text1"/>
          <w:kern w:val="0"/>
          <w:u w:val="single"/>
          <w14:textFill>
            <w14:solidFill>
              <w14:schemeClr w14:val="tx1"/>
            </w14:solidFill>
          </w14:textFill>
        </w:rPr>
        <w:t>5.5.3</w:t>
      </w:r>
      <w:r>
        <w:rPr>
          <w:color w:val="000000" w:themeColor="text1"/>
          <w:u w:val="single"/>
          <w14:textFill>
            <w14:solidFill>
              <w14:schemeClr w14:val="tx1"/>
            </w14:solidFill>
          </w14:textFill>
        </w:rPr>
        <w:t>-9</w:t>
      </w:r>
      <w:r>
        <w:rPr>
          <w:rFonts w:hint="eastAsia"/>
          <w:color w:val="000000" w:themeColor="text1"/>
          <w:u w:val="single"/>
          <w14:textFill>
            <w14:solidFill>
              <w14:schemeClr w14:val="tx1"/>
            </w14:solidFill>
          </w14:textFill>
        </w:rPr>
        <w:t>，油膜运动趋势与环境敏感目标叠置如图</w:t>
      </w:r>
      <w:r>
        <w:rPr>
          <w:rFonts w:hint="eastAsia"/>
          <w:color w:val="000000" w:themeColor="text1"/>
          <w:kern w:val="0"/>
          <w:u w:val="single"/>
          <w14:textFill>
            <w14:solidFill>
              <w14:schemeClr w14:val="tx1"/>
            </w14:solidFill>
          </w14:textFill>
        </w:rPr>
        <w:t>5.5.3</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10</w:t>
      </w:r>
      <w:r>
        <w:rPr>
          <w:rFonts w:hint="eastAsia"/>
          <w:color w:val="000000" w:themeColor="text1"/>
          <w:u w:val="single"/>
          <w14:textFill>
            <w14:solidFill>
              <w14:schemeClr w14:val="tx1"/>
            </w14:solidFill>
          </w14:textFill>
        </w:rPr>
        <w:t>所示。</w:t>
      </w:r>
    </w:p>
    <w:p w14:paraId="5C3B5460">
      <w:pPr>
        <w:ind w:firstLine="480"/>
        <w:rPr>
          <w:color w:val="000000" w:themeColor="text1"/>
          <w:u w:val="single"/>
          <w14:textFill>
            <w14:solidFill>
              <w14:schemeClr w14:val="tx1"/>
            </w14:solidFill>
          </w14:textFill>
        </w:rPr>
      </w:pPr>
    </w:p>
    <w:p w14:paraId="2956DF0E">
      <w:pPr>
        <w:ind w:firstLine="480"/>
        <w:rPr>
          <w:color w:val="000000" w:themeColor="text1"/>
          <w14:textFill>
            <w14:solidFill>
              <w14:schemeClr w14:val="tx1"/>
            </w14:solidFill>
          </w14:textFill>
        </w:rPr>
      </w:pPr>
    </w:p>
    <w:p w14:paraId="6AA913F1">
      <w:pPr>
        <w:ind w:firstLine="480"/>
        <w:rPr>
          <w:color w:val="000000" w:themeColor="text1"/>
          <w14:textFill>
            <w14:solidFill>
              <w14:schemeClr w14:val="tx1"/>
            </w14:solidFill>
          </w14:textFill>
        </w:rPr>
      </w:pPr>
    </w:p>
    <w:p w14:paraId="5455A3A8">
      <w:pPr>
        <w:pStyle w:val="7"/>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 xml:space="preserve"> 不利风向NE条件下涨潮时溢油扫海面积</w:t>
      </w:r>
    </w:p>
    <w:tbl>
      <w:tblPr>
        <w:tblStyle w:val="43"/>
        <w:tblW w:w="490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438"/>
        <w:gridCol w:w="1184"/>
        <w:gridCol w:w="1184"/>
        <w:gridCol w:w="1185"/>
        <w:gridCol w:w="1184"/>
        <w:gridCol w:w="1185"/>
      </w:tblGrid>
      <w:tr w14:paraId="48C1BA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458" w:type="pct"/>
            <w:vMerge w:val="restart"/>
            <w:tcMar>
              <w:top w:w="57" w:type="dxa"/>
              <w:bottom w:w="57" w:type="dxa"/>
            </w:tcMar>
            <w:vAlign w:val="center"/>
          </w:tcPr>
          <w:p w14:paraId="51815869">
            <w:pPr>
              <w:spacing w:line="240" w:lineRule="atLeast"/>
              <w:ind w:firstLine="0" w:firstLineChars="0"/>
              <w:jc w:val="center"/>
              <w:rPr>
                <w:b/>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3542" w:type="pct"/>
            <w:gridSpan w:val="5"/>
            <w:tcMar>
              <w:top w:w="57" w:type="dxa"/>
              <w:bottom w:w="57" w:type="dxa"/>
            </w:tcMar>
            <w:vAlign w:val="center"/>
          </w:tcPr>
          <w:p w14:paraId="1CAAC972">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泄漏发生经历时间（小时）</w:t>
            </w:r>
          </w:p>
        </w:tc>
      </w:tr>
      <w:tr w14:paraId="3AC8B7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5" w:hRule="atLeast"/>
          <w:jc w:val="center"/>
        </w:trPr>
        <w:tc>
          <w:tcPr>
            <w:tcW w:w="1458" w:type="pct"/>
            <w:vMerge w:val="continue"/>
            <w:tcMar>
              <w:top w:w="57" w:type="dxa"/>
              <w:bottom w:w="57" w:type="dxa"/>
            </w:tcMar>
            <w:vAlign w:val="center"/>
          </w:tcPr>
          <w:p w14:paraId="36A3EA8D">
            <w:pPr>
              <w:spacing w:line="240" w:lineRule="atLeast"/>
              <w:ind w:firstLine="0" w:firstLineChars="0"/>
              <w:jc w:val="center"/>
              <w:rPr>
                <w:b/>
                <w:color w:val="000000" w:themeColor="text1"/>
                <w:sz w:val="21"/>
                <w:szCs w:val="21"/>
                <w14:textFill>
                  <w14:solidFill>
                    <w14:schemeClr w14:val="tx1"/>
                  </w14:solidFill>
                </w14:textFill>
              </w:rPr>
            </w:pPr>
          </w:p>
        </w:tc>
        <w:tc>
          <w:tcPr>
            <w:tcW w:w="708" w:type="pct"/>
            <w:tcMar>
              <w:top w:w="57" w:type="dxa"/>
              <w:bottom w:w="57" w:type="dxa"/>
            </w:tcMar>
            <w:vAlign w:val="center"/>
          </w:tcPr>
          <w:p w14:paraId="01E87448">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w:t>
            </w:r>
          </w:p>
        </w:tc>
        <w:tc>
          <w:tcPr>
            <w:tcW w:w="708" w:type="pct"/>
            <w:vAlign w:val="center"/>
          </w:tcPr>
          <w:p w14:paraId="2AFB54FE">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3</w:t>
            </w:r>
          </w:p>
        </w:tc>
        <w:tc>
          <w:tcPr>
            <w:tcW w:w="709" w:type="pct"/>
            <w:tcMar>
              <w:top w:w="57" w:type="dxa"/>
              <w:bottom w:w="57" w:type="dxa"/>
            </w:tcMar>
            <w:vAlign w:val="center"/>
          </w:tcPr>
          <w:p w14:paraId="53DA57A2">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6</w:t>
            </w:r>
          </w:p>
        </w:tc>
        <w:tc>
          <w:tcPr>
            <w:tcW w:w="708" w:type="pct"/>
            <w:vAlign w:val="center"/>
          </w:tcPr>
          <w:p w14:paraId="5758D57F">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10（登陆）</w:t>
            </w:r>
          </w:p>
        </w:tc>
        <w:tc>
          <w:tcPr>
            <w:tcW w:w="709" w:type="pct"/>
            <w:vAlign w:val="center"/>
          </w:tcPr>
          <w:p w14:paraId="5D6B05AA">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72</w:t>
            </w:r>
          </w:p>
        </w:tc>
      </w:tr>
      <w:tr w14:paraId="65CCE3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458" w:type="pct"/>
            <w:tcMar>
              <w:top w:w="57" w:type="dxa"/>
              <w:bottom w:w="57" w:type="dxa"/>
            </w:tcMar>
            <w:vAlign w:val="center"/>
          </w:tcPr>
          <w:p w14:paraId="47DD9BF8">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油膜扫海面积（km2）</w:t>
            </w:r>
          </w:p>
        </w:tc>
        <w:tc>
          <w:tcPr>
            <w:tcW w:w="708" w:type="pct"/>
            <w:tcMar>
              <w:top w:w="57" w:type="dxa"/>
              <w:bottom w:w="57" w:type="dxa"/>
            </w:tcMar>
            <w:vAlign w:val="center"/>
          </w:tcPr>
          <w:p w14:paraId="0D2D7F40">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0.21</w:t>
            </w:r>
            <w:r>
              <w:rPr>
                <w:color w:val="000000" w:themeColor="text1"/>
                <w:sz w:val="21"/>
                <w:szCs w:val="21"/>
                <w14:textFill>
                  <w14:solidFill>
                    <w14:schemeClr w14:val="tx1"/>
                  </w14:solidFill>
                </w14:textFill>
              </w:rPr>
              <w:t>8</w:t>
            </w:r>
          </w:p>
        </w:tc>
        <w:tc>
          <w:tcPr>
            <w:tcW w:w="708" w:type="pct"/>
            <w:vAlign w:val="center"/>
          </w:tcPr>
          <w:p w14:paraId="49CEDD71">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0.68</w:t>
            </w:r>
            <w:r>
              <w:rPr>
                <w:color w:val="000000" w:themeColor="text1"/>
                <w:sz w:val="21"/>
                <w:szCs w:val="21"/>
                <w14:textFill>
                  <w14:solidFill>
                    <w14:schemeClr w14:val="tx1"/>
                  </w14:solidFill>
                </w14:textFill>
              </w:rPr>
              <w:t>9</w:t>
            </w:r>
          </w:p>
        </w:tc>
        <w:tc>
          <w:tcPr>
            <w:tcW w:w="709" w:type="pct"/>
            <w:tcMar>
              <w:top w:w="57" w:type="dxa"/>
              <w:bottom w:w="57" w:type="dxa"/>
            </w:tcMar>
            <w:vAlign w:val="center"/>
          </w:tcPr>
          <w:p w14:paraId="5C1B3448">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1.7</w:t>
            </w:r>
            <w:r>
              <w:rPr>
                <w:color w:val="000000" w:themeColor="text1"/>
                <w:sz w:val="21"/>
                <w:szCs w:val="21"/>
                <w14:textFill>
                  <w14:solidFill>
                    <w14:schemeClr w14:val="tx1"/>
                  </w14:solidFill>
                </w14:textFill>
              </w:rPr>
              <w:t>46</w:t>
            </w:r>
          </w:p>
        </w:tc>
        <w:tc>
          <w:tcPr>
            <w:tcW w:w="708" w:type="pct"/>
            <w:vAlign w:val="center"/>
          </w:tcPr>
          <w:p w14:paraId="46F67BA8">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3.5</w:t>
            </w:r>
            <w:r>
              <w:rPr>
                <w:color w:val="000000" w:themeColor="text1"/>
                <w:sz w:val="21"/>
                <w:szCs w:val="21"/>
                <w14:textFill>
                  <w14:solidFill>
                    <w14:schemeClr w14:val="tx1"/>
                  </w14:solidFill>
                </w14:textFill>
              </w:rPr>
              <w:t>8</w:t>
            </w:r>
            <w:r>
              <w:rPr>
                <w:rFonts w:hint="eastAsia"/>
                <w:color w:val="000000" w:themeColor="text1"/>
                <w:sz w:val="21"/>
                <w:szCs w:val="21"/>
                <w14:textFill>
                  <w14:solidFill>
                    <w14:schemeClr w14:val="tx1"/>
                  </w14:solidFill>
                </w14:textFill>
              </w:rPr>
              <w:t>9</w:t>
            </w:r>
          </w:p>
        </w:tc>
        <w:tc>
          <w:tcPr>
            <w:tcW w:w="709" w:type="pct"/>
            <w:vAlign w:val="center"/>
          </w:tcPr>
          <w:p w14:paraId="3B8BEEDE">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3.592</w:t>
            </w:r>
          </w:p>
        </w:tc>
      </w:tr>
      <w:tr w14:paraId="4588B7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458" w:type="pct"/>
            <w:tcMar>
              <w:top w:w="57" w:type="dxa"/>
              <w:bottom w:w="57" w:type="dxa"/>
            </w:tcMar>
            <w:vAlign w:val="center"/>
          </w:tcPr>
          <w:p w14:paraId="486A1D27">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残油油膜平均厚度（m</w:t>
            </w:r>
            <w:r>
              <w:rPr>
                <w:color w:val="000000" w:themeColor="text1"/>
                <w:sz w:val="21"/>
                <w:szCs w:val="21"/>
                <w14:textFill>
                  <w14:solidFill>
                    <w14:schemeClr w14:val="tx1"/>
                  </w14:solidFill>
                </w14:textFill>
              </w:rPr>
              <w:t>m</w:t>
            </w:r>
            <w:r>
              <w:rPr>
                <w:rFonts w:hint="eastAsia"/>
                <w:color w:val="000000" w:themeColor="text1"/>
                <w:sz w:val="21"/>
                <w:szCs w:val="21"/>
                <w14:textFill>
                  <w14:solidFill>
                    <w14:schemeClr w14:val="tx1"/>
                  </w14:solidFill>
                </w14:textFill>
              </w:rPr>
              <w:t>）</w:t>
            </w:r>
          </w:p>
        </w:tc>
        <w:tc>
          <w:tcPr>
            <w:tcW w:w="708" w:type="pct"/>
            <w:tcMar>
              <w:top w:w="57" w:type="dxa"/>
              <w:bottom w:w="57" w:type="dxa"/>
            </w:tcMar>
            <w:vAlign w:val="center"/>
          </w:tcPr>
          <w:p w14:paraId="512B4FF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5829.53</w:t>
            </w:r>
          </w:p>
        </w:tc>
        <w:tc>
          <w:tcPr>
            <w:tcW w:w="708" w:type="pct"/>
            <w:vAlign w:val="center"/>
          </w:tcPr>
          <w:p w14:paraId="3AC52974">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4501.50</w:t>
            </w:r>
          </w:p>
        </w:tc>
        <w:tc>
          <w:tcPr>
            <w:tcW w:w="709" w:type="pct"/>
            <w:tcMar>
              <w:top w:w="57" w:type="dxa"/>
              <w:bottom w:w="57" w:type="dxa"/>
            </w:tcMar>
            <w:vAlign w:val="center"/>
          </w:tcPr>
          <w:p w14:paraId="4CE1906B">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2224.49</w:t>
            </w:r>
          </w:p>
        </w:tc>
        <w:tc>
          <w:tcPr>
            <w:tcW w:w="708" w:type="pct"/>
            <w:vAlign w:val="center"/>
          </w:tcPr>
          <w:p w14:paraId="2E76ECB0">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191.47</w:t>
            </w:r>
          </w:p>
        </w:tc>
        <w:tc>
          <w:tcPr>
            <w:tcW w:w="709" w:type="pct"/>
            <w:vAlign w:val="center"/>
          </w:tcPr>
          <w:p w14:paraId="60E9B47E">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191.22</w:t>
            </w:r>
          </w:p>
        </w:tc>
      </w:tr>
    </w:tbl>
    <w:p w14:paraId="5D17C05E">
      <w:pPr>
        <w:widowControl/>
        <w:ind w:firstLine="480"/>
        <w:jc w:val="center"/>
        <w:rPr>
          <w:rFonts w:ascii="宋体" w:hAnsi="宋体" w:cs="宋体"/>
          <w:color w:val="000000" w:themeColor="text1"/>
          <w:kern w:val="0"/>
          <w14:textFill>
            <w14:solidFill>
              <w14:schemeClr w14:val="tx1"/>
            </w14:solidFill>
          </w14:textFill>
        </w:rPr>
      </w:pPr>
      <w:r>
        <w:rPr>
          <w:rFonts w:ascii="宋体" w:hAnsi="宋体" w:cs="宋体"/>
          <w:color w:val="000000" w:themeColor="text1"/>
          <w:kern w:val="0"/>
          <w14:textFill>
            <w14:solidFill>
              <w14:schemeClr w14:val="tx1"/>
            </w14:solidFill>
          </w14:textFill>
        </w:rPr>
        <w:drawing>
          <wp:inline distT="0" distB="0" distL="0" distR="0">
            <wp:extent cx="3019425" cy="3771900"/>
            <wp:effectExtent l="0" t="0" r="9525" b="0"/>
            <wp:docPr id="249" name="图片 249" descr="G:\project\2022\jingujiang14-15#\yiyou\zhangne251128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G:\project\2022\jingujiang14-15#\yiyou\zhangne251128油.jpg"/>
                    <pic:cNvPicPr>
                      <a:picLocks noChangeAspect="1" noChangeArrowheads="1"/>
                    </pic:cNvPicPr>
                  </pic:nvPicPr>
                  <pic:blipFill>
                    <a:blip r:embed="rId240" cstate="print">
                      <a:extLst>
                        <a:ext uri="{28A0092B-C50C-407E-A947-70E740481C1C}">
                          <a14:useLocalDpi xmlns:a14="http://schemas.microsoft.com/office/drawing/2010/main" val="0"/>
                        </a:ext>
                      </a:extLst>
                    </a:blip>
                    <a:srcRect l="491" t="1345" r="3000" b="12008"/>
                    <a:stretch>
                      <a:fillRect/>
                    </a:stretch>
                  </pic:blipFill>
                  <pic:spPr>
                    <a:xfrm>
                      <a:off x="0" y="0"/>
                      <a:ext cx="3018971" cy="3771333"/>
                    </a:xfrm>
                    <a:prstGeom prst="rect">
                      <a:avLst/>
                    </a:prstGeom>
                    <a:noFill/>
                    <a:ln>
                      <a:noFill/>
                    </a:ln>
                  </pic:spPr>
                </pic:pic>
              </a:graphicData>
            </a:graphic>
          </wp:inline>
        </w:drawing>
      </w:r>
    </w:p>
    <w:p w14:paraId="11DCEDFF">
      <w:pPr>
        <w:widowControl/>
        <w:ind w:firstLine="482"/>
        <w:jc w:val="center"/>
        <w:rPr>
          <w:rFonts w:ascii="宋体" w:hAnsi="宋体" w:cs="宋体"/>
          <w:color w:val="000000" w:themeColor="text1"/>
          <w:kern w:val="0"/>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9</w:t>
      </w:r>
      <w:r>
        <w:rPr>
          <w:rFonts w:hint="eastAsia"/>
          <w:b/>
          <w:color w:val="000000" w:themeColor="text1"/>
          <w14:textFill>
            <w14:solidFill>
              <w14:schemeClr w14:val="tx1"/>
            </w14:solidFill>
          </w14:textFill>
        </w:rPr>
        <w:t xml:space="preserve"> 不利风向NE条件下涨潮时溢油油膜影响范围示意</w:t>
      </w:r>
    </w:p>
    <w:p w14:paraId="3D30CC1D">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3008630" cy="3959860"/>
            <wp:effectExtent l="0" t="0" r="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241"/>
                    <a:stretch>
                      <a:fillRect/>
                    </a:stretch>
                  </pic:blipFill>
                  <pic:spPr>
                    <a:xfrm>
                      <a:off x="0" y="0"/>
                      <a:ext cx="3008760" cy="3960000"/>
                    </a:xfrm>
                    <a:prstGeom prst="rect">
                      <a:avLst/>
                    </a:prstGeom>
                  </pic:spPr>
                </pic:pic>
              </a:graphicData>
            </a:graphic>
          </wp:inline>
        </w:drawing>
      </w:r>
    </w:p>
    <w:p w14:paraId="24F21ACE">
      <w:pPr>
        <w:ind w:firstLine="482"/>
        <w:jc w:val="center"/>
        <w:rPr>
          <w:rFonts w:ascii="宋体" w:hAnsi="宋体"/>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10</w:t>
      </w:r>
      <w:r>
        <w:rPr>
          <w:rFonts w:hint="eastAsia"/>
          <w:b/>
          <w:color w:val="000000" w:themeColor="text1"/>
          <w14:textFill>
            <w14:solidFill>
              <w14:schemeClr w14:val="tx1"/>
            </w14:solidFill>
          </w14:textFill>
        </w:rPr>
        <w:t xml:space="preserve"> 不利风向NE条件下涨潮时溢油油膜运动轨迹（叠加敏感目标）</w:t>
      </w:r>
    </w:p>
    <w:p w14:paraId="2146D029">
      <w:pPr>
        <w:ind w:firstLine="480"/>
        <w:rPr>
          <w:rFonts w:hAnsi="宋体"/>
          <w:color w:val="000000" w:themeColor="text1"/>
          <w14:textFill>
            <w14:solidFill>
              <w14:schemeClr w14:val="tx1"/>
            </w14:solidFill>
          </w14:textFill>
        </w:rPr>
      </w:pPr>
      <w:r>
        <w:rPr>
          <w:rFonts w:hint="eastAsia" w:hAnsi="宋体"/>
          <w:color w:val="000000" w:themeColor="text1"/>
          <w14:textFill>
            <w14:solidFill>
              <w14:schemeClr w14:val="tx1"/>
            </w14:solidFill>
          </w14:textFill>
        </w:rPr>
        <w:t>（6）不利风向NE，大潮落潮</w:t>
      </w:r>
    </w:p>
    <w:p w14:paraId="7A42A293">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大潮落潮时，溢油油膜沿着西南向运动，12小时油膜主流达到钦州湾口三墩西南海域；12-24时在涨潮流及NE风作用下，油膜主流沿着西向运动再转为北向，油膜在钦州湾口海域徘徊（另一部油膜则向茅尾海运动，并逐渐污染龙门岛周边海域）；此后，在落潮流携带下，油膜重新转为偏南向运动，</w:t>
      </w:r>
      <w:r>
        <w:rPr>
          <w:color w:val="000000" w:themeColor="text1"/>
          <w:u w:val="single"/>
          <w14:textFill>
            <w14:solidFill>
              <w14:schemeClr w14:val="tx1"/>
            </w14:solidFill>
          </w14:textFill>
        </w:rPr>
        <w:t>30</w:t>
      </w:r>
      <w:r>
        <w:rPr>
          <w:rFonts w:hint="eastAsia"/>
          <w:color w:val="000000" w:themeColor="text1"/>
          <w:u w:val="single"/>
          <w14:textFill>
            <w14:solidFill>
              <w14:schemeClr w14:val="tx1"/>
            </w14:solidFill>
          </w14:textFill>
        </w:rPr>
        <w:t>时左右油膜主流进入北部湾二长棘鲷长毛对虾国家级种质资源保护区（实验区），并持续在该保护区的实验区运动。</w:t>
      </w:r>
      <w:r>
        <w:rPr>
          <w:color w:val="000000" w:themeColor="text1"/>
          <w:u w:val="single"/>
          <w14:textFill>
            <w14:solidFill>
              <w14:schemeClr w14:val="tx1"/>
            </w14:solidFill>
          </w14:textFill>
        </w:rPr>
        <w:t>24</w:t>
      </w:r>
      <w:r>
        <w:rPr>
          <w:rFonts w:hint="eastAsia"/>
          <w:color w:val="000000" w:themeColor="text1"/>
          <w:u w:val="single"/>
          <w14:textFill>
            <w14:solidFill>
              <w14:schemeClr w14:val="tx1"/>
            </w14:solidFill>
          </w14:textFill>
        </w:rPr>
        <w:t>-48时，油膜向南运动至距离计算区域外海开边界</w:t>
      </w:r>
      <w:r>
        <w:rPr>
          <w:color w:val="000000" w:themeColor="text1"/>
          <w:u w:val="single"/>
          <w14:textFill>
            <w14:solidFill>
              <w14:schemeClr w14:val="tx1"/>
            </w14:solidFill>
          </w14:textFill>
        </w:rPr>
        <w:t>16</w:t>
      </w:r>
      <w:r>
        <w:rPr>
          <w:rFonts w:hint="eastAsia"/>
          <w:color w:val="000000" w:themeColor="text1"/>
          <w:u w:val="single"/>
          <w14:textFill>
            <w14:solidFill>
              <w14:schemeClr w14:val="tx1"/>
            </w14:solidFill>
          </w14:textFill>
        </w:rPr>
        <w:t>km附近海域，48时后在落潮流作用下，油膜沿南向飘向外海，</w:t>
      </w:r>
      <w:r>
        <w:rPr>
          <w:color w:val="000000" w:themeColor="text1"/>
          <w:u w:val="single"/>
          <w14:textFill>
            <w14:solidFill>
              <w14:schemeClr w14:val="tx1"/>
            </w14:solidFill>
          </w14:textFill>
        </w:rPr>
        <w:t>7</w:t>
      </w:r>
      <w:r>
        <w:rPr>
          <w:rFonts w:hint="eastAsia"/>
          <w:color w:val="000000" w:themeColor="text1"/>
          <w:u w:val="single"/>
          <w14:textFill>
            <w14:solidFill>
              <w14:schemeClr w14:val="tx1"/>
            </w14:solidFill>
          </w14:textFill>
        </w:rPr>
        <w:t>2时后油膜到达外海开边界附近并折向西运动，因溢油量较大，此时残油油膜平均厚度仍有</w:t>
      </w:r>
      <w:r>
        <w:rPr>
          <w:color w:val="000000" w:themeColor="text1"/>
          <w:u w:val="single"/>
          <w14:textFill>
            <w14:solidFill>
              <w14:schemeClr w14:val="tx1"/>
            </w14:solidFill>
          </w14:textFill>
        </w:rPr>
        <w:t>25.36mm</w:t>
      </w:r>
      <w:r>
        <w:rPr>
          <w:rFonts w:hint="eastAsia"/>
          <w:color w:val="000000" w:themeColor="text1"/>
          <w:u w:val="single"/>
          <w14:textFill>
            <w14:solidFill>
              <w14:schemeClr w14:val="tx1"/>
            </w14:solidFill>
          </w14:textFill>
        </w:rPr>
        <w:t>，此后在NE风及潮流的携带下继续向外海运动。溢油发生</w:t>
      </w:r>
      <w:r>
        <w:rPr>
          <w:color w:val="000000" w:themeColor="text1"/>
          <w:u w:val="single"/>
          <w14:textFill>
            <w14:solidFill>
              <w14:schemeClr w14:val="tx1"/>
            </w14:solidFill>
          </w14:textFill>
        </w:rPr>
        <w:t>7</w:t>
      </w:r>
      <w:r>
        <w:rPr>
          <w:rFonts w:hint="eastAsia"/>
          <w:color w:val="000000" w:themeColor="text1"/>
          <w:u w:val="single"/>
          <w14:textFill>
            <w14:solidFill>
              <w14:schemeClr w14:val="tx1"/>
            </w14:solidFill>
          </w14:textFill>
        </w:rPr>
        <w:t>2小时内油膜扫海面积及残油油膜平均厚度见表5.5-</w:t>
      </w:r>
      <w:r>
        <w:rPr>
          <w:color w:val="000000" w:themeColor="text1"/>
          <w:u w:val="single"/>
          <w14:textFill>
            <w14:solidFill>
              <w14:schemeClr w14:val="tx1"/>
            </w14:solidFill>
          </w14:textFill>
        </w:rPr>
        <w:t>8</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7</w:t>
      </w:r>
      <w:r>
        <w:rPr>
          <w:rFonts w:hint="eastAsia"/>
          <w:color w:val="000000" w:themeColor="text1"/>
          <w:u w:val="single"/>
          <w14:textFill>
            <w14:solidFill>
              <w14:schemeClr w14:val="tx1"/>
            </w14:solidFill>
          </w14:textFill>
        </w:rPr>
        <w:t>2小时内油膜合计影响范围见图</w:t>
      </w:r>
      <w:r>
        <w:rPr>
          <w:rFonts w:hint="eastAsia"/>
          <w:color w:val="000000" w:themeColor="text1"/>
          <w:kern w:val="0"/>
          <w:u w:val="single"/>
          <w14:textFill>
            <w14:solidFill>
              <w14:schemeClr w14:val="tx1"/>
            </w14:solidFill>
          </w14:textFill>
        </w:rPr>
        <w:t>5.5.3</w:t>
      </w:r>
      <w:r>
        <w:rPr>
          <w:color w:val="000000" w:themeColor="text1"/>
          <w:u w:val="single"/>
          <w14:textFill>
            <w14:solidFill>
              <w14:schemeClr w14:val="tx1"/>
            </w14:solidFill>
          </w14:textFill>
        </w:rPr>
        <w:t>-11</w:t>
      </w:r>
      <w:r>
        <w:rPr>
          <w:rFonts w:hint="eastAsia"/>
          <w:color w:val="000000" w:themeColor="text1"/>
          <w:u w:val="single"/>
          <w14:textFill>
            <w14:solidFill>
              <w14:schemeClr w14:val="tx1"/>
            </w14:solidFill>
          </w14:textFill>
        </w:rPr>
        <w:t>，油膜运动趋势与环境敏感目标叠置如图</w:t>
      </w:r>
      <w:r>
        <w:rPr>
          <w:rFonts w:hint="eastAsia"/>
          <w:color w:val="000000" w:themeColor="text1"/>
          <w:kern w:val="0"/>
          <w:u w:val="single"/>
          <w14:textFill>
            <w14:solidFill>
              <w14:schemeClr w14:val="tx1"/>
            </w14:solidFill>
          </w14:textFill>
        </w:rPr>
        <w:t>5.5.3</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12</w:t>
      </w:r>
      <w:r>
        <w:rPr>
          <w:rFonts w:hint="eastAsia"/>
          <w:color w:val="000000" w:themeColor="text1"/>
          <w:u w:val="single"/>
          <w14:textFill>
            <w14:solidFill>
              <w14:schemeClr w14:val="tx1"/>
            </w14:solidFill>
          </w14:textFill>
        </w:rPr>
        <w:t>所示。</w:t>
      </w:r>
    </w:p>
    <w:p w14:paraId="45377351">
      <w:pPr>
        <w:pStyle w:val="13"/>
        <w:rPr>
          <w:color w:val="000000" w:themeColor="text1"/>
          <w:u w:val="single"/>
          <w14:textFill>
            <w14:solidFill>
              <w14:schemeClr w14:val="tx1"/>
            </w14:solidFill>
          </w14:textFill>
        </w:rPr>
      </w:pPr>
    </w:p>
    <w:p w14:paraId="7C85B678">
      <w:pPr>
        <w:pStyle w:val="7"/>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 xml:space="preserve"> 不利风向NE条件下落潮时溢油扫海面积</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83"/>
        <w:gridCol w:w="1387"/>
        <w:gridCol w:w="1387"/>
        <w:gridCol w:w="1387"/>
        <w:gridCol w:w="1388"/>
        <w:gridCol w:w="1390"/>
      </w:tblGrid>
      <w:tr w14:paraId="0BC7B1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929" w:type="pct"/>
            <w:vMerge w:val="restart"/>
            <w:tcMar>
              <w:top w:w="57" w:type="dxa"/>
              <w:bottom w:w="57" w:type="dxa"/>
            </w:tcMar>
            <w:vAlign w:val="center"/>
          </w:tcPr>
          <w:p w14:paraId="2DBCCF2B">
            <w:pPr>
              <w:spacing w:line="240" w:lineRule="atLeast"/>
              <w:ind w:firstLine="0" w:firstLineChars="0"/>
              <w:jc w:val="center"/>
              <w:rPr>
                <w:b/>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4071" w:type="pct"/>
            <w:gridSpan w:val="5"/>
            <w:tcMar>
              <w:top w:w="57" w:type="dxa"/>
              <w:bottom w:w="57" w:type="dxa"/>
            </w:tcMar>
            <w:vAlign w:val="center"/>
          </w:tcPr>
          <w:p w14:paraId="1E2D4B4E">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泄漏发生经历时间（小时）</w:t>
            </w:r>
          </w:p>
        </w:tc>
      </w:tr>
      <w:tr w14:paraId="65508D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 w:hRule="atLeast"/>
          <w:jc w:val="center"/>
        </w:trPr>
        <w:tc>
          <w:tcPr>
            <w:tcW w:w="929" w:type="pct"/>
            <w:vMerge w:val="continue"/>
            <w:tcMar>
              <w:top w:w="57" w:type="dxa"/>
              <w:bottom w:w="57" w:type="dxa"/>
            </w:tcMar>
            <w:vAlign w:val="center"/>
          </w:tcPr>
          <w:p w14:paraId="018FEDAE">
            <w:pPr>
              <w:spacing w:line="240" w:lineRule="atLeast"/>
              <w:ind w:firstLine="0" w:firstLineChars="0"/>
              <w:jc w:val="center"/>
              <w:rPr>
                <w:b/>
                <w:color w:val="000000" w:themeColor="text1"/>
                <w:sz w:val="21"/>
                <w:szCs w:val="21"/>
                <w14:textFill>
                  <w14:solidFill>
                    <w14:schemeClr w14:val="tx1"/>
                  </w14:solidFill>
                </w14:textFill>
              </w:rPr>
            </w:pPr>
          </w:p>
        </w:tc>
        <w:tc>
          <w:tcPr>
            <w:tcW w:w="814" w:type="pct"/>
            <w:tcMar>
              <w:top w:w="57" w:type="dxa"/>
              <w:bottom w:w="57" w:type="dxa"/>
            </w:tcMar>
            <w:vAlign w:val="center"/>
          </w:tcPr>
          <w:p w14:paraId="1EE86DBD">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w:t>
            </w:r>
          </w:p>
        </w:tc>
        <w:tc>
          <w:tcPr>
            <w:tcW w:w="814" w:type="pct"/>
            <w:vAlign w:val="center"/>
          </w:tcPr>
          <w:p w14:paraId="4982A4D8">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12</w:t>
            </w:r>
          </w:p>
        </w:tc>
        <w:tc>
          <w:tcPr>
            <w:tcW w:w="814" w:type="pct"/>
            <w:tcMar>
              <w:top w:w="57" w:type="dxa"/>
              <w:bottom w:w="57" w:type="dxa"/>
            </w:tcMar>
            <w:vAlign w:val="center"/>
          </w:tcPr>
          <w:p w14:paraId="76862669">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24</w:t>
            </w:r>
          </w:p>
        </w:tc>
        <w:tc>
          <w:tcPr>
            <w:tcW w:w="814" w:type="pct"/>
            <w:tcMar>
              <w:top w:w="57" w:type="dxa"/>
              <w:bottom w:w="57" w:type="dxa"/>
            </w:tcMar>
            <w:vAlign w:val="center"/>
          </w:tcPr>
          <w:p w14:paraId="6BA19707">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48</w:t>
            </w:r>
          </w:p>
        </w:tc>
        <w:tc>
          <w:tcPr>
            <w:tcW w:w="815" w:type="pct"/>
            <w:vAlign w:val="center"/>
          </w:tcPr>
          <w:p w14:paraId="1476E41B">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7</w:t>
            </w:r>
            <w:r>
              <w:rPr>
                <w:rFonts w:hint="eastAsia"/>
                <w:b/>
                <w:color w:val="000000" w:themeColor="text1"/>
                <w:sz w:val="21"/>
                <w:szCs w:val="21"/>
                <w14:textFill>
                  <w14:solidFill>
                    <w14:schemeClr w14:val="tx1"/>
                  </w14:solidFill>
                </w14:textFill>
              </w:rPr>
              <w:t>2</w:t>
            </w:r>
          </w:p>
        </w:tc>
      </w:tr>
      <w:tr w14:paraId="2599F7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49532312">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油膜扫海面积（km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7A702B00">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0.29</w:t>
            </w:r>
            <w:r>
              <w:rPr>
                <w:color w:val="000000" w:themeColor="text1"/>
                <w:sz w:val="21"/>
                <w:szCs w:val="21"/>
                <w14:textFill>
                  <w14:solidFill>
                    <w14:schemeClr w14:val="tx1"/>
                  </w14:solidFill>
                </w14:textFill>
              </w:rPr>
              <w:t>9</w:t>
            </w:r>
          </w:p>
        </w:tc>
        <w:tc>
          <w:tcPr>
            <w:tcW w:w="814" w:type="pct"/>
            <w:vAlign w:val="center"/>
          </w:tcPr>
          <w:p w14:paraId="685A550E">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17.5</w:t>
            </w:r>
            <w:r>
              <w:rPr>
                <w:color w:val="000000" w:themeColor="text1"/>
                <w:sz w:val="21"/>
                <w:szCs w:val="21"/>
                <w14:textFill>
                  <w14:solidFill>
                    <w14:schemeClr w14:val="tx1"/>
                  </w14:solidFill>
                </w14:textFill>
              </w:rPr>
              <w:t>94</w:t>
            </w:r>
          </w:p>
        </w:tc>
        <w:tc>
          <w:tcPr>
            <w:tcW w:w="814" w:type="pct"/>
            <w:tcMar>
              <w:top w:w="57" w:type="dxa"/>
              <w:bottom w:w="57" w:type="dxa"/>
            </w:tcMar>
            <w:vAlign w:val="center"/>
          </w:tcPr>
          <w:p w14:paraId="76AA1996">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r>
              <w:rPr>
                <w:color w:val="000000" w:themeColor="text1"/>
                <w:sz w:val="21"/>
                <w:szCs w:val="21"/>
                <w14:textFill>
                  <w14:solidFill>
                    <w14:schemeClr w14:val="tx1"/>
                  </w14:solidFill>
                </w14:textFill>
              </w:rPr>
              <w:t>7</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526</w:t>
            </w:r>
          </w:p>
        </w:tc>
        <w:tc>
          <w:tcPr>
            <w:tcW w:w="814" w:type="pct"/>
            <w:tcMar>
              <w:top w:w="57" w:type="dxa"/>
              <w:bottom w:w="57" w:type="dxa"/>
            </w:tcMar>
            <w:vAlign w:val="center"/>
          </w:tcPr>
          <w:p w14:paraId="2BD19708">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26</w:t>
            </w:r>
            <w:r>
              <w:rPr>
                <w:color w:val="000000" w:themeColor="text1"/>
                <w:sz w:val="21"/>
                <w:szCs w:val="21"/>
                <w14:textFill>
                  <w14:solidFill>
                    <w14:schemeClr w14:val="tx1"/>
                  </w14:solidFill>
                </w14:textFill>
              </w:rPr>
              <w:t>8</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159</w:t>
            </w:r>
          </w:p>
        </w:tc>
        <w:tc>
          <w:tcPr>
            <w:tcW w:w="815" w:type="pct"/>
            <w:vAlign w:val="center"/>
          </w:tcPr>
          <w:p w14:paraId="32938EC3">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463.663</w:t>
            </w:r>
          </w:p>
        </w:tc>
      </w:tr>
      <w:tr w14:paraId="7251A3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542165DE">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残油油膜平均厚度（m</w:t>
            </w:r>
            <w:r>
              <w:rPr>
                <w:color w:val="000000" w:themeColor="text1"/>
                <w:sz w:val="21"/>
                <w:szCs w:val="21"/>
                <w14:textFill>
                  <w14:solidFill>
                    <w14:schemeClr w14:val="tx1"/>
                  </w14:solidFill>
                </w14:textFill>
              </w:rPr>
              <w:t>m</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6959BB85">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4675.74</w:t>
            </w:r>
          </w:p>
        </w:tc>
        <w:tc>
          <w:tcPr>
            <w:tcW w:w="814" w:type="pct"/>
            <w:vAlign w:val="center"/>
          </w:tcPr>
          <w:p w14:paraId="52A91715">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313.20</w:t>
            </w:r>
          </w:p>
        </w:tc>
        <w:tc>
          <w:tcPr>
            <w:tcW w:w="814" w:type="pct"/>
            <w:tcMar>
              <w:top w:w="57" w:type="dxa"/>
              <w:bottom w:w="57" w:type="dxa"/>
            </w:tcMar>
            <w:vAlign w:val="center"/>
          </w:tcPr>
          <w:p w14:paraId="3A13A5A5">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118.42</w:t>
            </w:r>
          </w:p>
        </w:tc>
        <w:tc>
          <w:tcPr>
            <w:tcW w:w="814" w:type="pct"/>
            <w:tcMar>
              <w:top w:w="57" w:type="dxa"/>
              <w:bottom w:w="57" w:type="dxa"/>
            </w:tcMar>
            <w:vAlign w:val="center"/>
          </w:tcPr>
          <w:p w14:paraId="2B3AC6B8">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58.49</w:t>
            </w:r>
          </w:p>
        </w:tc>
        <w:tc>
          <w:tcPr>
            <w:tcW w:w="815" w:type="pct"/>
            <w:vAlign w:val="center"/>
          </w:tcPr>
          <w:p w14:paraId="05CD631C">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25.18</w:t>
            </w:r>
          </w:p>
        </w:tc>
      </w:tr>
    </w:tbl>
    <w:p w14:paraId="19F8F084">
      <w:pPr>
        <w:ind w:firstLine="482"/>
        <w:jc w:val="center"/>
        <w:rPr>
          <w:rFonts w:ascii="宋体" w:hAnsi="宋体"/>
          <w:b/>
          <w:color w:val="000000" w:themeColor="text1"/>
          <w14:textFill>
            <w14:solidFill>
              <w14:schemeClr w14:val="tx1"/>
            </w14:solidFill>
          </w14:textFill>
        </w:rPr>
      </w:pPr>
      <w:r>
        <w:rPr>
          <w:rFonts w:ascii="宋体" w:hAnsi="宋体"/>
          <w:b/>
          <w:color w:val="000000" w:themeColor="text1"/>
          <w14:textFill>
            <w14:solidFill>
              <w14:schemeClr w14:val="tx1"/>
            </w14:solidFill>
          </w14:textFill>
        </w:rPr>
        <w:drawing>
          <wp:inline distT="0" distB="0" distL="0" distR="0">
            <wp:extent cx="3009265" cy="3959860"/>
            <wp:effectExtent l="0" t="0" r="0" b="0"/>
            <wp:docPr id="251" name="图片 251" descr="G:\project\2022\jingujiang14-15#\yiyou\luone251128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G:\project\2022\jingujiang14-15#\yiyou\luone251128油.jpg"/>
                    <pic:cNvPicPr>
                      <a:picLocks noChangeAspect="1" noChangeArrowheads="1"/>
                    </pic:cNvPicPr>
                  </pic:nvPicPr>
                  <pic:blipFill>
                    <a:blip r:embed="rId242" cstate="print">
                      <a:extLst>
                        <a:ext uri="{28A0092B-C50C-407E-A947-70E740481C1C}">
                          <a14:useLocalDpi xmlns:a14="http://schemas.microsoft.com/office/drawing/2010/main" val="0"/>
                        </a:ext>
                      </a:extLst>
                    </a:blip>
                    <a:srcRect l="490" t="1231" r="3176" b="12007"/>
                    <a:stretch>
                      <a:fillRect/>
                    </a:stretch>
                  </pic:blipFill>
                  <pic:spPr>
                    <a:xfrm>
                      <a:off x="0" y="0"/>
                      <a:ext cx="3009501" cy="3960000"/>
                    </a:xfrm>
                    <a:prstGeom prst="rect">
                      <a:avLst/>
                    </a:prstGeom>
                    <a:noFill/>
                    <a:ln>
                      <a:noFill/>
                    </a:ln>
                  </pic:spPr>
                </pic:pic>
              </a:graphicData>
            </a:graphic>
          </wp:inline>
        </w:drawing>
      </w:r>
    </w:p>
    <w:p w14:paraId="232734E9">
      <w:pPr>
        <w:ind w:firstLine="482"/>
        <w:jc w:val="center"/>
        <w:rPr>
          <w:rFonts w:ascii="宋体" w:hAnsi="宋体"/>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11</w:t>
      </w:r>
      <w:r>
        <w:rPr>
          <w:rFonts w:hint="eastAsia"/>
          <w:b/>
          <w:color w:val="000000" w:themeColor="text1"/>
          <w14:textFill>
            <w14:solidFill>
              <w14:schemeClr w14:val="tx1"/>
            </w14:solidFill>
          </w14:textFill>
        </w:rPr>
        <w:t xml:space="preserve"> 不利风向NE条件下落潮时溢油油膜影响范围示意</w:t>
      </w:r>
    </w:p>
    <w:p w14:paraId="33ED6770">
      <w:pPr>
        <w:ind w:firstLine="480"/>
        <w:jc w:val="center"/>
        <w:rPr>
          <w:rFonts w:ascii="宋体" w:hAnsi="宋体"/>
          <w:b/>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013710" cy="3959860"/>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243"/>
                    <a:stretch>
                      <a:fillRect/>
                    </a:stretch>
                  </pic:blipFill>
                  <pic:spPr>
                    <a:xfrm>
                      <a:off x="0" y="0"/>
                      <a:ext cx="3014274" cy="3960000"/>
                    </a:xfrm>
                    <a:prstGeom prst="rect">
                      <a:avLst/>
                    </a:prstGeom>
                  </pic:spPr>
                </pic:pic>
              </a:graphicData>
            </a:graphic>
          </wp:inline>
        </w:drawing>
      </w:r>
    </w:p>
    <w:p w14:paraId="3612729C">
      <w:pPr>
        <w:ind w:firstLine="482"/>
        <w:jc w:val="center"/>
        <w:rPr>
          <w:rFonts w:ascii="宋体" w:hAnsi="宋体"/>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ascii="宋体" w:hAnsi="宋体"/>
          <w:b/>
          <w:color w:val="000000" w:themeColor="text1"/>
          <w14:textFill>
            <w14:solidFill>
              <w14:schemeClr w14:val="tx1"/>
            </w14:solidFill>
          </w14:textFill>
        </w:rPr>
        <w:t>-</w:t>
      </w:r>
      <w:r>
        <w:rPr>
          <w:rFonts w:ascii="宋体" w:hAnsi="宋体"/>
          <w:b/>
          <w:color w:val="000000" w:themeColor="text1"/>
          <w14:textFill>
            <w14:solidFill>
              <w14:schemeClr w14:val="tx1"/>
            </w14:solidFill>
          </w14:textFill>
        </w:rPr>
        <w:t>12</w:t>
      </w:r>
      <w:r>
        <w:rPr>
          <w:rFonts w:hint="eastAsia" w:ascii="宋体" w:hAnsi="宋体"/>
          <w:b/>
          <w:color w:val="000000" w:themeColor="text1"/>
          <w14:textFill>
            <w14:solidFill>
              <w14:schemeClr w14:val="tx1"/>
            </w14:solidFill>
          </w14:textFill>
        </w:rPr>
        <w:t xml:space="preserve"> 不利风向NE条件下落潮时溢油油膜运动轨迹</w:t>
      </w:r>
      <w:r>
        <w:rPr>
          <w:rFonts w:hint="eastAsia"/>
          <w:b/>
          <w:color w:val="000000" w:themeColor="text1"/>
          <w14:textFill>
            <w14:solidFill>
              <w14:schemeClr w14:val="tx1"/>
            </w14:solidFill>
          </w14:textFill>
        </w:rPr>
        <w:t>（叠加敏感目标）</w:t>
      </w:r>
    </w:p>
    <w:p w14:paraId="59F57549">
      <w:pPr>
        <w:pStyle w:val="6"/>
        <w:ind w:left="0"/>
        <w:rPr>
          <w:color w:val="000000" w:themeColor="text1"/>
          <w14:textFill>
            <w14:solidFill>
              <w14:schemeClr w14:val="tx1"/>
            </w14:solidFill>
          </w14:textFill>
        </w:rPr>
      </w:pPr>
      <w:r>
        <w:rPr>
          <w:rFonts w:hint="eastAsia"/>
          <w:color w:val="000000" w:themeColor="text1"/>
          <w14:textFill>
            <w14:solidFill>
              <w14:schemeClr w14:val="tx1"/>
            </w14:solidFill>
          </w14:textFill>
        </w:rPr>
        <w:t>不可溶化学品</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扩散基本原理</w:t>
      </w:r>
    </w:p>
    <w:p w14:paraId="676638BD">
      <w:pPr>
        <w:ind w:firstLine="480"/>
        <w:rPr>
          <w:color w:val="000000" w:themeColor="text1"/>
          <w:u w:val="single"/>
          <w14:textFill>
            <w14:solidFill>
              <w14:schemeClr w14:val="tx1"/>
            </w14:solidFill>
          </w14:textFill>
        </w:rPr>
      </w:pPr>
      <w:r>
        <w:rPr>
          <w:rFonts w:ascii="宋体" w:hAnsi="宋体"/>
          <w:color w:val="000000" w:themeColor="text1"/>
          <w:u w:val="single"/>
          <w14:textFill>
            <w14:solidFill>
              <w14:schemeClr w14:val="tx1"/>
            </w14:solidFill>
          </w14:textFill>
        </w:rPr>
        <w:t>本项目不可溶性化学品代表物质为苯乙烯</w:t>
      </w:r>
      <w:r>
        <w:rPr>
          <w:rFonts w:hint="eastAsia" w:ascii="宋体" w:hAnsi="宋体"/>
          <w:color w:val="000000" w:themeColor="text1"/>
          <w:u w:val="single"/>
          <w14:textFill>
            <w14:solidFill>
              <w14:schemeClr w14:val="tx1"/>
            </w14:solidFill>
          </w14:textFill>
        </w:rPr>
        <w:t>，其密度比水小、难溶于水，在水体中的物理性质与油类物质型类似，因此其</w:t>
      </w:r>
      <w:r>
        <w:rPr>
          <w:rFonts w:ascii="宋体" w:hAnsi="宋体"/>
          <w:color w:val="000000" w:themeColor="text1"/>
          <w:u w:val="single"/>
          <w14:textFill>
            <w14:solidFill>
              <w14:schemeClr w14:val="tx1"/>
            </w14:solidFill>
          </w14:textFill>
        </w:rPr>
        <w:t>预测模式可采用</w:t>
      </w:r>
      <w:r>
        <w:rPr>
          <w:rFonts w:hint="eastAsia" w:ascii="宋体" w:hAnsi="宋体"/>
          <w:color w:val="000000" w:themeColor="text1"/>
          <w:u w:val="single"/>
          <w14:textFill>
            <w14:solidFill>
              <w14:schemeClr w14:val="tx1"/>
            </w14:solidFill>
          </w14:textFill>
        </w:rPr>
        <w:t>溢油</w:t>
      </w:r>
      <w:r>
        <w:rPr>
          <w:rFonts w:ascii="宋体" w:hAnsi="宋体"/>
          <w:color w:val="000000" w:themeColor="text1"/>
          <w:u w:val="single"/>
          <w14:textFill>
            <w14:solidFill>
              <w14:schemeClr w14:val="tx1"/>
            </w14:solidFill>
          </w14:textFill>
        </w:rPr>
        <w:t>泄漏的扩散模式，</w:t>
      </w:r>
      <w:r>
        <w:rPr>
          <w:rFonts w:hint="eastAsia" w:ascii="宋体" w:hAnsi="宋体"/>
          <w:color w:val="000000" w:themeColor="text1"/>
          <w:u w:val="single"/>
          <w14:textFill>
            <w14:solidFill>
              <w14:schemeClr w14:val="tx1"/>
            </w14:solidFill>
          </w14:textFill>
        </w:rPr>
        <w:t>通过</w:t>
      </w:r>
      <w:r>
        <w:rPr>
          <w:rFonts w:ascii="宋体" w:hAnsi="宋体"/>
          <w:color w:val="000000" w:themeColor="text1"/>
          <w:u w:val="single"/>
          <w14:textFill>
            <w14:solidFill>
              <w14:schemeClr w14:val="tx1"/>
            </w14:solidFill>
          </w14:textFill>
        </w:rPr>
        <w:t>采用粒子追踪模型预测苯乙烯的漂移扩散对海洋环境的影响</w:t>
      </w:r>
      <w:r>
        <w:rPr>
          <w:rFonts w:hint="eastAsia" w:ascii="宋体" w:hAnsi="宋体"/>
          <w:color w:val="000000" w:themeColor="text1"/>
          <w:u w:val="single"/>
          <w14:textFill>
            <w14:solidFill>
              <w14:schemeClr w14:val="tx1"/>
            </w14:solidFill>
          </w14:textFill>
        </w:rPr>
        <w:t>，</w:t>
      </w:r>
      <w:r>
        <w:rPr>
          <w:rFonts w:ascii="宋体" w:hAnsi="宋体"/>
          <w:color w:val="000000" w:themeColor="text1"/>
          <w:u w:val="single"/>
          <w14:textFill>
            <w14:solidFill>
              <w14:schemeClr w14:val="tx1"/>
            </w14:solidFill>
          </w14:textFill>
        </w:rPr>
        <w:t>基本原理可参考本报告溢油模型的介绍</w:t>
      </w:r>
      <w:r>
        <w:rPr>
          <w:rFonts w:hint="eastAsia" w:ascii="宋体" w:hAnsi="宋体"/>
          <w:color w:val="000000" w:themeColor="text1"/>
          <w:u w:val="single"/>
          <w14:textFill>
            <w14:solidFill>
              <w14:schemeClr w14:val="tx1"/>
            </w14:solidFill>
          </w14:textFill>
        </w:rPr>
        <w:t>，</w:t>
      </w:r>
      <w:r>
        <w:rPr>
          <w:rFonts w:ascii="宋体" w:hAnsi="宋体"/>
          <w:color w:val="000000" w:themeColor="text1"/>
          <w:u w:val="single"/>
          <w14:textFill>
            <w14:solidFill>
              <w14:schemeClr w14:val="tx1"/>
            </w14:solidFill>
          </w14:textFill>
        </w:rPr>
        <w:t>不再赘述</w:t>
      </w:r>
      <w:r>
        <w:rPr>
          <w:rFonts w:hint="eastAsia" w:ascii="宋体" w:hAnsi="宋体"/>
          <w:color w:val="000000" w:themeColor="text1"/>
          <w:u w:val="single"/>
          <w14:textFill>
            <w14:solidFill>
              <w14:schemeClr w14:val="tx1"/>
            </w14:solidFill>
          </w14:textFill>
        </w:rPr>
        <w:t>。</w:t>
      </w:r>
    </w:p>
    <w:p w14:paraId="2A9D6ED6">
      <w:pPr>
        <w:pStyle w:val="6"/>
        <w:ind w:left="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不可溶化学品苯乙烯的源强</w:t>
      </w:r>
    </w:p>
    <w:p w14:paraId="2255853F">
      <w:pPr>
        <w:ind w:firstLine="480"/>
        <w:rPr>
          <w:bCs/>
          <w:color w:val="000000" w:themeColor="text1"/>
          <w:u w:val="single"/>
          <w14:textFill>
            <w14:solidFill>
              <w14:schemeClr w14:val="tx1"/>
            </w14:solidFill>
          </w14:textFill>
        </w:rPr>
      </w:pPr>
      <w:r>
        <w:rPr>
          <w:rFonts w:ascii="宋体" w:hAnsi="宋体"/>
          <w:bCs/>
          <w:color w:val="000000" w:themeColor="text1"/>
          <w:u w:val="single"/>
          <w14:textFill>
            <w14:solidFill>
              <w14:schemeClr w14:val="tx1"/>
            </w14:solidFill>
          </w14:textFill>
        </w:rPr>
        <w:t>本</w:t>
      </w:r>
      <w:r>
        <w:rPr>
          <w:rFonts w:hint="eastAsia" w:ascii="宋体" w:hAnsi="宋体"/>
          <w:bCs/>
          <w:color w:val="000000" w:themeColor="text1"/>
          <w:u w:val="single"/>
          <w14:textFill>
            <w14:solidFill>
              <w14:schemeClr w14:val="tx1"/>
            </w14:solidFill>
          </w14:textFill>
        </w:rPr>
        <w:t>项目运输</w:t>
      </w:r>
      <w:r>
        <w:rPr>
          <w:rFonts w:ascii="宋体" w:hAnsi="宋体"/>
          <w:bCs/>
          <w:color w:val="000000" w:themeColor="text1"/>
          <w:u w:val="single"/>
          <w14:textFill>
            <w14:solidFill>
              <w14:schemeClr w14:val="tx1"/>
            </w14:solidFill>
          </w14:textFill>
        </w:rPr>
        <w:t>船型为</w:t>
      </w:r>
      <w:r>
        <w:rPr>
          <w:bCs/>
          <w:color w:val="000000" w:themeColor="text1"/>
          <w:u w:val="single"/>
          <w14:textFill>
            <w14:solidFill>
              <w14:schemeClr w14:val="tx1"/>
            </w14:solidFill>
          </w14:textFill>
        </w:rPr>
        <w:t>10000 DWT</w:t>
      </w:r>
      <w:r>
        <w:rPr>
          <w:rFonts w:ascii="宋体" w:hAnsi="宋体"/>
          <w:bCs/>
          <w:color w:val="000000" w:themeColor="text1"/>
          <w:u w:val="single"/>
          <w14:textFill>
            <w14:solidFill>
              <w14:schemeClr w14:val="tx1"/>
            </w14:solidFill>
          </w14:textFill>
        </w:rPr>
        <w:t>化学品船，其可能发生的泄漏风险为</w:t>
      </w:r>
      <w:r>
        <w:rPr>
          <w:rFonts w:hint="eastAsia" w:ascii="宋体" w:hAnsi="宋体"/>
          <w:bCs/>
          <w:color w:val="000000" w:themeColor="text1"/>
          <w:u w:val="single"/>
          <w14:textFill>
            <w14:solidFill>
              <w14:schemeClr w14:val="tx1"/>
            </w14:solidFill>
          </w14:textFill>
        </w:rPr>
        <w:t>船舶从金鼓江航道进入本项目回旋水域</w:t>
      </w:r>
      <w:r>
        <w:rPr>
          <w:rFonts w:ascii="宋体" w:hAnsi="宋体"/>
          <w:bCs/>
          <w:color w:val="000000" w:themeColor="text1"/>
          <w:u w:val="single"/>
          <w14:textFill>
            <w14:solidFill>
              <w14:schemeClr w14:val="tx1"/>
            </w14:solidFill>
          </w14:textFill>
        </w:rPr>
        <w:t>的碰撞。以船舶进入本</w:t>
      </w:r>
      <w:r>
        <w:rPr>
          <w:rFonts w:hint="eastAsia" w:ascii="宋体" w:hAnsi="宋体"/>
          <w:bCs/>
          <w:color w:val="000000" w:themeColor="text1"/>
          <w:u w:val="single"/>
          <w14:textFill>
            <w14:solidFill>
              <w14:schemeClr w14:val="tx1"/>
            </w14:solidFill>
          </w14:textFill>
        </w:rPr>
        <w:t>项目回旋水域附近</w:t>
      </w:r>
      <w:r>
        <w:rPr>
          <w:rFonts w:ascii="宋体" w:hAnsi="宋体"/>
          <w:bCs/>
          <w:color w:val="000000" w:themeColor="text1"/>
          <w:u w:val="single"/>
          <w14:textFill>
            <w14:solidFill>
              <w14:schemeClr w14:val="tx1"/>
            </w14:solidFill>
          </w14:textFill>
        </w:rPr>
        <w:t>最有可能发生的碰撞事故导致化学品泄漏事件考虑，本报告以苯乙烯为模拟计算物质，参考《水上溢油环境风险评估技术导则》（</w:t>
      </w:r>
      <w:r>
        <w:rPr>
          <w:bCs/>
          <w:color w:val="000000" w:themeColor="text1"/>
          <w:u w:val="single"/>
          <w14:textFill>
            <w14:solidFill>
              <w14:schemeClr w14:val="tx1"/>
            </w14:solidFill>
          </w14:textFill>
        </w:rPr>
        <w:t>JT/T114-2017</w:t>
      </w:r>
      <w:r>
        <w:rPr>
          <w:rFonts w:ascii="宋体" w:hAnsi="宋体"/>
          <w:bCs/>
          <w:color w:val="000000" w:themeColor="text1"/>
          <w:u w:val="single"/>
          <w14:textFill>
            <w14:solidFill>
              <w14:schemeClr w14:val="tx1"/>
            </w14:solidFill>
          </w14:textFill>
        </w:rPr>
        <w:t>）表</w:t>
      </w:r>
      <w:r>
        <w:rPr>
          <w:bCs/>
          <w:color w:val="000000" w:themeColor="text1"/>
          <w:u w:val="single"/>
          <w14:textFill>
            <w14:solidFill>
              <w14:schemeClr w14:val="tx1"/>
            </w14:solidFill>
          </w14:textFill>
        </w:rPr>
        <w:t>C.1</w:t>
      </w:r>
      <w:r>
        <w:rPr>
          <w:rFonts w:ascii="宋体" w:hAnsi="宋体"/>
          <w:bCs/>
          <w:color w:val="000000" w:themeColor="text1"/>
          <w:u w:val="single"/>
          <w14:textFill>
            <w14:solidFill>
              <w14:schemeClr w14:val="tx1"/>
            </w14:solidFill>
          </w14:textFill>
        </w:rPr>
        <w:t>中</w:t>
      </w:r>
      <w:r>
        <w:rPr>
          <w:bCs/>
          <w:color w:val="000000" w:themeColor="text1"/>
          <w:u w:val="single"/>
          <w14:textFill>
            <w14:solidFill>
              <w14:schemeClr w14:val="tx1"/>
            </w14:solidFill>
          </w14:textFill>
        </w:rPr>
        <w:t>10000</w:t>
      </w:r>
      <w:r>
        <w:rPr>
          <w:rFonts w:ascii="宋体" w:hAnsi="宋体"/>
          <w:bCs/>
          <w:color w:val="000000" w:themeColor="text1"/>
          <w:u w:val="single"/>
          <w14:textFill>
            <w14:solidFill>
              <w14:schemeClr w14:val="tx1"/>
            </w14:solidFill>
          </w14:textFill>
        </w:rPr>
        <w:t>吨级单个舱容</w:t>
      </w:r>
      <w:r>
        <w:rPr>
          <w:rFonts w:hint="eastAsia" w:ascii="宋体" w:hAnsi="宋体"/>
          <w:bCs/>
          <w:color w:val="000000" w:themeColor="text1"/>
          <w:u w:val="single"/>
          <w14:textFill>
            <w14:solidFill>
              <w14:schemeClr w14:val="tx1"/>
            </w14:solidFill>
          </w14:textFill>
        </w:rPr>
        <w:t>全部泄露</w:t>
      </w:r>
      <w:r>
        <w:rPr>
          <w:rFonts w:ascii="宋体" w:hAnsi="宋体"/>
          <w:bCs/>
          <w:color w:val="000000" w:themeColor="text1"/>
          <w:u w:val="single"/>
          <w14:textFill>
            <w14:solidFill>
              <w14:schemeClr w14:val="tx1"/>
            </w14:solidFill>
          </w14:textFill>
        </w:rPr>
        <w:t>，则苯乙烯最大泄露量约合</w:t>
      </w:r>
      <w:r>
        <w:rPr>
          <w:bCs/>
          <w:color w:val="000000" w:themeColor="text1"/>
          <w:u w:val="single"/>
          <w14:textFill>
            <w14:solidFill>
              <w14:schemeClr w14:val="tx1"/>
            </w14:solidFill>
          </w14:textFill>
        </w:rPr>
        <w:t>1031.11t</w:t>
      </w:r>
      <w:r>
        <w:rPr>
          <w:rFonts w:ascii="宋体" w:hAnsi="宋体"/>
          <w:bCs/>
          <w:color w:val="000000" w:themeColor="text1"/>
          <w:u w:val="single"/>
          <w14:textFill>
            <w14:solidFill>
              <w14:schemeClr w14:val="tx1"/>
            </w14:solidFill>
          </w14:textFill>
        </w:rPr>
        <w:t>，按</w:t>
      </w:r>
      <w:r>
        <w:rPr>
          <w:bCs/>
          <w:color w:val="000000" w:themeColor="text1"/>
          <w:u w:val="single"/>
          <w14:textFill>
            <w14:solidFill>
              <w14:schemeClr w14:val="tx1"/>
            </w14:solidFill>
          </w14:textFill>
        </w:rPr>
        <w:t>1</w:t>
      </w:r>
      <w:r>
        <w:rPr>
          <w:rFonts w:ascii="宋体" w:hAnsi="宋体"/>
          <w:bCs/>
          <w:color w:val="000000" w:themeColor="text1"/>
          <w:u w:val="single"/>
          <w14:textFill>
            <w14:solidFill>
              <w14:schemeClr w14:val="tx1"/>
            </w14:solidFill>
          </w14:textFill>
        </w:rPr>
        <w:t>小时内一次溢出计算。</w:t>
      </w:r>
    </w:p>
    <w:p w14:paraId="36C668B0">
      <w:pPr>
        <w:pStyle w:val="6"/>
        <w:ind w:left="0"/>
        <w:rPr>
          <w:color w:val="000000" w:themeColor="text1"/>
          <w14:textFill>
            <w14:solidFill>
              <w14:schemeClr w14:val="tx1"/>
            </w14:solidFill>
          </w14:textFill>
        </w:rPr>
      </w:pPr>
      <w:r>
        <w:rPr>
          <w:rFonts w:hint="eastAsia"/>
          <w:color w:val="000000" w:themeColor="text1"/>
          <w14:textFill>
            <w14:solidFill>
              <w14:schemeClr w14:val="tx1"/>
            </w14:solidFill>
          </w14:textFill>
        </w:rPr>
        <w:t>不可溶化学品苯</w:t>
      </w:r>
      <w:r>
        <w:rPr>
          <w:rFonts w:hint="eastAsia"/>
          <w:color w:val="000000" w:themeColor="text1"/>
          <w:lang w:eastAsia="zh-CN"/>
          <w14:textFill>
            <w14:solidFill>
              <w14:schemeClr w14:val="tx1"/>
            </w14:solidFill>
          </w14:textFill>
        </w:rPr>
        <w:t>乙烯泄漏</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预测结果</w:t>
      </w:r>
    </w:p>
    <w:p w14:paraId="4CF92742">
      <w:pPr>
        <w:ind w:firstLine="480"/>
        <w:rPr>
          <w:color w:val="000000" w:themeColor="text1"/>
          <w14:textFill>
            <w14:solidFill>
              <w14:schemeClr w14:val="tx1"/>
            </w14:solidFill>
          </w14:textFill>
        </w:rPr>
      </w:pPr>
      <w:r>
        <w:rPr>
          <w:rFonts w:ascii="宋体" w:hAnsi="宋体"/>
          <w:color w:val="000000" w:themeColor="text1"/>
          <w14:textFill>
            <w14:solidFill>
              <w14:schemeClr w14:val="tx1"/>
            </w14:solidFill>
          </w14:textFill>
        </w:rPr>
        <w:t>选取区域代表性的冬季、夏季主导风向</w:t>
      </w:r>
      <w:r>
        <w:rPr>
          <w:rFonts w:hint="eastAsia" w:ascii="宋体" w:hAnsi="宋体"/>
          <w:color w:val="000000" w:themeColor="text1"/>
          <w14:textFill>
            <w14:solidFill>
              <w14:schemeClr w14:val="tx1"/>
            </w14:solidFill>
          </w14:textFill>
        </w:rPr>
        <w:t>、</w:t>
      </w:r>
      <w:r>
        <w:rPr>
          <w:rFonts w:ascii="宋体" w:hAnsi="宋体"/>
          <w:color w:val="000000" w:themeColor="text1"/>
          <w14:textFill>
            <w14:solidFill>
              <w14:schemeClr w14:val="tx1"/>
            </w14:solidFill>
          </w14:textFill>
        </w:rPr>
        <w:t>不利风向等</w:t>
      </w:r>
      <w:r>
        <w:rPr>
          <w:rFonts w:hint="eastAsia"/>
          <w:color w:val="000000" w:themeColor="text1"/>
          <w14:textFill>
            <w14:solidFill>
              <w14:schemeClr w14:val="tx1"/>
            </w14:solidFill>
          </w14:textFill>
        </w:rPr>
        <w:t>6</w:t>
      </w:r>
      <w:r>
        <w:rPr>
          <w:rFonts w:hint="eastAsia" w:ascii="宋体" w:hAnsi="宋体"/>
          <w:color w:val="000000" w:themeColor="text1"/>
          <w14:textFill>
            <w14:solidFill>
              <w14:schemeClr w14:val="tx1"/>
            </w14:solidFill>
          </w14:textFill>
        </w:rPr>
        <w:t>种</w:t>
      </w:r>
      <w:r>
        <w:rPr>
          <w:rFonts w:ascii="宋体" w:hAnsi="宋体"/>
          <w:color w:val="000000" w:themeColor="text1"/>
          <w14:textFill>
            <w14:solidFill>
              <w14:schemeClr w14:val="tx1"/>
            </w14:solidFill>
          </w14:textFill>
        </w:rPr>
        <w:t>在不同涨落潮态构成典型风险条件</w:t>
      </w:r>
      <w:r>
        <w:rPr>
          <w:rFonts w:hint="eastAsia" w:ascii="宋体" w:hAnsi="宋体"/>
          <w:color w:val="000000" w:themeColor="text1"/>
          <w14:textFill>
            <w14:solidFill>
              <w14:schemeClr w14:val="tx1"/>
            </w14:solidFill>
          </w14:textFill>
        </w:rPr>
        <w:t>，</w:t>
      </w:r>
      <w:r>
        <w:rPr>
          <w:rFonts w:ascii="宋体" w:hAnsi="宋体"/>
          <w:color w:val="000000" w:themeColor="text1"/>
          <w14:textFill>
            <w14:solidFill>
              <w14:schemeClr w14:val="tx1"/>
            </w14:solidFill>
          </w14:textFill>
        </w:rPr>
        <w:t>具体见表</w:t>
      </w:r>
      <w:r>
        <w:rPr>
          <w:rFonts w:hint="eastAsia"/>
          <w:color w:val="000000" w:themeColor="text1"/>
          <w14:textFill>
            <w14:solidFill>
              <w14:schemeClr w14:val="tx1"/>
            </w14:solidFill>
          </w14:textFill>
        </w:rPr>
        <w:t>5.5-</w:t>
      </w:r>
      <w:r>
        <w:rPr>
          <w:color w:val="000000" w:themeColor="text1"/>
          <w14:textFill>
            <w14:solidFill>
              <w14:schemeClr w14:val="tx1"/>
            </w14:solidFill>
          </w14:textFill>
        </w:rPr>
        <w:t>9</w:t>
      </w:r>
      <w:r>
        <w:rPr>
          <w:rFonts w:ascii="宋体" w:hAnsi="宋体"/>
          <w:color w:val="000000" w:themeColor="text1"/>
          <w14:textFill>
            <w14:solidFill>
              <w14:schemeClr w14:val="tx1"/>
            </w14:solidFill>
          </w14:textFill>
        </w:rPr>
        <w:t>，</w:t>
      </w:r>
      <w:r>
        <w:rPr>
          <w:rFonts w:hint="eastAsia" w:ascii="宋体" w:hAnsi="宋体"/>
          <w:color w:val="000000" w:themeColor="text1"/>
          <w14:textFill>
            <w14:solidFill>
              <w14:schemeClr w14:val="tx1"/>
            </w14:solidFill>
          </w14:textFill>
        </w:rPr>
        <w:t>类似地按一级环境风险评价等级</w:t>
      </w:r>
      <w:r>
        <w:rPr>
          <w:rFonts w:ascii="宋体" w:hAnsi="宋体"/>
          <w:color w:val="000000" w:themeColor="text1"/>
          <w14:textFill>
            <w14:solidFill>
              <w14:schemeClr w14:val="tx1"/>
            </w14:solidFill>
          </w14:textFill>
        </w:rPr>
        <w:t>预测苯乙烯泄漏</w:t>
      </w:r>
      <w:r>
        <w:rPr>
          <w:rFonts w:hint="eastAsia" w:ascii="宋体" w:hAnsi="宋体"/>
          <w:color w:val="000000" w:themeColor="text1"/>
          <w14:textFill>
            <w14:solidFill>
              <w14:schemeClr w14:val="tx1"/>
            </w14:solidFill>
          </w14:textFill>
        </w:rPr>
        <w:t>7</w:t>
      </w:r>
      <w:r>
        <w:rPr>
          <w:rFonts w:ascii="宋体" w:hAnsi="宋体"/>
          <w:color w:val="000000" w:themeColor="text1"/>
          <w14:textFill>
            <w14:solidFill>
              <w14:schemeClr w14:val="tx1"/>
            </w14:solidFill>
          </w14:textFill>
        </w:rPr>
        <w:t>2</w:t>
      </w:r>
      <w:r>
        <w:rPr>
          <w:rFonts w:hint="eastAsia" w:ascii="宋体" w:hAnsi="宋体"/>
          <w:color w:val="000000" w:themeColor="text1"/>
          <w14:textFill>
            <w14:solidFill>
              <w14:schemeClr w14:val="tx1"/>
            </w14:solidFill>
          </w14:textFill>
        </w:rPr>
        <w:t>小时</w:t>
      </w:r>
      <w:r>
        <w:rPr>
          <w:rFonts w:ascii="宋体" w:hAnsi="宋体"/>
          <w:color w:val="000000" w:themeColor="text1"/>
          <w14:textFill>
            <w14:solidFill>
              <w14:schemeClr w14:val="tx1"/>
            </w14:solidFill>
          </w14:textFill>
        </w:rPr>
        <w:t>后漂移轨迹及扫海范围</w:t>
      </w:r>
      <w:r>
        <w:rPr>
          <w:rFonts w:hint="eastAsia" w:ascii="宋体" w:hAnsi="宋体"/>
          <w:color w:val="000000" w:themeColor="text1"/>
          <w14:textFill>
            <w14:solidFill>
              <w14:schemeClr w14:val="tx1"/>
            </w14:solidFill>
          </w14:textFill>
        </w:rPr>
        <w:t>。</w:t>
      </w:r>
    </w:p>
    <w:p w14:paraId="326D1D29">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苯乙烯乙烯</w:t>
      </w:r>
      <w:r>
        <w:rPr>
          <w:color w:val="000000" w:themeColor="text1"/>
          <w14:textFill>
            <w14:solidFill>
              <w14:schemeClr w14:val="tx1"/>
            </w14:solidFill>
          </w14:textFill>
        </w:rPr>
        <w:t>泄漏事故情景参数</w:t>
      </w:r>
    </w:p>
    <w:tbl>
      <w:tblPr>
        <w:tblStyle w:val="43"/>
        <w:tblW w:w="8292"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289"/>
        <w:gridCol w:w="1256"/>
        <w:gridCol w:w="1181"/>
        <w:gridCol w:w="2182"/>
        <w:gridCol w:w="1435"/>
        <w:gridCol w:w="949"/>
      </w:tblGrid>
      <w:tr w14:paraId="40A58FC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67" w:hRule="atLeast"/>
          <w:jc w:val="center"/>
        </w:trPr>
        <w:tc>
          <w:tcPr>
            <w:tcW w:w="1289" w:type="dxa"/>
            <w:vAlign w:val="center"/>
          </w:tcPr>
          <w:p w14:paraId="1FD69FB0">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w:t>
            </w:r>
            <w:r>
              <w:rPr>
                <w:b/>
                <w:color w:val="000000" w:themeColor="text1"/>
                <w:sz w:val="21"/>
                <w:szCs w:val="21"/>
                <w14:textFill>
                  <w14:solidFill>
                    <w14:schemeClr w14:val="tx1"/>
                  </w14:solidFill>
                </w14:textFill>
              </w:rPr>
              <w:t>位置</w:t>
            </w:r>
          </w:p>
        </w:tc>
        <w:tc>
          <w:tcPr>
            <w:tcW w:w="1256" w:type="dxa"/>
            <w:vAlign w:val="center"/>
          </w:tcPr>
          <w:p w14:paraId="08A778E9">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w:t>
            </w:r>
            <w:r>
              <w:rPr>
                <w:b/>
                <w:color w:val="000000" w:themeColor="text1"/>
                <w:sz w:val="21"/>
                <w:szCs w:val="21"/>
                <w14:textFill>
                  <w14:solidFill>
                    <w14:schemeClr w14:val="tx1"/>
                  </w14:solidFill>
                </w14:textFill>
              </w:rPr>
              <w:t>规模</w:t>
            </w:r>
          </w:p>
        </w:tc>
        <w:tc>
          <w:tcPr>
            <w:tcW w:w="1181" w:type="dxa"/>
            <w:vAlign w:val="center"/>
          </w:tcPr>
          <w:p w14:paraId="0230474A">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w:t>
            </w:r>
            <w:r>
              <w:rPr>
                <w:b/>
                <w:color w:val="000000" w:themeColor="text1"/>
                <w:sz w:val="21"/>
                <w:szCs w:val="21"/>
                <w14:textFill>
                  <w14:solidFill>
                    <w14:schemeClr w14:val="tx1"/>
                  </w14:solidFill>
                </w14:textFill>
              </w:rPr>
              <w:t>物质</w:t>
            </w:r>
          </w:p>
        </w:tc>
        <w:tc>
          <w:tcPr>
            <w:tcW w:w="2182" w:type="dxa"/>
            <w:vAlign w:val="center"/>
          </w:tcPr>
          <w:p w14:paraId="69D31FCC">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典型风向</w:t>
            </w:r>
          </w:p>
        </w:tc>
        <w:tc>
          <w:tcPr>
            <w:tcW w:w="1435" w:type="dxa"/>
            <w:vAlign w:val="center"/>
          </w:tcPr>
          <w:p w14:paraId="448694A9">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代表风速m/s</w:t>
            </w:r>
          </w:p>
        </w:tc>
        <w:tc>
          <w:tcPr>
            <w:tcW w:w="949" w:type="dxa"/>
            <w:vAlign w:val="center"/>
          </w:tcPr>
          <w:p w14:paraId="04667795">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涨落潮</w:t>
            </w:r>
          </w:p>
        </w:tc>
      </w:tr>
      <w:tr w14:paraId="3FC364A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29" w:hRule="atLeast"/>
          <w:jc w:val="center"/>
        </w:trPr>
        <w:tc>
          <w:tcPr>
            <w:tcW w:w="1289" w:type="dxa"/>
            <w:vMerge w:val="restart"/>
            <w:vAlign w:val="center"/>
          </w:tcPr>
          <w:p w14:paraId="7FDDEB00">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本项目回旋水域与金鼓江航道交汇附近</w:t>
            </w:r>
          </w:p>
        </w:tc>
        <w:tc>
          <w:tcPr>
            <w:tcW w:w="1256" w:type="dxa"/>
            <w:vMerge w:val="restart"/>
            <w:vAlign w:val="center"/>
          </w:tcPr>
          <w:p w14:paraId="547E411D">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1031.11t，</w:t>
            </w:r>
            <w:r>
              <w:rPr>
                <w:rFonts w:hint="eastAsia"/>
                <w:color w:val="000000" w:themeColor="text1"/>
                <w:sz w:val="21"/>
                <w:szCs w:val="21"/>
                <w14:textFill>
                  <w14:solidFill>
                    <w14:schemeClr w14:val="tx1"/>
                  </w14:solidFill>
                </w14:textFill>
              </w:rPr>
              <w:t>1小</w:t>
            </w:r>
            <w:r>
              <w:rPr>
                <w:color w:val="000000" w:themeColor="text1"/>
                <w:sz w:val="21"/>
                <w:szCs w:val="21"/>
                <w14:textFill>
                  <w14:solidFill>
                    <w14:schemeClr w14:val="tx1"/>
                  </w14:solidFill>
                </w14:textFill>
              </w:rPr>
              <w:t>时</w:t>
            </w:r>
          </w:p>
        </w:tc>
        <w:tc>
          <w:tcPr>
            <w:tcW w:w="1181" w:type="dxa"/>
            <w:vMerge w:val="restart"/>
            <w:vAlign w:val="center"/>
          </w:tcPr>
          <w:p w14:paraId="23515DE2">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苯乙烯</w:t>
            </w:r>
          </w:p>
        </w:tc>
        <w:tc>
          <w:tcPr>
            <w:tcW w:w="2182" w:type="dxa"/>
            <w:vMerge w:val="restart"/>
            <w:vAlign w:val="center"/>
          </w:tcPr>
          <w:p w14:paraId="0E3D7256">
            <w:pPr>
              <w:spacing w:line="240" w:lineRule="atLeast"/>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w:t>
            </w:r>
            <w:r>
              <w:rPr>
                <w:rFonts w:hint="eastAsia"/>
                <w:color w:val="000000" w:themeColor="text1"/>
                <w:sz w:val="21"/>
                <w:szCs w:val="21"/>
                <w14:textFill>
                  <w14:solidFill>
                    <w14:schemeClr w14:val="tx1"/>
                  </w14:solidFill>
                </w14:textFill>
              </w:rPr>
              <w:t>风，冬</w:t>
            </w:r>
            <w:r>
              <w:rPr>
                <w:color w:val="000000" w:themeColor="text1"/>
                <w:sz w:val="21"/>
                <w:szCs w:val="21"/>
                <w14:textFill>
                  <w14:solidFill>
                    <w14:schemeClr w14:val="tx1"/>
                  </w14:solidFill>
                </w14:textFill>
              </w:rPr>
              <w:t>季主导风</w:t>
            </w:r>
          </w:p>
        </w:tc>
        <w:tc>
          <w:tcPr>
            <w:tcW w:w="1435" w:type="dxa"/>
            <w:vMerge w:val="restart"/>
            <w:vAlign w:val="center"/>
          </w:tcPr>
          <w:p w14:paraId="5552947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w:t>
            </w:r>
            <w:r>
              <w:rPr>
                <w:rFonts w:hint="eastAsia"/>
                <w:color w:val="000000" w:themeColor="text1"/>
                <w:sz w:val="21"/>
                <w:szCs w:val="21"/>
                <w14:textFill>
                  <w14:solidFill>
                    <w14:schemeClr w14:val="tx1"/>
                  </w14:solidFill>
                </w14:textFill>
              </w:rPr>
              <w:t>.7</w:t>
            </w:r>
          </w:p>
        </w:tc>
        <w:tc>
          <w:tcPr>
            <w:tcW w:w="949" w:type="dxa"/>
            <w:vAlign w:val="center"/>
          </w:tcPr>
          <w:p w14:paraId="6ADBC403">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涨潮</w:t>
            </w:r>
          </w:p>
        </w:tc>
      </w:tr>
      <w:tr w14:paraId="2AF0841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01" w:hRule="atLeast"/>
          <w:jc w:val="center"/>
        </w:trPr>
        <w:tc>
          <w:tcPr>
            <w:tcW w:w="1289" w:type="dxa"/>
            <w:vMerge w:val="continue"/>
            <w:vAlign w:val="center"/>
          </w:tcPr>
          <w:p w14:paraId="2036C4E7">
            <w:pPr>
              <w:spacing w:line="240" w:lineRule="atLeast"/>
              <w:ind w:firstLine="0" w:firstLineChars="0"/>
              <w:jc w:val="center"/>
              <w:rPr>
                <w:color w:val="000000" w:themeColor="text1"/>
                <w:sz w:val="21"/>
                <w:szCs w:val="21"/>
                <w14:textFill>
                  <w14:solidFill>
                    <w14:schemeClr w14:val="tx1"/>
                  </w14:solidFill>
                </w14:textFill>
              </w:rPr>
            </w:pPr>
          </w:p>
        </w:tc>
        <w:tc>
          <w:tcPr>
            <w:tcW w:w="1256" w:type="dxa"/>
            <w:vMerge w:val="continue"/>
            <w:vAlign w:val="center"/>
          </w:tcPr>
          <w:p w14:paraId="47C48B91">
            <w:pPr>
              <w:spacing w:line="240" w:lineRule="atLeast"/>
              <w:ind w:firstLine="0" w:firstLineChars="0"/>
              <w:jc w:val="center"/>
              <w:rPr>
                <w:color w:val="000000" w:themeColor="text1"/>
                <w:sz w:val="21"/>
                <w:szCs w:val="21"/>
                <w14:textFill>
                  <w14:solidFill>
                    <w14:schemeClr w14:val="tx1"/>
                  </w14:solidFill>
                </w14:textFill>
              </w:rPr>
            </w:pPr>
          </w:p>
        </w:tc>
        <w:tc>
          <w:tcPr>
            <w:tcW w:w="1181" w:type="dxa"/>
            <w:vMerge w:val="continue"/>
            <w:vAlign w:val="center"/>
          </w:tcPr>
          <w:p w14:paraId="062E092F">
            <w:pPr>
              <w:spacing w:line="240" w:lineRule="atLeast"/>
              <w:ind w:firstLine="0" w:firstLineChars="0"/>
              <w:jc w:val="center"/>
              <w:rPr>
                <w:color w:val="000000" w:themeColor="text1"/>
                <w:sz w:val="21"/>
                <w:szCs w:val="21"/>
                <w14:textFill>
                  <w14:solidFill>
                    <w14:schemeClr w14:val="tx1"/>
                  </w14:solidFill>
                </w14:textFill>
              </w:rPr>
            </w:pPr>
          </w:p>
        </w:tc>
        <w:tc>
          <w:tcPr>
            <w:tcW w:w="2182" w:type="dxa"/>
            <w:vMerge w:val="continue"/>
            <w:vAlign w:val="center"/>
          </w:tcPr>
          <w:p w14:paraId="7C428473">
            <w:pPr>
              <w:spacing w:line="240" w:lineRule="atLeast"/>
              <w:ind w:firstLine="0" w:firstLineChars="0"/>
              <w:jc w:val="center"/>
              <w:rPr>
                <w:color w:val="000000" w:themeColor="text1"/>
                <w:sz w:val="21"/>
                <w:szCs w:val="21"/>
                <w14:textFill>
                  <w14:solidFill>
                    <w14:schemeClr w14:val="tx1"/>
                  </w14:solidFill>
                </w14:textFill>
              </w:rPr>
            </w:pPr>
          </w:p>
        </w:tc>
        <w:tc>
          <w:tcPr>
            <w:tcW w:w="1435" w:type="dxa"/>
            <w:vMerge w:val="continue"/>
            <w:vAlign w:val="center"/>
          </w:tcPr>
          <w:p w14:paraId="212147BD">
            <w:pPr>
              <w:spacing w:line="240" w:lineRule="atLeast"/>
              <w:ind w:firstLine="0" w:firstLineChars="0"/>
              <w:jc w:val="center"/>
              <w:rPr>
                <w:color w:val="000000" w:themeColor="text1"/>
                <w:sz w:val="21"/>
                <w:szCs w:val="21"/>
                <w14:textFill>
                  <w14:solidFill>
                    <w14:schemeClr w14:val="tx1"/>
                  </w14:solidFill>
                </w14:textFill>
              </w:rPr>
            </w:pPr>
          </w:p>
        </w:tc>
        <w:tc>
          <w:tcPr>
            <w:tcW w:w="949" w:type="dxa"/>
            <w:vAlign w:val="center"/>
          </w:tcPr>
          <w:p w14:paraId="3D3622A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落潮</w:t>
            </w:r>
          </w:p>
        </w:tc>
      </w:tr>
      <w:tr w14:paraId="34FA9EF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04" w:hRule="atLeast"/>
          <w:jc w:val="center"/>
        </w:trPr>
        <w:tc>
          <w:tcPr>
            <w:tcW w:w="1289" w:type="dxa"/>
            <w:vMerge w:val="continue"/>
            <w:vAlign w:val="center"/>
          </w:tcPr>
          <w:p w14:paraId="58A63477">
            <w:pPr>
              <w:spacing w:line="240" w:lineRule="atLeast"/>
              <w:ind w:firstLine="0" w:firstLineChars="0"/>
              <w:jc w:val="center"/>
              <w:rPr>
                <w:color w:val="000000" w:themeColor="text1"/>
                <w:sz w:val="21"/>
                <w:szCs w:val="21"/>
                <w14:textFill>
                  <w14:solidFill>
                    <w14:schemeClr w14:val="tx1"/>
                  </w14:solidFill>
                </w14:textFill>
              </w:rPr>
            </w:pPr>
          </w:p>
        </w:tc>
        <w:tc>
          <w:tcPr>
            <w:tcW w:w="1256" w:type="dxa"/>
            <w:vMerge w:val="continue"/>
            <w:vAlign w:val="center"/>
          </w:tcPr>
          <w:p w14:paraId="2A9007DA">
            <w:pPr>
              <w:spacing w:line="240" w:lineRule="atLeast"/>
              <w:ind w:firstLine="0" w:firstLineChars="0"/>
              <w:jc w:val="center"/>
              <w:rPr>
                <w:color w:val="000000" w:themeColor="text1"/>
                <w:sz w:val="21"/>
                <w:szCs w:val="21"/>
                <w14:textFill>
                  <w14:solidFill>
                    <w14:schemeClr w14:val="tx1"/>
                  </w14:solidFill>
                </w14:textFill>
              </w:rPr>
            </w:pPr>
          </w:p>
        </w:tc>
        <w:tc>
          <w:tcPr>
            <w:tcW w:w="1181" w:type="dxa"/>
            <w:vMerge w:val="continue"/>
            <w:vAlign w:val="center"/>
          </w:tcPr>
          <w:p w14:paraId="0667743C">
            <w:pPr>
              <w:spacing w:line="240" w:lineRule="atLeast"/>
              <w:ind w:firstLine="0" w:firstLineChars="0"/>
              <w:jc w:val="center"/>
              <w:rPr>
                <w:color w:val="000000" w:themeColor="text1"/>
                <w:sz w:val="21"/>
                <w:szCs w:val="21"/>
                <w14:textFill>
                  <w14:solidFill>
                    <w14:schemeClr w14:val="tx1"/>
                  </w14:solidFill>
                </w14:textFill>
              </w:rPr>
            </w:pPr>
          </w:p>
        </w:tc>
        <w:tc>
          <w:tcPr>
            <w:tcW w:w="2182" w:type="dxa"/>
            <w:vMerge w:val="restart"/>
            <w:vAlign w:val="center"/>
          </w:tcPr>
          <w:p w14:paraId="57F77EC7">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S，夏季主导</w:t>
            </w:r>
            <w:r>
              <w:rPr>
                <w:color w:val="000000" w:themeColor="text1"/>
                <w:sz w:val="21"/>
                <w:szCs w:val="21"/>
                <w14:textFill>
                  <w14:solidFill>
                    <w14:schemeClr w14:val="tx1"/>
                  </w14:solidFill>
                </w14:textFill>
              </w:rPr>
              <w:t>风向</w:t>
            </w:r>
          </w:p>
        </w:tc>
        <w:tc>
          <w:tcPr>
            <w:tcW w:w="1435" w:type="dxa"/>
            <w:vMerge w:val="restart"/>
            <w:vAlign w:val="center"/>
          </w:tcPr>
          <w:p w14:paraId="5ADF724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r>
              <w:rPr>
                <w:rFonts w:hint="eastAsia"/>
                <w:color w:val="000000" w:themeColor="text1"/>
                <w:sz w:val="21"/>
                <w:szCs w:val="21"/>
                <w14:textFill>
                  <w14:solidFill>
                    <w14:schemeClr w14:val="tx1"/>
                  </w14:solidFill>
                </w14:textFill>
              </w:rPr>
              <w:t>1</w:t>
            </w:r>
          </w:p>
        </w:tc>
        <w:tc>
          <w:tcPr>
            <w:tcW w:w="949" w:type="dxa"/>
            <w:vAlign w:val="center"/>
          </w:tcPr>
          <w:p w14:paraId="310D9EE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涨潮</w:t>
            </w:r>
          </w:p>
        </w:tc>
      </w:tr>
      <w:tr w14:paraId="31C3943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194" w:hRule="atLeast"/>
          <w:jc w:val="center"/>
        </w:trPr>
        <w:tc>
          <w:tcPr>
            <w:tcW w:w="1289" w:type="dxa"/>
            <w:vMerge w:val="continue"/>
            <w:vAlign w:val="center"/>
          </w:tcPr>
          <w:p w14:paraId="5C512C4F">
            <w:pPr>
              <w:spacing w:line="240" w:lineRule="atLeast"/>
              <w:ind w:firstLine="0" w:firstLineChars="0"/>
              <w:jc w:val="center"/>
              <w:rPr>
                <w:color w:val="000000" w:themeColor="text1"/>
                <w:sz w:val="21"/>
                <w:szCs w:val="21"/>
                <w14:textFill>
                  <w14:solidFill>
                    <w14:schemeClr w14:val="tx1"/>
                  </w14:solidFill>
                </w14:textFill>
              </w:rPr>
            </w:pPr>
          </w:p>
        </w:tc>
        <w:tc>
          <w:tcPr>
            <w:tcW w:w="1256" w:type="dxa"/>
            <w:vMerge w:val="continue"/>
            <w:vAlign w:val="center"/>
          </w:tcPr>
          <w:p w14:paraId="51E9AA5F">
            <w:pPr>
              <w:spacing w:line="240" w:lineRule="atLeast"/>
              <w:ind w:firstLine="0" w:firstLineChars="0"/>
              <w:jc w:val="center"/>
              <w:rPr>
                <w:color w:val="000000" w:themeColor="text1"/>
                <w:sz w:val="21"/>
                <w:szCs w:val="21"/>
                <w14:textFill>
                  <w14:solidFill>
                    <w14:schemeClr w14:val="tx1"/>
                  </w14:solidFill>
                </w14:textFill>
              </w:rPr>
            </w:pPr>
          </w:p>
        </w:tc>
        <w:tc>
          <w:tcPr>
            <w:tcW w:w="1181" w:type="dxa"/>
            <w:vMerge w:val="continue"/>
            <w:vAlign w:val="center"/>
          </w:tcPr>
          <w:p w14:paraId="4F937CD1">
            <w:pPr>
              <w:spacing w:line="240" w:lineRule="atLeast"/>
              <w:ind w:firstLine="0" w:firstLineChars="0"/>
              <w:jc w:val="center"/>
              <w:rPr>
                <w:color w:val="000000" w:themeColor="text1"/>
                <w:sz w:val="21"/>
                <w:szCs w:val="21"/>
                <w14:textFill>
                  <w14:solidFill>
                    <w14:schemeClr w14:val="tx1"/>
                  </w14:solidFill>
                </w14:textFill>
              </w:rPr>
            </w:pPr>
          </w:p>
        </w:tc>
        <w:tc>
          <w:tcPr>
            <w:tcW w:w="2182" w:type="dxa"/>
            <w:vMerge w:val="continue"/>
            <w:vAlign w:val="center"/>
          </w:tcPr>
          <w:p w14:paraId="2FE5B5E9">
            <w:pPr>
              <w:spacing w:line="240" w:lineRule="atLeast"/>
              <w:ind w:firstLine="0" w:firstLineChars="0"/>
              <w:jc w:val="center"/>
              <w:rPr>
                <w:color w:val="000000" w:themeColor="text1"/>
                <w:sz w:val="21"/>
                <w:szCs w:val="21"/>
                <w14:textFill>
                  <w14:solidFill>
                    <w14:schemeClr w14:val="tx1"/>
                  </w14:solidFill>
                </w14:textFill>
              </w:rPr>
            </w:pPr>
          </w:p>
        </w:tc>
        <w:tc>
          <w:tcPr>
            <w:tcW w:w="1435" w:type="dxa"/>
            <w:vMerge w:val="continue"/>
            <w:vAlign w:val="center"/>
          </w:tcPr>
          <w:p w14:paraId="29DC0A20">
            <w:pPr>
              <w:spacing w:line="240" w:lineRule="atLeast"/>
              <w:ind w:firstLine="0" w:firstLineChars="0"/>
              <w:jc w:val="center"/>
              <w:rPr>
                <w:color w:val="000000" w:themeColor="text1"/>
                <w:sz w:val="21"/>
                <w:szCs w:val="21"/>
                <w14:textFill>
                  <w14:solidFill>
                    <w14:schemeClr w14:val="tx1"/>
                  </w14:solidFill>
                </w14:textFill>
              </w:rPr>
            </w:pPr>
          </w:p>
        </w:tc>
        <w:tc>
          <w:tcPr>
            <w:tcW w:w="949" w:type="dxa"/>
            <w:vAlign w:val="center"/>
          </w:tcPr>
          <w:p w14:paraId="1ECF601E">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落潮</w:t>
            </w:r>
          </w:p>
        </w:tc>
      </w:tr>
      <w:tr w14:paraId="201AA88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194" w:hRule="atLeast"/>
          <w:jc w:val="center"/>
        </w:trPr>
        <w:tc>
          <w:tcPr>
            <w:tcW w:w="1289" w:type="dxa"/>
            <w:vMerge w:val="continue"/>
            <w:vAlign w:val="center"/>
          </w:tcPr>
          <w:p w14:paraId="34797D0D">
            <w:pPr>
              <w:spacing w:line="240" w:lineRule="atLeast"/>
              <w:ind w:firstLine="0" w:firstLineChars="0"/>
              <w:jc w:val="center"/>
              <w:rPr>
                <w:color w:val="000000" w:themeColor="text1"/>
                <w:sz w:val="21"/>
                <w:szCs w:val="21"/>
                <w14:textFill>
                  <w14:solidFill>
                    <w14:schemeClr w14:val="tx1"/>
                  </w14:solidFill>
                </w14:textFill>
              </w:rPr>
            </w:pPr>
          </w:p>
        </w:tc>
        <w:tc>
          <w:tcPr>
            <w:tcW w:w="1256" w:type="dxa"/>
            <w:vMerge w:val="continue"/>
            <w:vAlign w:val="center"/>
          </w:tcPr>
          <w:p w14:paraId="38617683">
            <w:pPr>
              <w:spacing w:line="240" w:lineRule="atLeast"/>
              <w:ind w:firstLine="0" w:firstLineChars="0"/>
              <w:jc w:val="center"/>
              <w:rPr>
                <w:color w:val="000000" w:themeColor="text1"/>
                <w:sz w:val="21"/>
                <w:szCs w:val="21"/>
                <w14:textFill>
                  <w14:solidFill>
                    <w14:schemeClr w14:val="tx1"/>
                  </w14:solidFill>
                </w14:textFill>
              </w:rPr>
            </w:pPr>
          </w:p>
        </w:tc>
        <w:tc>
          <w:tcPr>
            <w:tcW w:w="1181" w:type="dxa"/>
            <w:vMerge w:val="continue"/>
            <w:vAlign w:val="center"/>
          </w:tcPr>
          <w:p w14:paraId="6D6B7449">
            <w:pPr>
              <w:spacing w:line="240" w:lineRule="atLeast"/>
              <w:ind w:firstLine="0" w:firstLineChars="0"/>
              <w:jc w:val="center"/>
              <w:rPr>
                <w:color w:val="000000" w:themeColor="text1"/>
                <w:sz w:val="21"/>
                <w:szCs w:val="21"/>
                <w14:textFill>
                  <w14:solidFill>
                    <w14:schemeClr w14:val="tx1"/>
                  </w14:solidFill>
                </w14:textFill>
              </w:rPr>
            </w:pPr>
          </w:p>
        </w:tc>
        <w:tc>
          <w:tcPr>
            <w:tcW w:w="2182" w:type="dxa"/>
            <w:vMerge w:val="restart"/>
            <w:vAlign w:val="center"/>
          </w:tcPr>
          <w:p w14:paraId="1AAFF662">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NE，不利风向</w:t>
            </w:r>
          </w:p>
        </w:tc>
        <w:tc>
          <w:tcPr>
            <w:tcW w:w="1435" w:type="dxa"/>
            <w:vMerge w:val="restart"/>
            <w:vAlign w:val="center"/>
          </w:tcPr>
          <w:p w14:paraId="6BD4EBBB">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6.9</w:t>
            </w:r>
          </w:p>
        </w:tc>
        <w:tc>
          <w:tcPr>
            <w:tcW w:w="949" w:type="dxa"/>
            <w:vAlign w:val="center"/>
          </w:tcPr>
          <w:p w14:paraId="6710DA39">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涨潮</w:t>
            </w:r>
          </w:p>
        </w:tc>
      </w:tr>
      <w:tr w14:paraId="3FD110B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10" w:hRule="atLeast"/>
          <w:jc w:val="center"/>
        </w:trPr>
        <w:tc>
          <w:tcPr>
            <w:tcW w:w="1289" w:type="dxa"/>
            <w:vMerge w:val="continue"/>
            <w:vAlign w:val="center"/>
          </w:tcPr>
          <w:p w14:paraId="725C8A79">
            <w:pPr>
              <w:spacing w:line="240" w:lineRule="atLeast"/>
              <w:ind w:firstLine="0" w:firstLineChars="0"/>
              <w:jc w:val="center"/>
              <w:rPr>
                <w:color w:val="000000" w:themeColor="text1"/>
                <w:sz w:val="21"/>
                <w:szCs w:val="21"/>
                <w14:textFill>
                  <w14:solidFill>
                    <w14:schemeClr w14:val="tx1"/>
                  </w14:solidFill>
                </w14:textFill>
              </w:rPr>
            </w:pPr>
          </w:p>
        </w:tc>
        <w:tc>
          <w:tcPr>
            <w:tcW w:w="1256" w:type="dxa"/>
            <w:vMerge w:val="continue"/>
            <w:vAlign w:val="center"/>
          </w:tcPr>
          <w:p w14:paraId="3CD8254B">
            <w:pPr>
              <w:spacing w:line="240" w:lineRule="atLeast"/>
              <w:ind w:firstLine="0" w:firstLineChars="0"/>
              <w:jc w:val="center"/>
              <w:rPr>
                <w:color w:val="000000" w:themeColor="text1"/>
                <w:sz w:val="21"/>
                <w:szCs w:val="21"/>
                <w14:textFill>
                  <w14:solidFill>
                    <w14:schemeClr w14:val="tx1"/>
                  </w14:solidFill>
                </w14:textFill>
              </w:rPr>
            </w:pPr>
          </w:p>
        </w:tc>
        <w:tc>
          <w:tcPr>
            <w:tcW w:w="1181" w:type="dxa"/>
            <w:vMerge w:val="continue"/>
            <w:vAlign w:val="center"/>
          </w:tcPr>
          <w:p w14:paraId="026A87F1">
            <w:pPr>
              <w:spacing w:line="240" w:lineRule="atLeast"/>
              <w:ind w:firstLine="0" w:firstLineChars="0"/>
              <w:jc w:val="center"/>
              <w:rPr>
                <w:color w:val="000000" w:themeColor="text1"/>
                <w:sz w:val="21"/>
                <w:szCs w:val="21"/>
                <w14:textFill>
                  <w14:solidFill>
                    <w14:schemeClr w14:val="tx1"/>
                  </w14:solidFill>
                </w14:textFill>
              </w:rPr>
            </w:pPr>
          </w:p>
        </w:tc>
        <w:tc>
          <w:tcPr>
            <w:tcW w:w="2182" w:type="dxa"/>
            <w:vMerge w:val="continue"/>
            <w:vAlign w:val="center"/>
          </w:tcPr>
          <w:p w14:paraId="506070A7">
            <w:pPr>
              <w:spacing w:line="240" w:lineRule="atLeast"/>
              <w:ind w:firstLine="0" w:firstLineChars="0"/>
              <w:jc w:val="center"/>
              <w:rPr>
                <w:color w:val="000000" w:themeColor="text1"/>
                <w:sz w:val="21"/>
                <w:szCs w:val="21"/>
                <w14:textFill>
                  <w14:solidFill>
                    <w14:schemeClr w14:val="tx1"/>
                  </w14:solidFill>
                </w14:textFill>
              </w:rPr>
            </w:pPr>
          </w:p>
        </w:tc>
        <w:tc>
          <w:tcPr>
            <w:tcW w:w="1435" w:type="dxa"/>
            <w:vMerge w:val="continue"/>
            <w:vAlign w:val="center"/>
          </w:tcPr>
          <w:p w14:paraId="4D1A4CEE">
            <w:pPr>
              <w:spacing w:line="240" w:lineRule="atLeast"/>
              <w:ind w:firstLine="0" w:firstLineChars="0"/>
              <w:jc w:val="center"/>
              <w:rPr>
                <w:color w:val="000000" w:themeColor="text1"/>
                <w:sz w:val="21"/>
                <w:szCs w:val="21"/>
                <w14:textFill>
                  <w14:solidFill>
                    <w14:schemeClr w14:val="tx1"/>
                  </w14:solidFill>
                </w14:textFill>
              </w:rPr>
            </w:pPr>
          </w:p>
        </w:tc>
        <w:tc>
          <w:tcPr>
            <w:tcW w:w="949" w:type="dxa"/>
            <w:vAlign w:val="center"/>
          </w:tcPr>
          <w:p w14:paraId="6ECE782F">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落潮</w:t>
            </w:r>
          </w:p>
        </w:tc>
      </w:tr>
    </w:tbl>
    <w:p w14:paraId="1BC0AC60">
      <w:pPr>
        <w:spacing w:before="163" w:beforeLines="50"/>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（1）冬</w:t>
      </w:r>
      <w:r>
        <w:rPr>
          <w:color w:val="000000" w:themeColor="text1"/>
          <w:u w:val="single"/>
          <w14:textFill>
            <w14:solidFill>
              <w14:schemeClr w14:val="tx1"/>
            </w14:solidFill>
          </w14:textFill>
        </w:rPr>
        <w:t>季主导风</w:t>
      </w:r>
      <w:r>
        <w:rPr>
          <w:rFonts w:hint="eastAsia"/>
          <w:color w:val="000000" w:themeColor="text1"/>
          <w:u w:val="single"/>
          <w14:textFill>
            <w14:solidFill>
              <w14:schemeClr w14:val="tx1"/>
            </w14:solidFill>
          </w14:textFill>
        </w:rPr>
        <w:t>N，大潮涨潮</w:t>
      </w:r>
    </w:p>
    <w:p w14:paraId="0193655C">
      <w:pPr>
        <w:ind w:firstLine="480"/>
        <w:rPr>
          <w:color w:val="000000" w:themeColor="text1"/>
          <w14:textFill>
            <w14:solidFill>
              <w14:schemeClr w14:val="tx1"/>
            </w14:solidFill>
          </w14:textFill>
        </w:rPr>
      </w:pPr>
      <w:r>
        <w:rPr>
          <w:rFonts w:hint="eastAsia"/>
          <w:color w:val="000000" w:themeColor="text1"/>
          <w:u w:val="single"/>
          <w14:textFill>
            <w14:solidFill>
              <w14:schemeClr w14:val="tx1"/>
            </w14:solidFill>
          </w14:textFill>
        </w:rPr>
        <w:t>大潮涨潮时，在N</w:t>
      </w:r>
      <w:r>
        <w:rPr>
          <w:color w:val="000000" w:themeColor="text1"/>
          <w:u w:val="single"/>
          <w14:textFill>
            <w14:solidFill>
              <w14:schemeClr w14:val="tx1"/>
            </w14:solidFill>
          </w14:textFill>
        </w:rPr>
        <w:t>向风及涨潮流作用下</w:t>
      </w:r>
      <w:r>
        <w:rPr>
          <w:rFonts w:hint="eastAsia"/>
          <w:color w:val="000000" w:themeColor="text1"/>
          <w:u w:val="single"/>
          <w14:textFill>
            <w14:solidFill>
              <w14:schemeClr w14:val="tx1"/>
            </w14:solidFill>
          </w14:textFill>
        </w:rPr>
        <w:t>，泄露的</w:t>
      </w:r>
      <w:r>
        <w:rPr>
          <w:color w:val="000000" w:themeColor="text1"/>
          <w:u w:val="single"/>
          <w14:textFill>
            <w14:solidFill>
              <w14:schemeClr w14:val="tx1"/>
            </w14:solidFill>
          </w14:textFill>
        </w:rPr>
        <w:t>苯乙烯向</w:t>
      </w:r>
      <w:r>
        <w:rPr>
          <w:rFonts w:hint="eastAsia"/>
          <w:color w:val="000000" w:themeColor="text1"/>
          <w:u w:val="single"/>
          <w14:textFill>
            <w14:solidFill>
              <w14:schemeClr w14:val="tx1"/>
            </w14:solidFill>
          </w14:textFill>
        </w:rPr>
        <w:t>金鼓江上游</w:t>
      </w:r>
      <w:r>
        <w:rPr>
          <w:color w:val="000000" w:themeColor="text1"/>
          <w:u w:val="single"/>
          <w14:textFill>
            <w14:solidFill>
              <w14:schemeClr w14:val="tx1"/>
            </w14:solidFill>
          </w14:textFill>
        </w:rPr>
        <w:t>飘去</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3</w:t>
      </w:r>
      <w:r>
        <w:rPr>
          <w:rFonts w:hint="eastAsia"/>
          <w:color w:val="000000" w:themeColor="text1"/>
          <w:u w:val="single"/>
          <w14:textFill>
            <w14:solidFill>
              <w14:schemeClr w14:val="tx1"/>
            </w14:solidFill>
          </w14:textFill>
        </w:rPr>
        <w:t>小时后部分苯乙烯进入淡水湾海域并逐渐靠岸登陆，另有部分苯乙烯继续沿金鼓江北上，6小时到达金鼓江大桥上游望鸦江口门附近，此后继续沿着金鼓江主流北上，逐渐污染整个金鼓江水面，1</w:t>
      </w:r>
      <w:r>
        <w:rPr>
          <w:color w:val="000000" w:themeColor="text1"/>
          <w:u w:val="single"/>
          <w14:textFill>
            <w14:solidFill>
              <w14:schemeClr w14:val="tx1"/>
            </w14:solidFill>
          </w14:textFill>
        </w:rPr>
        <w:t>0</w:t>
      </w:r>
      <w:r>
        <w:rPr>
          <w:rFonts w:hint="eastAsia"/>
          <w:color w:val="000000" w:themeColor="text1"/>
          <w:u w:val="single"/>
          <w14:textFill>
            <w14:solidFill>
              <w14:schemeClr w14:val="tx1"/>
            </w14:solidFill>
          </w14:textFill>
        </w:rPr>
        <w:t>小时后受金鼓江两岸曲折岸线的阻挡和吸附作用</w:t>
      </w:r>
      <w:r>
        <w:rPr>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剩余苯乙烯逐渐登陆。受岸线阻挡吸附及风、流顶托作用，此后油膜基本停止运动。苯乙烯</w:t>
      </w:r>
      <w:r>
        <w:rPr>
          <w:rFonts w:hint="eastAsia"/>
          <w:color w:val="000000" w:themeColor="text1"/>
          <w:u w:val="single"/>
          <w:lang w:eastAsia="zh-CN"/>
          <w14:textFill>
            <w14:solidFill>
              <w14:schemeClr w14:val="tx1"/>
            </w14:solidFill>
          </w14:textFill>
        </w:rPr>
        <w:t>泄漏</w:t>
      </w:r>
      <w:r>
        <w:rPr>
          <w:rFonts w:hint="eastAsia"/>
          <w:color w:val="000000" w:themeColor="text1"/>
          <w:u w:val="single"/>
          <w14:textFill>
            <w14:solidFill>
              <w14:schemeClr w14:val="tx1"/>
            </w14:solidFill>
          </w14:textFill>
        </w:rPr>
        <w:t>发生</w:t>
      </w:r>
      <w:r>
        <w:rPr>
          <w:color w:val="000000" w:themeColor="text1"/>
          <w:u w:val="single"/>
          <w14:textFill>
            <w14:solidFill>
              <w14:schemeClr w14:val="tx1"/>
            </w14:solidFill>
          </w14:textFill>
        </w:rPr>
        <w:t>72</w:t>
      </w:r>
      <w:r>
        <w:rPr>
          <w:rFonts w:hint="eastAsia"/>
          <w:color w:val="000000" w:themeColor="text1"/>
          <w:u w:val="single"/>
          <w14:textFill>
            <w14:solidFill>
              <w14:schemeClr w14:val="tx1"/>
            </w14:solidFill>
          </w14:textFill>
        </w:rPr>
        <w:t>小时内扫海面积及残余厚度见表5</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，苯</w:t>
      </w:r>
      <w:r>
        <w:rPr>
          <w:rFonts w:hint="eastAsia"/>
          <w:color w:val="000000" w:themeColor="text1"/>
          <w:lang w:eastAsia="zh-CN"/>
          <w14:textFill>
            <w14:solidFill>
              <w14:schemeClr w14:val="tx1"/>
            </w14:solidFill>
          </w14:textFill>
        </w:rPr>
        <w:t>乙烯</w:t>
      </w:r>
      <w:r>
        <w:rPr>
          <w:rFonts w:hint="eastAsia"/>
          <w:color w:val="000000" w:themeColor="text1"/>
          <w14:textFill>
            <w14:solidFill>
              <w14:schemeClr w14:val="tx1"/>
            </w14:solidFill>
          </w14:textFill>
        </w:rPr>
        <w:t>运动趋势及扩散范围如图</w:t>
      </w:r>
      <w:r>
        <w:rPr>
          <w:rFonts w:hint="eastAsia"/>
          <w:color w:val="000000" w:themeColor="text1"/>
          <w:kern w:val="0"/>
          <w14:textFill>
            <w14:solidFill>
              <w14:schemeClr w14:val="tx1"/>
            </w14:solidFill>
          </w14:textFill>
        </w:rPr>
        <w:t>5.5.3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13~</w:t>
      </w:r>
      <w:r>
        <w:rPr>
          <w:rFonts w:hint="eastAsia"/>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color w:val="000000" w:themeColor="text1"/>
          <w14:textFill>
            <w14:solidFill>
              <w14:schemeClr w14:val="tx1"/>
            </w14:solidFill>
          </w14:textFill>
        </w:rPr>
        <w:t>-14</w:t>
      </w:r>
      <w:r>
        <w:rPr>
          <w:rFonts w:hint="eastAsia"/>
          <w:color w:val="000000" w:themeColor="text1"/>
          <w14:textFill>
            <w14:solidFill>
              <w14:schemeClr w14:val="tx1"/>
            </w14:solidFill>
          </w14:textFill>
        </w:rPr>
        <w:t>所示。</w:t>
      </w:r>
    </w:p>
    <w:p w14:paraId="4CF2460D">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冬</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N条件下涨潮时苯</w:t>
      </w:r>
      <w:r>
        <w:rPr>
          <w:rFonts w:hint="eastAsia"/>
          <w:color w:val="000000" w:themeColor="text1"/>
          <w:lang w:eastAsia="zh-CN"/>
          <w14:textFill>
            <w14:solidFill>
              <w14:schemeClr w14:val="tx1"/>
            </w14:solidFill>
          </w14:textFill>
        </w:rPr>
        <w:t>乙烯泄漏</w:t>
      </w:r>
      <w:r>
        <w:rPr>
          <w:rFonts w:hint="eastAsia"/>
          <w:color w:val="000000" w:themeColor="text1"/>
          <w14:textFill>
            <w14:solidFill>
              <w14:schemeClr w14:val="tx1"/>
            </w14:solidFill>
          </w14:textFill>
        </w:rPr>
        <w:t>扫海面积</w:t>
      </w:r>
    </w:p>
    <w:tbl>
      <w:tblPr>
        <w:tblStyle w:val="43"/>
        <w:tblW w:w="490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53"/>
        <w:gridCol w:w="1361"/>
        <w:gridCol w:w="1361"/>
        <w:gridCol w:w="1361"/>
        <w:gridCol w:w="1361"/>
        <w:gridCol w:w="1363"/>
      </w:tblGrid>
      <w:tr w14:paraId="7DABAC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929" w:type="pct"/>
            <w:vMerge w:val="restart"/>
            <w:tcMar>
              <w:top w:w="57" w:type="dxa"/>
              <w:bottom w:w="57" w:type="dxa"/>
            </w:tcMar>
            <w:vAlign w:val="center"/>
          </w:tcPr>
          <w:p w14:paraId="1F810B0E">
            <w:pPr>
              <w:spacing w:line="240" w:lineRule="atLeast"/>
              <w:ind w:firstLine="0" w:firstLineChars="0"/>
              <w:jc w:val="center"/>
              <w:rPr>
                <w:b/>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4071" w:type="pct"/>
            <w:gridSpan w:val="5"/>
            <w:tcMar>
              <w:top w:w="57" w:type="dxa"/>
              <w:bottom w:w="57" w:type="dxa"/>
            </w:tcMar>
            <w:vAlign w:val="center"/>
          </w:tcPr>
          <w:p w14:paraId="493C56BA">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泄漏发生经历时间（小时）</w:t>
            </w:r>
          </w:p>
        </w:tc>
      </w:tr>
      <w:tr w14:paraId="33A74C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 w:hRule="atLeast"/>
          <w:jc w:val="center"/>
        </w:trPr>
        <w:tc>
          <w:tcPr>
            <w:tcW w:w="929" w:type="pct"/>
            <w:vMerge w:val="continue"/>
            <w:tcMar>
              <w:top w:w="57" w:type="dxa"/>
              <w:bottom w:w="57" w:type="dxa"/>
            </w:tcMar>
            <w:vAlign w:val="center"/>
          </w:tcPr>
          <w:p w14:paraId="0DE693E1">
            <w:pPr>
              <w:spacing w:line="240" w:lineRule="atLeast"/>
              <w:ind w:firstLine="0" w:firstLineChars="0"/>
              <w:jc w:val="center"/>
              <w:rPr>
                <w:b/>
                <w:color w:val="000000" w:themeColor="text1"/>
                <w:sz w:val="21"/>
                <w:szCs w:val="21"/>
                <w14:textFill>
                  <w14:solidFill>
                    <w14:schemeClr w14:val="tx1"/>
                  </w14:solidFill>
                </w14:textFill>
              </w:rPr>
            </w:pPr>
          </w:p>
        </w:tc>
        <w:tc>
          <w:tcPr>
            <w:tcW w:w="814" w:type="pct"/>
            <w:tcMar>
              <w:top w:w="57" w:type="dxa"/>
              <w:bottom w:w="57" w:type="dxa"/>
            </w:tcMar>
            <w:vAlign w:val="center"/>
          </w:tcPr>
          <w:p w14:paraId="4B7F4146">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w:t>
            </w:r>
          </w:p>
        </w:tc>
        <w:tc>
          <w:tcPr>
            <w:tcW w:w="814" w:type="pct"/>
            <w:tcMar>
              <w:top w:w="57" w:type="dxa"/>
              <w:bottom w:w="57" w:type="dxa"/>
            </w:tcMar>
            <w:vAlign w:val="center"/>
          </w:tcPr>
          <w:p w14:paraId="4E9837AB">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3</w:t>
            </w:r>
          </w:p>
        </w:tc>
        <w:tc>
          <w:tcPr>
            <w:tcW w:w="814" w:type="pct"/>
            <w:tcMar>
              <w:top w:w="57" w:type="dxa"/>
              <w:bottom w:w="57" w:type="dxa"/>
            </w:tcMar>
            <w:vAlign w:val="center"/>
          </w:tcPr>
          <w:p w14:paraId="5AE5B633">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6</w:t>
            </w:r>
          </w:p>
        </w:tc>
        <w:tc>
          <w:tcPr>
            <w:tcW w:w="814" w:type="pct"/>
            <w:vAlign w:val="center"/>
          </w:tcPr>
          <w:p w14:paraId="729CF370">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10（登陆）</w:t>
            </w:r>
          </w:p>
        </w:tc>
        <w:tc>
          <w:tcPr>
            <w:tcW w:w="815" w:type="pct"/>
            <w:vAlign w:val="center"/>
          </w:tcPr>
          <w:p w14:paraId="2A6CAB3B">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72</w:t>
            </w:r>
          </w:p>
        </w:tc>
      </w:tr>
      <w:tr w14:paraId="1F727A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5FECA5F9">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扫海面积（km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5450ED77">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0.39</w:t>
            </w:r>
            <w:r>
              <w:rPr>
                <w:color w:val="000000" w:themeColor="text1"/>
                <w:sz w:val="21"/>
                <w:szCs w:val="21"/>
                <w14:textFill>
                  <w14:solidFill>
                    <w14:schemeClr w14:val="tx1"/>
                  </w14:solidFill>
                </w14:textFill>
              </w:rPr>
              <w:t>7</w:t>
            </w:r>
          </w:p>
        </w:tc>
        <w:tc>
          <w:tcPr>
            <w:tcW w:w="814" w:type="pct"/>
            <w:tcMar>
              <w:top w:w="57" w:type="dxa"/>
              <w:bottom w:w="57" w:type="dxa"/>
            </w:tcMar>
            <w:vAlign w:val="center"/>
          </w:tcPr>
          <w:p w14:paraId="0EED314E">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682</w:t>
            </w:r>
          </w:p>
        </w:tc>
        <w:tc>
          <w:tcPr>
            <w:tcW w:w="814" w:type="pct"/>
            <w:tcMar>
              <w:top w:w="57" w:type="dxa"/>
              <w:bottom w:w="57" w:type="dxa"/>
            </w:tcMar>
            <w:vAlign w:val="center"/>
          </w:tcPr>
          <w:p w14:paraId="481C31A5">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r>
              <w:rPr>
                <w:color w:val="000000" w:themeColor="text1"/>
                <w:sz w:val="21"/>
                <w:szCs w:val="21"/>
                <w14:textFill>
                  <w14:solidFill>
                    <w14:schemeClr w14:val="tx1"/>
                  </w14:solidFill>
                </w14:textFill>
              </w:rPr>
              <w:t>202</w:t>
            </w:r>
          </w:p>
        </w:tc>
        <w:tc>
          <w:tcPr>
            <w:tcW w:w="814" w:type="pct"/>
            <w:vAlign w:val="center"/>
          </w:tcPr>
          <w:p w14:paraId="6A153E40">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r>
              <w:rPr>
                <w:color w:val="000000" w:themeColor="text1"/>
                <w:sz w:val="21"/>
                <w:szCs w:val="21"/>
                <w14:textFill>
                  <w14:solidFill>
                    <w14:schemeClr w14:val="tx1"/>
                  </w14:solidFill>
                </w14:textFill>
              </w:rPr>
              <w:t>912</w:t>
            </w:r>
          </w:p>
        </w:tc>
        <w:tc>
          <w:tcPr>
            <w:tcW w:w="815" w:type="pct"/>
            <w:vAlign w:val="center"/>
          </w:tcPr>
          <w:p w14:paraId="109155B5">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r>
              <w:rPr>
                <w:color w:val="000000" w:themeColor="text1"/>
                <w:sz w:val="21"/>
                <w:szCs w:val="21"/>
                <w14:textFill>
                  <w14:solidFill>
                    <w14:schemeClr w14:val="tx1"/>
                  </w14:solidFill>
                </w14:textFill>
              </w:rPr>
              <w:t>.921</w:t>
            </w:r>
          </w:p>
        </w:tc>
      </w:tr>
      <w:tr w14:paraId="0B49A3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29CBAD95">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残余苯乙烯平均厚度（m</w:t>
            </w:r>
            <w:r>
              <w:rPr>
                <w:color w:val="000000" w:themeColor="text1"/>
                <w:sz w:val="21"/>
                <w:szCs w:val="21"/>
                <w14:textFill>
                  <w14:solidFill>
                    <w14:schemeClr w14:val="tx1"/>
                  </w14:solidFill>
                </w14:textFill>
              </w:rPr>
              <w:t>m</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4E729894">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4351.01</w:t>
            </w:r>
          </w:p>
        </w:tc>
        <w:tc>
          <w:tcPr>
            <w:tcW w:w="814" w:type="pct"/>
            <w:tcMar>
              <w:top w:w="57" w:type="dxa"/>
              <w:bottom w:w="57" w:type="dxa"/>
            </w:tcMar>
            <w:vAlign w:val="center"/>
          </w:tcPr>
          <w:p w14:paraId="579C4690">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2005.81</w:t>
            </w:r>
          </w:p>
        </w:tc>
        <w:tc>
          <w:tcPr>
            <w:tcW w:w="814" w:type="pct"/>
            <w:tcMar>
              <w:top w:w="57" w:type="dxa"/>
              <w:bottom w:w="57" w:type="dxa"/>
            </w:tcMar>
            <w:vAlign w:val="center"/>
          </w:tcPr>
          <w:p w14:paraId="49B2FE17">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223.29</w:t>
            </w:r>
          </w:p>
        </w:tc>
        <w:tc>
          <w:tcPr>
            <w:tcW w:w="814" w:type="pct"/>
            <w:vAlign w:val="center"/>
          </w:tcPr>
          <w:p w14:paraId="254AE564">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202.95</w:t>
            </w:r>
          </w:p>
        </w:tc>
        <w:tc>
          <w:tcPr>
            <w:tcW w:w="815" w:type="pct"/>
            <w:vAlign w:val="center"/>
          </w:tcPr>
          <w:p w14:paraId="55FCB380">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02.82</w:t>
            </w:r>
          </w:p>
        </w:tc>
      </w:tr>
    </w:tbl>
    <w:p w14:paraId="79BE2965">
      <w:pPr>
        <w:ind w:firstLine="482"/>
        <w:jc w:val="center"/>
        <w:rPr>
          <w:rFonts w:ascii="宋体" w:hAnsi="宋体"/>
          <w:b/>
          <w:color w:val="000000" w:themeColor="text1"/>
          <w14:textFill>
            <w14:solidFill>
              <w14:schemeClr w14:val="tx1"/>
            </w14:solidFill>
          </w14:textFill>
        </w:rPr>
      </w:pPr>
      <w:r>
        <w:rPr>
          <w:rFonts w:ascii="宋体" w:hAnsi="宋体"/>
          <w:b/>
          <w:color w:val="000000" w:themeColor="text1"/>
          <w14:textFill>
            <w14:solidFill>
              <w14:schemeClr w14:val="tx1"/>
            </w14:solidFill>
          </w14:textFill>
        </w:rPr>
        <w:drawing>
          <wp:inline distT="0" distB="0" distL="0" distR="0">
            <wp:extent cx="3028315" cy="3959860"/>
            <wp:effectExtent l="0" t="0" r="0" b="0"/>
            <wp:docPr id="253" name="图片 253" descr="G:\project\2022\jingujiang14-15#\yiyou\zhangn251128苯乙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G:\project\2022\jingujiang14-15#\yiyou\zhangn251128苯乙烯.jpg"/>
                    <pic:cNvPicPr>
                      <a:picLocks noChangeAspect="1" noChangeArrowheads="1"/>
                    </pic:cNvPicPr>
                  </pic:nvPicPr>
                  <pic:blipFill>
                    <a:blip r:embed="rId244" cstate="print">
                      <a:extLst>
                        <a:ext uri="{28A0092B-C50C-407E-A947-70E740481C1C}">
                          <a14:useLocalDpi xmlns:a14="http://schemas.microsoft.com/office/drawing/2010/main" val="0"/>
                        </a:ext>
                      </a:extLst>
                    </a:blip>
                    <a:srcRect l="327" t="1232" r="2848" b="12115"/>
                    <a:stretch>
                      <a:fillRect/>
                    </a:stretch>
                  </pic:blipFill>
                  <pic:spPr>
                    <a:xfrm>
                      <a:off x="0" y="0"/>
                      <a:ext cx="3028673" cy="3960000"/>
                    </a:xfrm>
                    <a:prstGeom prst="rect">
                      <a:avLst/>
                    </a:prstGeom>
                    <a:noFill/>
                    <a:ln>
                      <a:noFill/>
                    </a:ln>
                  </pic:spPr>
                </pic:pic>
              </a:graphicData>
            </a:graphic>
          </wp:inline>
        </w:drawing>
      </w:r>
    </w:p>
    <w:p w14:paraId="5D34A941">
      <w:pPr>
        <w:ind w:firstLine="482"/>
        <w:jc w:val="center"/>
        <w:rPr>
          <w:rFonts w:ascii="宋体" w:hAnsi="宋体"/>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b/>
          <w:color w:val="000000" w:themeColor="text1"/>
          <w14:textFill>
            <w14:solidFill>
              <w14:schemeClr w14:val="tx1"/>
            </w14:solidFill>
          </w14:textFill>
        </w:rPr>
        <w:t>-13</w:t>
      </w:r>
      <w:r>
        <w:rPr>
          <w:rFonts w:hint="eastAsia"/>
          <w:b/>
          <w:color w:val="000000" w:themeColor="text1"/>
          <w14:textFill>
            <w14:solidFill>
              <w14:schemeClr w14:val="tx1"/>
            </w14:solidFill>
          </w14:textFill>
        </w:rPr>
        <w:t xml:space="preserve"> 冬</w:t>
      </w:r>
      <w:r>
        <w:rPr>
          <w:b/>
          <w:color w:val="000000" w:themeColor="text1"/>
          <w14:textFill>
            <w14:solidFill>
              <w14:schemeClr w14:val="tx1"/>
            </w14:solidFill>
          </w14:textFill>
        </w:rPr>
        <w:t>季主导风</w:t>
      </w:r>
      <w:r>
        <w:rPr>
          <w:rFonts w:hint="eastAsia"/>
          <w:b/>
          <w:color w:val="000000" w:themeColor="text1"/>
          <w14:textFill>
            <w14:solidFill>
              <w14:schemeClr w14:val="tx1"/>
            </w14:solidFill>
          </w14:textFill>
        </w:rPr>
        <w:t>N下涨潮时苯乙烯</w:t>
      </w:r>
      <w:r>
        <w:rPr>
          <w:rFonts w:hint="eastAsia"/>
          <w:b/>
          <w:color w:val="000000" w:themeColor="text1"/>
          <w:lang w:eastAsia="zh-CN"/>
          <w14:textFill>
            <w14:solidFill>
              <w14:schemeClr w14:val="tx1"/>
            </w14:solidFill>
          </w14:textFill>
        </w:rPr>
        <w:t>泄漏</w:t>
      </w:r>
      <w:r>
        <w:rPr>
          <w:rFonts w:hint="eastAsia"/>
          <w:b/>
          <w:color w:val="000000" w:themeColor="text1"/>
          <w14:textFill>
            <w14:solidFill>
              <w14:schemeClr w14:val="tx1"/>
            </w14:solidFill>
          </w14:textFill>
        </w:rPr>
        <w:t>影响范围示意</w:t>
      </w:r>
    </w:p>
    <w:p w14:paraId="61537D8E">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3033395" cy="3959860"/>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245"/>
                    <a:stretch>
                      <a:fillRect/>
                    </a:stretch>
                  </pic:blipFill>
                  <pic:spPr>
                    <a:xfrm>
                      <a:off x="0" y="0"/>
                      <a:ext cx="3034015" cy="3960000"/>
                    </a:xfrm>
                    <a:prstGeom prst="rect">
                      <a:avLst/>
                    </a:prstGeom>
                  </pic:spPr>
                </pic:pic>
              </a:graphicData>
            </a:graphic>
          </wp:inline>
        </w:drawing>
      </w:r>
    </w:p>
    <w:p w14:paraId="6B9165A6">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b/>
          <w:color w:val="000000" w:themeColor="text1"/>
          <w14:textFill>
            <w14:solidFill>
              <w14:schemeClr w14:val="tx1"/>
            </w14:solidFill>
          </w14:textFill>
        </w:rPr>
        <w:t>-14</w:t>
      </w:r>
      <w:r>
        <w:rPr>
          <w:rFonts w:hint="eastAsia"/>
          <w:b/>
          <w:color w:val="000000" w:themeColor="text1"/>
          <w14:textFill>
            <w14:solidFill>
              <w14:schemeClr w14:val="tx1"/>
            </w14:solidFill>
          </w14:textFill>
        </w:rPr>
        <w:t xml:space="preserve"> 冬</w:t>
      </w:r>
      <w:r>
        <w:rPr>
          <w:b/>
          <w:color w:val="000000" w:themeColor="text1"/>
          <w14:textFill>
            <w14:solidFill>
              <w14:schemeClr w14:val="tx1"/>
            </w14:solidFill>
          </w14:textFill>
        </w:rPr>
        <w:t>季主导风</w:t>
      </w:r>
      <w:r>
        <w:rPr>
          <w:rFonts w:hint="eastAsia"/>
          <w:b/>
          <w:color w:val="000000" w:themeColor="text1"/>
          <w14:textFill>
            <w14:solidFill>
              <w14:schemeClr w14:val="tx1"/>
            </w14:solidFill>
          </w14:textFill>
        </w:rPr>
        <w:t>N下涨潮时苯乙烯</w:t>
      </w:r>
      <w:r>
        <w:rPr>
          <w:rFonts w:hint="eastAsia"/>
          <w:b/>
          <w:color w:val="000000" w:themeColor="text1"/>
          <w:lang w:eastAsia="zh-CN"/>
          <w14:textFill>
            <w14:solidFill>
              <w14:schemeClr w14:val="tx1"/>
            </w14:solidFill>
          </w14:textFill>
        </w:rPr>
        <w:t>泄漏</w:t>
      </w:r>
      <w:r>
        <w:rPr>
          <w:rFonts w:hint="eastAsia"/>
          <w:b/>
          <w:color w:val="000000" w:themeColor="text1"/>
          <w14:textFill>
            <w14:solidFill>
              <w14:schemeClr w14:val="tx1"/>
            </w14:solidFill>
          </w14:textFill>
        </w:rPr>
        <w:t>的运动轨迹</w:t>
      </w:r>
    </w:p>
    <w:p w14:paraId="78037FD0">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（2）</w:t>
      </w:r>
      <w:r>
        <w:rPr>
          <w:rFonts w:hint="eastAsia"/>
          <w:color w:val="000000" w:themeColor="text1"/>
          <w14:textFill>
            <w14:solidFill>
              <w14:schemeClr w14:val="tx1"/>
            </w14:solidFill>
          </w14:textFill>
        </w:rPr>
        <w:t>冬</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N，大潮落潮</w:t>
      </w:r>
    </w:p>
    <w:p w14:paraId="30DE96BA">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大潮落潮时，当苯乙烯泄露后，苯乙烯物质随着落潮流向南漂移，1</w:t>
      </w:r>
      <w:r>
        <w:rPr>
          <w:color w:val="000000" w:themeColor="text1"/>
          <w:u w:val="single"/>
          <w14:textFill>
            <w14:solidFill>
              <w14:schemeClr w14:val="tx1"/>
            </w14:solidFill>
          </w14:textFill>
        </w:rPr>
        <w:t>2</w:t>
      </w:r>
      <w:r>
        <w:rPr>
          <w:rFonts w:hint="eastAsia"/>
          <w:color w:val="000000" w:themeColor="text1"/>
          <w:u w:val="single"/>
          <w14:textFill>
            <w14:solidFill>
              <w14:schemeClr w14:val="tx1"/>
            </w14:solidFill>
          </w14:textFill>
        </w:rPr>
        <w:t>时后运动至钦州湾湾口三墩西南端附近海域，在涨潮流和N风的作用下，12-24时苯乙烯在钦州湾口附近徘徊；随后在落潮流及风的作用下，2</w:t>
      </w:r>
      <w:r>
        <w:rPr>
          <w:color w:val="000000" w:themeColor="text1"/>
          <w:u w:val="single"/>
          <w14:textFill>
            <w14:solidFill>
              <w14:schemeClr w14:val="tx1"/>
            </w14:solidFill>
          </w14:textFill>
        </w:rPr>
        <w:t>8</w:t>
      </w:r>
      <w:r>
        <w:rPr>
          <w:rFonts w:hint="eastAsia"/>
          <w:color w:val="000000" w:themeColor="text1"/>
          <w:u w:val="single"/>
          <w14:textFill>
            <w14:solidFill>
              <w14:schemeClr w14:val="tx1"/>
            </w14:solidFill>
          </w14:textFill>
        </w:rPr>
        <w:t>时苯乙烯进入北部湾二长棘鲷长毛对虾国家级种质资源保护区（实验区），</w:t>
      </w:r>
      <w:r>
        <w:rPr>
          <w:color w:val="000000" w:themeColor="text1"/>
          <w:u w:val="single"/>
          <w14:textFill>
            <w14:solidFill>
              <w14:schemeClr w14:val="tx1"/>
            </w14:solidFill>
          </w14:textFill>
        </w:rPr>
        <w:t>28-48</w:t>
      </w:r>
      <w:r>
        <w:rPr>
          <w:rFonts w:hint="eastAsia"/>
          <w:color w:val="000000" w:themeColor="text1"/>
          <w:u w:val="single"/>
          <w14:textFill>
            <w14:solidFill>
              <w14:schemeClr w14:val="tx1"/>
            </w14:solidFill>
          </w14:textFill>
        </w:rPr>
        <w:t>时在保护区的实验区内往复运动并逐渐漂向外海，</w:t>
      </w:r>
      <w:r>
        <w:rPr>
          <w:color w:val="000000" w:themeColor="text1"/>
          <w:u w:val="single"/>
          <w14:textFill>
            <w14:solidFill>
              <w14:schemeClr w14:val="tx1"/>
            </w14:solidFill>
          </w14:textFill>
        </w:rPr>
        <w:t>40</w:t>
      </w:r>
      <w:r>
        <w:rPr>
          <w:rFonts w:hint="eastAsia"/>
          <w:color w:val="000000" w:themeColor="text1"/>
          <w:u w:val="single"/>
          <w14:textFill>
            <w14:solidFill>
              <w14:schemeClr w14:val="tx1"/>
            </w14:solidFill>
          </w14:textFill>
        </w:rPr>
        <w:t>时进入三娘湾离岸浅海养殖区南侧海域，4</w:t>
      </w:r>
      <w:r>
        <w:rPr>
          <w:color w:val="000000" w:themeColor="text1"/>
          <w:u w:val="single"/>
          <w14:textFill>
            <w14:solidFill>
              <w14:schemeClr w14:val="tx1"/>
            </w14:solidFill>
          </w14:textFill>
        </w:rPr>
        <w:t>8-71</w:t>
      </w:r>
      <w:r>
        <w:rPr>
          <w:rFonts w:hint="eastAsia"/>
          <w:color w:val="000000" w:themeColor="text1"/>
          <w:u w:val="single"/>
          <w14:textFill>
            <w14:solidFill>
              <w14:schemeClr w14:val="tx1"/>
            </w14:solidFill>
          </w14:textFill>
        </w:rPr>
        <w:t>时苯乙烯继续向南运动，约6</w:t>
      </w:r>
      <w:r>
        <w:rPr>
          <w:color w:val="000000" w:themeColor="text1"/>
          <w:u w:val="single"/>
          <w14:textFill>
            <w14:solidFill>
              <w14:schemeClr w14:val="tx1"/>
            </w14:solidFill>
          </w14:textFill>
        </w:rPr>
        <w:t>8</w:t>
      </w:r>
      <w:r>
        <w:rPr>
          <w:rFonts w:hint="eastAsia"/>
          <w:color w:val="000000" w:themeColor="text1"/>
          <w:u w:val="single"/>
          <w14:textFill>
            <w14:solidFill>
              <w14:schemeClr w14:val="tx1"/>
            </w14:solidFill>
          </w14:textFill>
        </w:rPr>
        <w:t>时进入海洋牧场，7</w:t>
      </w:r>
      <w:r>
        <w:rPr>
          <w:color w:val="000000" w:themeColor="text1"/>
          <w:u w:val="single"/>
          <w14:textFill>
            <w14:solidFill>
              <w14:schemeClr w14:val="tx1"/>
            </w14:solidFill>
          </w14:textFill>
        </w:rPr>
        <w:t>1</w:t>
      </w:r>
      <w:r>
        <w:rPr>
          <w:rFonts w:hint="eastAsia"/>
          <w:color w:val="000000" w:themeColor="text1"/>
          <w:u w:val="single"/>
          <w14:textFill>
            <w14:solidFill>
              <w14:schemeClr w14:val="tx1"/>
            </w14:solidFill>
          </w14:textFill>
        </w:rPr>
        <w:t>~72时逐渐飘出计算域，由于计算区域外海开边界距北部湾二长棘鲷长毛对虾国家级种质资源保护区（核心区）仅5.5km，</w:t>
      </w:r>
      <w:r>
        <w:rPr>
          <w:color w:val="000000" w:themeColor="text1"/>
          <w:u w:val="single"/>
          <w14:textFill>
            <w14:solidFill>
              <w14:schemeClr w14:val="tx1"/>
            </w14:solidFill>
          </w14:textFill>
        </w:rPr>
        <w:t>72</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84</w:t>
      </w:r>
      <w:r>
        <w:rPr>
          <w:rFonts w:hint="eastAsia"/>
          <w:color w:val="000000" w:themeColor="text1"/>
          <w:u w:val="single"/>
          <w14:textFill>
            <w14:solidFill>
              <w14:schemeClr w14:val="tx1"/>
            </w14:solidFill>
          </w14:textFill>
        </w:rPr>
        <w:t>时为涨潮阶段，据估算苯乙烯物质将继续在实验区南部边缘徘徊，苯乙烯</w:t>
      </w:r>
      <w:r>
        <w:rPr>
          <w:rFonts w:hint="eastAsia"/>
          <w:color w:val="000000" w:themeColor="text1"/>
          <w:u w:val="single"/>
          <w:lang w:eastAsia="zh-CN"/>
          <w14:textFill>
            <w14:solidFill>
              <w14:schemeClr w14:val="tx1"/>
            </w14:solidFill>
          </w14:textFill>
        </w:rPr>
        <w:t>泄漏</w:t>
      </w:r>
      <w:r>
        <w:rPr>
          <w:rFonts w:hint="eastAsia"/>
          <w:color w:val="000000" w:themeColor="text1"/>
          <w:u w:val="single"/>
          <w14:textFill>
            <w14:solidFill>
              <w14:schemeClr w14:val="tx1"/>
            </w14:solidFill>
          </w14:textFill>
        </w:rPr>
        <w:t>发生</w:t>
      </w:r>
      <w:r>
        <w:rPr>
          <w:color w:val="000000" w:themeColor="text1"/>
          <w:u w:val="single"/>
          <w14:textFill>
            <w14:solidFill>
              <w14:schemeClr w14:val="tx1"/>
            </w14:solidFill>
          </w14:textFill>
        </w:rPr>
        <w:t>85</w:t>
      </w:r>
      <w:r>
        <w:rPr>
          <w:rFonts w:hint="eastAsia"/>
          <w:color w:val="000000" w:themeColor="text1"/>
          <w:u w:val="single"/>
          <w14:textFill>
            <w14:solidFill>
              <w14:schemeClr w14:val="tx1"/>
            </w14:solidFill>
          </w14:textFill>
        </w:rPr>
        <w:t>小时左右进入核心区。苯乙烯</w:t>
      </w:r>
      <w:r>
        <w:rPr>
          <w:rFonts w:hint="eastAsia"/>
          <w:color w:val="000000" w:themeColor="text1"/>
          <w:u w:val="single"/>
          <w:lang w:eastAsia="zh-CN"/>
          <w14:textFill>
            <w14:solidFill>
              <w14:schemeClr w14:val="tx1"/>
            </w14:solidFill>
          </w14:textFill>
        </w:rPr>
        <w:t>泄漏</w:t>
      </w:r>
      <w:r>
        <w:rPr>
          <w:rFonts w:hint="eastAsia"/>
          <w:color w:val="000000" w:themeColor="text1"/>
          <w:u w:val="single"/>
          <w14:textFill>
            <w14:solidFill>
              <w14:schemeClr w14:val="tx1"/>
            </w14:solidFill>
          </w14:textFill>
        </w:rPr>
        <w:t>发生</w:t>
      </w:r>
      <w:r>
        <w:rPr>
          <w:color w:val="000000" w:themeColor="text1"/>
          <w:u w:val="single"/>
          <w14:textFill>
            <w14:solidFill>
              <w14:schemeClr w14:val="tx1"/>
            </w14:solidFill>
          </w14:textFill>
        </w:rPr>
        <w:t>7</w:t>
      </w:r>
      <w:r>
        <w:rPr>
          <w:rFonts w:hint="eastAsia"/>
          <w:color w:val="000000" w:themeColor="text1"/>
          <w:u w:val="single"/>
          <w14:textFill>
            <w14:solidFill>
              <w14:schemeClr w14:val="tx1"/>
            </w14:solidFill>
          </w14:textFill>
        </w:rPr>
        <w:t>2小时内的扫海面积见表5.5-</w:t>
      </w:r>
      <w:r>
        <w:rPr>
          <w:color w:val="000000" w:themeColor="text1"/>
          <w:u w:val="single"/>
          <w14:textFill>
            <w14:solidFill>
              <w14:schemeClr w14:val="tx1"/>
            </w14:solidFill>
          </w14:textFill>
        </w:rPr>
        <w:t>11</w:t>
      </w:r>
      <w:r>
        <w:rPr>
          <w:rFonts w:hint="eastAsia"/>
          <w:color w:val="000000" w:themeColor="text1"/>
          <w:u w:val="single"/>
          <w14:textFill>
            <w14:solidFill>
              <w14:schemeClr w14:val="tx1"/>
            </w14:solidFill>
          </w14:textFill>
        </w:rPr>
        <w:t>，漂移轨迹及扫海范围见图</w:t>
      </w:r>
      <w:r>
        <w:rPr>
          <w:rFonts w:hint="eastAsia"/>
          <w:color w:val="000000" w:themeColor="text1"/>
          <w:kern w:val="0"/>
          <w:u w:val="single"/>
          <w14:textFill>
            <w14:solidFill>
              <w14:schemeClr w14:val="tx1"/>
            </w14:solidFill>
          </w14:textFill>
        </w:rPr>
        <w:t>5.5.3</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15~</w:t>
      </w:r>
      <w:r>
        <w:rPr>
          <w:rFonts w:hint="eastAsia"/>
          <w:color w:val="000000" w:themeColor="text1"/>
          <w:u w:val="single"/>
          <w14:textFill>
            <w14:solidFill>
              <w14:schemeClr w14:val="tx1"/>
            </w14:solidFill>
          </w14:textFill>
        </w:rPr>
        <w:t>图</w:t>
      </w:r>
      <w:r>
        <w:rPr>
          <w:rFonts w:hint="eastAsia"/>
          <w:color w:val="000000" w:themeColor="text1"/>
          <w:kern w:val="0"/>
          <w:u w:val="single"/>
          <w14:textFill>
            <w14:solidFill>
              <w14:schemeClr w14:val="tx1"/>
            </w14:solidFill>
          </w14:textFill>
        </w:rPr>
        <w:t>5.5.3</w:t>
      </w:r>
      <w:r>
        <w:rPr>
          <w:color w:val="000000" w:themeColor="text1"/>
          <w:u w:val="single"/>
          <w14:textFill>
            <w14:solidFill>
              <w14:schemeClr w14:val="tx1"/>
            </w14:solidFill>
          </w14:textFill>
        </w:rPr>
        <w:t>-16</w:t>
      </w:r>
      <w:r>
        <w:rPr>
          <w:rFonts w:hint="eastAsia"/>
          <w:color w:val="000000" w:themeColor="text1"/>
          <w:u w:val="single"/>
          <w14:textFill>
            <w14:solidFill>
              <w14:schemeClr w14:val="tx1"/>
            </w14:solidFill>
          </w14:textFill>
        </w:rPr>
        <w:t>。</w:t>
      </w:r>
    </w:p>
    <w:p w14:paraId="6CA435C3">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冬</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N条件下落潮时苯乙烯泄露扫海面积</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83"/>
        <w:gridCol w:w="1387"/>
        <w:gridCol w:w="1387"/>
        <w:gridCol w:w="1387"/>
        <w:gridCol w:w="1388"/>
        <w:gridCol w:w="1390"/>
      </w:tblGrid>
      <w:tr w14:paraId="73C19D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929" w:type="pct"/>
            <w:vMerge w:val="restart"/>
            <w:tcMar>
              <w:top w:w="57" w:type="dxa"/>
              <w:bottom w:w="57" w:type="dxa"/>
            </w:tcMar>
            <w:vAlign w:val="center"/>
          </w:tcPr>
          <w:p w14:paraId="526A8BE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4071" w:type="pct"/>
            <w:gridSpan w:val="5"/>
            <w:tcMar>
              <w:top w:w="57" w:type="dxa"/>
              <w:bottom w:w="57" w:type="dxa"/>
            </w:tcMar>
            <w:vAlign w:val="center"/>
          </w:tcPr>
          <w:p w14:paraId="200A126D">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泄漏发生经历时间（小时）</w:t>
            </w:r>
          </w:p>
        </w:tc>
      </w:tr>
      <w:tr w14:paraId="534BA6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 w:hRule="atLeast"/>
          <w:jc w:val="center"/>
        </w:trPr>
        <w:tc>
          <w:tcPr>
            <w:tcW w:w="929" w:type="pct"/>
            <w:vMerge w:val="continue"/>
            <w:tcMar>
              <w:top w:w="57" w:type="dxa"/>
              <w:bottom w:w="57" w:type="dxa"/>
            </w:tcMar>
            <w:vAlign w:val="center"/>
          </w:tcPr>
          <w:p w14:paraId="6FEC45D7">
            <w:pPr>
              <w:spacing w:line="240" w:lineRule="atLeast"/>
              <w:ind w:firstLine="0" w:firstLineChars="0"/>
              <w:jc w:val="center"/>
              <w:rPr>
                <w:color w:val="000000" w:themeColor="text1"/>
                <w:sz w:val="21"/>
                <w:szCs w:val="21"/>
                <w14:textFill>
                  <w14:solidFill>
                    <w14:schemeClr w14:val="tx1"/>
                  </w14:solidFill>
                </w14:textFill>
              </w:rPr>
            </w:pPr>
          </w:p>
        </w:tc>
        <w:tc>
          <w:tcPr>
            <w:tcW w:w="814" w:type="pct"/>
            <w:tcMar>
              <w:top w:w="57" w:type="dxa"/>
              <w:bottom w:w="57" w:type="dxa"/>
            </w:tcMar>
            <w:vAlign w:val="center"/>
          </w:tcPr>
          <w:p w14:paraId="2D477257">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14" w:type="pct"/>
            <w:vAlign w:val="center"/>
          </w:tcPr>
          <w:p w14:paraId="3A02DE1B">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p>
        </w:tc>
        <w:tc>
          <w:tcPr>
            <w:tcW w:w="814" w:type="pct"/>
            <w:tcMar>
              <w:top w:w="57" w:type="dxa"/>
              <w:bottom w:w="57" w:type="dxa"/>
            </w:tcMar>
            <w:vAlign w:val="center"/>
          </w:tcPr>
          <w:p w14:paraId="6BEB00B2">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24</w:t>
            </w:r>
          </w:p>
        </w:tc>
        <w:tc>
          <w:tcPr>
            <w:tcW w:w="814" w:type="pct"/>
            <w:tcMar>
              <w:top w:w="57" w:type="dxa"/>
              <w:bottom w:w="57" w:type="dxa"/>
            </w:tcMar>
            <w:vAlign w:val="center"/>
          </w:tcPr>
          <w:p w14:paraId="5659F917">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48</w:t>
            </w:r>
          </w:p>
        </w:tc>
        <w:tc>
          <w:tcPr>
            <w:tcW w:w="815" w:type="pct"/>
            <w:vAlign w:val="center"/>
          </w:tcPr>
          <w:p w14:paraId="0C6E0A58">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w:t>
            </w:r>
            <w:r>
              <w:rPr>
                <w:rFonts w:hint="eastAsia"/>
                <w:color w:val="000000" w:themeColor="text1"/>
                <w:sz w:val="21"/>
                <w:szCs w:val="21"/>
                <w14:textFill>
                  <w14:solidFill>
                    <w14:schemeClr w14:val="tx1"/>
                  </w14:solidFill>
                </w14:textFill>
              </w:rPr>
              <w:t>2</w:t>
            </w:r>
          </w:p>
        </w:tc>
      </w:tr>
      <w:tr w14:paraId="7CF51B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2655C98A">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扫海面积（km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498A2B52">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0.3</w:t>
            </w:r>
            <w:r>
              <w:rPr>
                <w:color w:val="000000" w:themeColor="text1"/>
                <w:sz w:val="21"/>
                <w:szCs w:val="21"/>
                <w14:textFill>
                  <w14:solidFill>
                    <w14:schemeClr w14:val="tx1"/>
                  </w14:solidFill>
                </w14:textFill>
              </w:rPr>
              <w:t>09</w:t>
            </w:r>
          </w:p>
        </w:tc>
        <w:tc>
          <w:tcPr>
            <w:tcW w:w="814" w:type="pct"/>
            <w:vAlign w:val="center"/>
          </w:tcPr>
          <w:p w14:paraId="272F5F2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8.846</w:t>
            </w:r>
          </w:p>
        </w:tc>
        <w:tc>
          <w:tcPr>
            <w:tcW w:w="814" w:type="pct"/>
            <w:tcMar>
              <w:top w:w="57" w:type="dxa"/>
              <w:bottom w:w="57" w:type="dxa"/>
            </w:tcMar>
            <w:vAlign w:val="center"/>
          </w:tcPr>
          <w:p w14:paraId="4BB38A41">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r>
              <w:rPr>
                <w:color w:val="000000" w:themeColor="text1"/>
                <w:sz w:val="21"/>
                <w:szCs w:val="21"/>
                <w14:textFill>
                  <w14:solidFill>
                    <w14:schemeClr w14:val="tx1"/>
                  </w14:solidFill>
                </w14:textFill>
              </w:rPr>
              <w:t>4</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159</w:t>
            </w:r>
          </w:p>
        </w:tc>
        <w:tc>
          <w:tcPr>
            <w:tcW w:w="814" w:type="pct"/>
            <w:tcMar>
              <w:top w:w="57" w:type="dxa"/>
              <w:bottom w:w="57" w:type="dxa"/>
            </w:tcMar>
            <w:vAlign w:val="center"/>
          </w:tcPr>
          <w:p w14:paraId="45EEB8E8">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r>
              <w:rPr>
                <w:color w:val="000000" w:themeColor="text1"/>
                <w:sz w:val="21"/>
                <w:szCs w:val="21"/>
                <w14:textFill>
                  <w14:solidFill>
                    <w14:schemeClr w14:val="tx1"/>
                  </w14:solidFill>
                </w14:textFill>
              </w:rPr>
              <w:t>8</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043</w:t>
            </w:r>
          </w:p>
        </w:tc>
        <w:tc>
          <w:tcPr>
            <w:tcW w:w="815" w:type="pct"/>
            <w:vAlign w:val="center"/>
          </w:tcPr>
          <w:p w14:paraId="2C6860C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206.309</w:t>
            </w:r>
          </w:p>
        </w:tc>
      </w:tr>
      <w:tr w14:paraId="5A6744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59C0B5F2">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残余苯乙烯平均厚度（m</w:t>
            </w:r>
            <w:r>
              <w:rPr>
                <w:color w:val="000000" w:themeColor="text1"/>
                <w:sz w:val="21"/>
                <w:szCs w:val="21"/>
                <w14:textFill>
                  <w14:solidFill>
                    <w14:schemeClr w14:val="tx1"/>
                  </w14:solidFill>
                </w14:textFill>
              </w:rPr>
              <w:t>m</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42BC3A42">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5248.12</w:t>
            </w:r>
          </w:p>
        </w:tc>
        <w:tc>
          <w:tcPr>
            <w:tcW w:w="814" w:type="pct"/>
            <w:vAlign w:val="center"/>
          </w:tcPr>
          <w:p w14:paraId="2746D33C">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636.93</w:t>
            </w:r>
          </w:p>
        </w:tc>
        <w:tc>
          <w:tcPr>
            <w:tcW w:w="814" w:type="pct"/>
            <w:tcMar>
              <w:top w:w="57" w:type="dxa"/>
              <w:bottom w:w="57" w:type="dxa"/>
            </w:tcMar>
            <w:vAlign w:val="center"/>
          </w:tcPr>
          <w:p w14:paraId="0106695C">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133.28</w:t>
            </w:r>
          </w:p>
        </w:tc>
        <w:tc>
          <w:tcPr>
            <w:tcW w:w="814" w:type="pct"/>
            <w:tcMar>
              <w:top w:w="57" w:type="dxa"/>
              <w:bottom w:w="57" w:type="dxa"/>
            </w:tcMar>
            <w:vAlign w:val="center"/>
          </w:tcPr>
          <w:p w14:paraId="263350D3">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65.90</w:t>
            </w:r>
          </w:p>
        </w:tc>
        <w:tc>
          <w:tcPr>
            <w:tcW w:w="815" w:type="pct"/>
            <w:vAlign w:val="center"/>
          </w:tcPr>
          <w:p w14:paraId="22B7291B">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54.11</w:t>
            </w:r>
          </w:p>
        </w:tc>
      </w:tr>
    </w:tbl>
    <w:p w14:paraId="2E0FAB40">
      <w:pPr>
        <w:widowControl/>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009265" cy="3959860"/>
            <wp:effectExtent l="0" t="0" r="0" b="0"/>
            <wp:docPr id="255" name="图片 255" descr="G:\project\2022\jingujiang14-15#\yiyou\luon251128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G:\project\2022\jingujiang14-15#\yiyou\luon251128油.jpg"/>
                    <pic:cNvPicPr>
                      <a:picLocks noChangeAspect="1" noChangeArrowheads="1"/>
                    </pic:cNvPicPr>
                  </pic:nvPicPr>
                  <pic:blipFill>
                    <a:blip r:embed="rId246" cstate="print">
                      <a:extLst>
                        <a:ext uri="{28A0092B-C50C-407E-A947-70E740481C1C}">
                          <a14:useLocalDpi xmlns:a14="http://schemas.microsoft.com/office/drawing/2010/main" val="0"/>
                        </a:ext>
                      </a:extLst>
                    </a:blip>
                    <a:srcRect l="490" t="1230" r="3163" b="11996"/>
                    <a:stretch>
                      <a:fillRect/>
                    </a:stretch>
                  </pic:blipFill>
                  <pic:spPr>
                    <a:xfrm>
                      <a:off x="0" y="0"/>
                      <a:ext cx="3009500" cy="3960000"/>
                    </a:xfrm>
                    <a:prstGeom prst="rect">
                      <a:avLst/>
                    </a:prstGeom>
                    <a:noFill/>
                    <a:ln>
                      <a:noFill/>
                    </a:ln>
                  </pic:spPr>
                </pic:pic>
              </a:graphicData>
            </a:graphic>
          </wp:inline>
        </w:drawing>
      </w:r>
    </w:p>
    <w:p w14:paraId="43E77403">
      <w:pPr>
        <w:widowControl/>
        <w:ind w:firstLine="482"/>
        <w:jc w:val="center"/>
        <w:rPr>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b/>
          <w:color w:val="000000" w:themeColor="text1"/>
          <w14:textFill>
            <w14:solidFill>
              <w14:schemeClr w14:val="tx1"/>
            </w14:solidFill>
          </w14:textFill>
        </w:rPr>
        <w:t>-15</w:t>
      </w:r>
      <w:r>
        <w:rPr>
          <w:rFonts w:hint="eastAsia"/>
          <w:b/>
          <w:color w:val="000000" w:themeColor="text1"/>
          <w14:textFill>
            <w14:solidFill>
              <w14:schemeClr w14:val="tx1"/>
            </w14:solidFill>
          </w14:textFill>
        </w:rPr>
        <w:t xml:space="preserve"> 冬</w:t>
      </w:r>
      <w:r>
        <w:rPr>
          <w:b/>
          <w:color w:val="000000" w:themeColor="text1"/>
          <w14:textFill>
            <w14:solidFill>
              <w14:schemeClr w14:val="tx1"/>
            </w14:solidFill>
          </w14:textFill>
        </w:rPr>
        <w:t>季主导风</w:t>
      </w:r>
      <w:r>
        <w:rPr>
          <w:rFonts w:hint="eastAsia"/>
          <w:b/>
          <w:color w:val="000000" w:themeColor="text1"/>
          <w14:textFill>
            <w14:solidFill>
              <w14:schemeClr w14:val="tx1"/>
            </w14:solidFill>
          </w14:textFill>
        </w:rPr>
        <w:t>N下落潮时苯乙烯</w:t>
      </w:r>
      <w:r>
        <w:rPr>
          <w:rFonts w:hint="eastAsia"/>
          <w:b/>
          <w:color w:val="000000" w:themeColor="text1"/>
          <w:lang w:eastAsia="zh-CN"/>
          <w14:textFill>
            <w14:solidFill>
              <w14:schemeClr w14:val="tx1"/>
            </w14:solidFill>
          </w14:textFill>
        </w:rPr>
        <w:t>泄漏</w:t>
      </w:r>
      <w:r>
        <w:rPr>
          <w:rFonts w:hint="eastAsia"/>
          <w:b/>
          <w:color w:val="000000" w:themeColor="text1"/>
          <w14:textFill>
            <w14:solidFill>
              <w14:schemeClr w14:val="tx1"/>
            </w14:solidFill>
          </w14:textFill>
        </w:rPr>
        <w:t>影响范围示意</w:t>
      </w:r>
    </w:p>
    <w:p w14:paraId="364694AC">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3022600" cy="3959860"/>
            <wp:effectExtent l="0" t="0" r="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247"/>
                    <a:stretch>
                      <a:fillRect/>
                    </a:stretch>
                  </pic:blipFill>
                  <pic:spPr>
                    <a:xfrm>
                      <a:off x="0" y="0"/>
                      <a:ext cx="3023140" cy="3960000"/>
                    </a:xfrm>
                    <a:prstGeom prst="rect">
                      <a:avLst/>
                    </a:prstGeom>
                  </pic:spPr>
                </pic:pic>
              </a:graphicData>
            </a:graphic>
          </wp:inline>
        </w:drawing>
      </w:r>
    </w:p>
    <w:p w14:paraId="6B0A9946">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b/>
          <w:color w:val="000000" w:themeColor="text1"/>
          <w14:textFill>
            <w14:solidFill>
              <w14:schemeClr w14:val="tx1"/>
            </w14:solidFill>
          </w14:textFill>
        </w:rPr>
        <w:t>-16</w:t>
      </w:r>
      <w:r>
        <w:rPr>
          <w:rFonts w:hint="eastAsia"/>
          <w:b/>
          <w:color w:val="000000" w:themeColor="text1"/>
          <w14:textFill>
            <w14:solidFill>
              <w14:schemeClr w14:val="tx1"/>
            </w14:solidFill>
          </w14:textFill>
        </w:rPr>
        <w:t xml:space="preserve"> 冬</w:t>
      </w:r>
      <w:r>
        <w:rPr>
          <w:b/>
          <w:color w:val="000000" w:themeColor="text1"/>
          <w14:textFill>
            <w14:solidFill>
              <w14:schemeClr w14:val="tx1"/>
            </w14:solidFill>
          </w14:textFill>
        </w:rPr>
        <w:t>季主导风</w:t>
      </w:r>
      <w:r>
        <w:rPr>
          <w:rFonts w:hint="eastAsia"/>
          <w:b/>
          <w:color w:val="000000" w:themeColor="text1"/>
          <w14:textFill>
            <w14:solidFill>
              <w14:schemeClr w14:val="tx1"/>
            </w14:solidFill>
          </w14:textFill>
        </w:rPr>
        <w:t>N下落潮时苯乙烯</w:t>
      </w:r>
      <w:r>
        <w:rPr>
          <w:rFonts w:hint="eastAsia"/>
          <w:b/>
          <w:color w:val="000000" w:themeColor="text1"/>
          <w:lang w:eastAsia="zh-CN"/>
          <w14:textFill>
            <w14:solidFill>
              <w14:schemeClr w14:val="tx1"/>
            </w14:solidFill>
          </w14:textFill>
        </w:rPr>
        <w:t>泄漏</w:t>
      </w:r>
      <w:r>
        <w:rPr>
          <w:rFonts w:hint="eastAsia"/>
          <w:b/>
          <w:color w:val="000000" w:themeColor="text1"/>
          <w14:textFill>
            <w14:solidFill>
              <w14:schemeClr w14:val="tx1"/>
            </w14:solidFill>
          </w14:textFill>
        </w:rPr>
        <w:t>的运动轨迹</w:t>
      </w:r>
    </w:p>
    <w:p w14:paraId="167B7CDC">
      <w:pPr>
        <w:ind w:firstLine="480"/>
        <w:rPr>
          <w:color w:val="000000" w:themeColor="text1"/>
          <w14:textFill>
            <w14:solidFill>
              <w14:schemeClr w14:val="tx1"/>
            </w14:solidFill>
          </w14:textFill>
        </w:rPr>
      </w:pPr>
      <w:r>
        <w:rPr>
          <w:rFonts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3</w:t>
      </w:r>
      <w:r>
        <w:rPr>
          <w:rFonts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夏</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S，大潮涨潮</w:t>
      </w:r>
    </w:p>
    <w:p w14:paraId="1C8B8F2D">
      <w:pPr>
        <w:ind w:firstLine="480"/>
        <w:rPr>
          <w:rFonts w:hAnsi="宋体"/>
          <w:color w:val="000000" w:themeColor="text1"/>
          <w:u w:val="single"/>
          <w14:textFill>
            <w14:solidFill>
              <w14:schemeClr w14:val="tx1"/>
            </w14:solidFill>
          </w14:textFill>
        </w:rPr>
      </w:pPr>
      <w:r>
        <w:rPr>
          <w:rFonts w:hint="eastAsia" w:hAnsi="宋体"/>
          <w:color w:val="000000" w:themeColor="text1"/>
          <w:u w:val="single"/>
          <w14:textFill>
            <w14:solidFill>
              <w14:schemeClr w14:val="tx1"/>
            </w14:solidFill>
          </w14:textFill>
        </w:rPr>
        <w:t>在5.1m/s的S风以及涨潮流作用下</w:t>
      </w:r>
      <w:r>
        <w:rPr>
          <w:rFonts w:hAnsi="宋体"/>
          <w:color w:val="000000" w:themeColor="text1"/>
          <w:u w:val="single"/>
          <w14:textFill>
            <w14:solidFill>
              <w14:schemeClr w14:val="tx1"/>
            </w14:solidFill>
          </w14:textFill>
        </w:rPr>
        <w:t>，</w:t>
      </w:r>
      <w:r>
        <w:rPr>
          <w:rFonts w:hint="eastAsia" w:hAnsi="宋体"/>
          <w:color w:val="000000" w:themeColor="text1"/>
          <w:u w:val="single"/>
          <w14:textFill>
            <w14:solidFill>
              <w14:schemeClr w14:val="tx1"/>
            </w14:solidFill>
          </w14:textFill>
        </w:rPr>
        <w:t>苯乙烯</w:t>
      </w:r>
      <w:r>
        <w:rPr>
          <w:rFonts w:hint="eastAsia" w:hAnsi="宋体"/>
          <w:color w:val="000000" w:themeColor="text1"/>
          <w:u w:val="single"/>
          <w:lang w:eastAsia="zh-CN"/>
          <w14:textFill>
            <w14:solidFill>
              <w14:schemeClr w14:val="tx1"/>
            </w14:solidFill>
          </w14:textFill>
        </w:rPr>
        <w:t>泄漏</w:t>
      </w:r>
      <w:r>
        <w:rPr>
          <w:rFonts w:hint="eastAsia"/>
          <w:color w:val="000000" w:themeColor="text1"/>
          <w:u w:val="single"/>
          <w14:textFill>
            <w14:solidFill>
              <w14:schemeClr w14:val="tx1"/>
            </w14:solidFill>
          </w14:textFill>
        </w:rPr>
        <w:t>发生1小时后部分苯乙烯在本项目北侧临近岸线登陆，剩余苯乙烯物质继续向金鼓江上游运动，</w:t>
      </w:r>
      <w:r>
        <w:rPr>
          <w:color w:val="000000" w:themeColor="text1"/>
          <w:u w:val="single"/>
          <w14:textFill>
            <w14:solidFill>
              <w14:schemeClr w14:val="tx1"/>
            </w14:solidFill>
          </w14:textFill>
        </w:rPr>
        <w:t>3</w:t>
      </w:r>
      <w:r>
        <w:rPr>
          <w:rFonts w:hint="eastAsia"/>
          <w:color w:val="000000" w:themeColor="text1"/>
          <w:u w:val="single"/>
          <w14:textFill>
            <w14:solidFill>
              <w14:schemeClr w14:val="tx1"/>
            </w14:solidFill>
          </w14:textFill>
        </w:rPr>
        <w:t>小时后到达金鼓江支流-望鸦江口，泄露的苯乙烯一支沿望鸦江北上6小时后受岸线阻挡吸附而完全登陆，另一支继续沿金鼓江主流北上逐渐扫过整个江面，1</w:t>
      </w:r>
      <w:r>
        <w:rPr>
          <w:color w:val="000000" w:themeColor="text1"/>
          <w:u w:val="single"/>
          <w14:textFill>
            <w14:solidFill>
              <w14:schemeClr w14:val="tx1"/>
            </w14:solidFill>
          </w14:textFill>
        </w:rPr>
        <w:t>0</w:t>
      </w:r>
      <w:r>
        <w:rPr>
          <w:rFonts w:hint="eastAsia"/>
          <w:color w:val="000000" w:themeColor="text1"/>
          <w:u w:val="single"/>
          <w14:textFill>
            <w14:solidFill>
              <w14:schemeClr w14:val="tx1"/>
            </w14:solidFill>
          </w14:textFill>
        </w:rPr>
        <w:t>时后受岸线阻挡而登陆。受岸线阻挡吸附及风、流顶托作用，此后油膜基本停止运动。苯乙烯</w:t>
      </w:r>
      <w:r>
        <w:rPr>
          <w:rFonts w:hint="eastAsia"/>
          <w:color w:val="000000" w:themeColor="text1"/>
          <w:u w:val="single"/>
          <w:lang w:eastAsia="zh-CN"/>
          <w14:textFill>
            <w14:solidFill>
              <w14:schemeClr w14:val="tx1"/>
            </w14:solidFill>
          </w14:textFill>
        </w:rPr>
        <w:t>泄漏</w:t>
      </w:r>
      <w:r>
        <w:rPr>
          <w:rFonts w:hint="eastAsia"/>
          <w:color w:val="000000" w:themeColor="text1"/>
          <w:u w:val="single"/>
          <w14:textFill>
            <w14:solidFill>
              <w14:schemeClr w14:val="tx1"/>
            </w14:solidFill>
          </w14:textFill>
        </w:rPr>
        <w:t>发生</w:t>
      </w:r>
      <w:r>
        <w:rPr>
          <w:color w:val="000000" w:themeColor="text1"/>
          <w:u w:val="single"/>
          <w14:textFill>
            <w14:solidFill>
              <w14:schemeClr w14:val="tx1"/>
            </w14:solidFill>
          </w14:textFill>
        </w:rPr>
        <w:t>72</w:t>
      </w:r>
      <w:r>
        <w:rPr>
          <w:rFonts w:hint="eastAsia"/>
          <w:color w:val="000000" w:themeColor="text1"/>
          <w:u w:val="single"/>
          <w14:textFill>
            <w14:solidFill>
              <w14:schemeClr w14:val="tx1"/>
            </w14:solidFill>
          </w14:textFill>
        </w:rPr>
        <w:t>小时的扫海面积见表5.5</w:t>
      </w:r>
      <w:r>
        <w:rPr>
          <w:color w:val="000000" w:themeColor="text1"/>
          <w:u w:val="single"/>
          <w14:textFill>
            <w14:solidFill>
              <w14:schemeClr w14:val="tx1"/>
            </w14:solidFill>
          </w14:textFill>
        </w:rPr>
        <w:t>-12</w:t>
      </w:r>
      <w:r>
        <w:rPr>
          <w:rFonts w:hint="eastAsia"/>
          <w:color w:val="000000" w:themeColor="text1"/>
          <w:u w:val="single"/>
          <w14:textFill>
            <w14:solidFill>
              <w14:schemeClr w14:val="tx1"/>
            </w14:solidFill>
          </w14:textFill>
        </w:rPr>
        <w:t>，运动趋势及扩散范围如图</w:t>
      </w:r>
      <w:r>
        <w:rPr>
          <w:rFonts w:hint="eastAsia"/>
          <w:color w:val="000000" w:themeColor="text1"/>
          <w:kern w:val="0"/>
          <w:u w:val="single"/>
          <w14:textFill>
            <w14:solidFill>
              <w14:schemeClr w14:val="tx1"/>
            </w14:solidFill>
          </w14:textFill>
        </w:rPr>
        <w:t>5.5.3</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17~</w:t>
      </w:r>
      <w:r>
        <w:rPr>
          <w:rFonts w:hint="eastAsia"/>
          <w:color w:val="000000" w:themeColor="text1"/>
          <w:u w:val="single"/>
          <w14:textFill>
            <w14:solidFill>
              <w14:schemeClr w14:val="tx1"/>
            </w14:solidFill>
          </w14:textFill>
        </w:rPr>
        <w:t>图</w:t>
      </w:r>
      <w:r>
        <w:rPr>
          <w:rFonts w:hint="eastAsia"/>
          <w:color w:val="000000" w:themeColor="text1"/>
          <w:kern w:val="0"/>
          <w:u w:val="single"/>
          <w14:textFill>
            <w14:solidFill>
              <w14:schemeClr w14:val="tx1"/>
            </w14:solidFill>
          </w14:textFill>
        </w:rPr>
        <w:t>5.5.3</w:t>
      </w:r>
      <w:r>
        <w:rPr>
          <w:color w:val="000000" w:themeColor="text1"/>
          <w:u w:val="single"/>
          <w14:textFill>
            <w14:solidFill>
              <w14:schemeClr w14:val="tx1"/>
            </w14:solidFill>
          </w14:textFill>
        </w:rPr>
        <w:t>-18</w:t>
      </w:r>
      <w:r>
        <w:rPr>
          <w:rFonts w:hint="eastAsia"/>
          <w:color w:val="000000" w:themeColor="text1"/>
          <w:u w:val="single"/>
          <w14:textFill>
            <w14:solidFill>
              <w14:schemeClr w14:val="tx1"/>
            </w14:solidFill>
          </w14:textFill>
        </w:rPr>
        <w:t>所示</w:t>
      </w:r>
      <w:r>
        <w:rPr>
          <w:rFonts w:hAnsi="宋体"/>
          <w:color w:val="000000" w:themeColor="text1"/>
          <w:u w:val="single"/>
          <w14:textFill>
            <w14:solidFill>
              <w14:schemeClr w14:val="tx1"/>
            </w14:solidFill>
          </w14:textFill>
        </w:rPr>
        <w:t>。</w:t>
      </w:r>
    </w:p>
    <w:p w14:paraId="2E867E97">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冬</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S条件下涨潮时苯乙烯泄露扫海面积</w:t>
      </w:r>
    </w:p>
    <w:tbl>
      <w:tblPr>
        <w:tblStyle w:val="43"/>
        <w:tblW w:w="490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53"/>
        <w:gridCol w:w="1361"/>
        <w:gridCol w:w="1361"/>
        <w:gridCol w:w="1361"/>
        <w:gridCol w:w="1361"/>
        <w:gridCol w:w="1363"/>
      </w:tblGrid>
      <w:tr w14:paraId="02B3FF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929" w:type="pct"/>
            <w:vMerge w:val="restart"/>
            <w:tcMar>
              <w:top w:w="57" w:type="dxa"/>
              <w:bottom w:w="57" w:type="dxa"/>
            </w:tcMar>
            <w:vAlign w:val="center"/>
          </w:tcPr>
          <w:p w14:paraId="0CBC32F2">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4071" w:type="pct"/>
            <w:gridSpan w:val="5"/>
            <w:tcMar>
              <w:top w:w="57" w:type="dxa"/>
              <w:bottom w:w="57" w:type="dxa"/>
            </w:tcMar>
            <w:vAlign w:val="center"/>
          </w:tcPr>
          <w:p w14:paraId="5C142C4A">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泄漏发生经历时间（小时）</w:t>
            </w:r>
          </w:p>
        </w:tc>
      </w:tr>
      <w:tr w14:paraId="381323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 w:hRule="atLeast"/>
          <w:jc w:val="center"/>
        </w:trPr>
        <w:tc>
          <w:tcPr>
            <w:tcW w:w="929" w:type="pct"/>
            <w:vMerge w:val="continue"/>
            <w:tcMar>
              <w:top w:w="57" w:type="dxa"/>
              <w:bottom w:w="57" w:type="dxa"/>
            </w:tcMar>
            <w:vAlign w:val="center"/>
          </w:tcPr>
          <w:p w14:paraId="789BC420">
            <w:pPr>
              <w:spacing w:line="240" w:lineRule="atLeast"/>
              <w:ind w:firstLine="0" w:firstLineChars="0"/>
              <w:jc w:val="center"/>
              <w:rPr>
                <w:b/>
                <w:color w:val="000000" w:themeColor="text1"/>
                <w:sz w:val="21"/>
                <w:szCs w:val="21"/>
                <w14:textFill>
                  <w14:solidFill>
                    <w14:schemeClr w14:val="tx1"/>
                  </w14:solidFill>
                </w14:textFill>
              </w:rPr>
            </w:pPr>
          </w:p>
        </w:tc>
        <w:tc>
          <w:tcPr>
            <w:tcW w:w="814" w:type="pct"/>
            <w:tcMar>
              <w:top w:w="57" w:type="dxa"/>
              <w:bottom w:w="57" w:type="dxa"/>
            </w:tcMar>
            <w:vAlign w:val="center"/>
          </w:tcPr>
          <w:p w14:paraId="5BC4E0F8">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w:t>
            </w:r>
          </w:p>
        </w:tc>
        <w:tc>
          <w:tcPr>
            <w:tcW w:w="814" w:type="pct"/>
            <w:tcMar>
              <w:top w:w="57" w:type="dxa"/>
              <w:bottom w:w="57" w:type="dxa"/>
            </w:tcMar>
            <w:vAlign w:val="center"/>
          </w:tcPr>
          <w:p w14:paraId="0FF25ADE">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3</w:t>
            </w:r>
          </w:p>
        </w:tc>
        <w:tc>
          <w:tcPr>
            <w:tcW w:w="814" w:type="pct"/>
            <w:tcMar>
              <w:top w:w="57" w:type="dxa"/>
              <w:bottom w:w="57" w:type="dxa"/>
            </w:tcMar>
            <w:vAlign w:val="center"/>
          </w:tcPr>
          <w:p w14:paraId="56522ABC">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6</w:t>
            </w:r>
          </w:p>
        </w:tc>
        <w:tc>
          <w:tcPr>
            <w:tcW w:w="814" w:type="pct"/>
            <w:vAlign w:val="center"/>
          </w:tcPr>
          <w:p w14:paraId="1AA19929">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10（登陆）</w:t>
            </w:r>
          </w:p>
        </w:tc>
        <w:tc>
          <w:tcPr>
            <w:tcW w:w="815" w:type="pct"/>
            <w:vAlign w:val="center"/>
          </w:tcPr>
          <w:p w14:paraId="77B45301">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72</w:t>
            </w:r>
          </w:p>
        </w:tc>
      </w:tr>
      <w:tr w14:paraId="7B0CC2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372F5EA3">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扫海面积（km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457FAA77">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w:t>
            </w:r>
            <w:r>
              <w:rPr>
                <w:color w:val="000000" w:themeColor="text1"/>
                <w:sz w:val="21"/>
                <w:szCs w:val="21"/>
                <w14:textFill>
                  <w14:solidFill>
                    <w14:schemeClr w14:val="tx1"/>
                  </w14:solidFill>
                </w14:textFill>
              </w:rPr>
              <w:t>50</w:t>
            </w:r>
          </w:p>
        </w:tc>
        <w:tc>
          <w:tcPr>
            <w:tcW w:w="814" w:type="pct"/>
            <w:tcMar>
              <w:top w:w="57" w:type="dxa"/>
              <w:bottom w:w="57" w:type="dxa"/>
            </w:tcMar>
            <w:vAlign w:val="center"/>
          </w:tcPr>
          <w:p w14:paraId="64FFF338">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r>
              <w:rPr>
                <w:color w:val="000000" w:themeColor="text1"/>
                <w:sz w:val="21"/>
                <w:szCs w:val="21"/>
                <w14:textFill>
                  <w14:solidFill>
                    <w14:schemeClr w14:val="tx1"/>
                  </w14:solidFill>
                </w14:textFill>
              </w:rPr>
              <w:t>695</w:t>
            </w:r>
          </w:p>
        </w:tc>
        <w:tc>
          <w:tcPr>
            <w:tcW w:w="814" w:type="pct"/>
            <w:tcMar>
              <w:top w:w="57" w:type="dxa"/>
              <w:bottom w:w="57" w:type="dxa"/>
            </w:tcMar>
            <w:vAlign w:val="center"/>
          </w:tcPr>
          <w:p w14:paraId="52CB7504">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707</w:t>
            </w:r>
          </w:p>
        </w:tc>
        <w:tc>
          <w:tcPr>
            <w:tcW w:w="814" w:type="pct"/>
            <w:vAlign w:val="center"/>
          </w:tcPr>
          <w:p w14:paraId="746DF190">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r>
              <w:rPr>
                <w:color w:val="000000" w:themeColor="text1"/>
                <w:sz w:val="21"/>
                <w:szCs w:val="21"/>
                <w14:textFill>
                  <w14:solidFill>
                    <w14:schemeClr w14:val="tx1"/>
                  </w14:solidFill>
                </w14:textFill>
              </w:rPr>
              <w:t>665</w:t>
            </w:r>
          </w:p>
        </w:tc>
        <w:tc>
          <w:tcPr>
            <w:tcW w:w="815" w:type="pct"/>
            <w:vAlign w:val="center"/>
          </w:tcPr>
          <w:p w14:paraId="32BBD848">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4.674</w:t>
            </w:r>
          </w:p>
        </w:tc>
      </w:tr>
      <w:tr w14:paraId="411083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47B4F8B5">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残余苯乙烯平均厚度（m</w:t>
            </w:r>
            <w:r>
              <w:rPr>
                <w:color w:val="000000" w:themeColor="text1"/>
                <w:sz w:val="21"/>
                <w:szCs w:val="21"/>
                <w14:textFill>
                  <w14:solidFill>
                    <w14:schemeClr w14:val="tx1"/>
                  </w14:solidFill>
                </w14:textFill>
              </w:rPr>
              <w:t>m</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0E126FB3">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r>
              <w:rPr>
                <w:color w:val="000000" w:themeColor="text1"/>
                <w:sz w:val="21"/>
                <w:szCs w:val="21"/>
                <w14:textFill>
                  <w14:solidFill>
                    <w14:schemeClr w14:val="tx1"/>
                  </w14:solidFill>
                </w14:textFill>
              </w:rPr>
              <w:t>622.13</w:t>
            </w:r>
          </w:p>
        </w:tc>
        <w:tc>
          <w:tcPr>
            <w:tcW w:w="814" w:type="pct"/>
            <w:tcMar>
              <w:top w:w="57" w:type="dxa"/>
              <w:bottom w:w="57" w:type="dxa"/>
            </w:tcMar>
            <w:vAlign w:val="center"/>
          </w:tcPr>
          <w:p w14:paraId="5D4B81A6">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r>
              <w:rPr>
                <w:color w:val="000000" w:themeColor="text1"/>
                <w:sz w:val="21"/>
                <w:szCs w:val="21"/>
                <w14:textFill>
                  <w14:solidFill>
                    <w14:schemeClr w14:val="tx1"/>
                  </w14:solidFill>
                </w14:textFill>
              </w:rPr>
              <w:t>579.91</w:t>
            </w:r>
          </w:p>
        </w:tc>
        <w:tc>
          <w:tcPr>
            <w:tcW w:w="814" w:type="pct"/>
            <w:tcMar>
              <w:top w:w="57" w:type="dxa"/>
              <w:bottom w:w="57" w:type="dxa"/>
            </w:tcMar>
            <w:vAlign w:val="center"/>
          </w:tcPr>
          <w:p w14:paraId="5E75381A">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1382.83</w:t>
            </w:r>
          </w:p>
        </w:tc>
        <w:tc>
          <w:tcPr>
            <w:tcW w:w="814" w:type="pct"/>
            <w:vAlign w:val="center"/>
          </w:tcPr>
          <w:p w14:paraId="364463DD">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99.89</w:t>
            </w:r>
          </w:p>
        </w:tc>
        <w:tc>
          <w:tcPr>
            <w:tcW w:w="815" w:type="pct"/>
            <w:vAlign w:val="center"/>
          </w:tcPr>
          <w:p w14:paraId="3E0C318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99.73</w:t>
            </w:r>
          </w:p>
        </w:tc>
      </w:tr>
    </w:tbl>
    <w:p w14:paraId="5B1CAAAC">
      <w:pPr>
        <w:widowControl/>
        <w:ind w:firstLine="480"/>
        <w:jc w:val="center"/>
        <w:rPr>
          <w:rFonts w:ascii="宋体" w:hAnsi="宋体" w:cs="宋体"/>
          <w:color w:val="000000" w:themeColor="text1"/>
          <w:kern w:val="0"/>
          <w14:textFill>
            <w14:solidFill>
              <w14:schemeClr w14:val="tx1"/>
            </w14:solidFill>
          </w14:textFill>
        </w:rPr>
      </w:pPr>
    </w:p>
    <w:p w14:paraId="39879500">
      <w:pPr>
        <w:ind w:firstLine="482"/>
        <w:jc w:val="center"/>
        <w:rPr>
          <w:rFonts w:ascii="宋体" w:hAnsi="宋体"/>
          <w:b/>
          <w:color w:val="000000" w:themeColor="text1"/>
          <w14:textFill>
            <w14:solidFill>
              <w14:schemeClr w14:val="tx1"/>
            </w14:solidFill>
          </w14:textFill>
        </w:rPr>
      </w:pPr>
      <w:r>
        <w:rPr>
          <w:rFonts w:ascii="宋体" w:hAnsi="宋体"/>
          <w:b/>
          <w:color w:val="000000" w:themeColor="text1"/>
          <w14:textFill>
            <w14:solidFill>
              <w14:schemeClr w14:val="tx1"/>
            </w14:solidFill>
          </w14:textFill>
        </w:rPr>
        <w:drawing>
          <wp:inline distT="0" distB="0" distL="0" distR="0">
            <wp:extent cx="3018790" cy="3959860"/>
            <wp:effectExtent l="0" t="0" r="0" b="0"/>
            <wp:docPr id="257" name="图片 257" descr="G:\project\2022\jingujiang14-15#\yiyou\zhangs251128苯乙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G:\project\2022\jingujiang14-15#\yiyou\zhangs251128苯乙烯.jpg"/>
                    <pic:cNvPicPr>
                      <a:picLocks noChangeAspect="1" noChangeArrowheads="1"/>
                    </pic:cNvPicPr>
                  </pic:nvPicPr>
                  <pic:blipFill>
                    <a:blip r:embed="rId248" cstate="print">
                      <a:extLst>
                        <a:ext uri="{28A0092B-C50C-407E-A947-70E740481C1C}">
                          <a14:useLocalDpi xmlns:a14="http://schemas.microsoft.com/office/drawing/2010/main" val="0"/>
                        </a:ext>
                      </a:extLst>
                    </a:blip>
                    <a:srcRect l="328" t="1231" r="3000" b="11980"/>
                    <a:stretch>
                      <a:fillRect/>
                    </a:stretch>
                  </pic:blipFill>
                  <pic:spPr>
                    <a:xfrm>
                      <a:off x="0" y="0"/>
                      <a:ext cx="3019188" cy="3960000"/>
                    </a:xfrm>
                    <a:prstGeom prst="rect">
                      <a:avLst/>
                    </a:prstGeom>
                    <a:noFill/>
                    <a:ln>
                      <a:noFill/>
                    </a:ln>
                  </pic:spPr>
                </pic:pic>
              </a:graphicData>
            </a:graphic>
          </wp:inline>
        </w:drawing>
      </w:r>
    </w:p>
    <w:p w14:paraId="008FA480">
      <w:pPr>
        <w:ind w:firstLine="482"/>
        <w:jc w:val="center"/>
        <w:rPr>
          <w:rFonts w:ascii="宋体" w:hAnsi="宋体"/>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b/>
          <w:color w:val="000000" w:themeColor="text1"/>
          <w14:textFill>
            <w14:solidFill>
              <w14:schemeClr w14:val="tx1"/>
            </w14:solidFill>
          </w14:textFill>
        </w:rPr>
        <w:t>-17</w:t>
      </w:r>
      <w:r>
        <w:rPr>
          <w:rFonts w:hint="eastAsia"/>
          <w:b/>
          <w:color w:val="000000" w:themeColor="text1"/>
          <w14:textFill>
            <w14:solidFill>
              <w14:schemeClr w14:val="tx1"/>
            </w14:solidFill>
          </w14:textFill>
        </w:rPr>
        <w:t xml:space="preserve"> 夏</w:t>
      </w:r>
      <w:r>
        <w:rPr>
          <w:b/>
          <w:color w:val="000000" w:themeColor="text1"/>
          <w14:textFill>
            <w14:solidFill>
              <w14:schemeClr w14:val="tx1"/>
            </w14:solidFill>
          </w14:textFill>
        </w:rPr>
        <w:t>季主导风</w:t>
      </w:r>
      <w:r>
        <w:rPr>
          <w:rFonts w:hint="eastAsia"/>
          <w:b/>
          <w:color w:val="000000" w:themeColor="text1"/>
          <w14:textFill>
            <w14:solidFill>
              <w14:schemeClr w14:val="tx1"/>
            </w14:solidFill>
          </w14:textFill>
        </w:rPr>
        <w:t>S下涨潮时苯乙烯</w:t>
      </w:r>
      <w:r>
        <w:rPr>
          <w:rFonts w:hint="eastAsia"/>
          <w:b/>
          <w:color w:val="000000" w:themeColor="text1"/>
          <w:lang w:eastAsia="zh-CN"/>
          <w14:textFill>
            <w14:solidFill>
              <w14:schemeClr w14:val="tx1"/>
            </w14:solidFill>
          </w14:textFill>
        </w:rPr>
        <w:t>泄漏</w:t>
      </w:r>
      <w:r>
        <w:rPr>
          <w:rFonts w:hint="eastAsia"/>
          <w:b/>
          <w:color w:val="000000" w:themeColor="text1"/>
          <w14:textFill>
            <w14:solidFill>
              <w14:schemeClr w14:val="tx1"/>
            </w14:solidFill>
          </w14:textFill>
        </w:rPr>
        <w:t>影响范围示意</w:t>
      </w:r>
    </w:p>
    <w:p w14:paraId="1B2ADA66">
      <w:pPr>
        <w:ind w:firstLine="480"/>
        <w:jc w:val="center"/>
        <w:rPr>
          <w:rFonts w:ascii="宋体" w:hAnsi="宋体"/>
          <w:b/>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025140" cy="3959860"/>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249"/>
                    <a:stretch>
                      <a:fillRect/>
                    </a:stretch>
                  </pic:blipFill>
                  <pic:spPr>
                    <a:xfrm>
                      <a:off x="0" y="0"/>
                      <a:ext cx="3025364" cy="3960000"/>
                    </a:xfrm>
                    <a:prstGeom prst="rect">
                      <a:avLst/>
                    </a:prstGeom>
                  </pic:spPr>
                </pic:pic>
              </a:graphicData>
            </a:graphic>
          </wp:inline>
        </w:drawing>
      </w:r>
    </w:p>
    <w:p w14:paraId="148E6E73">
      <w:pPr>
        <w:ind w:firstLine="482"/>
        <w:jc w:val="center"/>
        <w:rPr>
          <w:rFonts w:ascii="宋体" w:hAnsi="宋体"/>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ascii="宋体" w:hAnsi="宋体"/>
          <w:b/>
          <w:color w:val="000000" w:themeColor="text1"/>
          <w14:textFill>
            <w14:solidFill>
              <w14:schemeClr w14:val="tx1"/>
            </w14:solidFill>
          </w14:textFill>
        </w:rPr>
        <w:t>-18</w:t>
      </w:r>
      <w:r>
        <w:rPr>
          <w:rFonts w:hint="eastAsia" w:ascii="宋体" w:hAnsi="宋体"/>
          <w:b/>
          <w:color w:val="000000" w:themeColor="text1"/>
          <w14:textFill>
            <w14:solidFill>
              <w14:schemeClr w14:val="tx1"/>
            </w14:solidFill>
          </w14:textFill>
        </w:rPr>
        <w:t xml:space="preserve"> 夏季主导风S条件下涨潮时苯乙烯</w:t>
      </w:r>
      <w:r>
        <w:rPr>
          <w:rFonts w:hint="eastAsia" w:ascii="宋体" w:hAnsi="宋体"/>
          <w:b/>
          <w:color w:val="000000" w:themeColor="text1"/>
          <w:lang w:eastAsia="zh-CN"/>
          <w14:textFill>
            <w14:solidFill>
              <w14:schemeClr w14:val="tx1"/>
            </w14:solidFill>
          </w14:textFill>
        </w:rPr>
        <w:t>泄漏</w:t>
      </w:r>
      <w:r>
        <w:rPr>
          <w:rFonts w:hint="eastAsia" w:ascii="宋体" w:hAnsi="宋体"/>
          <w:b/>
          <w:color w:val="000000" w:themeColor="text1"/>
          <w14:textFill>
            <w14:solidFill>
              <w14:schemeClr w14:val="tx1"/>
            </w14:solidFill>
          </w14:textFill>
        </w:rPr>
        <w:t>的运动轨迹</w:t>
      </w:r>
    </w:p>
    <w:p w14:paraId="1E890775">
      <w:pPr>
        <w:ind w:firstLine="480"/>
        <w:rPr>
          <w:rFonts w:hAnsi="宋体"/>
          <w:color w:val="000000" w:themeColor="text1"/>
          <w14:textFill>
            <w14:solidFill>
              <w14:schemeClr w14:val="tx1"/>
            </w14:solidFill>
          </w14:textFill>
        </w:rPr>
      </w:pPr>
      <w:r>
        <w:rPr>
          <w:rFonts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4</w:t>
      </w:r>
      <w:r>
        <w:rPr>
          <w:rFonts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夏</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S</w:t>
      </w:r>
      <w:r>
        <w:rPr>
          <w:rFonts w:hint="eastAsia" w:hAnsi="宋体"/>
          <w:color w:val="000000" w:themeColor="text1"/>
          <w14:textFill>
            <w14:solidFill>
              <w14:schemeClr w14:val="tx1"/>
            </w14:solidFill>
          </w14:textFill>
        </w:rPr>
        <w:t>，</w:t>
      </w:r>
      <w:r>
        <w:rPr>
          <w:rFonts w:hAnsi="宋体"/>
          <w:color w:val="000000" w:themeColor="text1"/>
          <w14:textFill>
            <w14:solidFill>
              <w14:schemeClr w14:val="tx1"/>
            </w14:solidFill>
          </w14:textFill>
        </w:rPr>
        <w:t>大潮</w:t>
      </w:r>
      <w:r>
        <w:rPr>
          <w:rFonts w:hint="eastAsia" w:hAnsi="宋体"/>
          <w:color w:val="000000" w:themeColor="text1"/>
          <w14:textFill>
            <w14:solidFill>
              <w14:schemeClr w14:val="tx1"/>
            </w14:solidFill>
          </w14:textFill>
        </w:rPr>
        <w:t>落潮</w:t>
      </w:r>
    </w:p>
    <w:p w14:paraId="028AEDE9">
      <w:pPr>
        <w:ind w:firstLine="480"/>
        <w:rPr>
          <w:color w:val="000000" w:themeColor="text1"/>
          <w14:textFill>
            <w14:solidFill>
              <w14:schemeClr w14:val="tx1"/>
            </w14:solidFill>
          </w14:textFill>
        </w:rPr>
      </w:pPr>
      <w:r>
        <w:rPr>
          <w:rFonts w:hint="eastAsia" w:hAnsi="宋体"/>
          <w:color w:val="000000" w:themeColor="text1"/>
          <w14:textFill>
            <w14:solidFill>
              <w14:schemeClr w14:val="tx1"/>
            </w14:solidFill>
          </w14:textFill>
        </w:rPr>
        <w:t>在5.1m/s的S风以及落潮流作用下，</w:t>
      </w:r>
      <w:r>
        <w:rPr>
          <w:rFonts w:hint="eastAsia"/>
          <w:color w:val="000000" w:themeColor="text1"/>
          <w14:textFill>
            <w14:solidFill>
              <w14:schemeClr w14:val="tx1"/>
            </w14:solidFill>
          </w14:textFill>
        </w:rPr>
        <w:t>当苯乙烯</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发生1小时后苯乙烯逐渐向本项目西南方岸线靠近</w:t>
      </w:r>
      <w:r>
        <w:rPr>
          <w:rFonts w:hint="eastAsia" w:hAnsi="宋体"/>
          <w:color w:val="000000" w:themeColor="text1"/>
          <w14:textFill>
            <w14:solidFill>
              <w14:schemeClr w14:val="tx1"/>
            </w14:solidFill>
          </w14:textFill>
        </w:rPr>
        <w:t>，</w:t>
      </w:r>
      <w:r>
        <w:rPr>
          <w:rFonts w:hAnsi="宋体"/>
          <w:color w:val="000000" w:themeColor="text1"/>
          <w14:textFill>
            <w14:solidFill>
              <w14:schemeClr w14:val="tx1"/>
            </w14:solidFill>
          </w14:textFill>
        </w:rPr>
        <w:t>3</w:t>
      </w:r>
      <w:r>
        <w:rPr>
          <w:rFonts w:hint="eastAsia" w:hAnsi="宋体"/>
          <w:color w:val="000000" w:themeColor="text1"/>
          <w14:textFill>
            <w14:solidFill>
              <w14:schemeClr w14:val="tx1"/>
            </w14:solidFill>
          </w14:textFill>
        </w:rPr>
        <w:t>小时后苯乙烯物质受钦州燃煤电厂</w:t>
      </w:r>
      <w:r>
        <w:rPr>
          <w:rFonts w:hint="eastAsia"/>
          <w:color w:val="000000" w:themeColor="text1"/>
          <w14:textFill>
            <w14:solidFill>
              <w14:schemeClr w14:val="tx1"/>
            </w14:solidFill>
          </w14:textFill>
        </w:rPr>
        <w:t>东南部岸线阻挡及吸附而登陆，5小时后苯乙烯全部登陆。苯乙烯</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发生</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小时后的扫海面积为</w:t>
      </w:r>
      <w:r>
        <w:rPr>
          <w:color w:val="000000" w:themeColor="text1"/>
          <w14:textFill>
            <w14:solidFill>
              <w14:schemeClr w14:val="tx1"/>
            </w14:solidFill>
          </w14:textFill>
        </w:rPr>
        <w:t>1.773</w:t>
      </w:r>
      <w:r>
        <w:rPr>
          <w:rFonts w:hint="eastAsia"/>
          <w:color w:val="000000" w:themeColor="text1"/>
          <w14:textFill>
            <w14:solidFill>
              <w14:schemeClr w14:val="tx1"/>
            </w14:solidFill>
          </w14:textFill>
        </w:rPr>
        <w:t>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，漂移轨迹及扫海范围见图</w:t>
      </w:r>
      <w:r>
        <w:rPr>
          <w:rFonts w:hint="eastAsia"/>
          <w:color w:val="000000" w:themeColor="text1"/>
          <w:kern w:val="0"/>
          <w14:textFill>
            <w14:solidFill>
              <w14:schemeClr w14:val="tx1"/>
            </w14:solidFill>
          </w14:textFill>
        </w:rPr>
        <w:t>5.5.3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19~</w:t>
      </w:r>
      <w:r>
        <w:rPr>
          <w:rFonts w:hint="eastAsia"/>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w:t>
      </w:r>
    </w:p>
    <w:p w14:paraId="67BF65CC">
      <w:pPr>
        <w:widowControl/>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009265" cy="3959860"/>
            <wp:effectExtent l="0" t="0" r="0" b="0"/>
            <wp:docPr id="259" name="图片 259" descr="G:\project\2022\jingujiang14-15#\yiyou\luos251128苯乙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G:\project\2022\jingujiang14-15#\yiyou\luos251128苯乙烯.jpg"/>
                    <pic:cNvPicPr>
                      <a:picLocks noChangeAspect="1" noChangeArrowheads="1"/>
                    </pic:cNvPicPr>
                  </pic:nvPicPr>
                  <pic:blipFill>
                    <a:blip r:embed="rId250" cstate="print">
                      <a:extLst>
                        <a:ext uri="{28A0092B-C50C-407E-A947-70E740481C1C}">
                          <a14:useLocalDpi xmlns:a14="http://schemas.microsoft.com/office/drawing/2010/main" val="0"/>
                        </a:ext>
                      </a:extLst>
                    </a:blip>
                    <a:srcRect l="490" t="1119" r="3176" b="12113"/>
                    <a:stretch>
                      <a:fillRect/>
                    </a:stretch>
                  </pic:blipFill>
                  <pic:spPr>
                    <a:xfrm>
                      <a:off x="0" y="0"/>
                      <a:ext cx="3009310" cy="3960000"/>
                    </a:xfrm>
                    <a:prstGeom prst="rect">
                      <a:avLst/>
                    </a:prstGeom>
                    <a:noFill/>
                    <a:ln>
                      <a:noFill/>
                    </a:ln>
                  </pic:spPr>
                </pic:pic>
              </a:graphicData>
            </a:graphic>
          </wp:inline>
        </w:drawing>
      </w:r>
    </w:p>
    <w:p w14:paraId="5E07E21F">
      <w:pPr>
        <w:widowControl/>
        <w:ind w:firstLine="482"/>
        <w:jc w:val="center"/>
        <w:rPr>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b/>
          <w:color w:val="000000" w:themeColor="text1"/>
          <w14:textFill>
            <w14:solidFill>
              <w14:schemeClr w14:val="tx1"/>
            </w14:solidFill>
          </w14:textFill>
        </w:rPr>
        <w:t>-19</w:t>
      </w:r>
      <w:r>
        <w:rPr>
          <w:rFonts w:hint="eastAsia"/>
          <w:b/>
          <w:color w:val="000000" w:themeColor="text1"/>
          <w14:textFill>
            <w14:solidFill>
              <w14:schemeClr w14:val="tx1"/>
            </w14:solidFill>
          </w14:textFill>
        </w:rPr>
        <w:t xml:space="preserve"> 夏</w:t>
      </w:r>
      <w:r>
        <w:rPr>
          <w:b/>
          <w:color w:val="000000" w:themeColor="text1"/>
          <w14:textFill>
            <w14:solidFill>
              <w14:schemeClr w14:val="tx1"/>
            </w14:solidFill>
          </w14:textFill>
        </w:rPr>
        <w:t>季主导风</w:t>
      </w:r>
      <w:r>
        <w:rPr>
          <w:rFonts w:hint="eastAsia"/>
          <w:b/>
          <w:color w:val="000000" w:themeColor="text1"/>
          <w14:textFill>
            <w14:solidFill>
              <w14:schemeClr w14:val="tx1"/>
            </w14:solidFill>
          </w14:textFill>
        </w:rPr>
        <w:t>S下落潮时苯乙烯</w:t>
      </w:r>
      <w:r>
        <w:rPr>
          <w:rFonts w:hint="eastAsia"/>
          <w:b/>
          <w:color w:val="000000" w:themeColor="text1"/>
          <w:lang w:eastAsia="zh-CN"/>
          <w14:textFill>
            <w14:solidFill>
              <w14:schemeClr w14:val="tx1"/>
            </w14:solidFill>
          </w14:textFill>
        </w:rPr>
        <w:t>泄漏</w:t>
      </w:r>
      <w:r>
        <w:rPr>
          <w:rFonts w:hint="eastAsia"/>
          <w:b/>
          <w:color w:val="000000" w:themeColor="text1"/>
          <w14:textFill>
            <w14:solidFill>
              <w14:schemeClr w14:val="tx1"/>
            </w14:solidFill>
          </w14:textFill>
        </w:rPr>
        <w:t>影响范围示意</w:t>
      </w:r>
    </w:p>
    <w:p w14:paraId="1890D82F">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3023870" cy="3959860"/>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251"/>
                    <a:stretch>
                      <a:fillRect/>
                    </a:stretch>
                  </pic:blipFill>
                  <pic:spPr>
                    <a:xfrm>
                      <a:off x="0" y="0"/>
                      <a:ext cx="3023974" cy="3960000"/>
                    </a:xfrm>
                    <a:prstGeom prst="rect">
                      <a:avLst/>
                    </a:prstGeom>
                  </pic:spPr>
                </pic:pic>
              </a:graphicData>
            </a:graphic>
          </wp:inline>
        </w:drawing>
      </w:r>
    </w:p>
    <w:p w14:paraId="009B5EE7">
      <w:pPr>
        <w:ind w:firstLine="482"/>
        <w:jc w:val="center"/>
        <w:rPr>
          <w:rFonts w:ascii="宋体" w:hAnsi="宋体"/>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ascii="宋体" w:hAnsi="宋体"/>
          <w:b/>
          <w:color w:val="000000" w:themeColor="text1"/>
          <w14:textFill>
            <w14:solidFill>
              <w14:schemeClr w14:val="tx1"/>
            </w14:solidFill>
          </w14:textFill>
        </w:rPr>
        <w:t>-</w:t>
      </w:r>
      <w:r>
        <w:rPr>
          <w:rFonts w:ascii="宋体" w:hAnsi="宋体"/>
          <w:b/>
          <w:color w:val="000000" w:themeColor="text1"/>
          <w14:textFill>
            <w14:solidFill>
              <w14:schemeClr w14:val="tx1"/>
            </w14:solidFill>
          </w14:textFill>
        </w:rPr>
        <w:t>20</w:t>
      </w:r>
      <w:r>
        <w:rPr>
          <w:rFonts w:hint="eastAsia" w:ascii="宋体" w:hAnsi="宋体"/>
          <w:b/>
          <w:color w:val="000000" w:themeColor="text1"/>
          <w14:textFill>
            <w14:solidFill>
              <w14:schemeClr w14:val="tx1"/>
            </w14:solidFill>
          </w14:textFill>
        </w:rPr>
        <w:t xml:space="preserve"> 夏季主导S条件下落潮时苯乙烯</w:t>
      </w:r>
      <w:r>
        <w:rPr>
          <w:rFonts w:hint="eastAsia" w:ascii="宋体" w:hAnsi="宋体"/>
          <w:b/>
          <w:color w:val="000000" w:themeColor="text1"/>
          <w:lang w:eastAsia="zh-CN"/>
          <w14:textFill>
            <w14:solidFill>
              <w14:schemeClr w14:val="tx1"/>
            </w14:solidFill>
          </w14:textFill>
        </w:rPr>
        <w:t>泄漏</w:t>
      </w:r>
      <w:r>
        <w:rPr>
          <w:rFonts w:hint="eastAsia" w:ascii="宋体" w:hAnsi="宋体"/>
          <w:b/>
          <w:color w:val="000000" w:themeColor="text1"/>
          <w14:textFill>
            <w14:solidFill>
              <w14:schemeClr w14:val="tx1"/>
            </w14:solidFill>
          </w14:textFill>
        </w:rPr>
        <w:t>的运动轨迹</w:t>
      </w:r>
    </w:p>
    <w:p w14:paraId="19B0D856">
      <w:pPr>
        <w:ind w:firstLine="480"/>
        <w:rPr>
          <w:rFonts w:hAnsi="宋体"/>
          <w:color w:val="000000" w:themeColor="text1"/>
          <w14:textFill>
            <w14:solidFill>
              <w14:schemeClr w14:val="tx1"/>
            </w14:solidFill>
          </w14:textFill>
        </w:rPr>
      </w:pPr>
      <w:r>
        <w:rPr>
          <w:rFonts w:hint="eastAsia" w:hAnsi="宋体"/>
          <w:color w:val="000000" w:themeColor="text1"/>
          <w14:textFill>
            <w14:solidFill>
              <w14:schemeClr w14:val="tx1"/>
            </w14:solidFill>
          </w14:textFill>
        </w:rPr>
        <w:t>（5）不利风向NE，大潮涨潮</w:t>
      </w:r>
    </w:p>
    <w:p w14:paraId="787B799C">
      <w:pPr>
        <w:ind w:firstLine="480"/>
        <w:rPr>
          <w:color w:val="000000" w:themeColor="text1"/>
          <w14:textFill>
            <w14:solidFill>
              <w14:schemeClr w14:val="tx1"/>
            </w14:solidFill>
          </w14:textFill>
        </w:rPr>
      </w:pPr>
      <w:r>
        <w:rPr>
          <w:rFonts w:hint="eastAsia"/>
          <w:color w:val="000000" w:themeColor="text1"/>
          <w:u w:val="single"/>
          <w14:textFill>
            <w14:solidFill>
              <w14:schemeClr w14:val="tx1"/>
            </w14:solidFill>
          </w14:textFill>
        </w:rPr>
        <w:t>大潮涨潮时，在NE</w:t>
      </w:r>
      <w:r>
        <w:rPr>
          <w:color w:val="000000" w:themeColor="text1"/>
          <w:u w:val="single"/>
          <w14:textFill>
            <w14:solidFill>
              <w14:schemeClr w14:val="tx1"/>
            </w14:solidFill>
          </w14:textFill>
        </w:rPr>
        <w:t>向风及涨潮流作用下</w:t>
      </w:r>
      <w:r>
        <w:rPr>
          <w:rFonts w:hint="eastAsia"/>
          <w:color w:val="000000" w:themeColor="text1"/>
          <w:u w:val="single"/>
          <w14:textFill>
            <w14:solidFill>
              <w14:schemeClr w14:val="tx1"/>
            </w14:solidFill>
          </w14:textFill>
        </w:rPr>
        <w:t>，苯乙烯</w:t>
      </w:r>
      <w:r>
        <w:rPr>
          <w:rFonts w:hint="eastAsia"/>
          <w:color w:val="000000" w:themeColor="text1"/>
          <w:u w:val="single"/>
          <w:lang w:eastAsia="zh-CN"/>
          <w14:textFill>
            <w14:solidFill>
              <w14:schemeClr w14:val="tx1"/>
            </w14:solidFill>
          </w14:textFill>
        </w:rPr>
        <w:t>泄漏</w:t>
      </w:r>
      <w:r>
        <w:rPr>
          <w:rFonts w:hint="eastAsia"/>
          <w:color w:val="000000" w:themeColor="text1"/>
          <w:u w:val="single"/>
          <w14:textFill>
            <w14:solidFill>
              <w14:schemeClr w14:val="tx1"/>
            </w14:solidFill>
          </w14:textFill>
        </w:rPr>
        <w:t>发生1小时后部分苯乙烯物质在本项目北侧临近岸线登陆，剩余苯乙烯继续沿金鼓江西侧向北运动，</w:t>
      </w:r>
      <w:r>
        <w:rPr>
          <w:color w:val="000000" w:themeColor="text1"/>
          <w:u w:val="single"/>
          <w14:textFill>
            <w14:solidFill>
              <w14:schemeClr w14:val="tx1"/>
            </w14:solidFill>
          </w14:textFill>
        </w:rPr>
        <w:t>3</w:t>
      </w:r>
      <w:r>
        <w:rPr>
          <w:rFonts w:hint="eastAsia"/>
          <w:color w:val="000000" w:themeColor="text1"/>
          <w:u w:val="single"/>
          <w14:textFill>
            <w14:solidFill>
              <w14:schemeClr w14:val="tx1"/>
            </w14:solidFill>
          </w14:textFill>
        </w:rPr>
        <w:t>小时后到达金鼓江大桥附近，6时左右到达金鼓江支流-望鸦江口，苯乙烯一支沿望鸦江北上8</w:t>
      </w:r>
      <w:r>
        <w:rPr>
          <w:color w:val="000000" w:themeColor="text1"/>
          <w:u w:val="single"/>
          <w14:textFill>
            <w14:solidFill>
              <w14:schemeClr w14:val="tx1"/>
            </w14:solidFill>
          </w14:textFill>
        </w:rPr>
        <w:t>-9</w:t>
      </w:r>
      <w:r>
        <w:rPr>
          <w:rFonts w:hint="eastAsia"/>
          <w:color w:val="000000" w:themeColor="text1"/>
          <w:u w:val="single"/>
          <w14:textFill>
            <w14:solidFill>
              <w14:schemeClr w14:val="tx1"/>
            </w14:solidFill>
          </w14:textFill>
        </w:rPr>
        <w:t>小时后受岸线阻挡吸附而完全登陆，另一支继续沿金鼓江主流北上逐渐扫过整个江面，1</w:t>
      </w:r>
      <w:r>
        <w:rPr>
          <w:color w:val="000000" w:themeColor="text1"/>
          <w:u w:val="single"/>
          <w14:textFill>
            <w14:solidFill>
              <w14:schemeClr w14:val="tx1"/>
            </w14:solidFill>
          </w14:textFill>
        </w:rPr>
        <w:t>0</w:t>
      </w:r>
      <w:r>
        <w:rPr>
          <w:rFonts w:hint="eastAsia"/>
          <w:color w:val="000000" w:themeColor="text1"/>
          <w:u w:val="single"/>
          <w14:textFill>
            <w14:solidFill>
              <w14:schemeClr w14:val="tx1"/>
            </w14:solidFill>
          </w14:textFill>
        </w:rPr>
        <w:t>时后受岸线阻挡而全部登陆。受岸线阻挡吸附及风、流顶托作用，此后油膜基本停止运动。苯乙烯</w:t>
      </w:r>
      <w:r>
        <w:rPr>
          <w:rFonts w:hint="eastAsia"/>
          <w:color w:val="000000" w:themeColor="text1"/>
          <w:u w:val="single"/>
          <w:lang w:eastAsia="zh-CN"/>
          <w14:textFill>
            <w14:solidFill>
              <w14:schemeClr w14:val="tx1"/>
            </w14:solidFill>
          </w14:textFill>
        </w:rPr>
        <w:t>泄漏</w:t>
      </w:r>
      <w:r>
        <w:rPr>
          <w:rFonts w:hint="eastAsia"/>
          <w:color w:val="000000" w:themeColor="text1"/>
          <w:u w:val="single"/>
          <w14:textFill>
            <w14:solidFill>
              <w14:schemeClr w14:val="tx1"/>
            </w14:solidFill>
          </w14:textFill>
        </w:rPr>
        <w:t>发生</w:t>
      </w:r>
      <w:r>
        <w:rPr>
          <w:color w:val="000000" w:themeColor="text1"/>
          <w:u w:val="single"/>
          <w14:textFill>
            <w14:solidFill>
              <w14:schemeClr w14:val="tx1"/>
            </w14:solidFill>
          </w14:textFill>
        </w:rPr>
        <w:t>72</w:t>
      </w:r>
      <w:r>
        <w:rPr>
          <w:rFonts w:hint="eastAsia"/>
          <w:color w:val="000000" w:themeColor="text1"/>
          <w:u w:val="single"/>
          <w14:textFill>
            <w14:solidFill>
              <w14:schemeClr w14:val="tx1"/>
            </w14:solidFill>
          </w14:textFill>
        </w:rPr>
        <w:t>小时内的扫海面积见表5.5-</w:t>
      </w:r>
      <w:r>
        <w:rPr>
          <w:color w:val="000000" w:themeColor="text1"/>
          <w:u w:val="single"/>
          <w14:textFill>
            <w14:solidFill>
              <w14:schemeClr w14:val="tx1"/>
            </w14:solidFill>
          </w14:textFill>
        </w:rPr>
        <w:t>13</w:t>
      </w:r>
      <w:r>
        <w:rPr>
          <w:rFonts w:hint="eastAsia"/>
          <w:color w:val="000000" w:themeColor="text1"/>
          <w:u w:val="single"/>
          <w14:textFill>
            <w14:solidFill>
              <w14:schemeClr w14:val="tx1"/>
            </w14:solidFill>
          </w14:textFill>
        </w:rPr>
        <w:t>，运动趋势及扩散范围如图</w:t>
      </w:r>
      <w:r>
        <w:rPr>
          <w:rFonts w:hint="eastAsia"/>
          <w:color w:val="000000" w:themeColor="text1"/>
          <w:kern w:val="0"/>
          <w:u w:val="single"/>
          <w14:textFill>
            <w14:solidFill>
              <w14:schemeClr w14:val="tx1"/>
            </w14:solidFill>
          </w14:textFill>
        </w:rPr>
        <w:t>5.5.3</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21~</w:t>
      </w:r>
      <w:r>
        <w:rPr>
          <w:rFonts w:hint="eastAsia"/>
          <w:color w:val="000000" w:themeColor="text1"/>
          <w:u w:val="single"/>
          <w14:textFill>
            <w14:solidFill>
              <w14:schemeClr w14:val="tx1"/>
            </w14:solidFill>
          </w14:textFill>
        </w:rPr>
        <w:t>图</w:t>
      </w:r>
      <w:r>
        <w:rPr>
          <w:rFonts w:hint="eastAsia"/>
          <w:color w:val="000000" w:themeColor="text1"/>
          <w:kern w:val="0"/>
          <w:u w:val="single"/>
          <w14:textFill>
            <w14:solidFill>
              <w14:schemeClr w14:val="tx1"/>
            </w14:solidFill>
          </w14:textFill>
        </w:rPr>
        <w:t>5.5.3</w:t>
      </w:r>
      <w:r>
        <w:rPr>
          <w:color w:val="000000" w:themeColor="text1"/>
          <w:u w:val="single"/>
          <w14:textFill>
            <w14:solidFill>
              <w14:schemeClr w14:val="tx1"/>
            </w14:solidFill>
          </w14:textFill>
        </w:rPr>
        <w:t>-22</w:t>
      </w:r>
      <w:r>
        <w:rPr>
          <w:rFonts w:hint="eastAsia"/>
          <w:color w:val="000000" w:themeColor="text1"/>
          <w:u w:val="single"/>
          <w14:textFill>
            <w14:solidFill>
              <w14:schemeClr w14:val="tx1"/>
            </w14:solidFill>
          </w14:textFill>
        </w:rPr>
        <w:t>所示</w:t>
      </w:r>
      <w:r>
        <w:rPr>
          <w:rFonts w:hint="eastAsia"/>
          <w:color w:val="000000" w:themeColor="text1"/>
          <w14:textFill>
            <w14:solidFill>
              <w14:schemeClr w14:val="tx1"/>
            </w14:solidFill>
          </w14:textFill>
        </w:rPr>
        <w:t>。</w:t>
      </w:r>
    </w:p>
    <w:p w14:paraId="3D44BD7A">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不利风向NE条件下涨潮时溢油扫海面积</w:t>
      </w:r>
    </w:p>
    <w:tbl>
      <w:tblPr>
        <w:tblStyle w:val="43"/>
        <w:tblW w:w="490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53"/>
        <w:gridCol w:w="1361"/>
        <w:gridCol w:w="1361"/>
        <w:gridCol w:w="1361"/>
        <w:gridCol w:w="1361"/>
        <w:gridCol w:w="1363"/>
      </w:tblGrid>
      <w:tr w14:paraId="53826A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929" w:type="pct"/>
            <w:vMerge w:val="restart"/>
            <w:tcMar>
              <w:top w:w="57" w:type="dxa"/>
              <w:bottom w:w="57" w:type="dxa"/>
            </w:tcMar>
            <w:vAlign w:val="center"/>
          </w:tcPr>
          <w:p w14:paraId="1BA5D51E">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4071" w:type="pct"/>
            <w:gridSpan w:val="5"/>
            <w:tcMar>
              <w:top w:w="57" w:type="dxa"/>
              <w:bottom w:w="57" w:type="dxa"/>
            </w:tcMar>
            <w:vAlign w:val="center"/>
          </w:tcPr>
          <w:p w14:paraId="7DE858C4">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泄漏发生经历时间（小时）</w:t>
            </w:r>
          </w:p>
        </w:tc>
      </w:tr>
      <w:tr w14:paraId="70B02C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 w:hRule="atLeast"/>
          <w:jc w:val="center"/>
        </w:trPr>
        <w:tc>
          <w:tcPr>
            <w:tcW w:w="929" w:type="pct"/>
            <w:vMerge w:val="continue"/>
            <w:tcMar>
              <w:top w:w="57" w:type="dxa"/>
              <w:bottom w:w="57" w:type="dxa"/>
            </w:tcMar>
            <w:vAlign w:val="center"/>
          </w:tcPr>
          <w:p w14:paraId="5D2160AA">
            <w:pPr>
              <w:spacing w:line="240" w:lineRule="atLeast"/>
              <w:ind w:firstLine="0" w:firstLineChars="0"/>
              <w:jc w:val="center"/>
              <w:rPr>
                <w:color w:val="000000" w:themeColor="text1"/>
                <w:sz w:val="21"/>
                <w:szCs w:val="21"/>
                <w14:textFill>
                  <w14:solidFill>
                    <w14:schemeClr w14:val="tx1"/>
                  </w14:solidFill>
                </w14:textFill>
              </w:rPr>
            </w:pPr>
          </w:p>
        </w:tc>
        <w:tc>
          <w:tcPr>
            <w:tcW w:w="814" w:type="pct"/>
            <w:tcMar>
              <w:top w:w="57" w:type="dxa"/>
              <w:bottom w:w="57" w:type="dxa"/>
            </w:tcMar>
            <w:vAlign w:val="center"/>
          </w:tcPr>
          <w:p w14:paraId="0455194C">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w:t>
            </w:r>
          </w:p>
        </w:tc>
        <w:tc>
          <w:tcPr>
            <w:tcW w:w="814" w:type="pct"/>
            <w:vAlign w:val="center"/>
          </w:tcPr>
          <w:p w14:paraId="6DCBFF88">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3</w:t>
            </w:r>
          </w:p>
        </w:tc>
        <w:tc>
          <w:tcPr>
            <w:tcW w:w="814" w:type="pct"/>
            <w:tcMar>
              <w:top w:w="57" w:type="dxa"/>
              <w:bottom w:w="57" w:type="dxa"/>
            </w:tcMar>
            <w:vAlign w:val="center"/>
          </w:tcPr>
          <w:p w14:paraId="652F8313">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6</w:t>
            </w:r>
          </w:p>
        </w:tc>
        <w:tc>
          <w:tcPr>
            <w:tcW w:w="814" w:type="pct"/>
            <w:vAlign w:val="center"/>
          </w:tcPr>
          <w:p w14:paraId="7CDDDE3E">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10（登陆）</w:t>
            </w:r>
          </w:p>
        </w:tc>
        <w:tc>
          <w:tcPr>
            <w:tcW w:w="815" w:type="pct"/>
            <w:vAlign w:val="center"/>
          </w:tcPr>
          <w:p w14:paraId="75C5EC5C">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72</w:t>
            </w:r>
          </w:p>
        </w:tc>
      </w:tr>
      <w:tr w14:paraId="36734C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46534EAF">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扫海面积（km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265105B3">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0.2</w:t>
            </w:r>
            <w:r>
              <w:rPr>
                <w:color w:val="000000" w:themeColor="text1"/>
                <w:sz w:val="21"/>
                <w:szCs w:val="21"/>
                <w14:textFill>
                  <w14:solidFill>
                    <w14:schemeClr w14:val="tx1"/>
                  </w14:solidFill>
                </w14:textFill>
              </w:rPr>
              <w:t>25</w:t>
            </w:r>
          </w:p>
        </w:tc>
        <w:tc>
          <w:tcPr>
            <w:tcW w:w="814" w:type="pct"/>
            <w:vAlign w:val="center"/>
          </w:tcPr>
          <w:p w14:paraId="6A45DDF5">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r>
              <w:rPr>
                <w:color w:val="000000" w:themeColor="text1"/>
                <w:sz w:val="21"/>
                <w:szCs w:val="21"/>
                <w14:textFill>
                  <w14:solidFill>
                    <w14:schemeClr w14:val="tx1"/>
                  </w14:solidFill>
                </w14:textFill>
              </w:rPr>
              <w:t>762</w:t>
            </w:r>
          </w:p>
        </w:tc>
        <w:tc>
          <w:tcPr>
            <w:tcW w:w="814" w:type="pct"/>
            <w:tcMar>
              <w:top w:w="57" w:type="dxa"/>
              <w:bottom w:w="57" w:type="dxa"/>
            </w:tcMar>
            <w:vAlign w:val="center"/>
          </w:tcPr>
          <w:p w14:paraId="20236FE8">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843</w:t>
            </w:r>
          </w:p>
        </w:tc>
        <w:tc>
          <w:tcPr>
            <w:tcW w:w="814" w:type="pct"/>
            <w:vAlign w:val="center"/>
          </w:tcPr>
          <w:p w14:paraId="59C7C7CC">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r>
              <w:rPr>
                <w:color w:val="000000" w:themeColor="text1"/>
                <w:sz w:val="21"/>
                <w:szCs w:val="21"/>
                <w14:textFill>
                  <w14:solidFill>
                    <w14:schemeClr w14:val="tx1"/>
                  </w14:solidFill>
                </w14:textFill>
              </w:rPr>
              <w:t>714</w:t>
            </w:r>
          </w:p>
        </w:tc>
        <w:tc>
          <w:tcPr>
            <w:tcW w:w="815" w:type="pct"/>
            <w:vAlign w:val="center"/>
          </w:tcPr>
          <w:p w14:paraId="47346F70">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3.722</w:t>
            </w:r>
          </w:p>
        </w:tc>
      </w:tr>
      <w:tr w14:paraId="455DD6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1AAA6069">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残余苯乙烯平均厚度（m</w:t>
            </w:r>
            <w:r>
              <w:rPr>
                <w:color w:val="000000" w:themeColor="text1"/>
                <w:sz w:val="21"/>
                <w:szCs w:val="21"/>
                <w14:textFill>
                  <w14:solidFill>
                    <w14:schemeClr w14:val="tx1"/>
                  </w14:solidFill>
                </w14:textFill>
              </w:rPr>
              <w:t>m</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50AA3678">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r>
              <w:rPr>
                <w:color w:val="000000" w:themeColor="text1"/>
                <w:sz w:val="21"/>
                <w:szCs w:val="21"/>
                <w14:textFill>
                  <w14:solidFill>
                    <w14:schemeClr w14:val="tx1"/>
                  </w14:solidFill>
                </w14:textFill>
              </w:rPr>
              <w:t>956.21</w:t>
            </w:r>
          </w:p>
        </w:tc>
        <w:tc>
          <w:tcPr>
            <w:tcW w:w="814" w:type="pct"/>
            <w:vAlign w:val="center"/>
          </w:tcPr>
          <w:p w14:paraId="5A5F4682">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r>
              <w:rPr>
                <w:color w:val="000000" w:themeColor="text1"/>
                <w:sz w:val="21"/>
                <w:szCs w:val="21"/>
                <w14:textFill>
                  <w14:solidFill>
                    <w14:schemeClr w14:val="tx1"/>
                  </w14:solidFill>
                </w14:textFill>
              </w:rPr>
              <w:t>646.58</w:t>
            </w:r>
          </w:p>
        </w:tc>
        <w:tc>
          <w:tcPr>
            <w:tcW w:w="814" w:type="pct"/>
            <w:tcMar>
              <w:top w:w="57" w:type="dxa"/>
              <w:bottom w:w="57" w:type="dxa"/>
            </w:tcMar>
            <w:vAlign w:val="center"/>
          </w:tcPr>
          <w:p w14:paraId="1928834C">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268.98</w:t>
            </w:r>
          </w:p>
        </w:tc>
        <w:tc>
          <w:tcPr>
            <w:tcW w:w="814" w:type="pct"/>
            <w:vAlign w:val="center"/>
          </w:tcPr>
          <w:p w14:paraId="35173A44">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93.38</w:t>
            </w:r>
          </w:p>
        </w:tc>
        <w:tc>
          <w:tcPr>
            <w:tcW w:w="815" w:type="pct"/>
            <w:vAlign w:val="center"/>
          </w:tcPr>
          <w:p w14:paraId="618B4EF5">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193.15</w:t>
            </w:r>
          </w:p>
        </w:tc>
      </w:tr>
    </w:tbl>
    <w:p w14:paraId="57C298A3">
      <w:pPr>
        <w:widowControl/>
        <w:ind w:firstLine="480"/>
        <w:jc w:val="center"/>
        <w:rPr>
          <w:rFonts w:ascii="宋体" w:hAnsi="宋体" w:cs="宋体"/>
          <w:color w:val="000000" w:themeColor="text1"/>
          <w:kern w:val="0"/>
          <w14:textFill>
            <w14:solidFill>
              <w14:schemeClr w14:val="tx1"/>
            </w14:solidFill>
          </w14:textFill>
        </w:rPr>
      </w:pPr>
      <w:r>
        <w:rPr>
          <w:rFonts w:ascii="宋体" w:hAnsi="宋体" w:cs="宋体"/>
          <w:color w:val="000000" w:themeColor="text1"/>
          <w:kern w:val="0"/>
          <w14:textFill>
            <w14:solidFill>
              <w14:schemeClr w14:val="tx1"/>
            </w14:solidFill>
          </w14:textFill>
        </w:rPr>
        <w:drawing>
          <wp:inline distT="0" distB="0" distL="0" distR="0">
            <wp:extent cx="3041650" cy="3959860"/>
            <wp:effectExtent l="0" t="0" r="0" b="0"/>
            <wp:docPr id="261" name="图片 261" descr="G:\project\2022\jingujiang14-15#\yiyou\zhangne251128苯乙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G:\project\2022\jingujiang14-15#\yiyou\zhangne251128苯乙烯.jpg"/>
                    <pic:cNvPicPr>
                      <a:picLocks noChangeAspect="1" noChangeArrowheads="1"/>
                    </pic:cNvPicPr>
                  </pic:nvPicPr>
                  <pic:blipFill>
                    <a:blip r:embed="rId252" cstate="print">
                      <a:extLst>
                        <a:ext uri="{28A0092B-C50C-407E-A947-70E740481C1C}">
                          <a14:useLocalDpi xmlns:a14="http://schemas.microsoft.com/office/drawing/2010/main" val="0"/>
                        </a:ext>
                      </a:extLst>
                    </a:blip>
                    <a:srcRect t="1307" r="2920" b="12193"/>
                    <a:stretch>
                      <a:fillRect/>
                    </a:stretch>
                  </pic:blipFill>
                  <pic:spPr>
                    <a:xfrm>
                      <a:off x="0" y="0"/>
                      <a:ext cx="3042032" cy="3960000"/>
                    </a:xfrm>
                    <a:prstGeom prst="rect">
                      <a:avLst/>
                    </a:prstGeom>
                    <a:noFill/>
                    <a:ln>
                      <a:noFill/>
                    </a:ln>
                  </pic:spPr>
                </pic:pic>
              </a:graphicData>
            </a:graphic>
          </wp:inline>
        </w:drawing>
      </w:r>
    </w:p>
    <w:p w14:paraId="4EC8B34A">
      <w:pPr>
        <w:widowControl/>
        <w:ind w:firstLine="482"/>
        <w:jc w:val="center"/>
        <w:rPr>
          <w:rFonts w:ascii="宋体" w:hAnsi="宋体" w:cs="宋体"/>
          <w:color w:val="000000" w:themeColor="text1"/>
          <w:kern w:val="0"/>
          <w14:textFill>
            <w14:solidFill>
              <w14:schemeClr w14:val="tx1"/>
            </w14:solidFill>
          </w14:textFill>
        </w:rPr>
      </w:pPr>
      <w:r>
        <w:rPr>
          <w:rFonts w:hint="eastAsia"/>
          <w:b/>
          <w:color w:val="000000" w:themeColor="text1"/>
          <w14:textFill>
            <w14:solidFill>
              <w14:schemeClr w14:val="tx1"/>
            </w14:solidFill>
          </w14:textFill>
        </w:rPr>
        <w:t>图</w:t>
      </w:r>
      <w:r>
        <w:rPr>
          <w:b/>
          <w:color w:val="000000" w:themeColor="text1"/>
          <w14:textFill>
            <w14:solidFill>
              <w14:schemeClr w14:val="tx1"/>
            </w14:solidFill>
          </w14:textFill>
        </w:rPr>
        <w:t>1.3-21</w:t>
      </w:r>
      <w:r>
        <w:rPr>
          <w:rFonts w:hint="eastAsia"/>
          <w:b/>
          <w:color w:val="000000" w:themeColor="text1"/>
          <w14:textFill>
            <w14:solidFill>
              <w14:schemeClr w14:val="tx1"/>
            </w14:solidFill>
          </w14:textFill>
        </w:rPr>
        <w:t xml:space="preserve"> 不利风N</w:t>
      </w:r>
      <w:r>
        <w:rPr>
          <w:b/>
          <w:color w:val="000000" w:themeColor="text1"/>
          <w14:textFill>
            <w14:solidFill>
              <w14:schemeClr w14:val="tx1"/>
            </w14:solidFill>
          </w14:textFill>
        </w:rPr>
        <w:t>E</w:t>
      </w:r>
      <w:r>
        <w:rPr>
          <w:rFonts w:hint="eastAsia"/>
          <w:b/>
          <w:color w:val="000000" w:themeColor="text1"/>
          <w14:textFill>
            <w14:solidFill>
              <w14:schemeClr w14:val="tx1"/>
            </w14:solidFill>
          </w14:textFill>
        </w:rPr>
        <w:t>下涨潮时苯乙烯</w:t>
      </w:r>
      <w:r>
        <w:rPr>
          <w:rFonts w:hint="eastAsia"/>
          <w:b/>
          <w:color w:val="000000" w:themeColor="text1"/>
          <w:lang w:eastAsia="zh-CN"/>
          <w14:textFill>
            <w14:solidFill>
              <w14:schemeClr w14:val="tx1"/>
            </w14:solidFill>
          </w14:textFill>
        </w:rPr>
        <w:t>泄漏</w:t>
      </w:r>
      <w:r>
        <w:rPr>
          <w:rFonts w:hint="eastAsia"/>
          <w:b/>
          <w:color w:val="000000" w:themeColor="text1"/>
          <w14:textFill>
            <w14:solidFill>
              <w14:schemeClr w14:val="tx1"/>
            </w14:solidFill>
          </w14:textFill>
        </w:rPr>
        <w:t>影响范围示意</w:t>
      </w:r>
    </w:p>
    <w:p w14:paraId="40EF385E">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3008630" cy="3959860"/>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253"/>
                    <a:stretch>
                      <a:fillRect/>
                    </a:stretch>
                  </pic:blipFill>
                  <pic:spPr>
                    <a:xfrm>
                      <a:off x="0" y="0"/>
                      <a:ext cx="3008760" cy="3960000"/>
                    </a:xfrm>
                    <a:prstGeom prst="rect">
                      <a:avLst/>
                    </a:prstGeom>
                  </pic:spPr>
                </pic:pic>
              </a:graphicData>
            </a:graphic>
          </wp:inline>
        </w:drawing>
      </w:r>
    </w:p>
    <w:p w14:paraId="76CCAE75">
      <w:pPr>
        <w:ind w:firstLine="482"/>
        <w:jc w:val="center"/>
        <w:rPr>
          <w:rFonts w:ascii="宋体" w:hAnsi="宋体"/>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ascii="宋体" w:hAnsi="宋体"/>
          <w:b/>
          <w:color w:val="000000" w:themeColor="text1"/>
          <w14:textFill>
            <w14:solidFill>
              <w14:schemeClr w14:val="tx1"/>
            </w14:solidFill>
          </w14:textFill>
        </w:rPr>
        <w:t>-</w:t>
      </w:r>
      <w:r>
        <w:rPr>
          <w:rFonts w:ascii="宋体" w:hAnsi="宋体"/>
          <w:b/>
          <w:color w:val="000000" w:themeColor="text1"/>
          <w14:textFill>
            <w14:solidFill>
              <w14:schemeClr w14:val="tx1"/>
            </w14:solidFill>
          </w14:textFill>
        </w:rPr>
        <w:t>22</w:t>
      </w:r>
      <w:r>
        <w:rPr>
          <w:rFonts w:hint="eastAsia" w:ascii="宋体" w:hAnsi="宋体"/>
          <w:b/>
          <w:color w:val="000000" w:themeColor="text1"/>
          <w14:textFill>
            <w14:solidFill>
              <w14:schemeClr w14:val="tx1"/>
            </w14:solidFill>
          </w14:textFill>
        </w:rPr>
        <w:t xml:space="preserve"> 不利风向NE条件下涨潮时苯乙烯</w:t>
      </w:r>
      <w:r>
        <w:rPr>
          <w:rFonts w:hint="eastAsia" w:ascii="宋体" w:hAnsi="宋体"/>
          <w:b/>
          <w:color w:val="000000" w:themeColor="text1"/>
          <w:lang w:eastAsia="zh-CN"/>
          <w14:textFill>
            <w14:solidFill>
              <w14:schemeClr w14:val="tx1"/>
            </w14:solidFill>
          </w14:textFill>
        </w:rPr>
        <w:t>泄漏</w:t>
      </w:r>
      <w:r>
        <w:rPr>
          <w:rFonts w:hint="eastAsia" w:ascii="宋体" w:hAnsi="宋体"/>
          <w:b/>
          <w:color w:val="000000" w:themeColor="text1"/>
          <w14:textFill>
            <w14:solidFill>
              <w14:schemeClr w14:val="tx1"/>
            </w14:solidFill>
          </w14:textFill>
        </w:rPr>
        <w:t>的运动轨迹</w:t>
      </w:r>
    </w:p>
    <w:p w14:paraId="53C3E93E">
      <w:pPr>
        <w:ind w:firstLine="480"/>
        <w:rPr>
          <w:rFonts w:hAnsi="宋体"/>
          <w:color w:val="000000" w:themeColor="text1"/>
          <w14:textFill>
            <w14:solidFill>
              <w14:schemeClr w14:val="tx1"/>
            </w14:solidFill>
          </w14:textFill>
        </w:rPr>
      </w:pPr>
      <w:r>
        <w:rPr>
          <w:rFonts w:hint="eastAsia" w:hAnsi="宋体"/>
          <w:color w:val="000000" w:themeColor="text1"/>
          <w14:textFill>
            <w14:solidFill>
              <w14:schemeClr w14:val="tx1"/>
            </w14:solidFill>
          </w14:textFill>
        </w:rPr>
        <w:t>（6）不利风向NE，大潮落潮</w:t>
      </w:r>
    </w:p>
    <w:p w14:paraId="416EFB7D">
      <w:pPr>
        <w:ind w:firstLine="480"/>
        <w:rPr>
          <w:color w:val="000000" w:themeColor="text1"/>
          <w:u w:val="single"/>
          <w14:textFill>
            <w14:solidFill>
              <w14:schemeClr w14:val="tx1"/>
            </w14:solidFill>
          </w14:textFill>
        </w:rPr>
      </w:pPr>
      <w:r>
        <w:rPr>
          <w:rFonts w:hint="eastAsia"/>
          <w:color w:val="000000" w:themeColor="text1"/>
          <w14:textFill>
            <w14:solidFill>
              <w14:schemeClr w14:val="tx1"/>
            </w14:solidFill>
          </w14:textFill>
        </w:rPr>
        <w:t>大</w:t>
      </w:r>
      <w:r>
        <w:rPr>
          <w:rFonts w:hint="eastAsia"/>
          <w:color w:val="000000" w:themeColor="text1"/>
          <w:u w:val="single"/>
          <w14:textFill>
            <w14:solidFill>
              <w14:schemeClr w14:val="tx1"/>
            </w14:solidFill>
          </w14:textFill>
        </w:rPr>
        <w:t>潮落潮时，当苯乙烯</w:t>
      </w:r>
      <w:r>
        <w:rPr>
          <w:rFonts w:hint="eastAsia"/>
          <w:color w:val="000000" w:themeColor="text1"/>
          <w:u w:val="single"/>
          <w:lang w:eastAsia="zh-CN"/>
          <w14:textFill>
            <w14:solidFill>
              <w14:schemeClr w14:val="tx1"/>
            </w14:solidFill>
          </w14:textFill>
        </w:rPr>
        <w:t>泄漏</w:t>
      </w:r>
      <w:r>
        <w:rPr>
          <w:rFonts w:hint="eastAsia"/>
          <w:color w:val="000000" w:themeColor="text1"/>
          <w:u w:val="single"/>
          <w14:textFill>
            <w14:solidFill>
              <w14:schemeClr w14:val="tx1"/>
            </w14:solidFill>
          </w14:textFill>
        </w:rPr>
        <w:t>发生后，苯乙烯沿着西南向运动，12小时苯乙烯物质主流达到钦州湾口三墩西南海域；12-24时在涨潮流及NE风作用下，苯乙烯物质主流先沿着西向运动再转为北向，苯乙烯物质在钦州湾口海域徘徊（另一部苯乙烯则转向茅尾海运动逐渐污染龙门岛周边海域）；此后，在落潮流携带下，苯乙烯再次转为偏南向运动，</w:t>
      </w:r>
      <w:r>
        <w:rPr>
          <w:color w:val="000000" w:themeColor="text1"/>
          <w:u w:val="single"/>
          <w14:textFill>
            <w14:solidFill>
              <w14:schemeClr w14:val="tx1"/>
            </w14:solidFill>
          </w14:textFill>
        </w:rPr>
        <w:t>30</w:t>
      </w:r>
      <w:r>
        <w:rPr>
          <w:rFonts w:hint="eastAsia"/>
          <w:color w:val="000000" w:themeColor="text1"/>
          <w:u w:val="single"/>
          <w14:textFill>
            <w14:solidFill>
              <w14:schemeClr w14:val="tx1"/>
            </w14:solidFill>
          </w14:textFill>
        </w:rPr>
        <w:t>时左右苯乙烯主要部分进入北部湾二长棘鲷长毛对虾国家级种质资源保护区（实验区）。</w:t>
      </w:r>
      <w:r>
        <w:rPr>
          <w:color w:val="000000" w:themeColor="text1"/>
          <w:u w:val="single"/>
          <w14:textFill>
            <w14:solidFill>
              <w14:schemeClr w14:val="tx1"/>
            </w14:solidFill>
          </w14:textFill>
        </w:rPr>
        <w:t>24</w:t>
      </w:r>
      <w:r>
        <w:rPr>
          <w:rFonts w:hint="eastAsia"/>
          <w:color w:val="000000" w:themeColor="text1"/>
          <w:u w:val="single"/>
          <w14:textFill>
            <w14:solidFill>
              <w14:schemeClr w14:val="tx1"/>
            </w14:solidFill>
          </w14:textFill>
        </w:rPr>
        <w:t>-48时，苯乙烯向南运动至距离计算区域外海开边界</w:t>
      </w:r>
      <w:r>
        <w:rPr>
          <w:color w:val="000000" w:themeColor="text1"/>
          <w:u w:val="single"/>
          <w14:textFill>
            <w14:solidFill>
              <w14:schemeClr w14:val="tx1"/>
            </w14:solidFill>
          </w14:textFill>
        </w:rPr>
        <w:t>16</w:t>
      </w:r>
      <w:r>
        <w:rPr>
          <w:rFonts w:hint="eastAsia"/>
          <w:color w:val="000000" w:themeColor="text1"/>
          <w:u w:val="single"/>
          <w14:textFill>
            <w14:solidFill>
              <w14:schemeClr w14:val="tx1"/>
            </w14:solidFill>
          </w14:textFill>
        </w:rPr>
        <w:t>km附近海域，48时后在落潮流作用下，苯乙烯沿南向飘向外海，</w:t>
      </w:r>
      <w:r>
        <w:rPr>
          <w:color w:val="000000" w:themeColor="text1"/>
          <w:u w:val="single"/>
          <w14:textFill>
            <w14:solidFill>
              <w14:schemeClr w14:val="tx1"/>
            </w14:solidFill>
          </w14:textFill>
        </w:rPr>
        <w:t>71</w:t>
      </w:r>
      <w:r>
        <w:rPr>
          <w:rFonts w:hint="eastAsia"/>
          <w:color w:val="000000" w:themeColor="text1"/>
          <w:u w:val="single"/>
          <w14:textFill>
            <w14:solidFill>
              <w14:schemeClr w14:val="tx1"/>
            </w14:solidFill>
          </w14:textFill>
        </w:rPr>
        <w:t>~72时后到达外海开边界附近并折向西运动，此后在NE风及潮流的携带下继续向外海运动。苯乙烯物质发生</w:t>
      </w:r>
      <w:r>
        <w:rPr>
          <w:color w:val="000000" w:themeColor="text1"/>
          <w:u w:val="single"/>
          <w14:textFill>
            <w14:solidFill>
              <w14:schemeClr w14:val="tx1"/>
            </w14:solidFill>
          </w14:textFill>
        </w:rPr>
        <w:t>7</w:t>
      </w:r>
      <w:r>
        <w:rPr>
          <w:rFonts w:hint="eastAsia"/>
          <w:color w:val="000000" w:themeColor="text1"/>
          <w:u w:val="single"/>
          <w14:textFill>
            <w14:solidFill>
              <w14:schemeClr w14:val="tx1"/>
            </w14:solidFill>
          </w14:textFill>
        </w:rPr>
        <w:t>2小时内的扫海面积见表5.5-</w:t>
      </w:r>
      <w:r>
        <w:rPr>
          <w:color w:val="000000" w:themeColor="text1"/>
          <w:u w:val="single"/>
          <w14:textFill>
            <w14:solidFill>
              <w14:schemeClr w14:val="tx1"/>
            </w14:solidFill>
          </w14:textFill>
        </w:rPr>
        <w:t>14</w:t>
      </w:r>
      <w:r>
        <w:rPr>
          <w:rFonts w:hint="eastAsia"/>
          <w:color w:val="000000" w:themeColor="text1"/>
          <w:u w:val="single"/>
          <w14:textFill>
            <w14:solidFill>
              <w14:schemeClr w14:val="tx1"/>
            </w14:solidFill>
          </w14:textFill>
        </w:rPr>
        <w:t>，苯乙烯漂移轨迹及扫海范围见图</w:t>
      </w:r>
      <w:r>
        <w:rPr>
          <w:rFonts w:hint="eastAsia"/>
          <w:color w:val="000000" w:themeColor="text1"/>
          <w:kern w:val="0"/>
          <w:u w:val="single"/>
          <w14:textFill>
            <w14:solidFill>
              <w14:schemeClr w14:val="tx1"/>
            </w14:solidFill>
          </w14:textFill>
        </w:rPr>
        <w:t>5.5.3</w:t>
      </w:r>
      <w:r>
        <w:rPr>
          <w:color w:val="000000" w:themeColor="text1"/>
          <w:u w:val="single"/>
          <w14:textFill>
            <w14:solidFill>
              <w14:schemeClr w14:val="tx1"/>
            </w14:solidFill>
          </w14:textFill>
        </w:rPr>
        <w:t>-23~</w:t>
      </w:r>
      <w:r>
        <w:rPr>
          <w:rFonts w:hint="eastAsia"/>
          <w:color w:val="000000" w:themeColor="text1"/>
          <w:u w:val="single"/>
          <w14:textFill>
            <w14:solidFill>
              <w14:schemeClr w14:val="tx1"/>
            </w14:solidFill>
          </w14:textFill>
        </w:rPr>
        <w:t>图</w:t>
      </w:r>
      <w:r>
        <w:rPr>
          <w:rFonts w:hint="eastAsia"/>
          <w:color w:val="000000" w:themeColor="text1"/>
          <w:kern w:val="0"/>
          <w:u w:val="single"/>
          <w14:textFill>
            <w14:solidFill>
              <w14:schemeClr w14:val="tx1"/>
            </w14:solidFill>
          </w14:textFill>
        </w:rPr>
        <w:t>5.5.3</w:t>
      </w:r>
      <w:r>
        <w:rPr>
          <w:color w:val="000000" w:themeColor="text1"/>
          <w:u w:val="single"/>
          <w14:textFill>
            <w14:solidFill>
              <w14:schemeClr w14:val="tx1"/>
            </w14:solidFill>
          </w14:textFill>
        </w:rPr>
        <w:t>-24</w:t>
      </w:r>
      <w:r>
        <w:rPr>
          <w:rFonts w:hint="eastAsia"/>
          <w:color w:val="000000" w:themeColor="text1"/>
          <w:u w:val="single"/>
          <w14:textFill>
            <w14:solidFill>
              <w14:schemeClr w14:val="tx1"/>
            </w14:solidFill>
          </w14:textFill>
        </w:rPr>
        <w:t>。</w:t>
      </w:r>
    </w:p>
    <w:p w14:paraId="2D27C5FE">
      <w:pPr>
        <w:ind w:firstLine="480"/>
        <w:rPr>
          <w:color w:val="000000" w:themeColor="text1"/>
          <w14:textFill>
            <w14:solidFill>
              <w14:schemeClr w14:val="tx1"/>
            </w14:solidFill>
          </w14:textFill>
        </w:rPr>
      </w:pPr>
    </w:p>
    <w:p w14:paraId="38BE42BB">
      <w:pPr>
        <w:ind w:firstLine="480"/>
        <w:rPr>
          <w:color w:val="000000" w:themeColor="text1"/>
          <w14:textFill>
            <w14:solidFill>
              <w14:schemeClr w14:val="tx1"/>
            </w14:solidFill>
          </w14:textFill>
        </w:rPr>
      </w:pPr>
    </w:p>
    <w:p w14:paraId="0E846B6A">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不利风向NE条件下落潮时苯乙烯泄露扫海面积</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83"/>
        <w:gridCol w:w="1387"/>
        <w:gridCol w:w="1387"/>
        <w:gridCol w:w="1387"/>
        <w:gridCol w:w="1388"/>
        <w:gridCol w:w="1390"/>
      </w:tblGrid>
      <w:tr w14:paraId="111AB7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929" w:type="pct"/>
            <w:vMerge w:val="restart"/>
            <w:tcMar>
              <w:top w:w="57" w:type="dxa"/>
              <w:bottom w:w="57" w:type="dxa"/>
            </w:tcMar>
            <w:vAlign w:val="center"/>
          </w:tcPr>
          <w:p w14:paraId="08B12A35">
            <w:pPr>
              <w:spacing w:line="240" w:lineRule="atLeast"/>
              <w:ind w:firstLine="0" w:firstLineChars="0"/>
              <w:jc w:val="center"/>
              <w:rPr>
                <w:b/>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4071" w:type="pct"/>
            <w:gridSpan w:val="5"/>
            <w:tcMar>
              <w:top w:w="57" w:type="dxa"/>
              <w:bottom w:w="57" w:type="dxa"/>
            </w:tcMar>
            <w:vAlign w:val="center"/>
          </w:tcPr>
          <w:p w14:paraId="548FE7DF">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泄漏发生经历时间（小时）</w:t>
            </w:r>
          </w:p>
        </w:tc>
      </w:tr>
      <w:tr w14:paraId="0C576F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 w:hRule="atLeast"/>
          <w:jc w:val="center"/>
        </w:trPr>
        <w:tc>
          <w:tcPr>
            <w:tcW w:w="929" w:type="pct"/>
            <w:vMerge w:val="continue"/>
            <w:tcMar>
              <w:top w:w="57" w:type="dxa"/>
              <w:bottom w:w="57" w:type="dxa"/>
            </w:tcMar>
            <w:vAlign w:val="center"/>
          </w:tcPr>
          <w:p w14:paraId="4F9A574F">
            <w:pPr>
              <w:spacing w:line="240" w:lineRule="atLeast"/>
              <w:ind w:firstLine="0" w:firstLineChars="0"/>
              <w:jc w:val="center"/>
              <w:rPr>
                <w:b/>
                <w:color w:val="000000" w:themeColor="text1"/>
                <w:sz w:val="21"/>
                <w:szCs w:val="21"/>
                <w14:textFill>
                  <w14:solidFill>
                    <w14:schemeClr w14:val="tx1"/>
                  </w14:solidFill>
                </w14:textFill>
              </w:rPr>
            </w:pPr>
          </w:p>
        </w:tc>
        <w:tc>
          <w:tcPr>
            <w:tcW w:w="814" w:type="pct"/>
            <w:tcMar>
              <w:top w:w="57" w:type="dxa"/>
              <w:bottom w:w="57" w:type="dxa"/>
            </w:tcMar>
            <w:vAlign w:val="center"/>
          </w:tcPr>
          <w:p w14:paraId="47836D31">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w:t>
            </w:r>
          </w:p>
        </w:tc>
        <w:tc>
          <w:tcPr>
            <w:tcW w:w="814" w:type="pct"/>
            <w:vAlign w:val="center"/>
          </w:tcPr>
          <w:p w14:paraId="403B7FE6">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12</w:t>
            </w:r>
          </w:p>
        </w:tc>
        <w:tc>
          <w:tcPr>
            <w:tcW w:w="814" w:type="pct"/>
            <w:tcMar>
              <w:top w:w="57" w:type="dxa"/>
              <w:bottom w:w="57" w:type="dxa"/>
            </w:tcMar>
            <w:vAlign w:val="center"/>
          </w:tcPr>
          <w:p w14:paraId="1647EC35">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24</w:t>
            </w:r>
          </w:p>
        </w:tc>
        <w:tc>
          <w:tcPr>
            <w:tcW w:w="814" w:type="pct"/>
            <w:tcMar>
              <w:top w:w="57" w:type="dxa"/>
              <w:bottom w:w="57" w:type="dxa"/>
            </w:tcMar>
            <w:vAlign w:val="center"/>
          </w:tcPr>
          <w:p w14:paraId="3DF4104E">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48</w:t>
            </w:r>
          </w:p>
        </w:tc>
        <w:tc>
          <w:tcPr>
            <w:tcW w:w="815" w:type="pct"/>
            <w:vAlign w:val="center"/>
          </w:tcPr>
          <w:p w14:paraId="415AA700">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7</w:t>
            </w:r>
            <w:r>
              <w:rPr>
                <w:rFonts w:hint="eastAsia"/>
                <w:b/>
                <w:color w:val="000000" w:themeColor="text1"/>
                <w:sz w:val="21"/>
                <w:szCs w:val="21"/>
                <w14:textFill>
                  <w14:solidFill>
                    <w14:schemeClr w14:val="tx1"/>
                  </w14:solidFill>
                </w14:textFill>
              </w:rPr>
              <w:t>2</w:t>
            </w:r>
          </w:p>
        </w:tc>
      </w:tr>
      <w:tr w14:paraId="5F128B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2481B9C0">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扫海面积（km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3B85411B">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r>
              <w:rPr>
                <w:color w:val="000000" w:themeColor="text1"/>
                <w:sz w:val="21"/>
                <w:szCs w:val="21"/>
                <w14:textFill>
                  <w14:solidFill>
                    <w14:schemeClr w14:val="tx1"/>
                  </w14:solidFill>
                </w14:textFill>
              </w:rPr>
              <w:t>303</w:t>
            </w:r>
          </w:p>
        </w:tc>
        <w:tc>
          <w:tcPr>
            <w:tcW w:w="814" w:type="pct"/>
            <w:vAlign w:val="center"/>
          </w:tcPr>
          <w:p w14:paraId="7B149BA0">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17.</w:t>
            </w:r>
            <w:r>
              <w:rPr>
                <w:color w:val="000000" w:themeColor="text1"/>
                <w:sz w:val="21"/>
                <w:szCs w:val="21"/>
                <w14:textFill>
                  <w14:solidFill>
                    <w14:schemeClr w14:val="tx1"/>
                  </w14:solidFill>
                </w14:textFill>
              </w:rPr>
              <w:t>649</w:t>
            </w:r>
          </w:p>
        </w:tc>
        <w:tc>
          <w:tcPr>
            <w:tcW w:w="814" w:type="pct"/>
            <w:tcMar>
              <w:top w:w="57" w:type="dxa"/>
              <w:bottom w:w="57" w:type="dxa"/>
            </w:tcMar>
            <w:vAlign w:val="center"/>
          </w:tcPr>
          <w:p w14:paraId="655CFC65">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r>
              <w:rPr>
                <w:color w:val="000000" w:themeColor="text1"/>
                <w:sz w:val="21"/>
                <w:szCs w:val="21"/>
                <w14:textFill>
                  <w14:solidFill>
                    <w14:schemeClr w14:val="tx1"/>
                  </w14:solidFill>
                </w14:textFill>
              </w:rPr>
              <w:t>9.149</w:t>
            </w:r>
          </w:p>
        </w:tc>
        <w:tc>
          <w:tcPr>
            <w:tcW w:w="814" w:type="pct"/>
            <w:tcMar>
              <w:top w:w="57" w:type="dxa"/>
              <w:bottom w:w="57" w:type="dxa"/>
            </w:tcMar>
            <w:vAlign w:val="center"/>
          </w:tcPr>
          <w:p w14:paraId="75180817">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80.241</w:t>
            </w:r>
          </w:p>
        </w:tc>
        <w:tc>
          <w:tcPr>
            <w:tcW w:w="815" w:type="pct"/>
            <w:vAlign w:val="center"/>
          </w:tcPr>
          <w:p w14:paraId="2D9CDBDB">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r>
              <w:rPr>
                <w:color w:val="000000" w:themeColor="text1"/>
                <w:sz w:val="21"/>
                <w:szCs w:val="21"/>
                <w14:textFill>
                  <w14:solidFill>
                    <w14:schemeClr w14:val="tx1"/>
                  </w14:solidFill>
                </w14:textFill>
              </w:rPr>
              <w:t>70</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38</w:t>
            </w:r>
          </w:p>
        </w:tc>
      </w:tr>
      <w:tr w14:paraId="0469B0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232443CB">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残余苯乙烯平均厚度（m</w:t>
            </w:r>
            <w:r>
              <w:rPr>
                <w:color w:val="000000" w:themeColor="text1"/>
                <w:sz w:val="21"/>
                <w:szCs w:val="21"/>
                <w14:textFill>
                  <w14:solidFill>
                    <w14:schemeClr w14:val="tx1"/>
                  </w14:solidFill>
                </w14:textFill>
              </w:rPr>
              <w:t>m</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4A4F87FA">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r>
              <w:rPr>
                <w:color w:val="000000" w:themeColor="text1"/>
                <w:sz w:val="21"/>
                <w:szCs w:val="21"/>
                <w14:textFill>
                  <w14:solidFill>
                    <w14:schemeClr w14:val="tx1"/>
                  </w14:solidFill>
                </w14:textFill>
              </w:rPr>
              <w:t>77</w:t>
            </w:r>
            <w:r>
              <w:rPr>
                <w:rFonts w:hint="eastAsia"/>
                <w:color w:val="000000" w:themeColor="text1"/>
                <w:sz w:val="21"/>
                <w:szCs w:val="21"/>
                <w14:textFill>
                  <w14:solidFill>
                    <w14:schemeClr w14:val="tx1"/>
                  </w14:solidFill>
                </w14:textFill>
              </w:rPr>
              <w:t>9.53</w:t>
            </w:r>
          </w:p>
        </w:tc>
        <w:tc>
          <w:tcPr>
            <w:tcW w:w="814" w:type="pct"/>
            <w:vAlign w:val="center"/>
          </w:tcPr>
          <w:p w14:paraId="0F502C69">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328.86</w:t>
            </w:r>
          </w:p>
        </w:tc>
        <w:tc>
          <w:tcPr>
            <w:tcW w:w="814" w:type="pct"/>
            <w:tcMar>
              <w:top w:w="57" w:type="dxa"/>
              <w:bottom w:w="57" w:type="dxa"/>
            </w:tcMar>
            <w:vAlign w:val="center"/>
          </w:tcPr>
          <w:p w14:paraId="6B6D9F40">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120.79</w:t>
            </w:r>
          </w:p>
        </w:tc>
        <w:tc>
          <w:tcPr>
            <w:tcW w:w="814" w:type="pct"/>
            <w:tcMar>
              <w:top w:w="57" w:type="dxa"/>
              <w:bottom w:w="57" w:type="dxa"/>
            </w:tcMar>
            <w:vAlign w:val="center"/>
          </w:tcPr>
          <w:p w14:paraId="144694AB">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59.08</w:t>
            </w:r>
          </w:p>
        </w:tc>
        <w:tc>
          <w:tcPr>
            <w:tcW w:w="815" w:type="pct"/>
            <w:vAlign w:val="center"/>
          </w:tcPr>
          <w:p w14:paraId="3428E49B">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25.53</w:t>
            </w:r>
          </w:p>
        </w:tc>
      </w:tr>
    </w:tbl>
    <w:p w14:paraId="1EB25314">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019425" cy="3781425"/>
            <wp:effectExtent l="0" t="0" r="9525" b="9525"/>
            <wp:docPr id="263" name="图片 263" descr="G:\project\2022\jingujiang14-15#\yiyou\luone251128苯乙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G:\project\2022\jingujiang14-15#\yiyou\luone251128苯乙烯.jpg"/>
                    <pic:cNvPicPr>
                      <a:picLocks noChangeAspect="1" noChangeArrowheads="1"/>
                    </pic:cNvPicPr>
                  </pic:nvPicPr>
                  <pic:blipFill>
                    <a:blip r:embed="rId254" cstate="print">
                      <a:extLst>
                        <a:ext uri="{28A0092B-C50C-407E-A947-70E740481C1C}">
                          <a14:useLocalDpi xmlns:a14="http://schemas.microsoft.com/office/drawing/2010/main" val="0"/>
                        </a:ext>
                      </a:extLst>
                    </a:blip>
                    <a:srcRect l="490" t="1232" r="2849" b="12004"/>
                    <a:stretch>
                      <a:fillRect/>
                    </a:stretch>
                  </pic:blipFill>
                  <pic:spPr>
                    <a:xfrm>
                      <a:off x="0" y="0"/>
                      <a:ext cx="3019658" cy="3781717"/>
                    </a:xfrm>
                    <a:prstGeom prst="rect">
                      <a:avLst/>
                    </a:prstGeom>
                    <a:noFill/>
                    <a:ln>
                      <a:noFill/>
                    </a:ln>
                  </pic:spPr>
                </pic:pic>
              </a:graphicData>
            </a:graphic>
          </wp:inline>
        </w:drawing>
      </w:r>
    </w:p>
    <w:p w14:paraId="03ED4FCD">
      <w:pPr>
        <w:ind w:firstLine="482"/>
        <w:jc w:val="center"/>
        <w:rPr>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b/>
          <w:color w:val="000000" w:themeColor="text1"/>
          <w14:textFill>
            <w14:solidFill>
              <w14:schemeClr w14:val="tx1"/>
            </w14:solidFill>
          </w14:textFill>
        </w:rPr>
        <w:t>-23</w:t>
      </w:r>
      <w:r>
        <w:rPr>
          <w:rFonts w:hint="eastAsia"/>
          <w:b/>
          <w:color w:val="000000" w:themeColor="text1"/>
          <w14:textFill>
            <w14:solidFill>
              <w14:schemeClr w14:val="tx1"/>
            </w14:solidFill>
          </w14:textFill>
        </w:rPr>
        <w:t xml:space="preserve"> 不利风N</w:t>
      </w:r>
      <w:r>
        <w:rPr>
          <w:b/>
          <w:color w:val="000000" w:themeColor="text1"/>
          <w14:textFill>
            <w14:solidFill>
              <w14:schemeClr w14:val="tx1"/>
            </w14:solidFill>
          </w14:textFill>
        </w:rPr>
        <w:t>E</w:t>
      </w:r>
      <w:r>
        <w:rPr>
          <w:rFonts w:hint="eastAsia"/>
          <w:b/>
          <w:color w:val="000000" w:themeColor="text1"/>
          <w14:textFill>
            <w14:solidFill>
              <w14:schemeClr w14:val="tx1"/>
            </w14:solidFill>
          </w14:textFill>
        </w:rPr>
        <w:t>下落潮时苯乙烯</w:t>
      </w:r>
      <w:r>
        <w:rPr>
          <w:rFonts w:hint="eastAsia"/>
          <w:b/>
          <w:color w:val="000000" w:themeColor="text1"/>
          <w:lang w:eastAsia="zh-CN"/>
          <w14:textFill>
            <w14:solidFill>
              <w14:schemeClr w14:val="tx1"/>
            </w14:solidFill>
          </w14:textFill>
        </w:rPr>
        <w:t>泄漏</w:t>
      </w:r>
      <w:r>
        <w:rPr>
          <w:rFonts w:hint="eastAsia"/>
          <w:b/>
          <w:color w:val="000000" w:themeColor="text1"/>
          <w14:textFill>
            <w14:solidFill>
              <w14:schemeClr w14:val="tx1"/>
            </w14:solidFill>
          </w14:textFill>
        </w:rPr>
        <w:t>影响范围示意</w:t>
      </w:r>
    </w:p>
    <w:p w14:paraId="1964F5DE">
      <w:pPr>
        <w:ind w:firstLine="480"/>
        <w:jc w:val="center"/>
        <w:rPr>
          <w:rFonts w:ascii="宋体" w:hAnsi="宋体"/>
          <w:b/>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013710" cy="3959860"/>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255"/>
                    <a:stretch>
                      <a:fillRect/>
                    </a:stretch>
                  </pic:blipFill>
                  <pic:spPr>
                    <a:xfrm>
                      <a:off x="0" y="0"/>
                      <a:ext cx="3014274" cy="3960000"/>
                    </a:xfrm>
                    <a:prstGeom prst="rect">
                      <a:avLst/>
                    </a:prstGeom>
                  </pic:spPr>
                </pic:pic>
              </a:graphicData>
            </a:graphic>
          </wp:inline>
        </w:drawing>
      </w:r>
    </w:p>
    <w:p w14:paraId="280F70A8">
      <w:pPr>
        <w:spacing w:before="163" w:beforeLines="50"/>
        <w:ind w:firstLine="482"/>
        <w:jc w:val="center"/>
        <w:rPr>
          <w:rFonts w:ascii="宋体" w:hAnsi="宋体"/>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ascii="宋体" w:hAnsi="宋体"/>
          <w:b/>
          <w:color w:val="000000" w:themeColor="text1"/>
          <w14:textFill>
            <w14:solidFill>
              <w14:schemeClr w14:val="tx1"/>
            </w14:solidFill>
          </w14:textFill>
        </w:rPr>
        <w:t>-</w:t>
      </w:r>
      <w:r>
        <w:rPr>
          <w:rFonts w:ascii="宋体" w:hAnsi="宋体"/>
          <w:b/>
          <w:color w:val="000000" w:themeColor="text1"/>
          <w14:textFill>
            <w14:solidFill>
              <w14:schemeClr w14:val="tx1"/>
            </w14:solidFill>
          </w14:textFill>
        </w:rPr>
        <w:t>24</w:t>
      </w:r>
      <w:r>
        <w:rPr>
          <w:rFonts w:hint="eastAsia" w:ascii="宋体" w:hAnsi="宋体"/>
          <w:b/>
          <w:color w:val="000000" w:themeColor="text1"/>
          <w14:textFill>
            <w14:solidFill>
              <w14:schemeClr w14:val="tx1"/>
            </w14:solidFill>
          </w14:textFill>
        </w:rPr>
        <w:t xml:space="preserve"> 不利风向NE条件下落潮时苯乙烯</w:t>
      </w:r>
      <w:r>
        <w:rPr>
          <w:rFonts w:hint="eastAsia" w:ascii="宋体" w:hAnsi="宋体"/>
          <w:b/>
          <w:color w:val="000000" w:themeColor="text1"/>
          <w:lang w:eastAsia="zh-CN"/>
          <w14:textFill>
            <w14:solidFill>
              <w14:schemeClr w14:val="tx1"/>
            </w14:solidFill>
          </w14:textFill>
        </w:rPr>
        <w:t>泄漏</w:t>
      </w:r>
      <w:r>
        <w:rPr>
          <w:rFonts w:hint="eastAsia" w:ascii="宋体" w:hAnsi="宋体"/>
          <w:b/>
          <w:color w:val="000000" w:themeColor="text1"/>
          <w14:textFill>
            <w14:solidFill>
              <w14:schemeClr w14:val="tx1"/>
            </w14:solidFill>
          </w14:textFill>
        </w:rPr>
        <w:t>的运动轨迹</w:t>
      </w:r>
    </w:p>
    <w:p w14:paraId="5AEE02E7">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可溶性化学品泄漏风险事故预测与分析</w:t>
      </w:r>
    </w:p>
    <w:p w14:paraId="7319DF1E">
      <w:pPr>
        <w:pStyle w:val="13"/>
        <w:spacing w:line="360" w:lineRule="auto"/>
        <w:ind w:firstLineChars="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本项目新增可溶性液态危险物质，包括</w:t>
      </w:r>
      <w:r>
        <w:rPr>
          <w:rFonts w:hint="eastAsia" w:ascii="宋体" w:hAnsi="宋体"/>
          <w:color w:val="000000" w:themeColor="text1"/>
          <w:sz w:val="24"/>
          <w14:textFill>
            <w14:solidFill>
              <w14:schemeClr w14:val="tx1"/>
            </w14:solidFill>
          </w14:textFill>
        </w:rPr>
        <w:t>液碱、发烟硫酸</w:t>
      </w:r>
      <w:r>
        <w:rPr>
          <w:rFonts w:hint="eastAsia"/>
          <w:color w:val="000000" w:themeColor="text1"/>
          <w:sz w:val="24"/>
          <w14:textFill>
            <w14:solidFill>
              <w14:schemeClr w14:val="tx1"/>
            </w14:solidFill>
          </w14:textFill>
        </w:rPr>
        <w:t>等，该类危险物质一旦发生泄漏事故，难以收集和处理，若发生大量泄漏入海事件将会给周围海域生态环境带来一定的污染损害。因此，选择</w:t>
      </w:r>
      <w:r>
        <w:rPr>
          <w:rFonts w:hint="eastAsia" w:ascii="宋体" w:hAnsi="宋体"/>
          <w:color w:val="000000" w:themeColor="text1"/>
          <w:sz w:val="24"/>
          <w14:textFill>
            <w14:solidFill>
              <w14:schemeClr w14:val="tx1"/>
            </w14:solidFill>
          </w14:textFill>
        </w:rPr>
        <w:t>液碱、发烟硫酸</w:t>
      </w:r>
      <w:r>
        <w:rPr>
          <w:rFonts w:hint="eastAsia"/>
          <w:color w:val="000000" w:themeColor="text1"/>
          <w:sz w:val="24"/>
          <w14:textFill>
            <w14:solidFill>
              <w14:schemeClr w14:val="tx1"/>
            </w14:solidFill>
          </w14:textFill>
        </w:rPr>
        <w:t>为此类型代表性物质进行预测评价。</w:t>
      </w:r>
    </w:p>
    <w:p w14:paraId="207ADD42">
      <w:pPr>
        <w:pStyle w:val="6"/>
        <w:ind w:left="0"/>
        <w:rPr>
          <w:color w:val="000000" w:themeColor="text1"/>
          <w14:textFill>
            <w14:solidFill>
              <w14:schemeClr w14:val="tx1"/>
            </w14:solidFill>
          </w14:textFill>
        </w:rPr>
      </w:pPr>
      <w:r>
        <w:rPr>
          <w:rFonts w:hint="eastAsia"/>
          <w:color w:val="000000" w:themeColor="text1"/>
          <w14:textFill>
            <w14:solidFill>
              <w14:schemeClr w14:val="tx1"/>
            </w14:solidFill>
          </w14:textFill>
        </w:rPr>
        <w:t>基本</w:t>
      </w:r>
      <w:r>
        <w:rPr>
          <w:color w:val="000000" w:themeColor="text1"/>
          <w14:textFill>
            <w14:solidFill>
              <w14:schemeClr w14:val="tx1"/>
            </w14:solidFill>
          </w14:textFill>
        </w:rPr>
        <w:t>方程</w:t>
      </w:r>
    </w:p>
    <w:p w14:paraId="0AFA1B21">
      <w:pPr>
        <w:pStyle w:val="13"/>
        <w:spacing w:line="360" w:lineRule="auto"/>
        <w:ind w:firstLineChars="0"/>
        <w:rPr>
          <w:color w:val="000000" w:themeColor="text1"/>
          <w:sz w:val="24"/>
          <w14:textFill>
            <w14:solidFill>
              <w14:schemeClr w14:val="tx1"/>
            </w14:solidFill>
          </w14:textFill>
        </w:rPr>
      </w:pPr>
      <w:r>
        <w:rPr>
          <w:color w:val="000000" w:themeColor="text1"/>
          <w:sz w:val="24"/>
          <w14:textFill>
            <w14:solidFill>
              <w14:schemeClr w14:val="tx1"/>
            </w14:solidFill>
          </w14:textFill>
        </w:rPr>
        <w:t>预测模式采用污染物扩散模式，与二维水流预测模式联解，即可得到可溶性物质浓度分布，模式如下：</w:t>
      </w:r>
    </w:p>
    <w:tbl>
      <w:tblPr>
        <w:tblStyle w:val="43"/>
        <w:tblW w:w="0" w:type="auto"/>
        <w:tblInd w:w="0" w:type="dxa"/>
        <w:tblLayout w:type="fixed"/>
        <w:tblCellMar>
          <w:top w:w="0" w:type="dxa"/>
          <w:left w:w="108" w:type="dxa"/>
          <w:bottom w:w="0" w:type="dxa"/>
          <w:right w:w="108" w:type="dxa"/>
        </w:tblCellMar>
      </w:tblPr>
      <w:tblGrid>
        <w:gridCol w:w="7443"/>
        <w:gridCol w:w="1079"/>
      </w:tblGrid>
      <w:tr w14:paraId="351FBB01">
        <w:tblPrEx>
          <w:tblCellMar>
            <w:top w:w="0" w:type="dxa"/>
            <w:left w:w="108" w:type="dxa"/>
            <w:bottom w:w="0" w:type="dxa"/>
            <w:right w:w="108" w:type="dxa"/>
          </w:tblCellMar>
        </w:tblPrEx>
        <w:tc>
          <w:tcPr>
            <w:tcW w:w="7443" w:type="dxa"/>
            <w:vAlign w:val="center"/>
          </w:tcPr>
          <w:p w14:paraId="5AC7BF9C">
            <w:pPr>
              <w:ind w:firstLine="440"/>
              <w:jc w:val="center"/>
              <w:rPr>
                <w:color w:val="000000" w:themeColor="text1"/>
                <w14:textFill>
                  <w14:solidFill>
                    <w14:schemeClr w14:val="tx1"/>
                  </w14:solidFill>
                </w14:textFill>
              </w:rPr>
            </w:pPr>
            <m:oMathPara>
              <m:oMath>
                <m:f>
                  <m:fPr>
                    <m:ctrlPr>
                      <w:rPr>
                        <w:rFonts w:ascii="Cambria Math" w:hAnsi="Cambria Math"/>
                        <w:color w:val="000000" w:themeColor="text1"/>
                        <w:sz w:val="22"/>
                        <w:szCs w:val="22"/>
                        <w14:textFill>
                          <w14:solidFill>
                            <w14:schemeClr w14:val="tx1"/>
                          </w14:solidFill>
                        </w14:textFill>
                      </w:rPr>
                    </m:ctrlPr>
                  </m:fPr>
                  <m:num>
                    <m:r>
                      <m:rPr>
                        <m:sty m:val="p"/>
                      </m:rPr>
                      <w:rPr>
                        <w:rFonts w:ascii="Cambria Math" w:hAnsi="Cambria Math"/>
                        <w:color w:val="000000" w:themeColor="text1"/>
                        <w:sz w:val="22"/>
                        <w:szCs w:val="22"/>
                        <w14:textFill>
                          <w14:solidFill>
                            <w14:schemeClr w14:val="tx1"/>
                          </w14:solidFill>
                        </w14:textFill>
                      </w:rPr>
                      <m:t>∂(</m:t>
                    </m:r>
                    <m:r>
                      <m:rPr/>
                      <w:rPr>
                        <w:rFonts w:ascii="Cambria Math" w:hAnsi="Cambria Math"/>
                        <w:color w:val="000000" w:themeColor="text1"/>
                        <w:sz w:val="22"/>
                        <w:szCs w:val="22"/>
                        <w14:textFill>
                          <w14:solidFill>
                            <w14:schemeClr w14:val="tx1"/>
                          </w14:solidFill>
                        </w14:textFill>
                      </w:rPr>
                      <m:t>dC</m:t>
                    </m:r>
                    <m:r>
                      <m:rPr>
                        <m:sty m:val="p"/>
                      </m:rPr>
                      <w:rPr>
                        <w:rFonts w:ascii="Cambria Math" w:hAnsi="Cambria Math"/>
                        <w:color w:val="000000" w:themeColor="text1"/>
                        <w:sz w:val="22"/>
                        <w:szCs w:val="22"/>
                        <w14:textFill>
                          <w14:solidFill>
                            <w14:schemeClr w14:val="tx1"/>
                          </w14:solidFill>
                        </w14:textFill>
                      </w:rPr>
                      <m:t>)</m:t>
                    </m:r>
                    <m:ctrlPr>
                      <w:rPr>
                        <w:rFonts w:ascii="Cambria Math" w:hAnsi="Cambria Math"/>
                        <w:color w:val="000000" w:themeColor="text1"/>
                        <w:sz w:val="22"/>
                        <w:szCs w:val="22"/>
                        <w14:textFill>
                          <w14:solidFill>
                            <w14:schemeClr w14:val="tx1"/>
                          </w14:solidFill>
                        </w14:textFill>
                      </w:rPr>
                    </m:ctrlPr>
                  </m:num>
                  <m:den>
                    <m:r>
                      <m:rPr>
                        <m:sty m:val="p"/>
                      </m:rPr>
                      <w:rPr>
                        <w:rFonts w:ascii="Cambria Math" w:hAnsi="Cambria Math"/>
                        <w:color w:val="000000" w:themeColor="text1"/>
                        <w:sz w:val="22"/>
                        <w:szCs w:val="22"/>
                        <w14:textFill>
                          <w14:solidFill>
                            <w14:schemeClr w14:val="tx1"/>
                          </w14:solidFill>
                        </w14:textFill>
                      </w:rPr>
                      <m:t>∂</m:t>
                    </m:r>
                    <m:r>
                      <m:rPr/>
                      <w:rPr>
                        <w:rFonts w:ascii="Cambria Math" w:hAnsi="Cambria Math"/>
                        <w:color w:val="000000" w:themeColor="text1"/>
                        <w:sz w:val="22"/>
                        <w:szCs w:val="22"/>
                        <w14:textFill>
                          <w14:solidFill>
                            <w14:schemeClr w14:val="tx1"/>
                          </w14:solidFill>
                        </w14:textFill>
                      </w:rPr>
                      <m:t>t</m:t>
                    </m:r>
                    <m:ctrlPr>
                      <w:rPr>
                        <w:rFonts w:ascii="Cambria Math" w:hAnsi="Cambria Math"/>
                        <w:color w:val="000000" w:themeColor="text1"/>
                        <w:sz w:val="22"/>
                        <w:szCs w:val="22"/>
                        <w14:textFill>
                          <w14:solidFill>
                            <w14:schemeClr w14:val="tx1"/>
                          </w14:solidFill>
                        </w14:textFill>
                      </w:rPr>
                    </m:ctrlPr>
                  </m:den>
                </m:f>
                <m:r>
                  <m:rPr/>
                  <w:rPr>
                    <w:rFonts w:ascii="Cambria Math" w:hAnsi="Cambria Math"/>
                    <w:color w:val="000000" w:themeColor="text1"/>
                    <w:sz w:val="22"/>
                    <w:szCs w:val="22"/>
                    <w14:textFill>
                      <w14:solidFill>
                        <w14:schemeClr w14:val="tx1"/>
                      </w14:solidFill>
                    </w14:textFill>
                  </w:rPr>
                  <m:t>+</m:t>
                </m:r>
                <m:f>
                  <m:fPr>
                    <m:ctrlPr>
                      <w:rPr>
                        <w:rFonts w:ascii="Cambria Math" w:hAnsi="Cambria Math"/>
                        <w:color w:val="000000" w:themeColor="text1"/>
                        <w:sz w:val="22"/>
                        <w:szCs w:val="22"/>
                        <w14:textFill>
                          <w14:solidFill>
                            <w14:schemeClr w14:val="tx1"/>
                          </w14:solidFill>
                        </w14:textFill>
                      </w:rPr>
                    </m:ctrlPr>
                  </m:fPr>
                  <m:num>
                    <m:r>
                      <m:rPr>
                        <m:sty m:val="p"/>
                      </m:rPr>
                      <w:rPr>
                        <w:rFonts w:ascii="Cambria Math" w:hAnsi="Cambria Math"/>
                        <w:color w:val="000000" w:themeColor="text1"/>
                        <w:sz w:val="22"/>
                        <w:szCs w:val="22"/>
                        <w14:textFill>
                          <w14:solidFill>
                            <w14:schemeClr w14:val="tx1"/>
                          </w14:solidFill>
                        </w14:textFill>
                      </w:rPr>
                      <m:t>∂(</m:t>
                    </m:r>
                    <m:r>
                      <m:rPr/>
                      <w:rPr>
                        <w:rFonts w:ascii="Cambria Math" w:hAnsi="Cambria Math"/>
                        <w:color w:val="000000" w:themeColor="text1"/>
                        <w:sz w:val="22"/>
                        <w:szCs w:val="22"/>
                        <w14:textFill>
                          <w14:solidFill>
                            <w14:schemeClr w14:val="tx1"/>
                          </w14:solidFill>
                        </w14:textFill>
                      </w:rPr>
                      <m:t>duC</m:t>
                    </m:r>
                    <m:r>
                      <m:rPr>
                        <m:sty m:val="p"/>
                      </m:rPr>
                      <w:rPr>
                        <w:rFonts w:ascii="Cambria Math" w:hAnsi="Cambria Math"/>
                        <w:color w:val="000000" w:themeColor="text1"/>
                        <w:sz w:val="22"/>
                        <w:szCs w:val="22"/>
                        <w14:textFill>
                          <w14:solidFill>
                            <w14:schemeClr w14:val="tx1"/>
                          </w14:solidFill>
                        </w14:textFill>
                      </w:rPr>
                      <m:t>)</m:t>
                    </m:r>
                    <m:ctrlPr>
                      <w:rPr>
                        <w:rFonts w:ascii="Cambria Math" w:hAnsi="Cambria Math"/>
                        <w:color w:val="000000" w:themeColor="text1"/>
                        <w:sz w:val="22"/>
                        <w:szCs w:val="22"/>
                        <w14:textFill>
                          <w14:solidFill>
                            <w14:schemeClr w14:val="tx1"/>
                          </w14:solidFill>
                        </w14:textFill>
                      </w:rPr>
                    </m:ctrlPr>
                  </m:num>
                  <m:den>
                    <m:r>
                      <m:rPr>
                        <m:sty m:val="p"/>
                      </m:rPr>
                      <w:rPr>
                        <w:rFonts w:ascii="Cambria Math" w:hAnsi="Cambria Math"/>
                        <w:color w:val="000000" w:themeColor="text1"/>
                        <w:sz w:val="22"/>
                        <w:szCs w:val="22"/>
                        <w14:textFill>
                          <w14:solidFill>
                            <w14:schemeClr w14:val="tx1"/>
                          </w14:solidFill>
                        </w14:textFill>
                      </w:rPr>
                      <m:t>∂</m:t>
                    </m:r>
                    <m:r>
                      <m:rPr/>
                      <w:rPr>
                        <w:rFonts w:ascii="Cambria Math" w:hAnsi="Cambria Math"/>
                        <w:color w:val="000000" w:themeColor="text1"/>
                        <w:sz w:val="22"/>
                        <w:szCs w:val="22"/>
                        <w14:textFill>
                          <w14:solidFill>
                            <w14:schemeClr w14:val="tx1"/>
                          </w14:solidFill>
                        </w14:textFill>
                      </w:rPr>
                      <m:t>x</m:t>
                    </m:r>
                    <m:ctrlPr>
                      <w:rPr>
                        <w:rFonts w:ascii="Cambria Math" w:hAnsi="Cambria Math"/>
                        <w:color w:val="000000" w:themeColor="text1"/>
                        <w:sz w:val="22"/>
                        <w:szCs w:val="22"/>
                        <w14:textFill>
                          <w14:solidFill>
                            <w14:schemeClr w14:val="tx1"/>
                          </w14:solidFill>
                        </w14:textFill>
                      </w:rPr>
                    </m:ctrlPr>
                  </m:den>
                </m:f>
                <m:r>
                  <m:rPr/>
                  <w:rPr>
                    <w:rFonts w:ascii="Cambria Math" w:hAnsi="Cambria Math"/>
                    <w:color w:val="000000" w:themeColor="text1"/>
                    <w:sz w:val="22"/>
                    <w:szCs w:val="22"/>
                    <w14:textFill>
                      <w14:solidFill>
                        <w14:schemeClr w14:val="tx1"/>
                      </w14:solidFill>
                    </w14:textFill>
                  </w:rPr>
                  <m:t>+</m:t>
                </m:r>
                <m:f>
                  <m:fPr>
                    <m:ctrlPr>
                      <w:rPr>
                        <w:rFonts w:ascii="Cambria Math" w:hAnsi="Cambria Math"/>
                        <w:color w:val="000000" w:themeColor="text1"/>
                        <w:sz w:val="22"/>
                        <w:szCs w:val="22"/>
                        <w14:textFill>
                          <w14:solidFill>
                            <w14:schemeClr w14:val="tx1"/>
                          </w14:solidFill>
                        </w14:textFill>
                      </w:rPr>
                    </m:ctrlPr>
                  </m:fPr>
                  <m:num>
                    <m:r>
                      <m:rPr>
                        <m:sty m:val="p"/>
                      </m:rPr>
                      <w:rPr>
                        <w:rFonts w:ascii="Cambria Math" w:hAnsi="Cambria Math"/>
                        <w:color w:val="000000" w:themeColor="text1"/>
                        <w:sz w:val="22"/>
                        <w:szCs w:val="22"/>
                        <w14:textFill>
                          <w14:solidFill>
                            <w14:schemeClr w14:val="tx1"/>
                          </w14:solidFill>
                        </w14:textFill>
                      </w:rPr>
                      <m:t>∂(</m:t>
                    </m:r>
                    <m:r>
                      <m:rPr/>
                      <w:rPr>
                        <w:rFonts w:ascii="Cambria Math" w:hAnsi="Cambria Math"/>
                        <w:color w:val="000000" w:themeColor="text1"/>
                        <w:sz w:val="22"/>
                        <w:szCs w:val="22"/>
                        <w14:textFill>
                          <w14:solidFill>
                            <w14:schemeClr w14:val="tx1"/>
                          </w14:solidFill>
                        </w14:textFill>
                      </w:rPr>
                      <m:t>dvC</m:t>
                    </m:r>
                    <m:r>
                      <m:rPr>
                        <m:sty m:val="p"/>
                      </m:rPr>
                      <w:rPr>
                        <w:rFonts w:ascii="Cambria Math" w:hAnsi="Cambria Math"/>
                        <w:color w:val="000000" w:themeColor="text1"/>
                        <w:sz w:val="22"/>
                        <w:szCs w:val="22"/>
                        <w14:textFill>
                          <w14:solidFill>
                            <w14:schemeClr w14:val="tx1"/>
                          </w14:solidFill>
                        </w14:textFill>
                      </w:rPr>
                      <m:t>)</m:t>
                    </m:r>
                    <m:ctrlPr>
                      <w:rPr>
                        <w:rFonts w:ascii="Cambria Math" w:hAnsi="Cambria Math"/>
                        <w:color w:val="000000" w:themeColor="text1"/>
                        <w:sz w:val="22"/>
                        <w:szCs w:val="22"/>
                        <w14:textFill>
                          <w14:solidFill>
                            <w14:schemeClr w14:val="tx1"/>
                          </w14:solidFill>
                        </w14:textFill>
                      </w:rPr>
                    </m:ctrlPr>
                  </m:num>
                  <m:den>
                    <m:r>
                      <m:rPr>
                        <m:sty m:val="p"/>
                      </m:rPr>
                      <w:rPr>
                        <w:rFonts w:ascii="Cambria Math" w:hAnsi="Cambria Math"/>
                        <w:color w:val="000000" w:themeColor="text1"/>
                        <w:sz w:val="22"/>
                        <w:szCs w:val="22"/>
                        <w14:textFill>
                          <w14:solidFill>
                            <w14:schemeClr w14:val="tx1"/>
                          </w14:solidFill>
                        </w14:textFill>
                      </w:rPr>
                      <m:t>∂</m:t>
                    </m:r>
                    <m:r>
                      <m:rPr/>
                      <w:rPr>
                        <w:rFonts w:ascii="Cambria Math" w:hAnsi="Cambria Math"/>
                        <w:color w:val="000000" w:themeColor="text1"/>
                        <w:sz w:val="22"/>
                        <w:szCs w:val="22"/>
                        <w14:textFill>
                          <w14:solidFill>
                            <w14:schemeClr w14:val="tx1"/>
                          </w14:solidFill>
                        </w14:textFill>
                      </w:rPr>
                      <m:t>y</m:t>
                    </m:r>
                    <m:ctrlPr>
                      <w:rPr>
                        <w:rFonts w:ascii="Cambria Math" w:hAnsi="Cambria Math"/>
                        <w:color w:val="000000" w:themeColor="text1"/>
                        <w:sz w:val="22"/>
                        <w:szCs w:val="22"/>
                        <w14:textFill>
                          <w14:solidFill>
                            <w14:schemeClr w14:val="tx1"/>
                          </w14:solidFill>
                        </w14:textFill>
                      </w:rPr>
                    </m:ctrlPr>
                  </m:den>
                </m:f>
                <m:r>
                  <m:rPr/>
                  <w:rPr>
                    <w:rFonts w:ascii="Cambria Math" w:hAnsi="Cambria Math"/>
                    <w:color w:val="000000" w:themeColor="text1"/>
                    <w:sz w:val="22"/>
                    <w:szCs w:val="22"/>
                    <w14:textFill>
                      <w14:solidFill>
                        <w14:schemeClr w14:val="tx1"/>
                      </w14:solidFill>
                    </w14:textFill>
                  </w:rPr>
                  <m:t>=</m:t>
                </m:r>
                <m:f>
                  <m:fPr>
                    <m:ctrlPr>
                      <w:rPr>
                        <w:rFonts w:ascii="Cambria Math" w:hAnsi="Cambria Math"/>
                        <w:color w:val="000000" w:themeColor="text1"/>
                        <w:sz w:val="22"/>
                        <w:szCs w:val="22"/>
                        <w14:textFill>
                          <w14:solidFill>
                            <w14:schemeClr w14:val="tx1"/>
                          </w14:solidFill>
                        </w14:textFill>
                      </w:rPr>
                    </m:ctrlPr>
                  </m:fPr>
                  <m:num>
                    <m:r>
                      <m:rPr>
                        <m:sty m:val="p"/>
                      </m:rPr>
                      <w:rPr>
                        <w:rFonts w:ascii="Cambria Math" w:hAnsi="Cambria Math"/>
                        <w:color w:val="000000" w:themeColor="text1"/>
                        <w:sz w:val="22"/>
                        <w:szCs w:val="22"/>
                        <w14:textFill>
                          <w14:solidFill>
                            <w14:schemeClr w14:val="tx1"/>
                          </w14:solidFill>
                        </w14:textFill>
                      </w:rPr>
                      <m:t>∂</m:t>
                    </m:r>
                    <m:ctrlPr>
                      <w:rPr>
                        <w:rFonts w:ascii="Cambria Math" w:hAnsi="Cambria Math"/>
                        <w:color w:val="000000" w:themeColor="text1"/>
                        <w:sz w:val="22"/>
                        <w:szCs w:val="22"/>
                        <w14:textFill>
                          <w14:solidFill>
                            <w14:schemeClr w14:val="tx1"/>
                          </w14:solidFill>
                        </w14:textFill>
                      </w:rPr>
                    </m:ctrlPr>
                  </m:num>
                  <m:den>
                    <m:r>
                      <m:rPr>
                        <m:sty m:val="p"/>
                      </m:rPr>
                      <w:rPr>
                        <w:rFonts w:ascii="Cambria Math" w:hAnsi="Cambria Math"/>
                        <w:color w:val="000000" w:themeColor="text1"/>
                        <w:sz w:val="22"/>
                        <w:szCs w:val="22"/>
                        <w14:textFill>
                          <w14:solidFill>
                            <w14:schemeClr w14:val="tx1"/>
                          </w14:solidFill>
                        </w14:textFill>
                      </w:rPr>
                      <m:t>∂</m:t>
                    </m:r>
                    <m:r>
                      <m:rPr/>
                      <w:rPr>
                        <w:rFonts w:ascii="Cambria Math" w:hAnsi="Cambria Math"/>
                        <w:color w:val="000000" w:themeColor="text1"/>
                        <w:sz w:val="22"/>
                        <w:szCs w:val="22"/>
                        <w14:textFill>
                          <w14:solidFill>
                            <w14:schemeClr w14:val="tx1"/>
                          </w14:solidFill>
                        </w14:textFill>
                      </w:rPr>
                      <m:t>x</m:t>
                    </m:r>
                    <m:ctrlPr>
                      <w:rPr>
                        <w:rFonts w:ascii="Cambria Math" w:hAnsi="Cambria Math"/>
                        <w:color w:val="000000" w:themeColor="text1"/>
                        <w:sz w:val="22"/>
                        <w:szCs w:val="22"/>
                        <w14:textFill>
                          <w14:solidFill>
                            <w14:schemeClr w14:val="tx1"/>
                          </w14:solidFill>
                        </w14:textFill>
                      </w:rPr>
                    </m:ctrlPr>
                  </m:den>
                </m:f>
                <m:d>
                  <m:dPr>
                    <m:ctrlPr>
                      <w:rPr>
                        <w:rFonts w:ascii="Cambria Math" w:hAnsi="Cambria Math"/>
                        <w:i/>
                        <w:color w:val="000000" w:themeColor="text1"/>
                        <w:sz w:val="22"/>
                        <w:szCs w:val="22"/>
                        <w14:textFill>
                          <w14:solidFill>
                            <w14:schemeClr w14:val="tx1"/>
                          </w14:solidFill>
                        </w14:textFill>
                      </w:rPr>
                    </m:ctrlPr>
                  </m:dPr>
                  <m:e>
                    <m:r>
                      <m:rPr/>
                      <w:rPr>
                        <w:rFonts w:ascii="Cambria Math" w:hAnsi="Cambria Math"/>
                        <w:color w:val="000000" w:themeColor="text1"/>
                        <w:sz w:val="22"/>
                        <w:szCs w:val="22"/>
                        <w14:textFill>
                          <w14:solidFill>
                            <w14:schemeClr w14:val="tx1"/>
                          </w14:solidFill>
                        </w14:textFill>
                      </w:rPr>
                      <m:t>d</m:t>
                    </m:r>
                    <m:sSub>
                      <m:sSubPr>
                        <m:ctrlPr>
                          <w:rPr>
                            <w:rFonts w:ascii="Cambria Math" w:hAnsi="Cambria Math"/>
                            <w:i/>
                            <w:color w:val="000000" w:themeColor="text1"/>
                            <w:sz w:val="22"/>
                            <w:szCs w:val="22"/>
                            <w14:textFill>
                              <w14:solidFill>
                                <w14:schemeClr w14:val="tx1"/>
                              </w14:solidFill>
                            </w14:textFill>
                          </w:rPr>
                        </m:ctrlPr>
                      </m:sSubPr>
                      <m:e>
                        <m:r>
                          <m:rPr/>
                          <w:rPr>
                            <w:rFonts w:ascii="Cambria Math" w:hAnsi="Cambria Math"/>
                            <w:color w:val="000000" w:themeColor="text1"/>
                            <w:sz w:val="22"/>
                            <w:szCs w:val="22"/>
                            <w14:textFill>
                              <w14:solidFill>
                                <w14:schemeClr w14:val="tx1"/>
                              </w14:solidFill>
                            </w14:textFill>
                          </w:rPr>
                          <m:t>ε</m:t>
                        </m:r>
                        <m:ctrlPr>
                          <w:rPr>
                            <w:rFonts w:ascii="Cambria Math" w:hAnsi="Cambria Math"/>
                            <w:i/>
                            <w:color w:val="000000" w:themeColor="text1"/>
                            <w:sz w:val="22"/>
                            <w:szCs w:val="22"/>
                            <w14:textFill>
                              <w14:solidFill>
                                <w14:schemeClr w14:val="tx1"/>
                              </w14:solidFill>
                            </w14:textFill>
                          </w:rPr>
                        </m:ctrlPr>
                      </m:e>
                      <m:sub>
                        <m:r>
                          <m:rPr/>
                          <w:rPr>
                            <w:rFonts w:ascii="Cambria Math" w:hAnsi="Cambria Math"/>
                            <w:color w:val="000000" w:themeColor="text1"/>
                            <w:sz w:val="22"/>
                            <w:szCs w:val="22"/>
                            <w14:textFill>
                              <w14:solidFill>
                                <w14:schemeClr w14:val="tx1"/>
                              </w14:solidFill>
                            </w14:textFill>
                          </w:rPr>
                          <m:t>x</m:t>
                        </m:r>
                        <m:ctrlPr>
                          <w:rPr>
                            <w:rFonts w:ascii="Cambria Math" w:hAnsi="Cambria Math"/>
                            <w:i/>
                            <w:color w:val="000000" w:themeColor="text1"/>
                            <w:sz w:val="22"/>
                            <w:szCs w:val="22"/>
                            <w14:textFill>
                              <w14:solidFill>
                                <w14:schemeClr w14:val="tx1"/>
                              </w14:solidFill>
                            </w14:textFill>
                          </w:rPr>
                        </m:ctrlPr>
                      </m:sub>
                    </m:sSub>
                    <m:f>
                      <m:fPr>
                        <m:ctrlPr>
                          <w:rPr>
                            <w:rFonts w:ascii="Cambria Math" w:hAnsi="Cambria Math"/>
                            <w:color w:val="000000" w:themeColor="text1"/>
                            <w:sz w:val="22"/>
                            <w:szCs w:val="22"/>
                            <w14:textFill>
                              <w14:solidFill>
                                <w14:schemeClr w14:val="tx1"/>
                              </w14:solidFill>
                            </w14:textFill>
                          </w:rPr>
                        </m:ctrlPr>
                      </m:fPr>
                      <m:num>
                        <m:r>
                          <m:rPr>
                            <m:sty m:val="p"/>
                          </m:rPr>
                          <w:rPr>
                            <w:rFonts w:ascii="Cambria Math" w:hAnsi="Cambria Math"/>
                            <w:color w:val="000000" w:themeColor="text1"/>
                            <w:sz w:val="22"/>
                            <w:szCs w:val="22"/>
                            <w14:textFill>
                              <w14:solidFill>
                                <w14:schemeClr w14:val="tx1"/>
                              </w14:solidFill>
                            </w14:textFill>
                          </w:rPr>
                          <m:t>∂</m:t>
                        </m:r>
                        <m:r>
                          <m:rPr/>
                          <w:rPr>
                            <w:rFonts w:ascii="Cambria Math" w:hAnsi="Cambria Math"/>
                            <w:color w:val="000000" w:themeColor="text1"/>
                            <w:sz w:val="22"/>
                            <w:szCs w:val="22"/>
                            <w14:textFill>
                              <w14:solidFill>
                                <w14:schemeClr w14:val="tx1"/>
                              </w14:solidFill>
                            </w14:textFill>
                          </w:rPr>
                          <m:t>C</m:t>
                        </m:r>
                        <m:ctrlPr>
                          <w:rPr>
                            <w:rFonts w:ascii="Cambria Math" w:hAnsi="Cambria Math"/>
                            <w:color w:val="000000" w:themeColor="text1"/>
                            <w:sz w:val="22"/>
                            <w:szCs w:val="22"/>
                            <w14:textFill>
                              <w14:solidFill>
                                <w14:schemeClr w14:val="tx1"/>
                              </w14:solidFill>
                            </w14:textFill>
                          </w:rPr>
                        </m:ctrlPr>
                      </m:num>
                      <m:den>
                        <m:r>
                          <m:rPr>
                            <m:sty m:val="p"/>
                          </m:rPr>
                          <w:rPr>
                            <w:rFonts w:ascii="Cambria Math" w:hAnsi="Cambria Math"/>
                            <w:color w:val="000000" w:themeColor="text1"/>
                            <w:sz w:val="22"/>
                            <w:szCs w:val="22"/>
                            <w14:textFill>
                              <w14:solidFill>
                                <w14:schemeClr w14:val="tx1"/>
                              </w14:solidFill>
                            </w14:textFill>
                          </w:rPr>
                          <m:t>∂</m:t>
                        </m:r>
                        <m:r>
                          <m:rPr/>
                          <w:rPr>
                            <w:rFonts w:ascii="Cambria Math" w:hAnsi="Cambria Math"/>
                            <w:color w:val="000000" w:themeColor="text1"/>
                            <w:sz w:val="22"/>
                            <w:szCs w:val="22"/>
                            <w14:textFill>
                              <w14:solidFill>
                                <w14:schemeClr w14:val="tx1"/>
                              </w14:solidFill>
                            </w14:textFill>
                          </w:rPr>
                          <m:t>x</m:t>
                        </m:r>
                        <m:ctrlPr>
                          <w:rPr>
                            <w:rFonts w:ascii="Cambria Math" w:hAnsi="Cambria Math"/>
                            <w:color w:val="000000" w:themeColor="text1"/>
                            <w:sz w:val="22"/>
                            <w:szCs w:val="22"/>
                            <w14:textFill>
                              <w14:solidFill>
                                <w14:schemeClr w14:val="tx1"/>
                              </w14:solidFill>
                            </w14:textFill>
                          </w:rPr>
                        </m:ctrlPr>
                      </m:den>
                    </m:f>
                    <m:ctrlPr>
                      <w:rPr>
                        <w:rFonts w:ascii="Cambria Math" w:hAnsi="Cambria Math"/>
                        <w:i/>
                        <w:color w:val="000000" w:themeColor="text1"/>
                        <w:sz w:val="22"/>
                        <w:szCs w:val="22"/>
                        <w14:textFill>
                          <w14:solidFill>
                            <w14:schemeClr w14:val="tx1"/>
                          </w14:solidFill>
                        </w14:textFill>
                      </w:rPr>
                    </m:ctrlPr>
                  </m:e>
                </m:d>
                <m:r>
                  <m:rPr/>
                  <w:rPr>
                    <w:rFonts w:ascii="Cambria Math" w:hAnsi="Cambria Math"/>
                    <w:color w:val="000000" w:themeColor="text1"/>
                    <w:sz w:val="22"/>
                    <w:szCs w:val="22"/>
                    <w14:textFill>
                      <w14:solidFill>
                        <w14:schemeClr w14:val="tx1"/>
                      </w14:solidFill>
                    </w14:textFill>
                  </w:rPr>
                  <m:t>+</m:t>
                </m:r>
                <m:f>
                  <m:fPr>
                    <m:ctrlPr>
                      <w:rPr>
                        <w:rFonts w:ascii="Cambria Math" w:hAnsi="Cambria Math"/>
                        <w:color w:val="000000" w:themeColor="text1"/>
                        <w:sz w:val="22"/>
                        <w:szCs w:val="22"/>
                        <w14:textFill>
                          <w14:solidFill>
                            <w14:schemeClr w14:val="tx1"/>
                          </w14:solidFill>
                        </w14:textFill>
                      </w:rPr>
                    </m:ctrlPr>
                  </m:fPr>
                  <m:num>
                    <m:r>
                      <m:rPr>
                        <m:sty m:val="p"/>
                      </m:rPr>
                      <w:rPr>
                        <w:rFonts w:ascii="Cambria Math" w:hAnsi="Cambria Math"/>
                        <w:color w:val="000000" w:themeColor="text1"/>
                        <w:sz w:val="22"/>
                        <w:szCs w:val="22"/>
                        <w14:textFill>
                          <w14:solidFill>
                            <w14:schemeClr w14:val="tx1"/>
                          </w14:solidFill>
                        </w14:textFill>
                      </w:rPr>
                      <m:t>∂</m:t>
                    </m:r>
                    <m:ctrlPr>
                      <w:rPr>
                        <w:rFonts w:ascii="Cambria Math" w:hAnsi="Cambria Math"/>
                        <w:color w:val="000000" w:themeColor="text1"/>
                        <w:sz w:val="22"/>
                        <w:szCs w:val="22"/>
                        <w14:textFill>
                          <w14:solidFill>
                            <w14:schemeClr w14:val="tx1"/>
                          </w14:solidFill>
                        </w14:textFill>
                      </w:rPr>
                    </m:ctrlPr>
                  </m:num>
                  <m:den>
                    <m:r>
                      <m:rPr>
                        <m:sty m:val="p"/>
                      </m:rPr>
                      <w:rPr>
                        <w:rFonts w:ascii="Cambria Math" w:hAnsi="Cambria Math"/>
                        <w:color w:val="000000" w:themeColor="text1"/>
                        <w:sz w:val="22"/>
                        <w:szCs w:val="22"/>
                        <w14:textFill>
                          <w14:solidFill>
                            <w14:schemeClr w14:val="tx1"/>
                          </w14:solidFill>
                        </w14:textFill>
                      </w:rPr>
                      <m:t>∂</m:t>
                    </m:r>
                    <m:r>
                      <m:rPr/>
                      <w:rPr>
                        <w:rFonts w:ascii="Cambria Math" w:hAnsi="Cambria Math"/>
                        <w:color w:val="000000" w:themeColor="text1"/>
                        <w:sz w:val="22"/>
                        <w:szCs w:val="22"/>
                        <w14:textFill>
                          <w14:solidFill>
                            <w14:schemeClr w14:val="tx1"/>
                          </w14:solidFill>
                        </w14:textFill>
                      </w:rPr>
                      <m:t>y</m:t>
                    </m:r>
                    <m:ctrlPr>
                      <w:rPr>
                        <w:rFonts w:ascii="Cambria Math" w:hAnsi="Cambria Math"/>
                        <w:color w:val="000000" w:themeColor="text1"/>
                        <w:sz w:val="22"/>
                        <w:szCs w:val="22"/>
                        <w14:textFill>
                          <w14:solidFill>
                            <w14:schemeClr w14:val="tx1"/>
                          </w14:solidFill>
                        </w14:textFill>
                      </w:rPr>
                    </m:ctrlPr>
                  </m:den>
                </m:f>
                <m:d>
                  <m:dPr>
                    <m:ctrlPr>
                      <w:rPr>
                        <w:rFonts w:ascii="Cambria Math" w:hAnsi="Cambria Math"/>
                        <w:i/>
                        <w:color w:val="000000" w:themeColor="text1"/>
                        <w:sz w:val="22"/>
                        <w:szCs w:val="22"/>
                        <w14:textFill>
                          <w14:solidFill>
                            <w14:schemeClr w14:val="tx1"/>
                          </w14:solidFill>
                        </w14:textFill>
                      </w:rPr>
                    </m:ctrlPr>
                  </m:dPr>
                  <m:e>
                    <m:r>
                      <m:rPr/>
                      <w:rPr>
                        <w:rFonts w:ascii="Cambria Math" w:hAnsi="Cambria Math"/>
                        <w:color w:val="000000" w:themeColor="text1"/>
                        <w:sz w:val="22"/>
                        <w:szCs w:val="22"/>
                        <w14:textFill>
                          <w14:solidFill>
                            <w14:schemeClr w14:val="tx1"/>
                          </w14:solidFill>
                        </w14:textFill>
                      </w:rPr>
                      <m:t>d</m:t>
                    </m:r>
                    <m:sSub>
                      <m:sSubPr>
                        <m:ctrlPr>
                          <w:rPr>
                            <w:rFonts w:ascii="Cambria Math" w:hAnsi="Cambria Math"/>
                            <w:i/>
                            <w:color w:val="000000" w:themeColor="text1"/>
                            <w:sz w:val="22"/>
                            <w:szCs w:val="22"/>
                            <w14:textFill>
                              <w14:solidFill>
                                <w14:schemeClr w14:val="tx1"/>
                              </w14:solidFill>
                            </w14:textFill>
                          </w:rPr>
                        </m:ctrlPr>
                      </m:sSubPr>
                      <m:e>
                        <m:r>
                          <m:rPr/>
                          <w:rPr>
                            <w:rFonts w:ascii="Cambria Math" w:hAnsi="Cambria Math"/>
                            <w:color w:val="000000" w:themeColor="text1"/>
                            <w:sz w:val="22"/>
                            <w:szCs w:val="22"/>
                            <w14:textFill>
                              <w14:solidFill>
                                <w14:schemeClr w14:val="tx1"/>
                              </w14:solidFill>
                            </w14:textFill>
                          </w:rPr>
                          <m:t>ε</m:t>
                        </m:r>
                        <m:ctrlPr>
                          <w:rPr>
                            <w:rFonts w:ascii="Cambria Math" w:hAnsi="Cambria Math"/>
                            <w:i/>
                            <w:color w:val="000000" w:themeColor="text1"/>
                            <w:sz w:val="22"/>
                            <w:szCs w:val="22"/>
                            <w14:textFill>
                              <w14:solidFill>
                                <w14:schemeClr w14:val="tx1"/>
                              </w14:solidFill>
                            </w14:textFill>
                          </w:rPr>
                        </m:ctrlPr>
                      </m:e>
                      <m:sub>
                        <m:r>
                          <m:rPr/>
                          <w:rPr>
                            <w:rFonts w:ascii="Cambria Math" w:hAnsi="Cambria Math"/>
                            <w:color w:val="000000" w:themeColor="text1"/>
                            <w:sz w:val="22"/>
                            <w:szCs w:val="22"/>
                            <w14:textFill>
                              <w14:solidFill>
                                <w14:schemeClr w14:val="tx1"/>
                              </w14:solidFill>
                            </w14:textFill>
                          </w:rPr>
                          <m:t>y</m:t>
                        </m:r>
                        <m:ctrlPr>
                          <w:rPr>
                            <w:rFonts w:ascii="Cambria Math" w:hAnsi="Cambria Math"/>
                            <w:i/>
                            <w:color w:val="000000" w:themeColor="text1"/>
                            <w:sz w:val="22"/>
                            <w:szCs w:val="22"/>
                            <w14:textFill>
                              <w14:solidFill>
                                <w14:schemeClr w14:val="tx1"/>
                              </w14:solidFill>
                            </w14:textFill>
                          </w:rPr>
                        </m:ctrlPr>
                      </m:sub>
                    </m:sSub>
                    <m:f>
                      <m:fPr>
                        <m:ctrlPr>
                          <w:rPr>
                            <w:rFonts w:ascii="Cambria Math" w:hAnsi="Cambria Math"/>
                            <w:color w:val="000000" w:themeColor="text1"/>
                            <w:sz w:val="22"/>
                            <w:szCs w:val="22"/>
                            <w14:textFill>
                              <w14:solidFill>
                                <w14:schemeClr w14:val="tx1"/>
                              </w14:solidFill>
                            </w14:textFill>
                          </w:rPr>
                        </m:ctrlPr>
                      </m:fPr>
                      <m:num>
                        <m:r>
                          <m:rPr>
                            <m:sty m:val="p"/>
                          </m:rPr>
                          <w:rPr>
                            <w:rFonts w:ascii="Cambria Math" w:hAnsi="Cambria Math"/>
                            <w:color w:val="000000" w:themeColor="text1"/>
                            <w:sz w:val="22"/>
                            <w:szCs w:val="22"/>
                            <w14:textFill>
                              <w14:solidFill>
                                <w14:schemeClr w14:val="tx1"/>
                              </w14:solidFill>
                            </w14:textFill>
                          </w:rPr>
                          <m:t>∂</m:t>
                        </m:r>
                        <m:r>
                          <m:rPr/>
                          <w:rPr>
                            <w:rFonts w:ascii="Cambria Math" w:hAnsi="Cambria Math"/>
                            <w:color w:val="000000" w:themeColor="text1"/>
                            <w:sz w:val="22"/>
                            <w:szCs w:val="22"/>
                            <w14:textFill>
                              <w14:solidFill>
                                <w14:schemeClr w14:val="tx1"/>
                              </w14:solidFill>
                            </w14:textFill>
                          </w:rPr>
                          <m:t>C</m:t>
                        </m:r>
                        <m:ctrlPr>
                          <w:rPr>
                            <w:rFonts w:ascii="Cambria Math" w:hAnsi="Cambria Math"/>
                            <w:color w:val="000000" w:themeColor="text1"/>
                            <w:sz w:val="22"/>
                            <w:szCs w:val="22"/>
                            <w14:textFill>
                              <w14:solidFill>
                                <w14:schemeClr w14:val="tx1"/>
                              </w14:solidFill>
                            </w14:textFill>
                          </w:rPr>
                        </m:ctrlPr>
                      </m:num>
                      <m:den>
                        <m:r>
                          <m:rPr>
                            <m:sty m:val="p"/>
                          </m:rPr>
                          <w:rPr>
                            <w:rFonts w:ascii="Cambria Math" w:hAnsi="Cambria Math"/>
                            <w:color w:val="000000" w:themeColor="text1"/>
                            <w:sz w:val="22"/>
                            <w:szCs w:val="22"/>
                            <w14:textFill>
                              <w14:solidFill>
                                <w14:schemeClr w14:val="tx1"/>
                              </w14:solidFill>
                            </w14:textFill>
                          </w:rPr>
                          <m:t>∂</m:t>
                        </m:r>
                        <m:r>
                          <m:rPr/>
                          <w:rPr>
                            <w:rFonts w:ascii="Cambria Math" w:hAnsi="Cambria Math"/>
                            <w:color w:val="000000" w:themeColor="text1"/>
                            <w:sz w:val="22"/>
                            <w:szCs w:val="22"/>
                            <w14:textFill>
                              <w14:solidFill>
                                <w14:schemeClr w14:val="tx1"/>
                              </w14:solidFill>
                            </w14:textFill>
                          </w:rPr>
                          <m:t>y</m:t>
                        </m:r>
                        <m:ctrlPr>
                          <w:rPr>
                            <w:rFonts w:ascii="Cambria Math" w:hAnsi="Cambria Math"/>
                            <w:color w:val="000000" w:themeColor="text1"/>
                            <w:sz w:val="22"/>
                            <w:szCs w:val="22"/>
                            <w14:textFill>
                              <w14:solidFill>
                                <w14:schemeClr w14:val="tx1"/>
                              </w14:solidFill>
                            </w14:textFill>
                          </w:rPr>
                        </m:ctrlPr>
                      </m:den>
                    </m:f>
                    <m:ctrlPr>
                      <w:rPr>
                        <w:rFonts w:ascii="Cambria Math" w:hAnsi="Cambria Math"/>
                        <w:i/>
                        <w:color w:val="000000" w:themeColor="text1"/>
                        <w:sz w:val="22"/>
                        <w:szCs w:val="22"/>
                        <w14:textFill>
                          <w14:solidFill>
                            <w14:schemeClr w14:val="tx1"/>
                          </w14:solidFill>
                        </w14:textFill>
                      </w:rPr>
                    </m:ctrlPr>
                  </m:e>
                </m:d>
                <m:r>
                  <m:rPr/>
                  <w:rPr>
                    <w:rFonts w:ascii="Cambria Math" w:hAnsi="Cambria Math"/>
                    <w:color w:val="000000" w:themeColor="text1"/>
                    <w:sz w:val="22"/>
                    <w:szCs w:val="22"/>
                    <w14:textFill>
                      <w14:solidFill>
                        <w14:schemeClr w14:val="tx1"/>
                      </w14:solidFill>
                    </w14:textFill>
                  </w:rPr>
                  <m:t>+M−KC</m:t>
                </m:r>
              </m:oMath>
            </m:oMathPara>
          </w:p>
        </w:tc>
        <w:tc>
          <w:tcPr>
            <w:tcW w:w="1079" w:type="dxa"/>
            <w:vAlign w:val="center"/>
          </w:tcPr>
          <w:p w14:paraId="658BFBFC">
            <w:pPr>
              <w:ind w:firstLine="48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w:t>
            </w:r>
          </w:p>
        </w:tc>
      </w:tr>
    </w:tbl>
    <w:p w14:paraId="489AE4F7">
      <w:pPr>
        <w:pStyle w:val="35"/>
        <w:spacing w:after="0" w:line="360" w:lineRule="auto"/>
        <w:ind w:left="0" w:leftChars="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式中：</w:t>
      </w:r>
      <w:r>
        <w:rPr>
          <w:rFonts w:hint="eastAsia"/>
          <w:i/>
          <w:color w:val="000000" w:themeColor="text1"/>
          <w:sz w:val="24"/>
          <w:szCs w:val="24"/>
          <w14:textFill>
            <w14:solidFill>
              <w14:schemeClr w14:val="tx1"/>
            </w14:solidFill>
          </w14:textFill>
        </w:rPr>
        <w:t>C</w:t>
      </w:r>
      <w:r>
        <w:rPr>
          <w:rFonts w:hint="eastAsia"/>
          <w:color w:val="000000" w:themeColor="text1"/>
          <w:sz w:val="24"/>
          <w:szCs w:val="24"/>
          <w14:textFill>
            <w14:solidFill>
              <w14:schemeClr w14:val="tx1"/>
            </w14:solidFill>
          </w14:textFill>
        </w:rPr>
        <w:t>为</w:t>
      </w:r>
      <w:r>
        <w:rPr>
          <w:color w:val="000000" w:themeColor="text1"/>
          <w:sz w:val="24"/>
          <w:szCs w:val="24"/>
          <w14:textFill>
            <w14:solidFill>
              <w14:schemeClr w14:val="tx1"/>
            </w14:solidFill>
          </w14:textFill>
        </w:rPr>
        <w:t>污染物浓度；</w:t>
      </w:r>
      <w:r>
        <w:rPr>
          <w:i/>
          <w:color w:val="000000" w:themeColor="text1"/>
          <w:sz w:val="24"/>
          <w:szCs w:val="24"/>
          <w14:textFill>
            <w14:solidFill>
              <w14:schemeClr w14:val="tx1"/>
            </w14:solidFill>
          </w14:textFill>
        </w:rPr>
        <w:t>M</w:t>
      </w:r>
      <w:r>
        <w:rPr>
          <w:color w:val="000000" w:themeColor="text1"/>
          <w:sz w:val="24"/>
          <w:szCs w:val="24"/>
          <w14:textFill>
            <w14:solidFill>
              <w14:schemeClr w14:val="tx1"/>
            </w14:solidFill>
          </w14:textFill>
        </w:rPr>
        <w:t>为源项；</w:t>
      </w:r>
      <w:r>
        <w:rPr>
          <w:rFonts w:hint="eastAsia"/>
          <w:i/>
          <w:color w:val="000000" w:themeColor="text1"/>
          <w:sz w:val="24"/>
          <w14:textFill>
            <w14:solidFill>
              <w14:schemeClr w14:val="tx1"/>
            </w14:solidFill>
          </w14:textFill>
        </w:rPr>
        <w:t>KC</w:t>
      </w:r>
      <w:r>
        <w:rPr>
          <w:rFonts w:hint="eastAsia"/>
          <w:color w:val="000000" w:themeColor="text1"/>
          <w:sz w:val="24"/>
          <w14:textFill>
            <w14:solidFill>
              <w14:schemeClr w14:val="tx1"/>
            </w14:solidFill>
          </w14:textFill>
        </w:rPr>
        <w:t>为耗散项，</w:t>
      </w:r>
      <w:r>
        <w:rPr>
          <w:rFonts w:hint="eastAsia"/>
          <w:i/>
          <w:color w:val="000000" w:themeColor="text1"/>
          <w:sz w:val="24"/>
          <w14:textFill>
            <w14:solidFill>
              <w14:schemeClr w14:val="tx1"/>
            </w14:solidFill>
          </w14:textFill>
        </w:rPr>
        <w:t>K</w:t>
      </w:r>
      <w:r>
        <w:rPr>
          <w:rFonts w:hint="eastAsia"/>
          <w:color w:val="000000" w:themeColor="text1"/>
          <w:sz w:val="24"/>
          <w14:textFill>
            <w14:solidFill>
              <w14:schemeClr w14:val="tx1"/>
            </w14:solidFill>
          </w14:textFill>
        </w:rPr>
        <w:t>为耗散系数（衰减系数），从保守偏安全角度考虑，本次预测衰减系数</w:t>
      </w:r>
      <w:r>
        <w:rPr>
          <w:rFonts w:hint="eastAsia"/>
          <w:i/>
          <w:color w:val="000000" w:themeColor="text1"/>
          <w:sz w:val="24"/>
          <w14:textFill>
            <w14:solidFill>
              <w14:schemeClr w14:val="tx1"/>
            </w14:solidFill>
          </w14:textFill>
        </w:rPr>
        <w:t>K</w:t>
      </w:r>
      <w:r>
        <w:rPr>
          <w:rFonts w:hint="eastAsia"/>
          <w:color w:val="000000" w:themeColor="text1"/>
          <w:sz w:val="24"/>
          <w14:textFill>
            <w14:solidFill>
              <w14:schemeClr w14:val="tx1"/>
            </w14:solidFill>
          </w14:textFill>
        </w:rPr>
        <w:t>取值为零；</w:t>
      </w:r>
      <w:r>
        <w:rPr>
          <w:rFonts w:hint="eastAsia"/>
          <w:color w:val="000000" w:themeColor="text1"/>
          <w:sz w:val="24"/>
          <w:lang w:eastAsia="zh-CN"/>
          <w14:textFill>
            <w14:solidFill>
              <w14:schemeClr w14:val="tx1"/>
            </w14:solidFill>
          </w14:textFill>
        </w:rPr>
        <w:t>其他</w:t>
      </w:r>
      <w:r>
        <w:rPr>
          <w:color w:val="000000" w:themeColor="text1"/>
          <w:sz w:val="24"/>
          <w:szCs w:val="24"/>
          <w14:textFill>
            <w14:solidFill>
              <w14:schemeClr w14:val="tx1"/>
            </w14:solidFill>
          </w14:textFill>
        </w:rPr>
        <w:t>符号同前。</w:t>
      </w:r>
      <w:r>
        <w:rPr>
          <w:rFonts w:hint="eastAsia"/>
          <w:color w:val="000000" w:themeColor="text1"/>
          <w:sz w:val="24"/>
          <w14:textFill>
            <w14:solidFill>
              <w14:schemeClr w14:val="tx1"/>
            </w14:solidFill>
          </w14:textFill>
        </w:rPr>
        <w:t>通过联立水动力方程（1）-（3）数值求解污染物扩散方程。</w:t>
      </w:r>
    </w:p>
    <w:p w14:paraId="6DE82267">
      <w:pPr>
        <w:pStyle w:val="6"/>
        <w:ind w:left="0"/>
        <w:rPr>
          <w:color w:val="000000" w:themeColor="text1"/>
          <w14:textFill>
            <w14:solidFill>
              <w14:schemeClr w14:val="tx1"/>
            </w14:solidFill>
          </w14:textFill>
        </w:rPr>
      </w:pPr>
      <w:r>
        <w:rPr>
          <w:rFonts w:hint="eastAsia"/>
          <w:color w:val="000000" w:themeColor="text1"/>
          <w14:textFill>
            <w14:solidFill>
              <w14:schemeClr w14:val="tx1"/>
            </w14:solidFill>
          </w14:textFill>
        </w:rPr>
        <w:t>源强</w:t>
      </w:r>
    </w:p>
    <w:p w14:paraId="0C88BDAB">
      <w:pPr>
        <w:pStyle w:val="13"/>
        <w:spacing w:line="360" w:lineRule="auto"/>
        <w:ind w:firstLineChars="0"/>
        <w:rPr>
          <w:rFonts w:ascii="宋体" w:hAnsi="宋体"/>
          <w:color w:val="000000" w:themeColor="text1"/>
          <w:sz w:val="24"/>
          <w14:textFill>
            <w14:solidFill>
              <w14:schemeClr w14:val="tx1"/>
            </w14:solidFill>
          </w14:textFill>
        </w:rPr>
      </w:pPr>
      <w:r>
        <w:rPr>
          <w:rFonts w:ascii="宋体" w:hAnsi="宋体"/>
          <w:color w:val="000000" w:themeColor="text1"/>
          <w:sz w:val="24"/>
          <w14:textFill>
            <w14:solidFill>
              <w14:schemeClr w14:val="tx1"/>
            </w14:solidFill>
          </w14:textFill>
        </w:rPr>
        <w:t>参考《水上溢油环境风险评估技术导则》（</w:t>
      </w:r>
      <w:r>
        <w:rPr>
          <w:color w:val="000000" w:themeColor="text1"/>
          <w:sz w:val="24"/>
          <w14:textFill>
            <w14:solidFill>
              <w14:schemeClr w14:val="tx1"/>
            </w14:solidFill>
          </w14:textFill>
        </w:rPr>
        <w:t>JT/T114-2017</w:t>
      </w:r>
      <w:r>
        <w:rPr>
          <w:rFonts w:ascii="宋体" w:hAnsi="宋体"/>
          <w:color w:val="000000" w:themeColor="text1"/>
          <w:sz w:val="24"/>
          <w14:textFill>
            <w14:solidFill>
              <w14:schemeClr w14:val="tx1"/>
            </w14:solidFill>
          </w14:textFill>
        </w:rPr>
        <w:t>）表</w:t>
      </w:r>
      <w:r>
        <w:rPr>
          <w:color w:val="000000" w:themeColor="text1"/>
          <w:sz w:val="24"/>
          <w14:textFill>
            <w14:solidFill>
              <w14:schemeClr w14:val="tx1"/>
            </w14:solidFill>
          </w14:textFill>
        </w:rPr>
        <w:t>C.</w:t>
      </w:r>
      <w:r>
        <w:rPr>
          <w:rFonts w:hint="eastAsia"/>
          <w:color w:val="000000" w:themeColor="text1"/>
          <w:sz w:val="24"/>
          <w14:textFill>
            <w14:solidFill>
              <w14:schemeClr w14:val="tx1"/>
            </w14:solidFill>
          </w14:textFill>
        </w:rPr>
        <w:t>1</w:t>
      </w:r>
      <w:r>
        <w:rPr>
          <w:rFonts w:ascii="宋体" w:hAnsi="宋体"/>
          <w:color w:val="000000" w:themeColor="text1"/>
          <w:sz w:val="24"/>
          <w14:textFill>
            <w14:solidFill>
              <w14:schemeClr w14:val="tx1"/>
            </w14:solidFill>
          </w14:textFill>
        </w:rPr>
        <w:t>中</w:t>
      </w:r>
      <w:r>
        <w:rPr>
          <w:rFonts w:hint="eastAsia"/>
          <w:color w:val="000000" w:themeColor="text1"/>
          <w:sz w:val="24"/>
          <w14:textFill>
            <w14:solidFill>
              <w14:schemeClr w14:val="tx1"/>
            </w14:solidFill>
          </w14:textFill>
        </w:rPr>
        <w:t>5000</w:t>
      </w:r>
      <w:r>
        <w:rPr>
          <w:rFonts w:hint="eastAsia" w:ascii="宋体" w:hAnsi="宋体"/>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0000</w:t>
      </w:r>
      <w:r>
        <w:rPr>
          <w:rFonts w:ascii="宋体" w:hAnsi="宋体"/>
          <w:color w:val="000000" w:themeColor="text1"/>
          <w:sz w:val="24"/>
          <w14:textFill>
            <w14:solidFill>
              <w14:schemeClr w14:val="tx1"/>
            </w14:solidFill>
          </w14:textFill>
        </w:rPr>
        <w:t>吨级单个舱容取</w:t>
      </w:r>
      <w:r>
        <w:rPr>
          <w:rFonts w:hint="eastAsia"/>
          <w:color w:val="000000" w:themeColor="text1"/>
          <w:sz w:val="24"/>
          <w14:textFill>
            <w14:solidFill>
              <w14:schemeClr w14:val="tx1"/>
            </w14:solidFill>
          </w14:textFill>
        </w:rPr>
        <w:t>425</w:t>
      </w:r>
      <w:r>
        <w:rPr>
          <w:rFonts w:hint="eastAsia" w:ascii="宋体" w:hAnsi="宋体"/>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1063</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rFonts w:ascii="宋体" w:hAnsi="宋体"/>
          <w:color w:val="000000" w:themeColor="text1"/>
          <w:sz w:val="24"/>
          <w14:textFill>
            <w14:solidFill>
              <w14:schemeClr w14:val="tx1"/>
            </w14:solidFill>
          </w14:textFill>
        </w:rPr>
        <w:t>，可能最大水上泄漏量为</w:t>
      </w:r>
      <w:r>
        <w:rPr>
          <w:color w:val="000000" w:themeColor="text1"/>
          <w:sz w:val="24"/>
          <w14:textFill>
            <w14:solidFill>
              <w14:schemeClr w14:val="tx1"/>
            </w14:solidFill>
          </w14:textFill>
        </w:rPr>
        <w:t>1</w:t>
      </w:r>
      <w:r>
        <w:rPr>
          <w:rFonts w:ascii="宋体" w:hAnsi="宋体"/>
          <w:color w:val="000000" w:themeColor="text1"/>
          <w:sz w:val="24"/>
          <w14:textFill>
            <w14:solidFill>
              <w14:schemeClr w14:val="tx1"/>
            </w14:solidFill>
          </w14:textFill>
        </w:rPr>
        <w:t>个货油边舱全部</w:t>
      </w:r>
      <w:r>
        <w:rPr>
          <w:rFonts w:hint="eastAsia" w:ascii="宋体" w:hAnsi="宋体"/>
          <w:color w:val="000000" w:themeColor="text1"/>
          <w:sz w:val="24"/>
          <w14:textFill>
            <w14:solidFill>
              <w14:schemeClr w14:val="tx1"/>
            </w14:solidFill>
          </w14:textFill>
        </w:rPr>
        <w:t>泄漏。</w:t>
      </w:r>
      <w:r>
        <w:rPr>
          <w:rFonts w:ascii="宋体" w:hAnsi="宋体"/>
          <w:color w:val="000000" w:themeColor="text1"/>
          <w:sz w:val="24"/>
          <w14:textFill>
            <w14:solidFill>
              <w14:schemeClr w14:val="tx1"/>
            </w14:solidFill>
          </w14:textFill>
        </w:rPr>
        <w:t>本次选</w:t>
      </w:r>
      <w:r>
        <w:rPr>
          <w:rFonts w:hint="eastAsia" w:ascii="宋体" w:hAnsi="宋体"/>
          <w:color w:val="000000" w:themeColor="text1"/>
          <w:sz w:val="24"/>
          <w14:textFill>
            <w14:solidFill>
              <w14:schemeClr w14:val="tx1"/>
            </w14:solidFill>
          </w14:textFill>
        </w:rPr>
        <w:t>取的液碱、发烟硫酸最大船型为5000吨级，</w:t>
      </w:r>
      <w:r>
        <w:rPr>
          <w:rFonts w:ascii="宋体" w:hAnsi="宋体"/>
          <w:color w:val="000000" w:themeColor="text1"/>
          <w:sz w:val="24"/>
          <w14:textFill>
            <w14:solidFill>
              <w14:schemeClr w14:val="tx1"/>
            </w14:solidFill>
          </w14:textFill>
        </w:rPr>
        <w:t>根据各物质密度</w:t>
      </w:r>
      <w:r>
        <w:rPr>
          <w:rFonts w:hint="eastAsia" w:ascii="宋体" w:hAnsi="宋体"/>
          <w:color w:val="000000" w:themeColor="text1"/>
          <w:sz w:val="24"/>
          <w14:textFill>
            <w14:solidFill>
              <w14:schemeClr w14:val="tx1"/>
            </w14:solidFill>
          </w14:textFill>
        </w:rPr>
        <w:t>，计算得到液碱、发烟硫酸可能最大事故</w:t>
      </w:r>
      <w:r>
        <w:rPr>
          <w:rFonts w:hint="eastAsia" w:ascii="宋体" w:hAnsi="宋体"/>
          <w:color w:val="000000" w:themeColor="text1"/>
          <w:sz w:val="24"/>
          <w:lang w:eastAsia="zh-CN"/>
          <w14:textFill>
            <w14:solidFill>
              <w14:schemeClr w14:val="tx1"/>
            </w14:solidFill>
          </w14:textFill>
        </w:rPr>
        <w:t>泄漏</w:t>
      </w:r>
      <w:r>
        <w:rPr>
          <w:rFonts w:hint="eastAsia" w:ascii="宋体" w:hAnsi="宋体"/>
          <w:color w:val="000000" w:themeColor="text1"/>
          <w:sz w:val="24"/>
          <w14:textFill>
            <w14:solidFill>
              <w14:schemeClr w14:val="tx1"/>
            </w14:solidFill>
          </w14:textFill>
        </w:rPr>
        <w:t>量分别为</w:t>
      </w:r>
      <w:r>
        <w:rPr>
          <w:color w:val="000000" w:themeColor="text1"/>
          <w:sz w:val="24"/>
          <w14:textFill>
            <w14:solidFill>
              <w14:schemeClr w14:val="tx1"/>
            </w14:solidFill>
          </w14:textFill>
        </w:rPr>
        <w:t>552.5t、807.5t</w:t>
      </w:r>
      <w:r>
        <w:rPr>
          <w:rFonts w:hint="eastAsia" w:ascii="宋体" w:hAnsi="宋体"/>
          <w:color w:val="000000" w:themeColor="text1"/>
          <w:sz w:val="24"/>
          <w14:textFill>
            <w14:solidFill>
              <w14:schemeClr w14:val="tx1"/>
            </w14:solidFill>
          </w14:textFill>
        </w:rPr>
        <w:t>。</w:t>
      </w:r>
      <w:r>
        <w:rPr>
          <w:rFonts w:hint="eastAsia" w:ascii="宋体" w:hAnsi="宋体"/>
          <w:color w:val="000000" w:themeColor="text1"/>
          <w:sz w:val="24"/>
          <w:lang w:eastAsia="zh-CN"/>
          <w14:textFill>
            <w14:solidFill>
              <w14:schemeClr w14:val="tx1"/>
            </w14:solidFill>
          </w14:textFill>
        </w:rPr>
        <w:t>泄漏</w:t>
      </w:r>
      <w:r>
        <w:rPr>
          <w:rFonts w:hint="eastAsia" w:ascii="宋体" w:hAnsi="宋体"/>
          <w:color w:val="000000" w:themeColor="text1"/>
          <w:sz w:val="24"/>
          <w14:textFill>
            <w14:solidFill>
              <w14:schemeClr w14:val="tx1"/>
            </w14:solidFill>
          </w14:textFill>
        </w:rPr>
        <w:t>位置假设为本项目码头前沿水域。</w:t>
      </w:r>
    </w:p>
    <w:p w14:paraId="3073E9F5">
      <w:pPr>
        <w:pStyle w:val="6"/>
        <w:ind w:left="0"/>
        <w:rPr>
          <w:color w:val="000000" w:themeColor="text1"/>
          <w14:textFill>
            <w14:solidFill>
              <w14:schemeClr w14:val="tx1"/>
            </w14:solidFill>
          </w14:textFill>
        </w:rPr>
      </w:pPr>
      <w:r>
        <w:rPr>
          <w:color w:val="000000" w:themeColor="text1"/>
          <w14:textFill>
            <w14:solidFill>
              <w14:schemeClr w14:val="tx1"/>
            </w14:solidFill>
          </w14:textFill>
        </w:rPr>
        <w:t>预测结果</w:t>
      </w:r>
    </w:p>
    <w:p w14:paraId="44628EF1">
      <w:pPr>
        <w:pStyle w:val="13"/>
        <w:spacing w:line="360" w:lineRule="auto"/>
        <w:ind w:firstLineChars="175"/>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（1）液碱</w:t>
      </w:r>
    </w:p>
    <w:p w14:paraId="11A6EBE8">
      <w:pPr>
        <w:pStyle w:val="13"/>
        <w:spacing w:line="360" w:lineRule="auto"/>
        <w:ind w:firstLineChars="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类似地，根</w:t>
      </w:r>
      <w:r>
        <w:rPr>
          <w:color w:val="000000" w:themeColor="text1"/>
          <w:sz w:val="24"/>
          <w14:textFill>
            <w14:solidFill>
              <w14:schemeClr w14:val="tx1"/>
            </w14:solidFill>
          </w14:textFill>
        </w:rPr>
        <w:t>据</w:t>
      </w:r>
      <w:r>
        <w:rPr>
          <w:rFonts w:hint="eastAsia"/>
          <w:color w:val="000000" w:themeColor="text1"/>
          <w:sz w:val="24"/>
          <w14:textFill>
            <w14:solidFill>
              <w14:schemeClr w14:val="tx1"/>
            </w14:solidFill>
          </w14:textFill>
        </w:rPr>
        <w:t>前</w:t>
      </w:r>
      <w:r>
        <w:rPr>
          <w:color w:val="000000" w:themeColor="text1"/>
          <w:sz w:val="24"/>
          <w14:textFill>
            <w14:solidFill>
              <w14:schemeClr w14:val="tx1"/>
            </w14:solidFill>
          </w14:textFill>
        </w:rPr>
        <w:t>述条件进行预测计算，</w:t>
      </w:r>
      <w:r>
        <w:rPr>
          <w:rFonts w:hint="eastAsia"/>
          <w:color w:val="000000" w:themeColor="text1"/>
          <w:sz w:val="24"/>
          <w14:textFill>
            <w14:solidFill>
              <w14:schemeClr w14:val="tx1"/>
            </w14:solidFill>
          </w14:textFill>
        </w:rPr>
        <w:t>得到</w:t>
      </w:r>
      <w:r>
        <w:rPr>
          <w:rFonts w:hint="eastAsia" w:ascii="宋体" w:hAnsi="宋体"/>
          <w:color w:val="000000" w:themeColor="text1"/>
          <w:sz w:val="24"/>
          <w14:textFill>
            <w14:solidFill>
              <w14:schemeClr w14:val="tx1"/>
            </w14:solidFill>
          </w14:textFill>
        </w:rPr>
        <w:t>液碱</w:t>
      </w:r>
      <w:r>
        <w:rPr>
          <w:rFonts w:hint="eastAsia"/>
          <w:color w:val="000000" w:themeColor="text1"/>
          <w:sz w:val="24"/>
          <w14:textFill>
            <w14:solidFill>
              <w14:schemeClr w14:val="tx1"/>
            </w14:solidFill>
          </w14:textFill>
        </w:rPr>
        <w:t>分别在</w:t>
      </w:r>
      <w:r>
        <w:rPr>
          <w:color w:val="000000" w:themeColor="text1"/>
          <w:sz w:val="24"/>
          <w14:textFill>
            <w14:solidFill>
              <w14:schemeClr w14:val="tx1"/>
            </w14:solidFill>
          </w14:textFill>
        </w:rPr>
        <w:t>涨潮</w:t>
      </w:r>
      <w:r>
        <w:rPr>
          <w:rFonts w:hint="eastAsia"/>
          <w:color w:val="000000" w:themeColor="text1"/>
          <w:sz w:val="24"/>
          <w14:textFill>
            <w14:solidFill>
              <w14:schemeClr w14:val="tx1"/>
            </w14:solidFill>
          </w14:textFill>
        </w:rPr>
        <w:t>阶段、</w:t>
      </w:r>
      <w:r>
        <w:rPr>
          <w:color w:val="000000" w:themeColor="text1"/>
          <w:sz w:val="24"/>
          <w14:textFill>
            <w14:solidFill>
              <w14:schemeClr w14:val="tx1"/>
            </w14:solidFill>
          </w14:textFill>
        </w:rPr>
        <w:t>落潮</w:t>
      </w:r>
      <w:r>
        <w:rPr>
          <w:rFonts w:hint="eastAsia"/>
          <w:color w:val="000000" w:themeColor="text1"/>
          <w:sz w:val="24"/>
          <w14:textFill>
            <w14:solidFill>
              <w14:schemeClr w14:val="tx1"/>
            </w14:solidFill>
          </w14:textFill>
        </w:rPr>
        <w:t>阶段泄漏后不同</w:t>
      </w:r>
      <w:r>
        <w:rPr>
          <w:color w:val="000000" w:themeColor="text1"/>
          <w:sz w:val="24"/>
          <w14:textFill>
            <w14:solidFill>
              <w14:schemeClr w14:val="tx1"/>
            </w14:solidFill>
          </w14:textFill>
        </w:rPr>
        <w:t>浓度</w:t>
      </w:r>
      <w:r>
        <w:rPr>
          <w:rFonts w:hint="eastAsia"/>
          <w:color w:val="000000" w:themeColor="text1"/>
          <w:sz w:val="24"/>
          <w14:textFill>
            <w14:solidFill>
              <w14:schemeClr w14:val="tx1"/>
            </w14:solidFill>
          </w14:textFill>
        </w:rPr>
        <w:t>增量的</w:t>
      </w:r>
      <w:r>
        <w:rPr>
          <w:color w:val="000000" w:themeColor="text1"/>
          <w:sz w:val="24"/>
          <w14:textFill>
            <w14:solidFill>
              <w14:schemeClr w14:val="tx1"/>
            </w14:solidFill>
          </w14:textFill>
        </w:rPr>
        <w:t>影响包络</w:t>
      </w:r>
      <w:r>
        <w:rPr>
          <w:rFonts w:hint="eastAsia"/>
          <w:color w:val="000000" w:themeColor="text1"/>
          <w:sz w:val="24"/>
          <w14:textFill>
            <w14:solidFill>
              <w14:schemeClr w14:val="tx1"/>
            </w14:solidFill>
          </w14:textFill>
        </w:rPr>
        <w:t>范围(</w:t>
      </w:r>
      <w:r>
        <w:rPr>
          <w:color w:val="000000" w:themeColor="text1"/>
          <w:sz w:val="24"/>
          <w14:textFill>
            <w14:solidFill>
              <w14:schemeClr w14:val="tx1"/>
            </w14:solidFill>
          </w14:textFill>
        </w:rPr>
        <w:t>见图</w:t>
      </w:r>
      <w:r>
        <w:rPr>
          <w:rFonts w:hint="eastAsia"/>
          <w:b/>
          <w:color w:val="000000" w:themeColor="text1"/>
          <w:sz w:val="24"/>
          <w14:textFill>
            <w14:solidFill>
              <w14:schemeClr w14:val="tx1"/>
            </w14:solidFill>
          </w14:textFill>
        </w:rPr>
        <w:t>5.5.4</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3</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图</w:t>
      </w:r>
      <w:r>
        <w:rPr>
          <w:rFonts w:hint="eastAsia"/>
          <w:b/>
          <w:color w:val="000000" w:themeColor="text1"/>
          <w:sz w:val="24"/>
          <w14:textFill>
            <w14:solidFill>
              <w14:schemeClr w14:val="tx1"/>
            </w14:solidFill>
          </w14:textFill>
        </w:rPr>
        <w:t>5.5.4</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4</w:t>
      </w:r>
      <w:r>
        <w:rPr>
          <w:rFonts w:hint="eastAsia"/>
          <w:color w:val="000000" w:themeColor="text1"/>
          <w:sz w:val="24"/>
          <w14:textFill>
            <w14:solidFill>
              <w14:schemeClr w14:val="tx1"/>
            </w14:solidFill>
          </w14:textFill>
        </w:rPr>
        <w:t>)，其中最外层</w:t>
      </w:r>
      <w:r>
        <w:rPr>
          <w:rFonts w:hint="eastAsia" w:ascii="宋体" w:hAnsi="宋体"/>
          <w:color w:val="000000" w:themeColor="text1"/>
          <w:sz w:val="24"/>
          <w14:textFill>
            <w14:solidFill>
              <w14:schemeClr w14:val="tx1"/>
            </w14:solidFill>
          </w14:textFill>
        </w:rPr>
        <w:t>液碱</w:t>
      </w:r>
      <w:r>
        <w:rPr>
          <w:rFonts w:hint="eastAsia"/>
          <w:color w:val="000000" w:themeColor="text1"/>
          <w:sz w:val="24"/>
          <w14:textFill>
            <w14:solidFill>
              <w14:schemeClr w14:val="tx1"/>
            </w14:solidFill>
          </w14:textFill>
        </w:rPr>
        <w:t>浓度为</w:t>
      </w:r>
      <w:r>
        <w:rPr>
          <w:color w:val="000000" w:themeColor="text1"/>
          <w:sz w:val="24"/>
          <w14:textFill>
            <w14:solidFill>
              <w14:schemeClr w14:val="tx1"/>
            </w14:solidFill>
          </w14:textFill>
        </w:rPr>
        <w:t>0.001mg/L</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对应的影响区域面积和最远扩散距离见表</w:t>
      </w:r>
      <w:r>
        <w:rPr>
          <w:rFonts w:hint="eastAsia"/>
          <w:color w:val="000000" w:themeColor="text1"/>
          <w:sz w:val="24"/>
          <w14:textFill>
            <w14:solidFill>
              <w14:schemeClr w14:val="tx1"/>
            </w14:solidFill>
          </w14:textFill>
        </w:rPr>
        <w:t>5.5-16</w:t>
      </w:r>
      <w:r>
        <w:rPr>
          <w:color w:val="000000" w:themeColor="text1"/>
          <w:sz w:val="24"/>
          <w14:textFill>
            <w14:solidFill>
              <w14:schemeClr w14:val="tx1"/>
            </w14:solidFill>
          </w14:textFill>
        </w:rPr>
        <w:t>。</w:t>
      </w:r>
    </w:p>
    <w:p w14:paraId="2494F7F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从图</w:t>
      </w:r>
      <w:r>
        <w:rPr>
          <w:rFonts w:hint="eastAsia"/>
          <w:b/>
          <w:color w:val="000000" w:themeColor="text1"/>
          <w14:textFill>
            <w14:solidFill>
              <w14:schemeClr w14:val="tx1"/>
            </w14:solidFill>
          </w14:textFill>
        </w:rPr>
        <w:t>5.5.4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~图</w:t>
      </w:r>
      <w:r>
        <w:rPr>
          <w:rFonts w:hint="eastAsia"/>
          <w:b/>
          <w:color w:val="000000" w:themeColor="text1"/>
          <w14:textFill>
            <w14:solidFill>
              <w14:schemeClr w14:val="tx1"/>
            </w14:solidFill>
          </w14:textFill>
        </w:rPr>
        <w:t>5.5.4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及表5.5-16可以看出，涨潮阶段发生</w:t>
      </w:r>
      <w:r>
        <w:rPr>
          <w:rFonts w:hint="eastAsia" w:ascii="宋体" w:hAnsi="宋体"/>
          <w:color w:val="000000" w:themeColor="text1"/>
          <w14:textFill>
            <w14:solidFill>
              <w14:schemeClr w14:val="tx1"/>
            </w14:solidFill>
          </w14:textFill>
        </w:rPr>
        <w:t>液碱</w:t>
      </w:r>
      <w:r>
        <w:rPr>
          <w:rFonts w:hint="eastAsia" w:ascii="宋体" w:hAnsi="宋体"/>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事故时，</w:t>
      </w:r>
      <w:r>
        <w:rPr>
          <w:rFonts w:hint="eastAsia" w:ascii="宋体" w:hAnsi="宋体"/>
          <w:color w:val="000000" w:themeColor="text1"/>
          <w14:textFill>
            <w14:solidFill>
              <w14:schemeClr w14:val="tx1"/>
            </w14:solidFill>
          </w14:textFill>
        </w:rPr>
        <w:t>液碱</w:t>
      </w:r>
      <w:r>
        <w:rPr>
          <w:rFonts w:hint="eastAsia"/>
          <w:color w:val="000000" w:themeColor="text1"/>
          <w14:textFill>
            <w14:solidFill>
              <w14:schemeClr w14:val="tx1"/>
            </w14:solidFill>
          </w14:textFill>
        </w:rPr>
        <w:t>浓度大于</w:t>
      </w:r>
      <w:r>
        <w:rPr>
          <w:color w:val="000000" w:themeColor="text1"/>
          <w14:textFill>
            <w14:solidFill>
              <w14:schemeClr w14:val="tx1"/>
            </w14:solidFill>
          </w14:textFill>
        </w:rPr>
        <w:t>1mg/L</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.001 mg/L</w:t>
      </w:r>
      <w:r>
        <w:rPr>
          <w:rFonts w:hint="eastAsia"/>
          <w:color w:val="000000" w:themeColor="text1"/>
          <w14:textFill>
            <w14:solidFill>
              <w14:schemeClr w14:val="tx1"/>
            </w14:solidFill>
          </w14:textFill>
        </w:rPr>
        <w:t>向北扩散的距离分别为</w:t>
      </w:r>
      <w:r>
        <w:rPr>
          <w:color w:val="000000" w:themeColor="text1"/>
          <w14:textFill>
            <w14:solidFill>
              <w14:schemeClr w14:val="tx1"/>
            </w14:solidFill>
          </w14:textFill>
        </w:rPr>
        <w:t>9.266</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16.748km</w:t>
      </w:r>
      <w:r>
        <w:rPr>
          <w:rFonts w:hint="eastAsia"/>
          <w:color w:val="000000" w:themeColor="text1"/>
          <w14:textFill>
            <w14:solidFill>
              <w14:schemeClr w14:val="tx1"/>
            </w14:solidFill>
          </w14:textFill>
        </w:rPr>
        <w:t>，向南扩散的距离分别为</w:t>
      </w:r>
      <w:r>
        <w:rPr>
          <w:color w:val="000000" w:themeColor="text1"/>
          <w14:textFill>
            <w14:solidFill>
              <w14:schemeClr w14:val="tx1"/>
            </w14:solidFill>
          </w14:textFill>
        </w:rPr>
        <w:t>9.424</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20.109</w:t>
      </w:r>
      <w:r>
        <w:rPr>
          <w:rFonts w:hint="eastAsia"/>
          <w:color w:val="000000" w:themeColor="text1"/>
          <w14:textFill>
            <w14:solidFill>
              <w14:schemeClr w14:val="tx1"/>
            </w14:solidFill>
          </w14:textFill>
        </w:rPr>
        <w:t xml:space="preserve"> 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，包络面积分别为</w:t>
      </w:r>
      <w:r>
        <w:rPr>
          <w:color w:val="000000" w:themeColor="text1"/>
          <w14:textFill>
            <w14:solidFill>
              <w14:schemeClr w14:val="tx1"/>
            </w14:solidFill>
          </w14:textFill>
        </w:rPr>
        <w:t>31.243km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283.352 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；落潮阶段</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w:t>
      </w:r>
      <w:r>
        <w:rPr>
          <w:rFonts w:hint="eastAsia" w:ascii="宋体" w:hAnsi="宋体"/>
          <w:color w:val="000000" w:themeColor="text1"/>
          <w14:textFill>
            <w14:solidFill>
              <w14:schemeClr w14:val="tx1"/>
            </w14:solidFill>
          </w14:textFill>
        </w:rPr>
        <w:t>液碱</w:t>
      </w:r>
      <w:r>
        <w:rPr>
          <w:rFonts w:hint="eastAsia"/>
          <w:color w:val="000000" w:themeColor="text1"/>
          <w14:textFill>
            <w14:solidFill>
              <w14:schemeClr w14:val="tx1"/>
            </w14:solidFill>
          </w14:textFill>
        </w:rPr>
        <w:t>浓度大于</w:t>
      </w:r>
      <w:r>
        <w:rPr>
          <w:color w:val="000000" w:themeColor="text1"/>
          <w14:textFill>
            <w14:solidFill>
              <w14:schemeClr w14:val="tx1"/>
            </w14:solidFill>
          </w14:textFill>
        </w:rPr>
        <w:t>1mg/L</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.001 mg/L</w:t>
      </w:r>
      <w:r>
        <w:rPr>
          <w:rFonts w:hint="eastAsia"/>
          <w:color w:val="000000" w:themeColor="text1"/>
          <w14:textFill>
            <w14:solidFill>
              <w14:schemeClr w14:val="tx1"/>
            </w14:solidFill>
          </w14:textFill>
        </w:rPr>
        <w:t>向北扩散的距离分别为</w:t>
      </w:r>
      <w:r>
        <w:rPr>
          <w:color w:val="000000" w:themeColor="text1"/>
          <w14:textFill>
            <w14:solidFill>
              <w14:schemeClr w14:val="tx1"/>
            </w14:solidFill>
          </w14:textFill>
        </w:rPr>
        <w:t>8.966</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16.136km</w:t>
      </w:r>
      <w:r>
        <w:rPr>
          <w:rFonts w:hint="eastAsia"/>
          <w:color w:val="000000" w:themeColor="text1"/>
          <w14:textFill>
            <w14:solidFill>
              <w14:schemeClr w14:val="tx1"/>
            </w14:solidFill>
          </w14:textFill>
        </w:rPr>
        <w:t>，向南扩散的距离分别为</w:t>
      </w:r>
      <w:r>
        <w:rPr>
          <w:color w:val="000000" w:themeColor="text1"/>
          <w14:textFill>
            <w14:solidFill>
              <w14:schemeClr w14:val="tx1"/>
            </w14:solidFill>
          </w14:textFill>
        </w:rPr>
        <w:t>17.331</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22.892</w:t>
      </w:r>
      <w:r>
        <w:rPr>
          <w:rFonts w:hint="eastAsia"/>
          <w:color w:val="000000" w:themeColor="text1"/>
          <w14:textFill>
            <w14:solidFill>
              <w14:schemeClr w14:val="tx1"/>
            </w14:solidFill>
          </w14:textFill>
        </w:rPr>
        <w:t xml:space="preserve"> 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，包络面积分别可达</w:t>
      </w:r>
      <w:r>
        <w:rPr>
          <w:color w:val="000000" w:themeColor="text1"/>
          <w14:textFill>
            <w14:solidFill>
              <w14:schemeClr w14:val="tx1"/>
            </w14:solidFill>
          </w14:textFill>
        </w:rPr>
        <w:t>94.381km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365.561 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，显然，落潮阶段泄露比涨潮阶段泄露扩散的影响范围大。总之，在本项目附近发生</w:t>
      </w:r>
      <w:r>
        <w:rPr>
          <w:rFonts w:hint="eastAsia" w:ascii="宋体" w:hAnsi="宋体"/>
          <w:color w:val="000000" w:themeColor="text1"/>
          <w14:textFill>
            <w14:solidFill>
              <w14:schemeClr w14:val="tx1"/>
            </w14:solidFill>
          </w14:textFill>
        </w:rPr>
        <w:t>液碱</w:t>
      </w:r>
      <w:r>
        <w:rPr>
          <w:rFonts w:hint="eastAsia"/>
          <w:color w:val="000000" w:themeColor="text1"/>
          <w14:textFill>
            <w14:solidFill>
              <w14:schemeClr w14:val="tx1"/>
            </w14:solidFill>
          </w14:textFill>
        </w:rPr>
        <w:t>严重泄漏事故</w:t>
      </w:r>
      <w:r>
        <w:rPr>
          <w:color w:val="000000" w:themeColor="text1"/>
          <w14:textFill>
            <w14:solidFill>
              <w14:schemeClr w14:val="tx1"/>
            </w14:solidFill>
          </w14:textFill>
        </w:rPr>
        <w:t>会对</w:t>
      </w:r>
      <w:r>
        <w:rPr>
          <w:rFonts w:hint="eastAsia"/>
          <w:color w:val="000000" w:themeColor="text1"/>
          <w14:textFill>
            <w14:solidFill>
              <w14:schemeClr w14:val="tx1"/>
            </w14:solidFill>
          </w14:textFill>
        </w:rPr>
        <w:t>钦州湾</w:t>
      </w:r>
      <w:r>
        <w:rPr>
          <w:color w:val="000000" w:themeColor="text1"/>
          <w14:textFill>
            <w14:solidFill>
              <w14:schemeClr w14:val="tx1"/>
            </w14:solidFill>
          </w14:textFill>
        </w:rPr>
        <w:t>海域的海洋环境造成</w:t>
      </w:r>
      <w:r>
        <w:rPr>
          <w:rFonts w:hint="eastAsia"/>
          <w:color w:val="000000" w:themeColor="text1"/>
          <w14:textFill>
            <w14:solidFill>
              <w14:schemeClr w14:val="tx1"/>
            </w14:solidFill>
          </w14:textFill>
        </w:rPr>
        <w:t>极大的</w:t>
      </w:r>
      <w:r>
        <w:rPr>
          <w:color w:val="000000" w:themeColor="text1"/>
          <w14:textFill>
            <w14:solidFill>
              <w14:schemeClr w14:val="tx1"/>
            </w14:solidFill>
          </w14:textFill>
        </w:rPr>
        <w:t>影响</w:t>
      </w:r>
      <w:r>
        <w:rPr>
          <w:rFonts w:hint="eastAsia"/>
          <w:color w:val="000000" w:themeColor="text1"/>
          <w14:textFill>
            <w14:solidFill>
              <w14:schemeClr w14:val="tx1"/>
            </w14:solidFill>
          </w14:textFill>
        </w:rPr>
        <w:t>和危害。</w:t>
      </w:r>
    </w:p>
    <w:p w14:paraId="7F0F6036">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液碱</w:t>
      </w:r>
      <w:r>
        <w:rPr>
          <w:color w:val="000000" w:themeColor="text1"/>
          <w14:textFill>
            <w14:solidFill>
              <w14:schemeClr w14:val="tx1"/>
            </w14:solidFill>
          </w14:textFill>
        </w:rPr>
        <w:t>泄漏入海扩散距离与包络面积</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26"/>
        <w:gridCol w:w="992"/>
        <w:gridCol w:w="1132"/>
        <w:gridCol w:w="1217"/>
        <w:gridCol w:w="1219"/>
        <w:gridCol w:w="1217"/>
        <w:gridCol w:w="1219"/>
      </w:tblGrid>
      <w:tr w14:paraId="3AE274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7" w:hRule="atLeast"/>
          <w:jc w:val="center"/>
        </w:trPr>
        <w:tc>
          <w:tcPr>
            <w:tcW w:w="895" w:type="pct"/>
            <w:vMerge w:val="restart"/>
            <w:vAlign w:val="center"/>
          </w:tcPr>
          <w:p w14:paraId="4E7A45B7">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指  标</w:t>
            </w:r>
          </w:p>
        </w:tc>
        <w:tc>
          <w:tcPr>
            <w:tcW w:w="1246" w:type="pct"/>
            <w:gridSpan w:val="2"/>
            <w:vMerge w:val="restart"/>
            <w:vAlign w:val="center"/>
          </w:tcPr>
          <w:p w14:paraId="6311A8E8">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包络面积(km</w:t>
            </w:r>
            <w:r>
              <w:rPr>
                <w:b/>
                <w:color w:val="000000" w:themeColor="text1"/>
                <w:sz w:val="21"/>
                <w:szCs w:val="21"/>
                <w:vertAlign w:val="superscript"/>
                <w14:textFill>
                  <w14:solidFill>
                    <w14:schemeClr w14:val="tx1"/>
                  </w14:solidFill>
                </w14:textFill>
              </w:rPr>
              <w:t>2</w:t>
            </w:r>
            <w:r>
              <w:rPr>
                <w:b/>
                <w:color w:val="000000" w:themeColor="text1"/>
                <w:sz w:val="21"/>
                <w:szCs w:val="21"/>
                <w14:textFill>
                  <w14:solidFill>
                    <w14:schemeClr w14:val="tx1"/>
                  </w14:solidFill>
                </w14:textFill>
              </w:rPr>
              <w:t>)</w:t>
            </w:r>
          </w:p>
        </w:tc>
        <w:tc>
          <w:tcPr>
            <w:tcW w:w="2858" w:type="pct"/>
            <w:gridSpan w:val="4"/>
            <w:vAlign w:val="center"/>
          </w:tcPr>
          <w:p w14:paraId="1FDA67BC">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最远扩散距离（km）</w:t>
            </w:r>
            <w:r>
              <w:rPr>
                <w:rFonts w:hint="eastAsia"/>
                <w:b/>
                <w:color w:val="000000" w:themeColor="text1"/>
                <w:sz w:val="21"/>
                <w:szCs w:val="21"/>
                <w14:textFill>
                  <w14:solidFill>
                    <w14:schemeClr w14:val="tx1"/>
                  </w14:solidFill>
                </w14:textFill>
              </w:rPr>
              <w:t>，泄漏点起算</w:t>
            </w:r>
          </w:p>
        </w:tc>
      </w:tr>
      <w:tr w14:paraId="4CB330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6" w:hRule="atLeast"/>
          <w:jc w:val="center"/>
        </w:trPr>
        <w:tc>
          <w:tcPr>
            <w:tcW w:w="895" w:type="pct"/>
            <w:vMerge w:val="continue"/>
            <w:vAlign w:val="center"/>
          </w:tcPr>
          <w:p w14:paraId="2BBE62B1">
            <w:pPr>
              <w:spacing w:line="240" w:lineRule="atLeast"/>
              <w:ind w:firstLine="0" w:firstLineChars="0"/>
              <w:jc w:val="center"/>
              <w:rPr>
                <w:b/>
                <w:color w:val="000000" w:themeColor="text1"/>
                <w:sz w:val="21"/>
                <w:szCs w:val="21"/>
                <w14:textFill>
                  <w14:solidFill>
                    <w14:schemeClr w14:val="tx1"/>
                  </w14:solidFill>
                </w14:textFill>
              </w:rPr>
            </w:pPr>
          </w:p>
        </w:tc>
        <w:tc>
          <w:tcPr>
            <w:tcW w:w="1246" w:type="pct"/>
            <w:gridSpan w:val="2"/>
            <w:vMerge w:val="continue"/>
            <w:vAlign w:val="center"/>
          </w:tcPr>
          <w:p w14:paraId="02D22751">
            <w:pPr>
              <w:spacing w:line="240" w:lineRule="atLeast"/>
              <w:ind w:firstLine="0" w:firstLineChars="0"/>
              <w:jc w:val="center"/>
              <w:rPr>
                <w:b/>
                <w:color w:val="000000" w:themeColor="text1"/>
                <w:sz w:val="21"/>
                <w:szCs w:val="21"/>
                <w14:textFill>
                  <w14:solidFill>
                    <w14:schemeClr w14:val="tx1"/>
                  </w14:solidFill>
                </w14:textFill>
              </w:rPr>
            </w:pPr>
          </w:p>
        </w:tc>
        <w:tc>
          <w:tcPr>
            <w:tcW w:w="1429" w:type="pct"/>
            <w:gridSpan w:val="2"/>
            <w:vAlign w:val="center"/>
          </w:tcPr>
          <w:p w14:paraId="635A1725">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偏北向</w:t>
            </w:r>
          </w:p>
        </w:tc>
        <w:tc>
          <w:tcPr>
            <w:tcW w:w="1429" w:type="pct"/>
            <w:gridSpan w:val="2"/>
            <w:vAlign w:val="center"/>
          </w:tcPr>
          <w:p w14:paraId="2ABBC4B6">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偏</w:t>
            </w:r>
            <w:r>
              <w:rPr>
                <w:b/>
                <w:color w:val="000000" w:themeColor="text1"/>
                <w:sz w:val="21"/>
                <w:szCs w:val="21"/>
                <w14:textFill>
                  <w14:solidFill>
                    <w14:schemeClr w14:val="tx1"/>
                  </w14:solidFill>
                </w14:textFill>
              </w:rPr>
              <w:t>南向</w:t>
            </w:r>
          </w:p>
        </w:tc>
      </w:tr>
      <w:tr w14:paraId="3CC127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895" w:type="pct"/>
            <w:vAlign w:val="center"/>
          </w:tcPr>
          <w:p w14:paraId="19ECDAD3">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泄漏</w:t>
            </w:r>
            <w:r>
              <w:rPr>
                <w:rFonts w:hint="eastAsia"/>
                <w:b/>
                <w:color w:val="000000" w:themeColor="text1"/>
                <w:sz w:val="21"/>
                <w:szCs w:val="21"/>
                <w14:textFill>
                  <w14:solidFill>
                    <w14:schemeClr w14:val="tx1"/>
                  </w14:solidFill>
                </w14:textFill>
              </w:rPr>
              <w:t>潮期</w:t>
            </w:r>
          </w:p>
        </w:tc>
        <w:tc>
          <w:tcPr>
            <w:tcW w:w="582" w:type="pct"/>
            <w:vAlign w:val="center"/>
          </w:tcPr>
          <w:p w14:paraId="01832E3E">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涨潮</w:t>
            </w:r>
          </w:p>
        </w:tc>
        <w:tc>
          <w:tcPr>
            <w:tcW w:w="664" w:type="pct"/>
            <w:vAlign w:val="center"/>
          </w:tcPr>
          <w:p w14:paraId="2E51657D">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落潮</w:t>
            </w:r>
          </w:p>
        </w:tc>
        <w:tc>
          <w:tcPr>
            <w:tcW w:w="714" w:type="pct"/>
            <w:vAlign w:val="center"/>
          </w:tcPr>
          <w:p w14:paraId="4434F82C">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涨潮</w:t>
            </w:r>
          </w:p>
        </w:tc>
        <w:tc>
          <w:tcPr>
            <w:tcW w:w="715" w:type="pct"/>
            <w:vAlign w:val="center"/>
          </w:tcPr>
          <w:p w14:paraId="673A3B85">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落潮</w:t>
            </w:r>
          </w:p>
        </w:tc>
        <w:tc>
          <w:tcPr>
            <w:tcW w:w="714" w:type="pct"/>
            <w:vAlign w:val="center"/>
          </w:tcPr>
          <w:p w14:paraId="626C4FE0">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涨潮</w:t>
            </w:r>
          </w:p>
        </w:tc>
        <w:tc>
          <w:tcPr>
            <w:tcW w:w="715" w:type="pct"/>
            <w:vAlign w:val="center"/>
          </w:tcPr>
          <w:p w14:paraId="021D24A5">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落潮</w:t>
            </w:r>
          </w:p>
        </w:tc>
      </w:tr>
      <w:tr w14:paraId="77BF0A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Align w:val="center"/>
          </w:tcPr>
          <w:p w14:paraId="3D0D4AD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＞1000mg/L</w:t>
            </w:r>
          </w:p>
        </w:tc>
        <w:tc>
          <w:tcPr>
            <w:tcW w:w="582" w:type="pct"/>
            <w:vAlign w:val="center"/>
          </w:tcPr>
          <w:p w14:paraId="19E577DF">
            <w:pPr>
              <w:widowControl/>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0.079</w:t>
            </w:r>
          </w:p>
        </w:tc>
        <w:tc>
          <w:tcPr>
            <w:tcW w:w="664" w:type="pct"/>
          </w:tcPr>
          <w:p w14:paraId="35810D52">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0.107</w:t>
            </w:r>
          </w:p>
        </w:tc>
        <w:tc>
          <w:tcPr>
            <w:tcW w:w="714" w:type="pct"/>
            <w:vAlign w:val="center"/>
          </w:tcPr>
          <w:p w14:paraId="0793D507">
            <w:pPr>
              <w:widowControl/>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0.571</w:t>
            </w:r>
          </w:p>
        </w:tc>
        <w:tc>
          <w:tcPr>
            <w:tcW w:w="715" w:type="pct"/>
          </w:tcPr>
          <w:p w14:paraId="688AB1FE">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714" w:type="pct"/>
          </w:tcPr>
          <w:p w14:paraId="7801CE1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715" w:type="pct"/>
          </w:tcPr>
          <w:p w14:paraId="6FBED22D">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0.847</w:t>
            </w:r>
          </w:p>
        </w:tc>
      </w:tr>
      <w:tr w14:paraId="44FF28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Align w:val="center"/>
          </w:tcPr>
          <w:p w14:paraId="3918A7D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mg/L</w:t>
            </w:r>
          </w:p>
        </w:tc>
        <w:tc>
          <w:tcPr>
            <w:tcW w:w="582" w:type="pct"/>
            <w:vAlign w:val="center"/>
          </w:tcPr>
          <w:p w14:paraId="5BF070E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31.243</w:t>
            </w:r>
          </w:p>
        </w:tc>
        <w:tc>
          <w:tcPr>
            <w:tcW w:w="664" w:type="pct"/>
          </w:tcPr>
          <w:p w14:paraId="545B554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94.381</w:t>
            </w:r>
          </w:p>
        </w:tc>
        <w:tc>
          <w:tcPr>
            <w:tcW w:w="714" w:type="pct"/>
            <w:vAlign w:val="center"/>
          </w:tcPr>
          <w:p w14:paraId="1DCF66C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9.266</w:t>
            </w:r>
          </w:p>
        </w:tc>
        <w:tc>
          <w:tcPr>
            <w:tcW w:w="715" w:type="pct"/>
          </w:tcPr>
          <w:p w14:paraId="678C17B5">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8.966</w:t>
            </w:r>
          </w:p>
        </w:tc>
        <w:tc>
          <w:tcPr>
            <w:tcW w:w="714" w:type="pct"/>
          </w:tcPr>
          <w:p w14:paraId="324EDDD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9.424</w:t>
            </w:r>
          </w:p>
        </w:tc>
        <w:tc>
          <w:tcPr>
            <w:tcW w:w="715" w:type="pct"/>
          </w:tcPr>
          <w:p w14:paraId="6410572E">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17.331</w:t>
            </w:r>
          </w:p>
        </w:tc>
      </w:tr>
      <w:tr w14:paraId="51E187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Align w:val="center"/>
          </w:tcPr>
          <w:p w14:paraId="03910170">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＞0.1mg/L</w:t>
            </w:r>
          </w:p>
        </w:tc>
        <w:tc>
          <w:tcPr>
            <w:tcW w:w="582" w:type="pct"/>
            <w:vAlign w:val="center"/>
          </w:tcPr>
          <w:p w14:paraId="35A5D265">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159.016</w:t>
            </w:r>
          </w:p>
        </w:tc>
        <w:tc>
          <w:tcPr>
            <w:tcW w:w="664" w:type="pct"/>
          </w:tcPr>
          <w:p w14:paraId="1433A444">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213.112</w:t>
            </w:r>
          </w:p>
        </w:tc>
        <w:tc>
          <w:tcPr>
            <w:tcW w:w="714" w:type="pct"/>
            <w:vAlign w:val="center"/>
          </w:tcPr>
          <w:p w14:paraId="4C4FFA1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15.012</w:t>
            </w:r>
          </w:p>
        </w:tc>
        <w:tc>
          <w:tcPr>
            <w:tcW w:w="715" w:type="pct"/>
          </w:tcPr>
          <w:p w14:paraId="41DF150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11.544</w:t>
            </w:r>
          </w:p>
        </w:tc>
        <w:tc>
          <w:tcPr>
            <w:tcW w:w="714" w:type="pct"/>
          </w:tcPr>
          <w:p w14:paraId="4D705E3C">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15.454</w:t>
            </w:r>
          </w:p>
        </w:tc>
        <w:tc>
          <w:tcPr>
            <w:tcW w:w="715" w:type="pct"/>
          </w:tcPr>
          <w:p w14:paraId="32DAFD43">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19.129</w:t>
            </w:r>
          </w:p>
        </w:tc>
      </w:tr>
      <w:tr w14:paraId="54C741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Align w:val="center"/>
          </w:tcPr>
          <w:p w14:paraId="6F3ECD7E">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＞0.01mg/L</w:t>
            </w:r>
          </w:p>
        </w:tc>
        <w:tc>
          <w:tcPr>
            <w:tcW w:w="582" w:type="pct"/>
            <w:vAlign w:val="center"/>
          </w:tcPr>
          <w:p w14:paraId="7DC25E7B">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239.728</w:t>
            </w:r>
          </w:p>
        </w:tc>
        <w:tc>
          <w:tcPr>
            <w:tcW w:w="664" w:type="pct"/>
          </w:tcPr>
          <w:p w14:paraId="1B85F46D">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301.269</w:t>
            </w:r>
          </w:p>
        </w:tc>
        <w:tc>
          <w:tcPr>
            <w:tcW w:w="714" w:type="pct"/>
            <w:vAlign w:val="center"/>
          </w:tcPr>
          <w:p w14:paraId="2FC2626E">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15.913</w:t>
            </w:r>
          </w:p>
        </w:tc>
        <w:tc>
          <w:tcPr>
            <w:tcW w:w="715" w:type="pct"/>
          </w:tcPr>
          <w:p w14:paraId="3AEACF38">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14.112</w:t>
            </w:r>
          </w:p>
        </w:tc>
        <w:tc>
          <w:tcPr>
            <w:tcW w:w="714" w:type="pct"/>
          </w:tcPr>
          <w:p w14:paraId="7C76CEA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18.889</w:t>
            </w:r>
          </w:p>
        </w:tc>
        <w:tc>
          <w:tcPr>
            <w:tcW w:w="715" w:type="pct"/>
          </w:tcPr>
          <w:p w14:paraId="5C9B34AC">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20.365</w:t>
            </w:r>
          </w:p>
        </w:tc>
      </w:tr>
      <w:tr w14:paraId="493731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Align w:val="center"/>
          </w:tcPr>
          <w:p w14:paraId="68E72D1B">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&gt;</w:t>
            </w:r>
            <w:r>
              <w:rPr>
                <w:color w:val="000000" w:themeColor="text1"/>
                <w:sz w:val="21"/>
                <w:szCs w:val="21"/>
                <w14:textFill>
                  <w14:solidFill>
                    <w14:schemeClr w14:val="tx1"/>
                  </w14:solidFill>
                </w14:textFill>
              </w:rPr>
              <w:t>0.001 mg/L</w:t>
            </w:r>
          </w:p>
        </w:tc>
        <w:tc>
          <w:tcPr>
            <w:tcW w:w="582" w:type="pct"/>
            <w:vAlign w:val="center"/>
          </w:tcPr>
          <w:p w14:paraId="52A94A9B">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283.352</w:t>
            </w:r>
          </w:p>
        </w:tc>
        <w:tc>
          <w:tcPr>
            <w:tcW w:w="664" w:type="pct"/>
          </w:tcPr>
          <w:p w14:paraId="3C24A6D0">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365.561</w:t>
            </w:r>
          </w:p>
        </w:tc>
        <w:tc>
          <w:tcPr>
            <w:tcW w:w="714" w:type="pct"/>
            <w:vAlign w:val="center"/>
          </w:tcPr>
          <w:p w14:paraId="0261D0A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16.748</w:t>
            </w:r>
          </w:p>
        </w:tc>
        <w:tc>
          <w:tcPr>
            <w:tcW w:w="715" w:type="pct"/>
          </w:tcPr>
          <w:p w14:paraId="51C77058">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16.136</w:t>
            </w:r>
          </w:p>
        </w:tc>
        <w:tc>
          <w:tcPr>
            <w:tcW w:w="714" w:type="pct"/>
          </w:tcPr>
          <w:p w14:paraId="59525D60">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20.109</w:t>
            </w:r>
          </w:p>
        </w:tc>
        <w:tc>
          <w:tcPr>
            <w:tcW w:w="715" w:type="pct"/>
          </w:tcPr>
          <w:p w14:paraId="6D4E602B">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22.892</w:t>
            </w:r>
          </w:p>
        </w:tc>
      </w:tr>
    </w:tbl>
    <w:p w14:paraId="79FDC3C1">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5276215" cy="4972050"/>
            <wp:effectExtent l="0" t="0" r="635"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256"/>
                    <a:stretch>
                      <a:fillRect/>
                    </a:stretch>
                  </pic:blipFill>
                  <pic:spPr>
                    <a:xfrm>
                      <a:off x="0" y="0"/>
                      <a:ext cx="5274310" cy="4970239"/>
                    </a:xfrm>
                    <a:prstGeom prst="rect">
                      <a:avLst/>
                    </a:prstGeom>
                  </pic:spPr>
                </pic:pic>
              </a:graphicData>
            </a:graphic>
          </wp:inline>
        </w:drawing>
      </w:r>
    </w:p>
    <w:p w14:paraId="04E1A57C">
      <w:pPr>
        <w:pStyle w:val="13"/>
        <w:spacing w:line="360" w:lineRule="auto"/>
        <w:ind w:firstLineChars="0"/>
        <w:jc w:val="center"/>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图5.5.4</w:t>
      </w:r>
      <w:r>
        <w:rPr>
          <w:rFonts w:hint="eastAsia"/>
          <w:color w:val="000000" w:themeColor="text1"/>
          <w14:textFill>
            <w14:solidFill>
              <w14:schemeClr w14:val="tx1"/>
            </w14:solidFill>
          </w14:textFill>
        </w:rPr>
        <w:t>-</w:t>
      </w:r>
      <w:r>
        <w:rPr>
          <w:rFonts w:hint="eastAsia"/>
          <w:b/>
          <w:color w:val="000000" w:themeColor="text1"/>
          <w:sz w:val="24"/>
          <w14:textFill>
            <w14:solidFill>
              <w14:schemeClr w14:val="tx1"/>
            </w14:solidFill>
          </w14:textFill>
        </w:rPr>
        <w:t>-</w:t>
      </w:r>
      <w:r>
        <w:rPr>
          <w:b/>
          <w:color w:val="000000" w:themeColor="text1"/>
          <w:sz w:val="24"/>
          <w14:textFill>
            <w14:solidFill>
              <w14:schemeClr w14:val="tx1"/>
            </w14:solidFill>
          </w14:textFill>
        </w:rPr>
        <w:t>3</w:t>
      </w:r>
      <w:r>
        <w:rPr>
          <w:rFonts w:hint="eastAsia"/>
          <w:b/>
          <w:color w:val="000000" w:themeColor="text1"/>
          <w:sz w:val="24"/>
          <w14:textFill>
            <w14:solidFill>
              <w14:schemeClr w14:val="tx1"/>
            </w14:solidFill>
          </w14:textFill>
        </w:rPr>
        <w:t xml:space="preserve"> 涨潮阶段液碱泄漏入海影响水域面积的包络</w:t>
      </w:r>
    </w:p>
    <w:p w14:paraId="19C18600">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5274310" cy="5238750"/>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257"/>
                    <a:stretch>
                      <a:fillRect/>
                    </a:stretch>
                  </pic:blipFill>
                  <pic:spPr>
                    <a:xfrm>
                      <a:off x="0" y="0"/>
                      <a:ext cx="5274310" cy="5238750"/>
                    </a:xfrm>
                    <a:prstGeom prst="rect">
                      <a:avLst/>
                    </a:prstGeom>
                  </pic:spPr>
                </pic:pic>
              </a:graphicData>
            </a:graphic>
          </wp:inline>
        </w:drawing>
      </w:r>
    </w:p>
    <w:p w14:paraId="34076A23">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图5.5.4</w:t>
      </w:r>
      <w:r>
        <w:rPr>
          <w:rFonts w:hint="eastAsia"/>
          <w:color w:val="000000" w:themeColor="text1"/>
          <w14:textFill>
            <w14:solidFill>
              <w14:schemeClr w14:val="tx1"/>
            </w14:solidFill>
          </w14:textFill>
        </w:rPr>
        <w:t>-</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4</w:t>
      </w:r>
      <w:r>
        <w:rPr>
          <w:rFonts w:hint="eastAsia"/>
          <w:b/>
          <w:color w:val="000000" w:themeColor="text1"/>
          <w14:textFill>
            <w14:solidFill>
              <w14:schemeClr w14:val="tx1"/>
            </w14:solidFill>
          </w14:textFill>
        </w:rPr>
        <w:t xml:space="preserve"> 落潮阶段液碱泄漏入海影响水域面积的包络</w:t>
      </w:r>
    </w:p>
    <w:p w14:paraId="3D355240">
      <w:pPr>
        <w:pStyle w:val="13"/>
        <w:spacing w:line="360" w:lineRule="auto"/>
        <w:ind w:firstLineChars="175"/>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w:t>
      </w:r>
      <w:r>
        <w:rPr>
          <w:rFonts w:hint="eastAsia" w:ascii="宋体" w:hAnsi="宋体"/>
          <w:color w:val="000000" w:themeColor="text1"/>
          <w:sz w:val="24"/>
          <w14:textFill>
            <w14:solidFill>
              <w14:schemeClr w14:val="tx1"/>
            </w14:solidFill>
          </w14:textFill>
        </w:rPr>
        <w:t>发烟硫酸</w:t>
      </w:r>
    </w:p>
    <w:p w14:paraId="5702A5DC">
      <w:pPr>
        <w:pStyle w:val="13"/>
        <w:spacing w:line="360" w:lineRule="auto"/>
        <w:ind w:firstLineChars="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类似地，根</w:t>
      </w:r>
      <w:r>
        <w:rPr>
          <w:color w:val="000000" w:themeColor="text1"/>
          <w:sz w:val="24"/>
          <w14:textFill>
            <w14:solidFill>
              <w14:schemeClr w14:val="tx1"/>
            </w14:solidFill>
          </w14:textFill>
        </w:rPr>
        <w:t>据</w:t>
      </w:r>
      <w:r>
        <w:rPr>
          <w:rFonts w:hint="eastAsia"/>
          <w:color w:val="000000" w:themeColor="text1"/>
          <w:sz w:val="24"/>
          <w14:textFill>
            <w14:solidFill>
              <w14:schemeClr w14:val="tx1"/>
            </w14:solidFill>
          </w14:textFill>
        </w:rPr>
        <w:t>前</w:t>
      </w:r>
      <w:r>
        <w:rPr>
          <w:color w:val="000000" w:themeColor="text1"/>
          <w:sz w:val="24"/>
          <w14:textFill>
            <w14:solidFill>
              <w14:schemeClr w14:val="tx1"/>
            </w14:solidFill>
          </w14:textFill>
        </w:rPr>
        <w:t>述条件进行预测计算，</w:t>
      </w:r>
      <w:r>
        <w:rPr>
          <w:rFonts w:hint="eastAsia"/>
          <w:color w:val="000000" w:themeColor="text1"/>
          <w:sz w:val="24"/>
          <w14:textFill>
            <w14:solidFill>
              <w14:schemeClr w14:val="tx1"/>
            </w14:solidFill>
          </w14:textFill>
        </w:rPr>
        <w:t>得到</w:t>
      </w:r>
      <w:r>
        <w:rPr>
          <w:rFonts w:hint="eastAsia" w:ascii="宋体" w:hAnsi="宋体"/>
          <w:color w:val="000000" w:themeColor="text1"/>
          <w:sz w:val="24"/>
          <w14:textFill>
            <w14:solidFill>
              <w14:schemeClr w14:val="tx1"/>
            </w14:solidFill>
          </w14:textFill>
        </w:rPr>
        <w:t>发烟硫酸</w:t>
      </w:r>
      <w:r>
        <w:rPr>
          <w:rFonts w:hint="eastAsia"/>
          <w:color w:val="000000" w:themeColor="text1"/>
          <w:sz w:val="24"/>
          <w14:textFill>
            <w14:solidFill>
              <w14:schemeClr w14:val="tx1"/>
            </w14:solidFill>
          </w14:textFill>
        </w:rPr>
        <w:t>分别在</w:t>
      </w:r>
      <w:r>
        <w:rPr>
          <w:color w:val="000000" w:themeColor="text1"/>
          <w:sz w:val="24"/>
          <w14:textFill>
            <w14:solidFill>
              <w14:schemeClr w14:val="tx1"/>
            </w14:solidFill>
          </w14:textFill>
        </w:rPr>
        <w:t>涨潮</w:t>
      </w:r>
      <w:r>
        <w:rPr>
          <w:rFonts w:hint="eastAsia"/>
          <w:color w:val="000000" w:themeColor="text1"/>
          <w:sz w:val="24"/>
          <w14:textFill>
            <w14:solidFill>
              <w14:schemeClr w14:val="tx1"/>
            </w14:solidFill>
          </w14:textFill>
        </w:rPr>
        <w:t>阶段、</w:t>
      </w:r>
      <w:r>
        <w:rPr>
          <w:color w:val="000000" w:themeColor="text1"/>
          <w:sz w:val="24"/>
          <w14:textFill>
            <w14:solidFill>
              <w14:schemeClr w14:val="tx1"/>
            </w14:solidFill>
          </w14:textFill>
        </w:rPr>
        <w:t>落潮</w:t>
      </w:r>
      <w:r>
        <w:rPr>
          <w:rFonts w:hint="eastAsia"/>
          <w:color w:val="000000" w:themeColor="text1"/>
          <w:sz w:val="24"/>
          <w14:textFill>
            <w14:solidFill>
              <w14:schemeClr w14:val="tx1"/>
            </w14:solidFill>
          </w14:textFill>
        </w:rPr>
        <w:t>阶段泄漏后不同</w:t>
      </w:r>
      <w:r>
        <w:rPr>
          <w:color w:val="000000" w:themeColor="text1"/>
          <w:sz w:val="24"/>
          <w14:textFill>
            <w14:solidFill>
              <w14:schemeClr w14:val="tx1"/>
            </w14:solidFill>
          </w14:textFill>
        </w:rPr>
        <w:t>浓度</w:t>
      </w:r>
      <w:r>
        <w:rPr>
          <w:rFonts w:hint="eastAsia"/>
          <w:color w:val="000000" w:themeColor="text1"/>
          <w:sz w:val="24"/>
          <w14:textFill>
            <w14:solidFill>
              <w14:schemeClr w14:val="tx1"/>
            </w14:solidFill>
          </w14:textFill>
        </w:rPr>
        <w:t>增量的</w:t>
      </w:r>
      <w:r>
        <w:rPr>
          <w:color w:val="000000" w:themeColor="text1"/>
          <w:sz w:val="24"/>
          <w14:textFill>
            <w14:solidFill>
              <w14:schemeClr w14:val="tx1"/>
            </w14:solidFill>
          </w14:textFill>
        </w:rPr>
        <w:t>影响包络</w:t>
      </w:r>
      <w:r>
        <w:rPr>
          <w:rFonts w:hint="eastAsia"/>
          <w:color w:val="000000" w:themeColor="text1"/>
          <w:sz w:val="24"/>
          <w14:textFill>
            <w14:solidFill>
              <w14:schemeClr w14:val="tx1"/>
            </w14:solidFill>
          </w14:textFill>
        </w:rPr>
        <w:t>范围(</w:t>
      </w:r>
      <w:r>
        <w:rPr>
          <w:color w:val="000000" w:themeColor="text1"/>
          <w:sz w:val="24"/>
          <w14:textFill>
            <w14:solidFill>
              <w14:schemeClr w14:val="tx1"/>
            </w14:solidFill>
          </w14:textFill>
        </w:rPr>
        <w:t>见图</w:t>
      </w:r>
      <w:r>
        <w:rPr>
          <w:rFonts w:hint="eastAsia"/>
          <w:b/>
          <w:color w:val="000000" w:themeColor="text1"/>
          <w:sz w:val="24"/>
          <w14:textFill>
            <w14:solidFill>
              <w14:schemeClr w14:val="tx1"/>
            </w14:solidFill>
          </w14:textFill>
        </w:rPr>
        <w:t>5.5.4</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5</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图</w:t>
      </w:r>
      <w:r>
        <w:rPr>
          <w:rFonts w:hint="eastAsia"/>
          <w:b/>
          <w:color w:val="000000" w:themeColor="text1"/>
          <w:sz w:val="24"/>
          <w14:textFill>
            <w14:solidFill>
              <w14:schemeClr w14:val="tx1"/>
            </w14:solidFill>
          </w14:textFill>
        </w:rPr>
        <w:t>5.5.4</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6</w:t>
      </w:r>
      <w:r>
        <w:rPr>
          <w:rFonts w:hint="eastAsia"/>
          <w:color w:val="000000" w:themeColor="text1"/>
          <w:sz w:val="24"/>
          <w14:textFill>
            <w14:solidFill>
              <w14:schemeClr w14:val="tx1"/>
            </w14:solidFill>
          </w14:textFill>
        </w:rPr>
        <w:t>)，其中最外层</w:t>
      </w:r>
      <w:r>
        <w:rPr>
          <w:rFonts w:hint="eastAsia" w:ascii="宋体" w:hAnsi="宋体"/>
          <w:color w:val="000000" w:themeColor="text1"/>
          <w:sz w:val="24"/>
          <w14:textFill>
            <w14:solidFill>
              <w14:schemeClr w14:val="tx1"/>
            </w14:solidFill>
          </w14:textFill>
        </w:rPr>
        <w:t>发烟硫酸</w:t>
      </w:r>
      <w:r>
        <w:rPr>
          <w:rFonts w:hint="eastAsia"/>
          <w:color w:val="000000" w:themeColor="text1"/>
          <w:sz w:val="24"/>
          <w14:textFill>
            <w14:solidFill>
              <w14:schemeClr w14:val="tx1"/>
            </w14:solidFill>
          </w14:textFill>
        </w:rPr>
        <w:t>浓度为</w:t>
      </w:r>
      <w:r>
        <w:rPr>
          <w:color w:val="000000" w:themeColor="text1"/>
          <w:sz w:val="24"/>
          <w14:textFill>
            <w14:solidFill>
              <w14:schemeClr w14:val="tx1"/>
            </w14:solidFill>
          </w14:textFill>
        </w:rPr>
        <w:t>0.001mg/L</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对应的影响区域面积和最远扩散距离见表</w:t>
      </w:r>
      <w:r>
        <w:rPr>
          <w:rFonts w:hint="eastAsia"/>
          <w:color w:val="000000" w:themeColor="text1"/>
          <w:sz w:val="24"/>
          <w14:textFill>
            <w14:solidFill>
              <w14:schemeClr w14:val="tx1"/>
            </w14:solidFill>
          </w14:textFill>
        </w:rPr>
        <w:t>5.5-17</w:t>
      </w:r>
      <w:r>
        <w:rPr>
          <w:color w:val="000000" w:themeColor="text1"/>
          <w:sz w:val="24"/>
          <w14:textFill>
            <w14:solidFill>
              <w14:schemeClr w14:val="tx1"/>
            </w14:solidFill>
          </w14:textFill>
        </w:rPr>
        <w:t>。</w:t>
      </w:r>
    </w:p>
    <w:p w14:paraId="140D254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从图</w:t>
      </w:r>
      <w:r>
        <w:rPr>
          <w:rFonts w:hint="eastAsia"/>
          <w:b/>
          <w:color w:val="000000" w:themeColor="text1"/>
          <w14:textFill>
            <w14:solidFill>
              <w14:schemeClr w14:val="tx1"/>
            </w14:solidFill>
          </w14:textFill>
        </w:rPr>
        <w:t>5.5.4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~图</w:t>
      </w:r>
      <w:r>
        <w:rPr>
          <w:rFonts w:hint="eastAsia"/>
          <w:b/>
          <w:color w:val="000000" w:themeColor="text1"/>
          <w14:textFill>
            <w14:solidFill>
              <w14:schemeClr w14:val="tx1"/>
            </w14:solidFill>
          </w14:textFill>
        </w:rPr>
        <w:t>5.5.4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及表5.5-17可以看出，涨潮阶段发生</w:t>
      </w:r>
      <w:r>
        <w:rPr>
          <w:rFonts w:hint="eastAsia" w:ascii="宋体" w:hAnsi="宋体"/>
          <w:color w:val="000000" w:themeColor="text1"/>
          <w14:textFill>
            <w14:solidFill>
              <w14:schemeClr w14:val="tx1"/>
            </w14:solidFill>
          </w14:textFill>
        </w:rPr>
        <w:t>发烟硫酸</w:t>
      </w:r>
      <w:r>
        <w:rPr>
          <w:rFonts w:hint="eastAsia" w:ascii="宋体" w:hAnsi="宋体"/>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事故时，</w:t>
      </w:r>
      <w:r>
        <w:rPr>
          <w:rFonts w:hint="eastAsia" w:ascii="宋体" w:hAnsi="宋体"/>
          <w:color w:val="000000" w:themeColor="text1"/>
          <w14:textFill>
            <w14:solidFill>
              <w14:schemeClr w14:val="tx1"/>
            </w14:solidFill>
          </w14:textFill>
        </w:rPr>
        <w:t>发烟硫酸</w:t>
      </w:r>
      <w:r>
        <w:rPr>
          <w:rFonts w:hint="eastAsia"/>
          <w:color w:val="000000" w:themeColor="text1"/>
          <w14:textFill>
            <w14:solidFill>
              <w14:schemeClr w14:val="tx1"/>
            </w14:solidFill>
          </w14:textFill>
        </w:rPr>
        <w:t>浓度大于</w:t>
      </w:r>
      <w:r>
        <w:rPr>
          <w:color w:val="000000" w:themeColor="text1"/>
          <w14:textFill>
            <w14:solidFill>
              <w14:schemeClr w14:val="tx1"/>
            </w14:solidFill>
          </w14:textFill>
        </w:rPr>
        <w:t>1mg/L</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.001 mg/L</w:t>
      </w:r>
      <w:r>
        <w:rPr>
          <w:rFonts w:hint="eastAsia"/>
          <w:color w:val="000000" w:themeColor="text1"/>
          <w14:textFill>
            <w14:solidFill>
              <w14:schemeClr w14:val="tx1"/>
            </w14:solidFill>
          </w14:textFill>
        </w:rPr>
        <w:t>向北扩散的距离分别为</w:t>
      </w:r>
      <w:r>
        <w:rPr>
          <w:color w:val="000000" w:themeColor="text1"/>
          <w14:textFill>
            <w14:solidFill>
              <w14:schemeClr w14:val="tx1"/>
            </w14:solidFill>
          </w14:textFill>
        </w:rPr>
        <w:t>13.166</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19.976km</w:t>
      </w:r>
      <w:r>
        <w:rPr>
          <w:rFonts w:hint="eastAsia"/>
          <w:color w:val="000000" w:themeColor="text1"/>
          <w14:textFill>
            <w14:solidFill>
              <w14:schemeClr w14:val="tx1"/>
            </w14:solidFill>
          </w14:textFill>
        </w:rPr>
        <w:t>，向南扩散的距离分别为</w:t>
      </w:r>
      <w:r>
        <w:rPr>
          <w:color w:val="000000" w:themeColor="text1"/>
          <w14:textFill>
            <w14:solidFill>
              <w14:schemeClr w14:val="tx1"/>
            </w14:solidFill>
          </w14:textFill>
        </w:rPr>
        <w:t>10.569</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20.166</w:t>
      </w:r>
      <w:r>
        <w:rPr>
          <w:rFonts w:hint="eastAsia"/>
          <w:color w:val="000000" w:themeColor="text1"/>
          <w14:textFill>
            <w14:solidFill>
              <w14:schemeClr w14:val="tx1"/>
            </w14:solidFill>
          </w14:textFill>
        </w:rPr>
        <w:t xml:space="preserve"> 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，包络面积分别可达</w:t>
      </w:r>
      <w:r>
        <w:rPr>
          <w:color w:val="000000" w:themeColor="text1"/>
          <w14:textFill>
            <w14:solidFill>
              <w14:schemeClr w14:val="tx1"/>
            </w14:solidFill>
          </w14:textFill>
        </w:rPr>
        <w:t>44.696km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288.712 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；落潮阶段</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w:t>
      </w:r>
      <w:r>
        <w:rPr>
          <w:rFonts w:hint="eastAsia" w:ascii="宋体" w:hAnsi="宋体"/>
          <w:color w:val="000000" w:themeColor="text1"/>
          <w14:textFill>
            <w14:solidFill>
              <w14:schemeClr w14:val="tx1"/>
            </w14:solidFill>
          </w14:textFill>
        </w:rPr>
        <w:t>发烟硫酸</w:t>
      </w:r>
      <w:r>
        <w:rPr>
          <w:rFonts w:hint="eastAsia"/>
          <w:color w:val="000000" w:themeColor="text1"/>
          <w14:textFill>
            <w14:solidFill>
              <w14:schemeClr w14:val="tx1"/>
            </w14:solidFill>
          </w14:textFill>
        </w:rPr>
        <w:t>浓度大于</w:t>
      </w:r>
      <w:r>
        <w:rPr>
          <w:color w:val="000000" w:themeColor="text1"/>
          <w14:textFill>
            <w14:solidFill>
              <w14:schemeClr w14:val="tx1"/>
            </w14:solidFill>
          </w14:textFill>
        </w:rPr>
        <w:t>1mg/L</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.001 mg/L</w:t>
      </w:r>
      <w:r>
        <w:rPr>
          <w:rFonts w:hint="eastAsia"/>
          <w:color w:val="000000" w:themeColor="text1"/>
          <w14:textFill>
            <w14:solidFill>
              <w14:schemeClr w14:val="tx1"/>
            </w14:solidFill>
          </w14:textFill>
        </w:rPr>
        <w:t>向北扩散的距离分别为</w:t>
      </w:r>
      <w:r>
        <w:rPr>
          <w:color w:val="000000" w:themeColor="text1"/>
          <w14:textFill>
            <w14:solidFill>
              <w14:schemeClr w14:val="tx1"/>
            </w14:solidFill>
          </w14:textFill>
        </w:rPr>
        <w:t>9.468</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16.423km</w:t>
      </w:r>
      <w:r>
        <w:rPr>
          <w:rFonts w:hint="eastAsia"/>
          <w:color w:val="000000" w:themeColor="text1"/>
          <w14:textFill>
            <w14:solidFill>
              <w14:schemeClr w14:val="tx1"/>
            </w14:solidFill>
          </w14:textFill>
        </w:rPr>
        <w:t>，向南扩散的距离分别为</w:t>
      </w:r>
      <w:r>
        <w:rPr>
          <w:color w:val="000000" w:themeColor="text1"/>
          <w14:textFill>
            <w14:solidFill>
              <w14:schemeClr w14:val="tx1"/>
            </w14:solidFill>
          </w14:textFill>
        </w:rPr>
        <w:t>17.377</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23.128</w:t>
      </w:r>
      <w:r>
        <w:rPr>
          <w:rFonts w:hint="eastAsia"/>
          <w:color w:val="000000" w:themeColor="text1"/>
          <w14:textFill>
            <w14:solidFill>
              <w14:schemeClr w14:val="tx1"/>
            </w14:solidFill>
          </w14:textFill>
        </w:rPr>
        <w:t xml:space="preserve"> 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，包络面积分别可达</w:t>
      </w:r>
      <w:r>
        <w:rPr>
          <w:color w:val="000000" w:themeColor="text1"/>
          <w14:textFill>
            <w14:solidFill>
              <w14:schemeClr w14:val="tx1"/>
            </w14:solidFill>
          </w14:textFill>
        </w:rPr>
        <w:t>113.263km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377.536 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，落潮阶段</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比涨潮阶段</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扩散的影响范围大。总之，在本项目附近发生</w:t>
      </w:r>
      <w:r>
        <w:rPr>
          <w:rFonts w:hint="eastAsia" w:ascii="宋体" w:hAnsi="宋体"/>
          <w:color w:val="000000" w:themeColor="text1"/>
          <w14:textFill>
            <w14:solidFill>
              <w14:schemeClr w14:val="tx1"/>
            </w14:solidFill>
          </w14:textFill>
        </w:rPr>
        <w:t>发烟硫酸</w:t>
      </w:r>
      <w:r>
        <w:rPr>
          <w:rFonts w:hint="eastAsia"/>
          <w:color w:val="000000" w:themeColor="text1"/>
          <w14:textFill>
            <w14:solidFill>
              <w14:schemeClr w14:val="tx1"/>
            </w14:solidFill>
          </w14:textFill>
        </w:rPr>
        <w:t>严重泄漏事故</w:t>
      </w:r>
      <w:r>
        <w:rPr>
          <w:color w:val="000000" w:themeColor="text1"/>
          <w14:textFill>
            <w14:solidFill>
              <w14:schemeClr w14:val="tx1"/>
            </w14:solidFill>
          </w14:textFill>
        </w:rPr>
        <w:t>会对</w:t>
      </w:r>
      <w:r>
        <w:rPr>
          <w:rFonts w:hint="eastAsia"/>
          <w:color w:val="000000" w:themeColor="text1"/>
          <w14:textFill>
            <w14:solidFill>
              <w14:schemeClr w14:val="tx1"/>
            </w14:solidFill>
          </w14:textFill>
        </w:rPr>
        <w:t>钦州湾</w:t>
      </w:r>
      <w:r>
        <w:rPr>
          <w:color w:val="000000" w:themeColor="text1"/>
          <w14:textFill>
            <w14:solidFill>
              <w14:schemeClr w14:val="tx1"/>
            </w14:solidFill>
          </w14:textFill>
        </w:rPr>
        <w:t>海域的海洋环境造成</w:t>
      </w:r>
      <w:r>
        <w:rPr>
          <w:rFonts w:hint="eastAsia"/>
          <w:color w:val="000000" w:themeColor="text1"/>
          <w14:textFill>
            <w14:solidFill>
              <w14:schemeClr w14:val="tx1"/>
            </w14:solidFill>
          </w14:textFill>
        </w:rPr>
        <w:t>重大的</w:t>
      </w:r>
      <w:r>
        <w:rPr>
          <w:color w:val="000000" w:themeColor="text1"/>
          <w14:textFill>
            <w14:solidFill>
              <w14:schemeClr w14:val="tx1"/>
            </w14:solidFill>
          </w14:textFill>
        </w:rPr>
        <w:t>影响</w:t>
      </w:r>
      <w:r>
        <w:rPr>
          <w:rFonts w:hint="eastAsia"/>
          <w:color w:val="000000" w:themeColor="text1"/>
          <w14:textFill>
            <w14:solidFill>
              <w14:schemeClr w14:val="tx1"/>
            </w14:solidFill>
          </w14:textFill>
        </w:rPr>
        <w:t>。</w:t>
      </w:r>
    </w:p>
    <w:p w14:paraId="16649E4D">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发烟硫酸</w:t>
      </w:r>
      <w:r>
        <w:rPr>
          <w:color w:val="000000" w:themeColor="text1"/>
          <w14:textFill>
            <w14:solidFill>
              <w14:schemeClr w14:val="tx1"/>
            </w14:solidFill>
          </w14:textFill>
        </w:rPr>
        <w:t>泄漏入海扩散距离与包络面积</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26"/>
        <w:gridCol w:w="992"/>
        <w:gridCol w:w="1132"/>
        <w:gridCol w:w="1217"/>
        <w:gridCol w:w="1219"/>
        <w:gridCol w:w="1217"/>
        <w:gridCol w:w="1219"/>
      </w:tblGrid>
      <w:tr w14:paraId="55F973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1" w:hRule="atLeast"/>
          <w:jc w:val="center"/>
        </w:trPr>
        <w:tc>
          <w:tcPr>
            <w:tcW w:w="895" w:type="pct"/>
            <w:vMerge w:val="restart"/>
            <w:vAlign w:val="center"/>
          </w:tcPr>
          <w:p w14:paraId="754497EA">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指  标</w:t>
            </w:r>
          </w:p>
        </w:tc>
        <w:tc>
          <w:tcPr>
            <w:tcW w:w="1246" w:type="pct"/>
            <w:gridSpan w:val="2"/>
            <w:vMerge w:val="restart"/>
            <w:vAlign w:val="center"/>
          </w:tcPr>
          <w:p w14:paraId="62B958A5">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包络面积(km2)</w:t>
            </w:r>
          </w:p>
        </w:tc>
        <w:tc>
          <w:tcPr>
            <w:tcW w:w="2858" w:type="pct"/>
            <w:gridSpan w:val="4"/>
            <w:vAlign w:val="center"/>
          </w:tcPr>
          <w:p w14:paraId="31DC4E0E">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最远扩散距离（km）</w:t>
            </w:r>
            <w:r>
              <w:rPr>
                <w:rFonts w:hint="eastAsia"/>
                <w:b/>
                <w:color w:val="000000" w:themeColor="text1"/>
                <w:sz w:val="21"/>
                <w:szCs w:val="21"/>
                <w14:textFill>
                  <w14:solidFill>
                    <w14:schemeClr w14:val="tx1"/>
                  </w14:solidFill>
                </w14:textFill>
              </w:rPr>
              <w:t>，泄漏点起算</w:t>
            </w:r>
          </w:p>
        </w:tc>
      </w:tr>
      <w:tr w14:paraId="179F0B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jc w:val="center"/>
        </w:trPr>
        <w:tc>
          <w:tcPr>
            <w:tcW w:w="895" w:type="pct"/>
            <w:vMerge w:val="continue"/>
            <w:vAlign w:val="center"/>
          </w:tcPr>
          <w:p w14:paraId="6F04648F">
            <w:pPr>
              <w:spacing w:line="240" w:lineRule="atLeast"/>
              <w:ind w:firstLine="0" w:firstLineChars="0"/>
              <w:jc w:val="center"/>
              <w:rPr>
                <w:b/>
                <w:color w:val="000000" w:themeColor="text1"/>
                <w:sz w:val="21"/>
                <w:szCs w:val="21"/>
                <w14:textFill>
                  <w14:solidFill>
                    <w14:schemeClr w14:val="tx1"/>
                  </w14:solidFill>
                </w14:textFill>
              </w:rPr>
            </w:pPr>
          </w:p>
        </w:tc>
        <w:tc>
          <w:tcPr>
            <w:tcW w:w="1246" w:type="pct"/>
            <w:gridSpan w:val="2"/>
            <w:vMerge w:val="continue"/>
            <w:vAlign w:val="center"/>
          </w:tcPr>
          <w:p w14:paraId="2E709D85">
            <w:pPr>
              <w:spacing w:line="240" w:lineRule="atLeast"/>
              <w:ind w:firstLine="0" w:firstLineChars="0"/>
              <w:jc w:val="center"/>
              <w:rPr>
                <w:b/>
                <w:color w:val="000000" w:themeColor="text1"/>
                <w:sz w:val="21"/>
                <w:szCs w:val="21"/>
                <w14:textFill>
                  <w14:solidFill>
                    <w14:schemeClr w14:val="tx1"/>
                  </w14:solidFill>
                </w14:textFill>
              </w:rPr>
            </w:pPr>
          </w:p>
        </w:tc>
        <w:tc>
          <w:tcPr>
            <w:tcW w:w="1429" w:type="pct"/>
            <w:gridSpan w:val="2"/>
            <w:vAlign w:val="center"/>
          </w:tcPr>
          <w:p w14:paraId="3ECA21DD">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偏北向</w:t>
            </w:r>
          </w:p>
        </w:tc>
        <w:tc>
          <w:tcPr>
            <w:tcW w:w="1429" w:type="pct"/>
            <w:gridSpan w:val="2"/>
            <w:vAlign w:val="center"/>
          </w:tcPr>
          <w:p w14:paraId="48E50517">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偏</w:t>
            </w:r>
            <w:r>
              <w:rPr>
                <w:b/>
                <w:color w:val="000000" w:themeColor="text1"/>
                <w:sz w:val="21"/>
                <w:szCs w:val="21"/>
                <w14:textFill>
                  <w14:solidFill>
                    <w14:schemeClr w14:val="tx1"/>
                  </w14:solidFill>
                </w14:textFill>
              </w:rPr>
              <w:t>南向</w:t>
            </w:r>
          </w:p>
        </w:tc>
      </w:tr>
      <w:tr w14:paraId="6EBBB0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jc w:val="center"/>
        </w:trPr>
        <w:tc>
          <w:tcPr>
            <w:tcW w:w="895" w:type="pct"/>
            <w:vAlign w:val="center"/>
          </w:tcPr>
          <w:p w14:paraId="26EB8685">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泄漏</w:t>
            </w:r>
            <w:r>
              <w:rPr>
                <w:rFonts w:hint="eastAsia"/>
                <w:b/>
                <w:color w:val="000000" w:themeColor="text1"/>
                <w:sz w:val="21"/>
                <w:szCs w:val="21"/>
                <w14:textFill>
                  <w14:solidFill>
                    <w14:schemeClr w14:val="tx1"/>
                  </w14:solidFill>
                </w14:textFill>
              </w:rPr>
              <w:t>潮期</w:t>
            </w:r>
          </w:p>
        </w:tc>
        <w:tc>
          <w:tcPr>
            <w:tcW w:w="582" w:type="pct"/>
            <w:vAlign w:val="center"/>
          </w:tcPr>
          <w:p w14:paraId="05A664D4">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涨潮</w:t>
            </w:r>
          </w:p>
        </w:tc>
        <w:tc>
          <w:tcPr>
            <w:tcW w:w="664" w:type="pct"/>
            <w:vAlign w:val="center"/>
          </w:tcPr>
          <w:p w14:paraId="54DEC3E5">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落潮</w:t>
            </w:r>
          </w:p>
        </w:tc>
        <w:tc>
          <w:tcPr>
            <w:tcW w:w="714" w:type="pct"/>
            <w:vAlign w:val="center"/>
          </w:tcPr>
          <w:p w14:paraId="6A6FFFB2">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涨潮</w:t>
            </w:r>
          </w:p>
        </w:tc>
        <w:tc>
          <w:tcPr>
            <w:tcW w:w="715" w:type="pct"/>
            <w:vAlign w:val="center"/>
          </w:tcPr>
          <w:p w14:paraId="0DE31203">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落潮</w:t>
            </w:r>
          </w:p>
        </w:tc>
        <w:tc>
          <w:tcPr>
            <w:tcW w:w="714" w:type="pct"/>
            <w:vAlign w:val="center"/>
          </w:tcPr>
          <w:p w14:paraId="60D3A76C">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涨潮</w:t>
            </w:r>
          </w:p>
        </w:tc>
        <w:tc>
          <w:tcPr>
            <w:tcW w:w="715" w:type="pct"/>
            <w:vAlign w:val="center"/>
          </w:tcPr>
          <w:p w14:paraId="23566618">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落潮</w:t>
            </w:r>
          </w:p>
        </w:tc>
      </w:tr>
      <w:tr w14:paraId="01BC89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Align w:val="center"/>
          </w:tcPr>
          <w:p w14:paraId="7189DF3C">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＞1000mg/L</w:t>
            </w:r>
          </w:p>
        </w:tc>
        <w:tc>
          <w:tcPr>
            <w:tcW w:w="582" w:type="pct"/>
            <w:vAlign w:val="center"/>
          </w:tcPr>
          <w:p w14:paraId="78418F25">
            <w:pPr>
              <w:widowControl/>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0.102</w:t>
            </w:r>
          </w:p>
        </w:tc>
        <w:tc>
          <w:tcPr>
            <w:tcW w:w="664" w:type="pct"/>
          </w:tcPr>
          <w:p w14:paraId="7B888A03">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0.111</w:t>
            </w:r>
          </w:p>
        </w:tc>
        <w:tc>
          <w:tcPr>
            <w:tcW w:w="714" w:type="pct"/>
            <w:vAlign w:val="center"/>
          </w:tcPr>
          <w:p w14:paraId="1B6DB779">
            <w:pPr>
              <w:widowControl/>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0.629</w:t>
            </w:r>
          </w:p>
        </w:tc>
        <w:tc>
          <w:tcPr>
            <w:tcW w:w="715" w:type="pct"/>
          </w:tcPr>
          <w:p w14:paraId="1ED440A3">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14" w:type="pct"/>
          </w:tcPr>
          <w:p w14:paraId="3D5DC771">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15" w:type="pct"/>
          </w:tcPr>
          <w:p w14:paraId="279BD5D4">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1.016</w:t>
            </w:r>
          </w:p>
        </w:tc>
      </w:tr>
      <w:tr w14:paraId="222573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Align w:val="center"/>
          </w:tcPr>
          <w:p w14:paraId="210EDE4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mg/L</w:t>
            </w:r>
          </w:p>
        </w:tc>
        <w:tc>
          <w:tcPr>
            <w:tcW w:w="582" w:type="pct"/>
            <w:vAlign w:val="center"/>
          </w:tcPr>
          <w:p w14:paraId="00710248">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44.696</w:t>
            </w:r>
          </w:p>
        </w:tc>
        <w:tc>
          <w:tcPr>
            <w:tcW w:w="664" w:type="pct"/>
          </w:tcPr>
          <w:p w14:paraId="4B88501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113.263</w:t>
            </w:r>
          </w:p>
        </w:tc>
        <w:tc>
          <w:tcPr>
            <w:tcW w:w="714" w:type="pct"/>
            <w:vAlign w:val="center"/>
          </w:tcPr>
          <w:p w14:paraId="66E6C959">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13.166</w:t>
            </w:r>
          </w:p>
        </w:tc>
        <w:tc>
          <w:tcPr>
            <w:tcW w:w="715" w:type="pct"/>
          </w:tcPr>
          <w:p w14:paraId="0669B4A2">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9.468</w:t>
            </w:r>
          </w:p>
        </w:tc>
        <w:tc>
          <w:tcPr>
            <w:tcW w:w="714" w:type="pct"/>
          </w:tcPr>
          <w:p w14:paraId="72F304B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10.569</w:t>
            </w:r>
          </w:p>
        </w:tc>
        <w:tc>
          <w:tcPr>
            <w:tcW w:w="715" w:type="pct"/>
          </w:tcPr>
          <w:p w14:paraId="50D44ABB">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17.377</w:t>
            </w:r>
          </w:p>
        </w:tc>
      </w:tr>
      <w:tr w14:paraId="5936B9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Align w:val="center"/>
          </w:tcPr>
          <w:p w14:paraId="31EE0979">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＞0.1mg/L</w:t>
            </w:r>
          </w:p>
        </w:tc>
        <w:tc>
          <w:tcPr>
            <w:tcW w:w="582" w:type="pct"/>
            <w:vAlign w:val="center"/>
          </w:tcPr>
          <w:p w14:paraId="5949FD1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171.012</w:t>
            </w:r>
          </w:p>
        </w:tc>
        <w:tc>
          <w:tcPr>
            <w:tcW w:w="664" w:type="pct"/>
          </w:tcPr>
          <w:p w14:paraId="1F7F3DBD">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222.632</w:t>
            </w:r>
          </w:p>
        </w:tc>
        <w:tc>
          <w:tcPr>
            <w:tcW w:w="714" w:type="pct"/>
            <w:vAlign w:val="center"/>
          </w:tcPr>
          <w:p w14:paraId="1955718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15.189</w:t>
            </w:r>
          </w:p>
        </w:tc>
        <w:tc>
          <w:tcPr>
            <w:tcW w:w="715" w:type="pct"/>
          </w:tcPr>
          <w:p w14:paraId="42DD1074">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12.366</w:t>
            </w:r>
          </w:p>
        </w:tc>
        <w:tc>
          <w:tcPr>
            <w:tcW w:w="714" w:type="pct"/>
          </w:tcPr>
          <w:p w14:paraId="6545628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16.186</w:t>
            </w:r>
          </w:p>
        </w:tc>
        <w:tc>
          <w:tcPr>
            <w:tcW w:w="715" w:type="pct"/>
          </w:tcPr>
          <w:p w14:paraId="2A3C1ADC">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19.289</w:t>
            </w:r>
          </w:p>
        </w:tc>
      </w:tr>
      <w:tr w14:paraId="5293AC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Align w:val="center"/>
          </w:tcPr>
          <w:p w14:paraId="52D1FC9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＞0.01mg/L</w:t>
            </w:r>
          </w:p>
        </w:tc>
        <w:tc>
          <w:tcPr>
            <w:tcW w:w="582" w:type="pct"/>
            <w:vAlign w:val="center"/>
          </w:tcPr>
          <w:p w14:paraId="5D56DA92">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243.939</w:t>
            </w:r>
          </w:p>
        </w:tc>
        <w:tc>
          <w:tcPr>
            <w:tcW w:w="664" w:type="pct"/>
          </w:tcPr>
          <w:p w14:paraId="4D9B66FC">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303.695</w:t>
            </w:r>
          </w:p>
        </w:tc>
        <w:tc>
          <w:tcPr>
            <w:tcW w:w="714" w:type="pct"/>
            <w:vAlign w:val="center"/>
          </w:tcPr>
          <w:p w14:paraId="5FC1E1BD">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16.010</w:t>
            </w:r>
          </w:p>
        </w:tc>
        <w:tc>
          <w:tcPr>
            <w:tcW w:w="715" w:type="pct"/>
          </w:tcPr>
          <w:p w14:paraId="6B29A05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14.945</w:t>
            </w:r>
          </w:p>
        </w:tc>
        <w:tc>
          <w:tcPr>
            <w:tcW w:w="714" w:type="pct"/>
          </w:tcPr>
          <w:p w14:paraId="39BAC69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18.953</w:t>
            </w:r>
          </w:p>
        </w:tc>
        <w:tc>
          <w:tcPr>
            <w:tcW w:w="715" w:type="pct"/>
          </w:tcPr>
          <w:p w14:paraId="77457678">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20.965</w:t>
            </w:r>
          </w:p>
        </w:tc>
      </w:tr>
      <w:tr w14:paraId="6AE63E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Align w:val="center"/>
          </w:tcPr>
          <w:p w14:paraId="1EC49CD9">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&gt;</w:t>
            </w:r>
            <w:r>
              <w:rPr>
                <w:color w:val="000000" w:themeColor="text1"/>
                <w:sz w:val="21"/>
                <w:szCs w:val="21"/>
                <w14:textFill>
                  <w14:solidFill>
                    <w14:schemeClr w14:val="tx1"/>
                  </w14:solidFill>
                </w14:textFill>
              </w:rPr>
              <w:t>0.001 mg/L</w:t>
            </w:r>
          </w:p>
        </w:tc>
        <w:tc>
          <w:tcPr>
            <w:tcW w:w="582" w:type="pct"/>
            <w:vAlign w:val="center"/>
          </w:tcPr>
          <w:p w14:paraId="1D5D8E8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288.712</w:t>
            </w:r>
          </w:p>
        </w:tc>
        <w:tc>
          <w:tcPr>
            <w:tcW w:w="664" w:type="pct"/>
          </w:tcPr>
          <w:p w14:paraId="41EC29E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377.536</w:t>
            </w:r>
          </w:p>
        </w:tc>
        <w:tc>
          <w:tcPr>
            <w:tcW w:w="714" w:type="pct"/>
            <w:vAlign w:val="center"/>
          </w:tcPr>
          <w:p w14:paraId="2291F322">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19.976</w:t>
            </w:r>
          </w:p>
        </w:tc>
        <w:tc>
          <w:tcPr>
            <w:tcW w:w="715" w:type="pct"/>
          </w:tcPr>
          <w:p w14:paraId="237DBE1C">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16.423</w:t>
            </w:r>
          </w:p>
        </w:tc>
        <w:tc>
          <w:tcPr>
            <w:tcW w:w="714" w:type="pct"/>
          </w:tcPr>
          <w:p w14:paraId="470392C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20.166</w:t>
            </w:r>
          </w:p>
        </w:tc>
        <w:tc>
          <w:tcPr>
            <w:tcW w:w="715" w:type="pct"/>
          </w:tcPr>
          <w:p w14:paraId="44750579">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23.128</w:t>
            </w:r>
          </w:p>
        </w:tc>
      </w:tr>
    </w:tbl>
    <w:p w14:paraId="55D54D31">
      <w:pPr>
        <w:pStyle w:val="13"/>
        <w:spacing w:line="360" w:lineRule="auto"/>
        <w:ind w:left="2880" w:firstLine="482"/>
        <w:jc w:val="center"/>
        <w:rPr>
          <w:b/>
          <w:color w:val="000000" w:themeColor="text1"/>
          <w:sz w:val="24"/>
          <w14:textFill>
            <w14:solidFill>
              <w14:schemeClr w14:val="tx1"/>
            </w14:solidFill>
          </w14:textFill>
        </w:rPr>
      </w:pPr>
    </w:p>
    <w:p w14:paraId="22656C72">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5274310" cy="5233035"/>
            <wp:effectExtent l="0" t="0" r="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258"/>
                    <a:stretch>
                      <a:fillRect/>
                    </a:stretch>
                  </pic:blipFill>
                  <pic:spPr>
                    <a:xfrm>
                      <a:off x="0" y="0"/>
                      <a:ext cx="5274310" cy="5233035"/>
                    </a:xfrm>
                    <a:prstGeom prst="rect">
                      <a:avLst/>
                    </a:prstGeom>
                  </pic:spPr>
                </pic:pic>
              </a:graphicData>
            </a:graphic>
          </wp:inline>
        </w:drawing>
      </w:r>
    </w:p>
    <w:p w14:paraId="0FA651FF">
      <w:pPr>
        <w:pStyle w:val="13"/>
        <w:spacing w:line="360" w:lineRule="auto"/>
        <w:ind w:firstLineChars="0"/>
        <w:jc w:val="center"/>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图5.5.4-</w:t>
      </w:r>
      <w:r>
        <w:rPr>
          <w:b/>
          <w:color w:val="000000" w:themeColor="text1"/>
          <w:sz w:val="24"/>
          <w14:textFill>
            <w14:solidFill>
              <w14:schemeClr w14:val="tx1"/>
            </w14:solidFill>
          </w14:textFill>
        </w:rPr>
        <w:t>5</w:t>
      </w:r>
      <w:r>
        <w:rPr>
          <w:rFonts w:hint="eastAsia"/>
          <w:b/>
          <w:color w:val="000000" w:themeColor="text1"/>
          <w:sz w:val="24"/>
          <w14:textFill>
            <w14:solidFill>
              <w14:schemeClr w14:val="tx1"/>
            </w14:solidFill>
          </w14:textFill>
        </w:rPr>
        <w:t xml:space="preserve"> 涨潮阶段发烟硫酸泄漏入海影响水域面积的包络</w:t>
      </w:r>
    </w:p>
    <w:p w14:paraId="05586029">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5274310" cy="5221605"/>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259"/>
                    <a:stretch>
                      <a:fillRect/>
                    </a:stretch>
                  </pic:blipFill>
                  <pic:spPr>
                    <a:xfrm>
                      <a:off x="0" y="0"/>
                      <a:ext cx="5274310" cy="5221605"/>
                    </a:xfrm>
                    <a:prstGeom prst="rect">
                      <a:avLst/>
                    </a:prstGeom>
                  </pic:spPr>
                </pic:pic>
              </a:graphicData>
            </a:graphic>
          </wp:inline>
        </w:drawing>
      </w:r>
    </w:p>
    <w:p w14:paraId="6CCD3F97">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图5.5.4-</w:t>
      </w:r>
      <w:r>
        <w:rPr>
          <w:b/>
          <w:color w:val="000000" w:themeColor="text1"/>
          <w14:textFill>
            <w14:solidFill>
              <w14:schemeClr w14:val="tx1"/>
            </w14:solidFill>
          </w14:textFill>
        </w:rPr>
        <w:t>6</w:t>
      </w:r>
      <w:r>
        <w:rPr>
          <w:rFonts w:hint="eastAsia"/>
          <w:b/>
          <w:color w:val="000000" w:themeColor="text1"/>
          <w14:textFill>
            <w14:solidFill>
              <w14:schemeClr w14:val="tx1"/>
            </w14:solidFill>
          </w14:textFill>
        </w:rPr>
        <w:t xml:space="preserve"> 落潮阶段发烟硫酸泄漏入海影响水域面积的包络</w:t>
      </w:r>
    </w:p>
    <w:p w14:paraId="4ED39956">
      <w:pPr>
        <w:pStyle w:val="5"/>
        <w:rPr>
          <w:color w:val="000000" w:themeColor="text1"/>
          <w14:textFill>
            <w14:solidFill>
              <w14:schemeClr w14:val="tx1"/>
            </w14:solidFill>
          </w14:textFill>
        </w:rPr>
      </w:pPr>
      <w:r>
        <w:rPr>
          <w:color w:val="000000" w:themeColor="text1"/>
          <w14:textFill>
            <w14:solidFill>
              <w14:schemeClr w14:val="tx1"/>
            </w14:solidFill>
          </w14:textFill>
        </w:rPr>
        <w:t>陆域风险事故预测</w:t>
      </w:r>
    </w:p>
    <w:p w14:paraId="4020A9C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物质危险性识别可知，项目货种沸点为34℃，因其沸点高于环境温度以及储存温度，故蒸发只考虑质量蒸发。同时根据表5.1-3及表5.4-2，选取发烟硫酸、苯乙烯作为预测货种（从数量、燃烧、毒性等综合筛选）。</w:t>
      </w:r>
    </w:p>
    <w:p w14:paraId="418E6AC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根据《建设项目环境风险评价技术导则》（HJ 169-2018）蒸发时间应结合物质特性、气象条件、工况等综合考虑，一般情况下，本次按最不利原则，发烟硫酸</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量4.48t，苯乙烯</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量2.85t。考虑泄漏蒸发时间为5min。故本项目发烟硫酸泄漏蒸发速率为</w:t>
      </w:r>
      <w:r>
        <w:rPr>
          <w:rFonts w:hint="eastAsia" w:eastAsiaTheme="minorEastAsia"/>
          <w:color w:val="000000" w:themeColor="text1"/>
          <w14:textFill>
            <w14:solidFill>
              <w14:schemeClr w14:val="tx1"/>
            </w14:solidFill>
          </w14:textFill>
        </w:rPr>
        <w:t>0.0149</w:t>
      </w:r>
      <w:r>
        <w:rPr>
          <w:rFonts w:hint="eastAsia"/>
          <w:color w:val="000000" w:themeColor="text1"/>
          <w14:textFill>
            <w14:solidFill>
              <w14:schemeClr w14:val="tx1"/>
            </w14:solidFill>
          </w14:textFill>
        </w:rPr>
        <w:t>kg/s，液体蒸发总量为</w:t>
      </w:r>
      <w:r>
        <w:rPr>
          <w:rFonts w:hint="eastAsia" w:eastAsiaTheme="minorEastAsia"/>
          <w:color w:val="000000" w:themeColor="text1"/>
          <w14:textFill>
            <w14:solidFill>
              <w14:schemeClr w14:val="tx1"/>
            </w14:solidFill>
          </w14:textFill>
        </w:rPr>
        <w:t>4.47</w:t>
      </w:r>
      <w:r>
        <w:rPr>
          <w:rFonts w:hint="eastAsia"/>
          <w:color w:val="000000" w:themeColor="text1"/>
          <w14:textFill>
            <w14:solidFill>
              <w14:schemeClr w14:val="tx1"/>
            </w14:solidFill>
          </w14:textFill>
        </w:rPr>
        <w:t>kg；苯乙烯泄漏蒸发速率为</w:t>
      </w:r>
      <w:r>
        <w:rPr>
          <w:rFonts w:hint="eastAsia" w:eastAsiaTheme="minorEastAsia"/>
          <w:color w:val="000000" w:themeColor="text1"/>
          <w14:textFill>
            <w14:solidFill>
              <w14:schemeClr w14:val="tx1"/>
            </w14:solidFill>
          </w14:textFill>
        </w:rPr>
        <w:t>0.0158</w:t>
      </w:r>
      <w:r>
        <w:rPr>
          <w:rFonts w:hint="eastAsia"/>
          <w:color w:val="000000" w:themeColor="text1"/>
          <w14:textFill>
            <w14:solidFill>
              <w14:schemeClr w14:val="tx1"/>
            </w14:solidFill>
          </w14:textFill>
        </w:rPr>
        <w:t>kg/s，液体蒸发总量为</w:t>
      </w:r>
      <w:r>
        <w:rPr>
          <w:rFonts w:hint="eastAsia" w:eastAsiaTheme="minorEastAsia"/>
          <w:color w:val="000000" w:themeColor="text1"/>
          <w14:textFill>
            <w14:solidFill>
              <w14:schemeClr w14:val="tx1"/>
            </w14:solidFill>
          </w14:textFill>
        </w:rPr>
        <w:t>4.74</w:t>
      </w:r>
      <w:r>
        <w:rPr>
          <w:rFonts w:hint="eastAsia"/>
          <w:color w:val="000000" w:themeColor="text1"/>
          <w14:textFill>
            <w14:solidFill>
              <w14:schemeClr w14:val="tx1"/>
            </w14:solidFill>
          </w14:textFill>
        </w:rPr>
        <w:t>kg，。</w:t>
      </w:r>
    </w:p>
    <w:p w14:paraId="5639F06F">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火灾时间按15min计，则参与燃烧的苯乙烯为</w:t>
      </w:r>
      <w:r>
        <w:rPr>
          <w:color w:val="000000" w:themeColor="text1"/>
          <w:kern w:val="0"/>
          <w:szCs w:val="20"/>
          <w14:textFill>
            <w14:solidFill>
              <w14:schemeClr w14:val="tx1"/>
            </w14:solidFill>
          </w14:textFill>
        </w:rPr>
        <w:t>0.003167</w:t>
      </w:r>
      <w:r>
        <w:rPr>
          <w:rFonts w:hint="eastAsia"/>
          <w:color w:val="000000" w:themeColor="text1"/>
          <w:kern w:val="0"/>
          <w:szCs w:val="20"/>
          <w14:textFill>
            <w14:solidFill>
              <w14:schemeClr w14:val="tx1"/>
            </w14:solidFill>
          </w14:textFill>
        </w:rPr>
        <w:t>t/s。经计算，得到苯乙烯燃烧时一氧化碳的产生速率为0.102</w:t>
      </w:r>
      <w:r>
        <w:rPr>
          <w:color w:val="000000" w:themeColor="text1"/>
          <w:kern w:val="0"/>
          <w:szCs w:val="20"/>
          <w14:textFill>
            <w14:solidFill>
              <w14:schemeClr w14:val="tx1"/>
            </w14:solidFill>
          </w14:textFill>
        </w:rPr>
        <w:t>kg/s</w:t>
      </w:r>
      <w:r>
        <w:rPr>
          <w:rFonts w:hint="eastAsia"/>
          <w:color w:val="000000" w:themeColor="text1"/>
          <w:kern w:val="0"/>
          <w:szCs w:val="20"/>
          <w14:textFill>
            <w14:solidFill>
              <w14:schemeClr w14:val="tx1"/>
            </w14:solidFill>
          </w14:textFill>
        </w:rPr>
        <w:t>。</w:t>
      </w:r>
    </w:p>
    <w:p w14:paraId="1AE44B55">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预测模型筛选</w:t>
      </w:r>
    </w:p>
    <w:p w14:paraId="39E8CACA">
      <w:pPr>
        <w:ind w:firstLine="480"/>
        <w:rPr>
          <w:color w:val="000000" w:themeColor="text1"/>
          <w14:textFill>
            <w14:solidFill>
              <w14:schemeClr w14:val="tx1"/>
            </w14:solidFill>
          </w14:textFill>
        </w:rPr>
      </w:pPr>
      <w:r>
        <w:rPr>
          <w:color w:val="000000" w:themeColor="text1"/>
          <w14:textFill>
            <w14:solidFill>
              <w14:schemeClr w14:val="tx1"/>
            </w14:solidFill>
          </w14:textFill>
        </w:rPr>
        <w:t>根据《建设项目环境风险评价技术导则》（HJ169-2018）附录G，依据排放类型，理查德森数的计算分连续排放、瞬时排放两种形式：</w:t>
      </w:r>
    </w:p>
    <w:p w14:paraId="3A7556C2">
      <w:pPr>
        <w:ind w:firstLine="480"/>
        <w:rPr>
          <w:color w:val="000000" w:themeColor="text1"/>
          <w14:textFill>
            <w14:solidFill>
              <w14:schemeClr w14:val="tx1"/>
            </w14:solidFill>
          </w14:textFill>
        </w:rPr>
      </w:pPr>
      <w:r>
        <w:rPr>
          <w:color w:val="000000" w:themeColor="text1"/>
          <w14:textFill>
            <w14:solidFill>
              <w14:schemeClr w14:val="tx1"/>
            </w14:solidFill>
          </w14:textFill>
        </w:rPr>
        <w:t>连续排放：</w:t>
      </w:r>
    </w:p>
    <w:p w14:paraId="3F57E416">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171700" cy="866775"/>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noChangeArrowheads="1"/>
                    </pic:cNvPicPr>
                  </pic:nvPicPr>
                  <pic:blipFill>
                    <a:blip r:embed="rId260">
                      <a:lum bright="-66000"/>
                      <a:extLst>
                        <a:ext uri="{28A0092B-C50C-407E-A947-70E740481C1C}">
                          <a14:useLocalDpi xmlns:a14="http://schemas.microsoft.com/office/drawing/2010/main" val="0"/>
                        </a:ext>
                      </a:extLst>
                    </a:blip>
                    <a:srcRect/>
                    <a:stretch>
                      <a:fillRect/>
                    </a:stretch>
                  </pic:blipFill>
                  <pic:spPr>
                    <a:xfrm>
                      <a:off x="0" y="0"/>
                      <a:ext cx="2171700" cy="866775"/>
                    </a:xfrm>
                    <a:prstGeom prst="rect">
                      <a:avLst/>
                    </a:prstGeom>
                    <a:noFill/>
                    <a:ln>
                      <a:noFill/>
                    </a:ln>
                    <a:effectLst/>
                  </pic:spPr>
                </pic:pic>
              </a:graphicData>
            </a:graphic>
          </wp:inline>
        </w:drawing>
      </w:r>
    </w:p>
    <w:p w14:paraId="11EB05F9">
      <w:pPr>
        <w:ind w:firstLine="480"/>
        <w:rPr>
          <w:color w:val="000000" w:themeColor="text1"/>
          <w14:textFill>
            <w14:solidFill>
              <w14:schemeClr w14:val="tx1"/>
            </w14:solidFill>
          </w14:textFill>
        </w:rPr>
      </w:pPr>
      <w:r>
        <w:rPr>
          <w:color w:val="000000" w:themeColor="text1"/>
          <w14:textFill>
            <w14:solidFill>
              <w14:schemeClr w14:val="tx1"/>
            </w14:solidFill>
          </w14:textFill>
        </w:rPr>
        <w:t>瞬时排放：</w:t>
      </w:r>
    </w:p>
    <w:p w14:paraId="4DCFE56D">
      <w:pPr>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295525" cy="762000"/>
            <wp:effectExtent l="0" t="0" r="9525"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noChangeArrowheads="1"/>
                    </pic:cNvPicPr>
                  </pic:nvPicPr>
                  <pic:blipFill>
                    <a:blip r:embed="rId261">
                      <a:lum bright="-36000"/>
                      <a:extLst>
                        <a:ext uri="{28A0092B-C50C-407E-A947-70E740481C1C}">
                          <a14:useLocalDpi xmlns:a14="http://schemas.microsoft.com/office/drawing/2010/main" val="0"/>
                        </a:ext>
                      </a:extLst>
                    </a:blip>
                    <a:srcRect/>
                    <a:stretch>
                      <a:fillRect/>
                    </a:stretch>
                  </pic:blipFill>
                  <pic:spPr>
                    <a:xfrm>
                      <a:off x="0" y="0"/>
                      <a:ext cx="2295525" cy="762000"/>
                    </a:xfrm>
                    <a:prstGeom prst="rect">
                      <a:avLst/>
                    </a:prstGeom>
                    <a:noFill/>
                    <a:ln>
                      <a:noFill/>
                    </a:ln>
                    <a:effectLst/>
                  </pic:spPr>
                </pic:pic>
              </a:graphicData>
            </a:graphic>
          </wp:inline>
        </w:drawing>
      </w:r>
    </w:p>
    <w:p w14:paraId="03A53032">
      <w:pPr>
        <w:ind w:firstLine="480"/>
        <w:rPr>
          <w:color w:val="000000" w:themeColor="text1"/>
          <w14:textFill>
            <w14:solidFill>
              <w14:schemeClr w14:val="tx1"/>
            </w14:solidFill>
          </w14:textFill>
        </w:rPr>
      </w:pPr>
      <w:r>
        <w:rPr>
          <w:i/>
          <w:iCs/>
          <w:color w:val="000000" w:themeColor="text1"/>
          <w14:textFill>
            <w14:solidFill>
              <w14:schemeClr w14:val="tx1"/>
            </w14:solidFill>
          </w14:textFill>
        </w:rPr>
        <w:t>ρ</w:t>
      </w:r>
      <w:r>
        <w:rPr>
          <w:i/>
          <w:iCs/>
          <w:color w:val="000000" w:themeColor="text1"/>
          <w:vertAlign w:val="subscript"/>
          <w14:textFill>
            <w14:solidFill>
              <w14:schemeClr w14:val="tx1"/>
            </w14:solidFill>
          </w14:textFill>
        </w:rPr>
        <w:t>rel</w:t>
      </w:r>
      <w:r>
        <w:rPr>
          <w:color w:val="000000" w:themeColor="text1"/>
          <w14:textFill>
            <w14:solidFill>
              <w14:schemeClr w14:val="tx1"/>
            </w14:solidFill>
          </w14:textFill>
        </w:rPr>
        <w:t>——排放物质进入大气的初始密度，kg/m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14:paraId="6DE25D5F">
      <w:pPr>
        <w:ind w:firstLine="480"/>
        <w:rPr>
          <w:color w:val="000000" w:themeColor="text1"/>
          <w14:textFill>
            <w14:solidFill>
              <w14:schemeClr w14:val="tx1"/>
            </w14:solidFill>
          </w14:textFill>
        </w:rPr>
      </w:pPr>
      <w:r>
        <w:rPr>
          <w:i/>
          <w:iCs/>
          <w:color w:val="000000" w:themeColor="text1"/>
          <w14:textFill>
            <w14:solidFill>
              <w14:schemeClr w14:val="tx1"/>
            </w14:solidFill>
          </w14:textFill>
        </w:rPr>
        <w:t>ρ</w:t>
      </w:r>
      <w:r>
        <w:rPr>
          <w:i/>
          <w:iCs/>
          <w:color w:val="000000" w:themeColor="text1"/>
          <w:vertAlign w:val="subscript"/>
          <w14:textFill>
            <w14:solidFill>
              <w14:schemeClr w14:val="tx1"/>
            </w14:solidFill>
          </w14:textFill>
        </w:rPr>
        <w:t>a</w:t>
      </w:r>
      <w:r>
        <w:rPr>
          <w:color w:val="000000" w:themeColor="text1"/>
          <w14:textFill>
            <w14:solidFill>
              <w14:schemeClr w14:val="tx1"/>
            </w14:solidFill>
          </w14:textFill>
        </w:rPr>
        <w:t>——环境空气密度，kg/m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，取1.29</w:t>
      </w:r>
      <w:r>
        <w:rPr>
          <w:color w:val="000000" w:themeColor="text1"/>
          <w14:textFill>
            <w14:solidFill>
              <w14:schemeClr w14:val="tx1"/>
            </w14:solidFill>
          </w14:textFill>
        </w:rPr>
        <w:t>kg/m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14:paraId="30DCCF27">
      <w:pPr>
        <w:ind w:firstLine="480"/>
        <w:rPr>
          <w:color w:val="000000" w:themeColor="text1"/>
          <w14:textFill>
            <w14:solidFill>
              <w14:schemeClr w14:val="tx1"/>
            </w14:solidFill>
          </w14:textFill>
        </w:rPr>
      </w:pPr>
      <w:r>
        <w:rPr>
          <w:i/>
          <w:iCs/>
          <w:color w:val="000000" w:themeColor="text1"/>
          <w14:textFill>
            <w14:solidFill>
              <w14:schemeClr w14:val="tx1"/>
            </w14:solidFill>
          </w14:textFill>
        </w:rPr>
        <w:t>Q</w:t>
      </w:r>
      <w:r>
        <w:rPr>
          <w:color w:val="000000" w:themeColor="text1"/>
          <w14:textFill>
            <w14:solidFill>
              <w14:schemeClr w14:val="tx1"/>
            </w14:solidFill>
          </w14:textFill>
        </w:rPr>
        <w:t>——连续排放烟羽的排放速率，kg/s；</w:t>
      </w:r>
    </w:p>
    <w:p w14:paraId="332AC33F">
      <w:pPr>
        <w:ind w:firstLine="480"/>
        <w:rPr>
          <w:color w:val="000000" w:themeColor="text1"/>
          <w14:textFill>
            <w14:solidFill>
              <w14:schemeClr w14:val="tx1"/>
            </w14:solidFill>
          </w14:textFill>
        </w:rPr>
      </w:pPr>
      <w:r>
        <w:rPr>
          <w:i/>
          <w:iCs/>
          <w:color w:val="000000" w:themeColor="text1"/>
          <w14:textFill>
            <w14:solidFill>
              <w14:schemeClr w14:val="tx1"/>
            </w14:solidFill>
          </w14:textFill>
        </w:rPr>
        <w:t>Q</w:t>
      </w:r>
      <w:r>
        <w:rPr>
          <w:color w:val="000000" w:themeColor="text1"/>
          <w:vertAlign w:val="subscript"/>
          <w14:textFill>
            <w14:solidFill>
              <w14:schemeClr w14:val="tx1"/>
            </w14:solidFill>
          </w14:textFill>
        </w:rPr>
        <w:t>t</w:t>
      </w:r>
      <w:r>
        <w:rPr>
          <w:color w:val="000000" w:themeColor="text1"/>
          <w14:textFill>
            <w14:solidFill>
              <w14:schemeClr w14:val="tx1"/>
            </w14:solidFill>
          </w14:textFill>
        </w:rPr>
        <w:t>——瞬时排放的物质质量，kg</w:t>
      </w:r>
      <w:r>
        <w:rPr>
          <w:rFonts w:hint="eastAsia"/>
          <w:color w:val="000000" w:themeColor="text1"/>
          <w14:textFill>
            <w14:solidFill>
              <w14:schemeClr w14:val="tx1"/>
            </w14:solidFill>
          </w14:textFill>
        </w:rPr>
        <w:t>，发烟硫酸为336kg；苯乙烯为357kg</w:t>
      </w:r>
      <w:r>
        <w:rPr>
          <w:color w:val="000000" w:themeColor="text1"/>
          <w14:textFill>
            <w14:solidFill>
              <w14:schemeClr w14:val="tx1"/>
            </w14:solidFill>
          </w14:textFill>
        </w:rPr>
        <w:t>；</w:t>
      </w:r>
    </w:p>
    <w:p w14:paraId="3A62E300">
      <w:pPr>
        <w:ind w:firstLine="480"/>
        <w:rPr>
          <w:color w:val="000000" w:themeColor="text1"/>
          <w14:textFill>
            <w14:solidFill>
              <w14:schemeClr w14:val="tx1"/>
            </w14:solidFill>
          </w14:textFill>
        </w:rPr>
      </w:pPr>
      <w:r>
        <w:rPr>
          <w:i/>
          <w:iCs/>
          <w:color w:val="000000" w:themeColor="text1"/>
          <w14:textFill>
            <w14:solidFill>
              <w14:schemeClr w14:val="tx1"/>
            </w14:solidFill>
          </w14:textFill>
        </w:rPr>
        <w:t>D</w:t>
      </w:r>
      <w:r>
        <w:rPr>
          <w:i/>
          <w:iCs/>
          <w:color w:val="000000" w:themeColor="text1"/>
          <w:vertAlign w:val="subscript"/>
          <w14:textFill>
            <w14:solidFill>
              <w14:schemeClr w14:val="tx1"/>
            </w14:solidFill>
          </w14:textFill>
        </w:rPr>
        <w:t>rel</w:t>
      </w:r>
      <w:r>
        <w:rPr>
          <w:color w:val="000000" w:themeColor="text1"/>
          <w14:textFill>
            <w14:solidFill>
              <w14:schemeClr w14:val="tx1"/>
            </w14:solidFill>
          </w14:textFill>
        </w:rPr>
        <w:t>——初始的烟团宽度，即源直径，m；</w:t>
      </w:r>
    </w:p>
    <w:p w14:paraId="48BB4E83">
      <w:pPr>
        <w:ind w:firstLine="480"/>
        <w:rPr>
          <w:color w:val="000000" w:themeColor="text1"/>
          <w14:textFill>
            <w14:solidFill>
              <w14:schemeClr w14:val="tx1"/>
            </w14:solidFill>
          </w14:textFill>
        </w:rPr>
      </w:pPr>
      <w:r>
        <w:rPr>
          <w:i/>
          <w:iCs/>
          <w:color w:val="000000" w:themeColor="text1"/>
          <w14:textFill>
            <w14:solidFill>
              <w14:schemeClr w14:val="tx1"/>
            </w14:solidFill>
          </w14:textFill>
        </w:rPr>
        <w:t>U</w:t>
      </w:r>
      <w:r>
        <w:rPr>
          <w:i/>
          <w:iCs/>
          <w:color w:val="000000" w:themeColor="text1"/>
          <w:vertAlign w:val="subscript"/>
          <w14:textFill>
            <w14:solidFill>
              <w14:schemeClr w14:val="tx1"/>
            </w14:solidFill>
          </w14:textFill>
        </w:rPr>
        <w:t>r</w:t>
      </w:r>
      <w:r>
        <w:rPr>
          <w:color w:val="000000" w:themeColor="text1"/>
          <w14:textFill>
            <w14:solidFill>
              <w14:schemeClr w14:val="tx1"/>
            </w14:solidFill>
          </w14:textFill>
        </w:rPr>
        <w:t>——10m高处风速，m/s</w:t>
      </w:r>
      <w:r>
        <w:rPr>
          <w:rFonts w:hint="eastAsia"/>
          <w:color w:val="000000" w:themeColor="text1"/>
          <w14:textFill>
            <w14:solidFill>
              <w14:schemeClr w14:val="tx1"/>
            </w14:solidFill>
          </w14:textFill>
        </w:rPr>
        <w:t>，取1.5</w:t>
      </w:r>
      <w:r>
        <w:rPr>
          <w:color w:val="000000" w:themeColor="text1"/>
          <w14:textFill>
            <w14:solidFill>
              <w14:schemeClr w14:val="tx1"/>
            </w14:solidFill>
          </w14:textFill>
        </w:rPr>
        <w:t>m/s。</w:t>
      </w:r>
    </w:p>
    <w:p w14:paraId="36ED2B72">
      <w:pPr>
        <w:ind w:firstLine="480"/>
        <w:rPr>
          <w:color w:val="000000" w:themeColor="text1"/>
          <w14:textFill>
            <w14:solidFill>
              <w14:schemeClr w14:val="tx1"/>
            </w14:solidFill>
          </w14:textFill>
        </w:rPr>
      </w:pPr>
      <w:r>
        <w:rPr>
          <w:color w:val="000000" w:themeColor="text1"/>
          <w14:textFill>
            <w14:solidFill>
              <w14:schemeClr w14:val="tx1"/>
            </w14:solidFill>
          </w14:textFill>
        </w:rPr>
        <w:t>判断连续排放还是瞬时排放，通过对比排放时间</w:t>
      </w:r>
      <w:r>
        <w:rPr>
          <w:i/>
          <w:iCs/>
          <w:color w:val="000000" w:themeColor="text1"/>
          <w14:textFill>
            <w14:solidFill>
              <w14:schemeClr w14:val="tx1"/>
            </w14:solidFill>
          </w14:textFill>
        </w:rPr>
        <w:t>T</w:t>
      </w:r>
      <w:r>
        <w:rPr>
          <w:i/>
          <w:iCs/>
          <w:color w:val="000000" w:themeColor="text1"/>
          <w:vertAlign w:val="subscript"/>
          <w14:textFill>
            <w14:solidFill>
              <w14:schemeClr w14:val="tx1"/>
            </w14:solidFill>
          </w14:textFill>
        </w:rPr>
        <w:t>d</w:t>
      </w:r>
      <w:r>
        <w:rPr>
          <w:iCs/>
          <w:color w:val="000000" w:themeColor="text1"/>
          <w14:textFill>
            <w14:solidFill>
              <w14:schemeClr w14:val="tx1"/>
            </w14:solidFill>
          </w14:textFill>
        </w:rPr>
        <w:t>（</w:t>
      </w:r>
      <w:r>
        <w:rPr>
          <w:rFonts w:hint="eastAsia"/>
          <w:iCs/>
          <w:color w:val="000000" w:themeColor="text1"/>
          <w14:textFill>
            <w14:solidFill>
              <w14:schemeClr w14:val="tx1"/>
            </w14:solidFill>
          </w14:textFill>
        </w:rPr>
        <w:t>5min</w:t>
      </w:r>
      <w:r>
        <w:rPr>
          <w:iCs/>
          <w:color w:val="000000" w:themeColor="text1"/>
          <w14:textFill>
            <w14:solidFill>
              <w14:schemeClr w14:val="tx1"/>
            </w14:solidFill>
          </w14:textFill>
        </w:rPr>
        <w:t>）</w:t>
      </w:r>
      <w:r>
        <w:rPr>
          <w:color w:val="000000" w:themeColor="text1"/>
          <w14:textFill>
            <w14:solidFill>
              <w14:schemeClr w14:val="tx1"/>
            </w14:solidFill>
          </w14:textFill>
        </w:rPr>
        <w:t>和污染物到达最近的受体点（网格点或敏感点）的时间T确定。</w:t>
      </w:r>
    </w:p>
    <w:p w14:paraId="32642C7F">
      <w:pPr>
        <w:ind w:firstLine="480"/>
        <w:jc w:val="center"/>
        <w:rPr>
          <w:color w:val="000000" w:themeColor="text1"/>
          <w14:textFill>
            <w14:solidFill>
              <w14:schemeClr w14:val="tx1"/>
            </w14:solidFill>
          </w14:textFill>
        </w:rPr>
      </w:pPr>
      <w:r>
        <w:rPr>
          <w:i/>
          <w:iCs/>
          <w:color w:val="000000" w:themeColor="text1"/>
          <w14:textFill>
            <w14:solidFill>
              <w14:schemeClr w14:val="tx1"/>
            </w14:solidFill>
          </w14:textFill>
        </w:rPr>
        <w:t>T</w:t>
      </w:r>
      <w:r>
        <w:rPr>
          <w:color w:val="000000" w:themeColor="text1"/>
          <w14:textFill>
            <w14:solidFill>
              <w14:schemeClr w14:val="tx1"/>
            </w14:solidFill>
          </w14:textFill>
        </w:rPr>
        <w:t>=2</w:t>
      </w:r>
      <w:r>
        <w:rPr>
          <w:i/>
          <w:iCs/>
          <w:color w:val="000000" w:themeColor="text1"/>
          <w14:textFill>
            <w14:solidFill>
              <w14:schemeClr w14:val="tx1"/>
            </w14:solidFill>
          </w14:textFill>
        </w:rPr>
        <w:t>X</w:t>
      </w:r>
      <w:r>
        <w:rPr>
          <w:color w:val="000000" w:themeColor="text1"/>
          <w14:textFill>
            <w14:solidFill>
              <w14:schemeClr w14:val="tx1"/>
            </w14:solidFill>
          </w14:textFill>
        </w:rPr>
        <w:t>/</w:t>
      </w:r>
      <w:r>
        <w:rPr>
          <w:i/>
          <w:iCs/>
          <w:color w:val="000000" w:themeColor="text1"/>
          <w14:textFill>
            <w14:solidFill>
              <w14:schemeClr w14:val="tx1"/>
            </w14:solidFill>
          </w14:textFill>
        </w:rPr>
        <w:t>U</w:t>
      </w:r>
      <w:r>
        <w:rPr>
          <w:i/>
          <w:iCs/>
          <w:color w:val="000000" w:themeColor="text1"/>
          <w:vertAlign w:val="subscript"/>
          <w14:textFill>
            <w14:solidFill>
              <w14:schemeClr w14:val="tx1"/>
            </w14:solidFill>
          </w14:textFill>
        </w:rPr>
        <w:t>r</w:t>
      </w:r>
    </w:p>
    <w:p w14:paraId="7205DC4F">
      <w:pPr>
        <w:ind w:firstLine="480"/>
        <w:rPr>
          <w:color w:val="000000" w:themeColor="text1"/>
          <w14:textFill>
            <w14:solidFill>
              <w14:schemeClr w14:val="tx1"/>
            </w14:solidFill>
          </w14:textFill>
        </w:rPr>
      </w:pPr>
      <w:r>
        <w:rPr>
          <w:i/>
          <w:iCs/>
          <w:color w:val="000000" w:themeColor="text1"/>
          <w14:textFill>
            <w14:solidFill>
              <w14:schemeClr w14:val="tx1"/>
            </w14:solidFill>
          </w14:textFill>
        </w:rPr>
        <w:t>X</w:t>
      </w:r>
      <w:r>
        <w:rPr>
          <w:color w:val="000000" w:themeColor="text1"/>
          <w14:textFill>
            <w14:solidFill>
              <w14:schemeClr w14:val="tx1"/>
            </w14:solidFill>
          </w14:textFill>
        </w:rPr>
        <w:t>——事故发生地点与计算点的距离，m；</w:t>
      </w:r>
    </w:p>
    <w:p w14:paraId="012176E8">
      <w:pPr>
        <w:ind w:firstLine="480"/>
        <w:rPr>
          <w:color w:val="000000" w:themeColor="text1"/>
          <w14:textFill>
            <w14:solidFill>
              <w14:schemeClr w14:val="tx1"/>
            </w14:solidFill>
          </w14:textFill>
        </w:rPr>
      </w:pPr>
      <w:r>
        <w:rPr>
          <w:i/>
          <w:iCs/>
          <w:color w:val="000000" w:themeColor="text1"/>
          <w14:textFill>
            <w14:solidFill>
              <w14:schemeClr w14:val="tx1"/>
            </w14:solidFill>
          </w14:textFill>
        </w:rPr>
        <w:t>U</w:t>
      </w:r>
      <w:r>
        <w:rPr>
          <w:i/>
          <w:iCs/>
          <w:color w:val="000000" w:themeColor="text1"/>
          <w:vertAlign w:val="subscript"/>
          <w14:textFill>
            <w14:solidFill>
              <w14:schemeClr w14:val="tx1"/>
            </w14:solidFill>
          </w14:textFill>
        </w:rPr>
        <w:t>r</w:t>
      </w:r>
      <w:r>
        <w:rPr>
          <w:color w:val="000000" w:themeColor="text1"/>
          <w14:textFill>
            <w14:solidFill>
              <w14:schemeClr w14:val="tx1"/>
            </w14:solidFill>
          </w14:textFill>
        </w:rPr>
        <w:t>——10m高处风速，m/s。假设风速和风向在T时间段内保持不变，按</w:t>
      </w:r>
      <w:r>
        <w:rPr>
          <w:rFonts w:hint="eastAsia"/>
          <w:color w:val="000000" w:themeColor="text1"/>
          <w14:textFill>
            <w14:solidFill>
              <w14:schemeClr w14:val="tx1"/>
            </w14:solidFill>
          </w14:textFill>
        </w:rPr>
        <w:t>导</w:t>
      </w:r>
      <w:r>
        <w:rPr>
          <w:color w:val="000000" w:themeColor="text1"/>
          <w14:textFill>
            <w14:solidFill>
              <w14:schemeClr w14:val="tx1"/>
            </w14:solidFill>
          </w14:textFill>
        </w:rPr>
        <w:t>则推荐最不利风速1.5m/s取值。</w:t>
      </w:r>
    </w:p>
    <w:p w14:paraId="02B5864B">
      <w:pPr>
        <w:ind w:firstLine="480"/>
        <w:rPr>
          <w:color w:val="000000" w:themeColor="text1"/>
          <w14:textFill>
            <w14:solidFill>
              <w14:schemeClr w14:val="tx1"/>
            </w14:solidFill>
          </w14:textFill>
        </w:rPr>
      </w:pPr>
      <w:r>
        <w:rPr>
          <w:color w:val="000000" w:themeColor="text1"/>
          <w14:textFill>
            <w14:solidFill>
              <w14:schemeClr w14:val="tx1"/>
            </w14:solidFill>
          </w14:textFill>
        </w:rPr>
        <w:t>当</w:t>
      </w:r>
      <w:r>
        <w:rPr>
          <w:i/>
          <w:iCs/>
          <w:color w:val="000000" w:themeColor="text1"/>
          <w14:textFill>
            <w14:solidFill>
              <w14:schemeClr w14:val="tx1"/>
            </w14:solidFill>
          </w14:textFill>
        </w:rPr>
        <w:t>T</w:t>
      </w:r>
      <w:r>
        <w:rPr>
          <w:i/>
          <w:iCs/>
          <w:color w:val="000000" w:themeColor="text1"/>
          <w:vertAlign w:val="subscript"/>
          <w14:textFill>
            <w14:solidFill>
              <w14:schemeClr w14:val="tx1"/>
            </w14:solidFill>
          </w14:textFill>
        </w:rPr>
        <w:t>d</w:t>
      </w:r>
      <w:r>
        <w:rPr>
          <w:color w:val="000000" w:themeColor="text1"/>
          <w14:textFill>
            <w14:solidFill>
              <w14:schemeClr w14:val="tx1"/>
            </w14:solidFill>
          </w14:textFill>
        </w:rPr>
        <w:t>&gt;</w:t>
      </w:r>
      <w:r>
        <w:rPr>
          <w:i/>
          <w:iCs/>
          <w:color w:val="000000" w:themeColor="text1"/>
          <w14:textFill>
            <w14:solidFill>
              <w14:schemeClr w14:val="tx1"/>
            </w14:solidFill>
          </w14:textFill>
        </w:rPr>
        <w:t>T</w:t>
      </w:r>
      <w:r>
        <w:rPr>
          <w:color w:val="000000" w:themeColor="text1"/>
          <w14:textFill>
            <w14:solidFill>
              <w14:schemeClr w14:val="tx1"/>
            </w14:solidFill>
          </w14:textFill>
        </w:rPr>
        <w:t>时，可被认为是连续排放；当</w:t>
      </w:r>
      <w:r>
        <w:rPr>
          <w:i/>
          <w:iCs/>
          <w:color w:val="000000" w:themeColor="text1"/>
          <w14:textFill>
            <w14:solidFill>
              <w14:schemeClr w14:val="tx1"/>
            </w14:solidFill>
          </w14:textFill>
        </w:rPr>
        <w:t>T</w:t>
      </w:r>
      <w:r>
        <w:rPr>
          <w:i/>
          <w:iCs/>
          <w:color w:val="000000" w:themeColor="text1"/>
          <w:vertAlign w:val="subscript"/>
          <w14:textFill>
            <w14:solidFill>
              <w14:schemeClr w14:val="tx1"/>
            </w14:solidFill>
          </w14:textFill>
        </w:rPr>
        <w:t>d</w:t>
      </w:r>
      <w:r>
        <w:rPr>
          <w:color w:val="000000" w:themeColor="text1"/>
          <w14:textFill>
            <w14:solidFill>
              <w14:schemeClr w14:val="tx1"/>
            </w14:solidFill>
          </w14:textFill>
        </w:rPr>
        <w:t>≤</w:t>
      </w:r>
      <w:r>
        <w:rPr>
          <w:i/>
          <w:iCs/>
          <w:color w:val="000000" w:themeColor="text1"/>
          <w14:textFill>
            <w14:solidFill>
              <w14:schemeClr w14:val="tx1"/>
            </w14:solidFill>
          </w14:textFill>
        </w:rPr>
        <w:t>T</w:t>
      </w:r>
      <w:r>
        <w:rPr>
          <w:color w:val="000000" w:themeColor="text1"/>
          <w14:textFill>
            <w14:solidFill>
              <w14:schemeClr w14:val="tx1"/>
            </w14:solidFill>
          </w14:textFill>
        </w:rPr>
        <w:t>时可被认为是瞬时排放。</w:t>
      </w:r>
    </w:p>
    <w:p w14:paraId="4060753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本项目距最近的敏感点淡水湾村1.9km，最不利气象条件风速为1.5m/s。</w:t>
      </w:r>
      <w:r>
        <w:rPr>
          <w:color w:val="000000" w:themeColor="text1"/>
          <w14:textFill>
            <w14:solidFill>
              <w14:schemeClr w14:val="tx1"/>
            </w14:solidFill>
          </w14:textFill>
        </w:rPr>
        <w:t>根据计算，T=</w:t>
      </w:r>
      <w:r>
        <w:rPr>
          <w:rFonts w:hint="eastAsia"/>
          <w:color w:val="000000" w:themeColor="text1"/>
          <w14:textFill>
            <w14:solidFill>
              <w14:schemeClr w14:val="tx1"/>
            </w14:solidFill>
          </w14:textFill>
        </w:rPr>
        <w:t>2533S</w:t>
      </w:r>
      <w:r>
        <w:rPr>
          <w:color w:val="000000" w:themeColor="text1"/>
          <w14:textFill>
            <w14:solidFill>
              <w14:schemeClr w14:val="tx1"/>
            </w14:solidFill>
          </w14:textFill>
        </w:rPr>
        <w:t>，大于源项分析的排放时间，因此排放形式认为是瞬时排放。</w:t>
      </w:r>
    </w:p>
    <w:p w14:paraId="0D3BFE7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气体性质判断标准为：对于连续排放，</w:t>
      </w:r>
      <w:r>
        <w:rPr>
          <w:rFonts w:hint="eastAsia"/>
          <w:i/>
          <w:iCs/>
          <w:color w:val="000000" w:themeColor="text1"/>
          <w14:textFill>
            <w14:solidFill>
              <w14:schemeClr w14:val="tx1"/>
            </w14:solidFill>
          </w14:textFill>
        </w:rPr>
        <w:t>R</w:t>
      </w:r>
      <w:r>
        <w:rPr>
          <w:rFonts w:hint="eastAsia"/>
          <w:i/>
          <w:iCs/>
          <w:color w:val="000000" w:themeColor="text1"/>
          <w:vertAlign w:val="subscript"/>
          <w14:textFill>
            <w14:solidFill>
              <w14:schemeClr w14:val="tx1"/>
            </w14:solidFill>
          </w14:textFill>
        </w:rPr>
        <w:t>i</w:t>
      </w:r>
      <w:r>
        <w:rPr>
          <w:rFonts w:hint="eastAsia"/>
          <w:color w:val="000000" w:themeColor="text1"/>
          <w14:textFill>
            <w14:solidFill>
              <w14:schemeClr w14:val="tx1"/>
            </w14:solidFill>
          </w14:textFill>
        </w:rPr>
        <w:t>≥1/6为重质气体，</w:t>
      </w:r>
      <w:r>
        <w:rPr>
          <w:rFonts w:hint="eastAsia"/>
          <w:i/>
          <w:iCs/>
          <w:color w:val="000000" w:themeColor="text1"/>
          <w14:textFill>
            <w14:solidFill>
              <w14:schemeClr w14:val="tx1"/>
            </w14:solidFill>
          </w14:textFill>
        </w:rPr>
        <w:t>R</w:t>
      </w:r>
      <w:r>
        <w:rPr>
          <w:rFonts w:hint="eastAsia"/>
          <w:i/>
          <w:iCs/>
          <w:color w:val="000000" w:themeColor="text1"/>
          <w:vertAlign w:val="subscript"/>
          <w14:textFill>
            <w14:solidFill>
              <w14:schemeClr w14:val="tx1"/>
            </w14:solidFill>
          </w14:textFill>
        </w:rPr>
        <w:t>i</w:t>
      </w:r>
      <w:r>
        <w:rPr>
          <w:rFonts w:hint="eastAsia"/>
          <w:color w:val="000000" w:themeColor="text1"/>
          <w14:textFill>
            <w14:solidFill>
              <w14:schemeClr w14:val="tx1"/>
            </w14:solidFill>
          </w14:textFill>
        </w:rPr>
        <w:t>&lt;1/6为轻质气体。当Rg处于临界值附近时，说明烟团/烟羽既不是典型的重质气体扩散，也不是典型的轻质气体扩散。可以进行敏感性分析，分别采用重质气体模型和轻质气体模型进行模拟，选取影响范围最大的结果。</w:t>
      </w:r>
    </w:p>
    <w:p w14:paraId="14031461">
      <w:pPr>
        <w:ind w:firstLine="480"/>
        <w:rPr>
          <w:color w:val="000000" w:themeColor="text1"/>
          <w14:textFill>
            <w14:solidFill>
              <w14:schemeClr w14:val="tx1"/>
            </w14:solidFill>
          </w14:textFill>
        </w:rPr>
      </w:pPr>
      <w:r>
        <w:rPr>
          <w:color w:val="000000" w:themeColor="text1"/>
          <w14:textFill>
            <w14:solidFill>
              <w14:schemeClr w14:val="tx1"/>
            </w14:solidFill>
          </w14:textFill>
        </w:rPr>
        <w:t>根据计算，本项目采用风险导则中推荐的预测模型如下表所示：</w:t>
      </w:r>
    </w:p>
    <w:p w14:paraId="41750D10">
      <w:pPr>
        <w:pStyle w:val="7"/>
        <w:rPr>
          <w:color w:val="000000" w:themeColor="text1"/>
          <w14:textFill>
            <w14:solidFill>
              <w14:schemeClr w14:val="tx1"/>
            </w14:solidFill>
          </w14:textFill>
        </w:rPr>
      </w:pPr>
      <w:r>
        <w:rPr>
          <w:color w:val="000000" w:themeColor="text1"/>
          <w14:textFill>
            <w14:solidFill>
              <w14:schemeClr w14:val="tx1"/>
            </w14:solidFill>
          </w14:textFill>
        </w:rPr>
        <w:t>大气风险预测模型主要参数表</w:t>
      </w:r>
    </w:p>
    <w:tbl>
      <w:tblPr>
        <w:tblStyle w:val="43"/>
        <w:tblW w:w="5092"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55"/>
        <w:gridCol w:w="859"/>
        <w:gridCol w:w="863"/>
        <w:gridCol w:w="647"/>
        <w:gridCol w:w="929"/>
        <w:gridCol w:w="4826"/>
      </w:tblGrid>
      <w:tr w14:paraId="5E489F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0" w:type="pct"/>
            <w:vAlign w:val="center"/>
          </w:tcPr>
          <w:p w14:paraId="28ABEBEA">
            <w:pPr>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区域</w:t>
            </w:r>
          </w:p>
        </w:tc>
        <w:tc>
          <w:tcPr>
            <w:tcW w:w="495" w:type="pct"/>
            <w:vAlign w:val="center"/>
          </w:tcPr>
          <w:p w14:paraId="54F70044">
            <w:pPr>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气体名称</w:t>
            </w:r>
          </w:p>
        </w:tc>
        <w:tc>
          <w:tcPr>
            <w:tcW w:w="497" w:type="pct"/>
            <w:vAlign w:val="center"/>
          </w:tcPr>
          <w:p w14:paraId="4BCE5DFD">
            <w:pPr>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排放形式</w:t>
            </w:r>
          </w:p>
        </w:tc>
        <w:tc>
          <w:tcPr>
            <w:tcW w:w="373" w:type="pct"/>
            <w:vAlign w:val="center"/>
          </w:tcPr>
          <w:p w14:paraId="5587790D">
            <w:pPr>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稳定度</w:t>
            </w:r>
          </w:p>
        </w:tc>
        <w:tc>
          <w:tcPr>
            <w:tcW w:w="535" w:type="pct"/>
            <w:vAlign w:val="center"/>
          </w:tcPr>
          <w:p w14:paraId="3B551431">
            <w:pPr>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风速（m/s）</w:t>
            </w:r>
          </w:p>
        </w:tc>
        <w:tc>
          <w:tcPr>
            <w:tcW w:w="2780" w:type="pct"/>
            <w:vAlign w:val="center"/>
          </w:tcPr>
          <w:p w14:paraId="1F04DC31">
            <w:pPr>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选取预测模型</w:t>
            </w:r>
          </w:p>
        </w:tc>
      </w:tr>
      <w:tr w14:paraId="2E4BD0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0" w:type="pct"/>
            <w:vMerge w:val="restart"/>
            <w:vAlign w:val="center"/>
          </w:tcPr>
          <w:p w14:paraId="7F755EA0">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码头</w:t>
            </w:r>
          </w:p>
        </w:tc>
        <w:tc>
          <w:tcPr>
            <w:tcW w:w="495" w:type="pct"/>
            <w:vAlign w:val="center"/>
          </w:tcPr>
          <w:p w14:paraId="5EF02D1E">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苯乙烯</w:t>
            </w:r>
          </w:p>
        </w:tc>
        <w:tc>
          <w:tcPr>
            <w:tcW w:w="497" w:type="pct"/>
            <w:vAlign w:val="center"/>
          </w:tcPr>
          <w:p w14:paraId="260A2977">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瞬时排放</w:t>
            </w:r>
          </w:p>
        </w:tc>
        <w:tc>
          <w:tcPr>
            <w:tcW w:w="373" w:type="pct"/>
            <w:vAlign w:val="center"/>
          </w:tcPr>
          <w:p w14:paraId="0BDE9D14">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F</w:t>
            </w:r>
          </w:p>
        </w:tc>
        <w:tc>
          <w:tcPr>
            <w:tcW w:w="535" w:type="pct"/>
            <w:vAlign w:val="center"/>
          </w:tcPr>
          <w:p w14:paraId="6034C0BD">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c>
          <w:tcPr>
            <w:tcW w:w="2780" w:type="pct"/>
            <w:vAlign w:val="center"/>
          </w:tcPr>
          <w:p w14:paraId="36DFB0A3">
            <w:pPr>
              <w:spacing w:line="240" w:lineRule="auto"/>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进行初步计算，烟团初始密度未大于空气密度，不计算理查德森数。扩散计算建议采用 AFTOX 模式。</w:t>
            </w:r>
          </w:p>
        </w:tc>
      </w:tr>
      <w:tr w14:paraId="32C5C7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0" w:type="pct"/>
            <w:vMerge w:val="continue"/>
            <w:vAlign w:val="center"/>
          </w:tcPr>
          <w:p w14:paraId="5DFDBF48">
            <w:pPr>
              <w:spacing w:line="240" w:lineRule="auto"/>
              <w:ind w:firstLine="0" w:firstLineChars="0"/>
              <w:jc w:val="center"/>
              <w:rPr>
                <w:color w:val="000000" w:themeColor="text1"/>
                <w:sz w:val="21"/>
                <w:szCs w:val="21"/>
                <w14:textFill>
                  <w14:solidFill>
                    <w14:schemeClr w14:val="tx1"/>
                  </w14:solidFill>
                </w14:textFill>
              </w:rPr>
            </w:pPr>
          </w:p>
        </w:tc>
        <w:tc>
          <w:tcPr>
            <w:tcW w:w="495" w:type="pct"/>
            <w:vAlign w:val="center"/>
          </w:tcPr>
          <w:p w14:paraId="4985B074">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发烟硫酸</w:t>
            </w:r>
          </w:p>
        </w:tc>
        <w:tc>
          <w:tcPr>
            <w:tcW w:w="497" w:type="pct"/>
            <w:vAlign w:val="center"/>
          </w:tcPr>
          <w:p w14:paraId="5ECA2906">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瞬时排放</w:t>
            </w:r>
          </w:p>
        </w:tc>
        <w:tc>
          <w:tcPr>
            <w:tcW w:w="373" w:type="pct"/>
            <w:vAlign w:val="center"/>
          </w:tcPr>
          <w:p w14:paraId="15124C1B">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F</w:t>
            </w:r>
          </w:p>
        </w:tc>
        <w:tc>
          <w:tcPr>
            <w:tcW w:w="535" w:type="pct"/>
            <w:vAlign w:val="center"/>
          </w:tcPr>
          <w:p w14:paraId="702D51F5">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c>
          <w:tcPr>
            <w:tcW w:w="2780" w:type="pct"/>
            <w:vAlign w:val="center"/>
          </w:tcPr>
          <w:p w14:paraId="5E38AA2E">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理查德森数 Ri = 1.420321E-04,Ri&lt;1/6，为轻质气体。扩散计算建议采用 AFTOX 模式。</w:t>
            </w:r>
          </w:p>
        </w:tc>
      </w:tr>
      <w:tr w14:paraId="1198B9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0" w:type="pct"/>
            <w:vMerge w:val="continue"/>
            <w:vAlign w:val="center"/>
          </w:tcPr>
          <w:p w14:paraId="6C8F995A">
            <w:pPr>
              <w:spacing w:line="240" w:lineRule="auto"/>
              <w:ind w:firstLine="0" w:firstLineChars="0"/>
              <w:jc w:val="center"/>
              <w:rPr>
                <w:color w:val="000000" w:themeColor="text1"/>
                <w:sz w:val="21"/>
                <w:szCs w:val="21"/>
                <w14:textFill>
                  <w14:solidFill>
                    <w14:schemeClr w14:val="tx1"/>
                  </w14:solidFill>
                </w14:textFill>
              </w:rPr>
            </w:pPr>
          </w:p>
        </w:tc>
        <w:tc>
          <w:tcPr>
            <w:tcW w:w="495" w:type="pct"/>
            <w:vAlign w:val="center"/>
          </w:tcPr>
          <w:p w14:paraId="08C79798">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CO</w:t>
            </w:r>
          </w:p>
        </w:tc>
        <w:tc>
          <w:tcPr>
            <w:tcW w:w="497" w:type="pct"/>
            <w:vAlign w:val="center"/>
          </w:tcPr>
          <w:p w14:paraId="594568F6">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瞬时排放</w:t>
            </w:r>
          </w:p>
        </w:tc>
        <w:tc>
          <w:tcPr>
            <w:tcW w:w="373" w:type="pct"/>
            <w:vAlign w:val="center"/>
          </w:tcPr>
          <w:p w14:paraId="768A39C6">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535" w:type="pct"/>
            <w:vAlign w:val="center"/>
          </w:tcPr>
          <w:p w14:paraId="649CD031">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780" w:type="pct"/>
            <w:vAlign w:val="center"/>
          </w:tcPr>
          <w:p w14:paraId="6973D603">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烟团初始密度未大于空气密度，不计算理查德森数。扩散计算建议采用 AFTOX 模式。</w:t>
            </w:r>
          </w:p>
        </w:tc>
      </w:tr>
    </w:tbl>
    <w:p w14:paraId="4D194FB3">
      <w:pPr>
        <w:ind w:firstLine="480"/>
        <w:rPr>
          <w:color w:val="000000" w:themeColor="text1"/>
          <w14:textFill>
            <w14:solidFill>
              <w14:schemeClr w14:val="tx1"/>
            </w14:solidFill>
          </w14:textFill>
        </w:rPr>
      </w:pPr>
      <w:r>
        <w:rPr>
          <w:color w:val="000000" w:themeColor="text1"/>
          <w14:textFill>
            <w14:solidFill>
              <w14:schemeClr w14:val="tx1"/>
            </w14:solidFill>
          </w14:textFill>
        </w:rPr>
        <w:t>根据《建设项目环境风险评价技术导则》（HJ169-2018）要求，二级评价需预测最不利气象条件。最不利气象条件取F类稳定度，1.5m/s风速，温度25℃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相对湿度50%。</w:t>
      </w:r>
    </w:p>
    <w:p w14:paraId="2F05888B">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苯乙烯、发烟硫酸</w:t>
      </w:r>
      <w:r>
        <w:rPr>
          <w:color w:val="000000" w:themeColor="text1"/>
          <w14:textFill>
            <w14:solidFill>
              <w14:schemeClr w14:val="tx1"/>
            </w14:solidFill>
          </w14:textFill>
        </w:rPr>
        <w:t>泄漏预测</w:t>
      </w:r>
    </w:p>
    <w:p w14:paraId="73D1F83A">
      <w:pPr>
        <w:pStyle w:val="120"/>
        <w:numPr>
          <w:ilvl w:val="0"/>
          <w:numId w:val="17"/>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预测参数</w:t>
      </w:r>
    </w:p>
    <w:p w14:paraId="5D796FF3">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苯乙烯、发烟硫酸</w:t>
      </w:r>
      <w:r>
        <w:rPr>
          <w:color w:val="000000" w:themeColor="text1"/>
          <w14:textFill>
            <w14:solidFill>
              <w14:schemeClr w14:val="tx1"/>
            </w14:solidFill>
          </w14:textFill>
        </w:rPr>
        <w:t>大气风险预测模型主要参数表</w:t>
      </w:r>
    </w:p>
    <w:tbl>
      <w:tblPr>
        <w:tblStyle w:val="43"/>
        <w:tblW w:w="5004"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00"/>
        <w:gridCol w:w="4181"/>
        <w:gridCol w:w="2548"/>
      </w:tblGrid>
      <w:tr w14:paraId="264035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0" w:hRule="atLeast"/>
          <w:tblHeader/>
          <w:jc w:val="center"/>
        </w:trPr>
        <w:tc>
          <w:tcPr>
            <w:tcW w:w="1055" w:type="pct"/>
            <w:vAlign w:val="center"/>
          </w:tcPr>
          <w:p w14:paraId="250EB1A5">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参数类型</w:t>
            </w:r>
          </w:p>
        </w:tc>
        <w:tc>
          <w:tcPr>
            <w:tcW w:w="2450" w:type="pct"/>
            <w:vAlign w:val="center"/>
          </w:tcPr>
          <w:p w14:paraId="211D3A09">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选项</w:t>
            </w:r>
          </w:p>
        </w:tc>
        <w:tc>
          <w:tcPr>
            <w:tcW w:w="1493" w:type="pct"/>
            <w:vAlign w:val="center"/>
          </w:tcPr>
          <w:p w14:paraId="76A970E9">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参数</w:t>
            </w:r>
          </w:p>
        </w:tc>
      </w:tr>
      <w:tr w14:paraId="3B08BB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restart"/>
            <w:vAlign w:val="center"/>
          </w:tcPr>
          <w:p w14:paraId="27F3451D">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基本情况</w:t>
            </w:r>
          </w:p>
        </w:tc>
        <w:tc>
          <w:tcPr>
            <w:tcW w:w="2450" w:type="pct"/>
            <w:vAlign w:val="center"/>
          </w:tcPr>
          <w:p w14:paraId="33AEBAB1">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事故源经度/(°)</w:t>
            </w:r>
          </w:p>
        </w:tc>
        <w:tc>
          <w:tcPr>
            <w:tcW w:w="1493" w:type="pct"/>
            <w:vAlign w:val="center"/>
          </w:tcPr>
          <w:p w14:paraId="3487B31B">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108.63076568</w:t>
            </w:r>
          </w:p>
        </w:tc>
      </w:tr>
      <w:tr w14:paraId="2192BB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591CB64C">
            <w:pPr>
              <w:spacing w:line="240" w:lineRule="auto"/>
              <w:ind w:firstLine="420"/>
              <w:jc w:val="center"/>
              <w:rPr>
                <w:color w:val="000000" w:themeColor="text1"/>
                <w:sz w:val="21"/>
                <w:szCs w:val="21"/>
                <w14:textFill>
                  <w14:solidFill>
                    <w14:schemeClr w14:val="tx1"/>
                  </w14:solidFill>
                </w14:textFill>
              </w:rPr>
            </w:pPr>
          </w:p>
        </w:tc>
        <w:tc>
          <w:tcPr>
            <w:tcW w:w="2450" w:type="pct"/>
            <w:vAlign w:val="center"/>
          </w:tcPr>
          <w:p w14:paraId="656D4ED8">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事故源纬度/(°)</w:t>
            </w:r>
          </w:p>
        </w:tc>
        <w:tc>
          <w:tcPr>
            <w:tcW w:w="1493" w:type="pct"/>
            <w:vAlign w:val="center"/>
          </w:tcPr>
          <w:p w14:paraId="53BAC176">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21.71193521</w:t>
            </w:r>
          </w:p>
        </w:tc>
      </w:tr>
      <w:tr w14:paraId="7AE543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055" w:type="pct"/>
            <w:vMerge w:val="continue"/>
            <w:vAlign w:val="center"/>
          </w:tcPr>
          <w:p w14:paraId="2F346C56">
            <w:pPr>
              <w:spacing w:line="240" w:lineRule="auto"/>
              <w:ind w:firstLine="420"/>
              <w:jc w:val="center"/>
              <w:rPr>
                <w:color w:val="000000" w:themeColor="text1"/>
                <w:sz w:val="21"/>
                <w:szCs w:val="21"/>
                <w14:textFill>
                  <w14:solidFill>
                    <w14:schemeClr w14:val="tx1"/>
                  </w14:solidFill>
                </w14:textFill>
              </w:rPr>
            </w:pPr>
          </w:p>
        </w:tc>
        <w:tc>
          <w:tcPr>
            <w:tcW w:w="2450" w:type="pct"/>
            <w:vAlign w:val="center"/>
          </w:tcPr>
          <w:p w14:paraId="1EA5F060">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事故源类型</w:t>
            </w:r>
          </w:p>
        </w:tc>
        <w:tc>
          <w:tcPr>
            <w:tcW w:w="1493" w:type="pct"/>
            <w:vAlign w:val="center"/>
          </w:tcPr>
          <w:p w14:paraId="558222A1">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泄漏、火灾</w:t>
            </w:r>
          </w:p>
        </w:tc>
      </w:tr>
      <w:tr w14:paraId="6C8161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restart"/>
            <w:vAlign w:val="center"/>
          </w:tcPr>
          <w:p w14:paraId="031453FF">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气象参数</w:t>
            </w:r>
          </w:p>
        </w:tc>
        <w:tc>
          <w:tcPr>
            <w:tcW w:w="2450" w:type="pct"/>
            <w:vAlign w:val="center"/>
          </w:tcPr>
          <w:p w14:paraId="043717AB">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气象条件类型</w:t>
            </w:r>
          </w:p>
        </w:tc>
        <w:tc>
          <w:tcPr>
            <w:tcW w:w="1493" w:type="pct"/>
            <w:vAlign w:val="center"/>
          </w:tcPr>
          <w:p w14:paraId="2A2FB5A8">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最不利气象</w:t>
            </w:r>
          </w:p>
        </w:tc>
      </w:tr>
      <w:tr w14:paraId="0C7AD0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7171D650">
            <w:pPr>
              <w:spacing w:line="240" w:lineRule="auto"/>
              <w:ind w:firstLine="420"/>
              <w:jc w:val="center"/>
              <w:rPr>
                <w:color w:val="000000" w:themeColor="text1"/>
                <w:sz w:val="21"/>
                <w:szCs w:val="21"/>
                <w14:textFill>
                  <w14:solidFill>
                    <w14:schemeClr w14:val="tx1"/>
                  </w14:solidFill>
                </w14:textFill>
              </w:rPr>
            </w:pPr>
          </w:p>
        </w:tc>
        <w:tc>
          <w:tcPr>
            <w:tcW w:w="2450" w:type="pct"/>
            <w:vAlign w:val="center"/>
          </w:tcPr>
          <w:p w14:paraId="6B8A7E5B">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风速/（m/s）</w:t>
            </w:r>
          </w:p>
        </w:tc>
        <w:tc>
          <w:tcPr>
            <w:tcW w:w="1493" w:type="pct"/>
            <w:vAlign w:val="center"/>
          </w:tcPr>
          <w:p w14:paraId="0CCCD450">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r>
      <w:tr w14:paraId="58D99C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055" w:type="pct"/>
            <w:vMerge w:val="continue"/>
            <w:vAlign w:val="center"/>
          </w:tcPr>
          <w:p w14:paraId="5F809085">
            <w:pPr>
              <w:spacing w:line="240" w:lineRule="auto"/>
              <w:ind w:firstLine="420"/>
              <w:jc w:val="center"/>
              <w:rPr>
                <w:color w:val="000000" w:themeColor="text1"/>
                <w:sz w:val="21"/>
                <w:szCs w:val="21"/>
                <w14:textFill>
                  <w14:solidFill>
                    <w14:schemeClr w14:val="tx1"/>
                  </w14:solidFill>
                </w14:textFill>
              </w:rPr>
            </w:pPr>
          </w:p>
        </w:tc>
        <w:tc>
          <w:tcPr>
            <w:tcW w:w="2450" w:type="pct"/>
            <w:vAlign w:val="center"/>
          </w:tcPr>
          <w:p w14:paraId="5561DEA5">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环境温度/C</w:t>
            </w:r>
          </w:p>
        </w:tc>
        <w:tc>
          <w:tcPr>
            <w:tcW w:w="1493" w:type="pct"/>
            <w:vAlign w:val="center"/>
          </w:tcPr>
          <w:p w14:paraId="09DAF0AA">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25</w:t>
            </w:r>
          </w:p>
        </w:tc>
      </w:tr>
      <w:tr w14:paraId="4E3CFB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55555B52">
            <w:pPr>
              <w:spacing w:line="240" w:lineRule="auto"/>
              <w:ind w:firstLine="420"/>
              <w:jc w:val="center"/>
              <w:rPr>
                <w:color w:val="000000" w:themeColor="text1"/>
                <w:sz w:val="21"/>
                <w:szCs w:val="21"/>
                <w14:textFill>
                  <w14:solidFill>
                    <w14:schemeClr w14:val="tx1"/>
                  </w14:solidFill>
                </w14:textFill>
              </w:rPr>
            </w:pPr>
          </w:p>
        </w:tc>
        <w:tc>
          <w:tcPr>
            <w:tcW w:w="2450" w:type="pct"/>
            <w:vAlign w:val="center"/>
          </w:tcPr>
          <w:p w14:paraId="740683B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相对湿度/%</w:t>
            </w:r>
          </w:p>
        </w:tc>
        <w:tc>
          <w:tcPr>
            <w:tcW w:w="1493" w:type="pct"/>
            <w:vAlign w:val="center"/>
          </w:tcPr>
          <w:p w14:paraId="1C475476">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w:t>
            </w:r>
          </w:p>
        </w:tc>
      </w:tr>
      <w:tr w14:paraId="3DCF1B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28088EB6">
            <w:pPr>
              <w:spacing w:line="240" w:lineRule="auto"/>
              <w:ind w:firstLine="420"/>
              <w:jc w:val="center"/>
              <w:rPr>
                <w:color w:val="000000" w:themeColor="text1"/>
                <w:sz w:val="21"/>
                <w:szCs w:val="21"/>
                <w14:textFill>
                  <w14:solidFill>
                    <w14:schemeClr w14:val="tx1"/>
                  </w14:solidFill>
                </w14:textFill>
              </w:rPr>
            </w:pPr>
          </w:p>
        </w:tc>
        <w:tc>
          <w:tcPr>
            <w:tcW w:w="2450" w:type="pct"/>
            <w:vAlign w:val="center"/>
          </w:tcPr>
          <w:p w14:paraId="408D03A8">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稳定度</w:t>
            </w:r>
          </w:p>
        </w:tc>
        <w:tc>
          <w:tcPr>
            <w:tcW w:w="1493" w:type="pct"/>
            <w:vAlign w:val="center"/>
          </w:tcPr>
          <w:p w14:paraId="5E1BB007">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F稳定度</w:t>
            </w:r>
          </w:p>
        </w:tc>
      </w:tr>
      <w:tr w14:paraId="57A2B6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055" w:type="pct"/>
            <w:vMerge w:val="restart"/>
            <w:vAlign w:val="center"/>
          </w:tcPr>
          <w:p w14:paraId="651C3D2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其他参数</w:t>
            </w:r>
          </w:p>
        </w:tc>
        <w:tc>
          <w:tcPr>
            <w:tcW w:w="2450" w:type="pct"/>
            <w:vAlign w:val="center"/>
          </w:tcPr>
          <w:p w14:paraId="3C3C2465">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地表粗糙度/m</w:t>
            </w:r>
          </w:p>
        </w:tc>
        <w:tc>
          <w:tcPr>
            <w:tcW w:w="1493" w:type="pct"/>
            <w:vAlign w:val="center"/>
          </w:tcPr>
          <w:p w14:paraId="47E52BBF">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0.3</w:t>
            </w:r>
          </w:p>
        </w:tc>
      </w:tr>
      <w:tr w14:paraId="47222A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3FD67AFB">
            <w:pPr>
              <w:spacing w:line="240" w:lineRule="auto"/>
              <w:ind w:firstLine="420"/>
              <w:jc w:val="center"/>
              <w:rPr>
                <w:color w:val="000000" w:themeColor="text1"/>
                <w:sz w:val="21"/>
                <w:szCs w:val="21"/>
                <w14:textFill>
                  <w14:solidFill>
                    <w14:schemeClr w14:val="tx1"/>
                  </w14:solidFill>
                </w14:textFill>
              </w:rPr>
            </w:pPr>
          </w:p>
        </w:tc>
        <w:tc>
          <w:tcPr>
            <w:tcW w:w="2450" w:type="pct"/>
            <w:vAlign w:val="center"/>
          </w:tcPr>
          <w:p w14:paraId="395EBA59">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是否考虑地形</w:t>
            </w:r>
          </w:p>
        </w:tc>
        <w:tc>
          <w:tcPr>
            <w:tcW w:w="1493" w:type="pct"/>
            <w:vAlign w:val="center"/>
          </w:tcPr>
          <w:p w14:paraId="3BB9BE15">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r>
      <w:tr w14:paraId="7E25D1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2" w:hRule="atLeast"/>
          <w:jc w:val="center"/>
        </w:trPr>
        <w:tc>
          <w:tcPr>
            <w:tcW w:w="1055" w:type="pct"/>
            <w:vMerge w:val="continue"/>
            <w:vAlign w:val="center"/>
          </w:tcPr>
          <w:p w14:paraId="00CC9C60">
            <w:pPr>
              <w:spacing w:line="240" w:lineRule="auto"/>
              <w:ind w:firstLine="420"/>
              <w:jc w:val="center"/>
              <w:rPr>
                <w:color w:val="000000" w:themeColor="text1"/>
                <w:sz w:val="21"/>
                <w:szCs w:val="21"/>
                <w14:textFill>
                  <w14:solidFill>
                    <w14:schemeClr w14:val="tx1"/>
                  </w14:solidFill>
                </w14:textFill>
              </w:rPr>
            </w:pPr>
          </w:p>
        </w:tc>
        <w:tc>
          <w:tcPr>
            <w:tcW w:w="2450" w:type="pct"/>
            <w:vAlign w:val="center"/>
          </w:tcPr>
          <w:p w14:paraId="63CE0A97">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地形数据精度</w:t>
            </w:r>
          </w:p>
        </w:tc>
        <w:tc>
          <w:tcPr>
            <w:tcW w:w="1493" w:type="pct"/>
            <w:vAlign w:val="center"/>
          </w:tcPr>
          <w:p w14:paraId="34B35CF1">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90</w:t>
            </w:r>
          </w:p>
        </w:tc>
      </w:tr>
    </w:tbl>
    <w:p w14:paraId="0CB63EEA">
      <w:pPr>
        <w:pStyle w:val="41"/>
        <w:ind w:firstLine="240"/>
        <w:rPr>
          <w:color w:val="000000" w:themeColor="text1"/>
          <w14:textFill>
            <w14:solidFill>
              <w14:schemeClr w14:val="tx1"/>
            </w14:solidFill>
          </w14:textFill>
        </w:rPr>
      </w:pPr>
    </w:p>
    <w:p w14:paraId="2F42A32A">
      <w:pPr>
        <w:pStyle w:val="42"/>
        <w:ind w:left="480" w:firstLine="480"/>
        <w:rPr>
          <w:color w:val="000000" w:themeColor="text1"/>
          <w14:textFill>
            <w14:solidFill>
              <w14:schemeClr w14:val="tx1"/>
            </w14:solidFill>
          </w14:textFill>
        </w:rPr>
      </w:pPr>
    </w:p>
    <w:p w14:paraId="48C758AE">
      <w:pPr>
        <w:pStyle w:val="7"/>
        <w:rPr>
          <w:color w:val="000000" w:themeColor="text1"/>
          <w14:textFill>
            <w14:solidFill>
              <w14:schemeClr w14:val="tx1"/>
            </w14:solidFill>
          </w14:textFill>
        </w:rPr>
      </w:pPr>
      <w:r>
        <w:rPr>
          <w:color w:val="000000" w:themeColor="text1"/>
          <w14:textFill>
            <w14:solidFill>
              <w14:schemeClr w14:val="tx1"/>
            </w14:solidFill>
          </w14:textFill>
        </w:rPr>
        <w:t>危险物质大气毒性终点浓度选取值</w:t>
      </w:r>
    </w:p>
    <w:tbl>
      <w:tblPr>
        <w:tblStyle w:val="43"/>
        <w:tblW w:w="4934"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54"/>
        <w:gridCol w:w="2020"/>
        <w:gridCol w:w="2533"/>
        <w:gridCol w:w="2503"/>
      </w:tblGrid>
      <w:tr w14:paraId="750800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5" w:type="pct"/>
            <w:vAlign w:val="center"/>
          </w:tcPr>
          <w:p w14:paraId="5D2814FB">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污染物</w:t>
            </w:r>
          </w:p>
        </w:tc>
        <w:tc>
          <w:tcPr>
            <w:tcW w:w="1201" w:type="pct"/>
            <w:vAlign w:val="center"/>
          </w:tcPr>
          <w:p w14:paraId="0E741978">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相对蒸</w:t>
            </w:r>
            <w:r>
              <w:rPr>
                <w:rFonts w:hint="eastAsia"/>
                <w:b/>
                <w:color w:val="000000" w:themeColor="text1"/>
                <w:sz w:val="21"/>
                <w:szCs w:val="21"/>
                <w14:textFill>
                  <w14:solidFill>
                    <w14:schemeClr w14:val="tx1"/>
                  </w14:solidFill>
                </w14:textFill>
              </w:rPr>
              <w:t>气</w:t>
            </w:r>
            <w:r>
              <w:rPr>
                <w:b/>
                <w:color w:val="000000" w:themeColor="text1"/>
                <w:sz w:val="21"/>
                <w:szCs w:val="21"/>
                <w14:textFill>
                  <w14:solidFill>
                    <w14:schemeClr w14:val="tx1"/>
                  </w14:solidFill>
                </w14:textFill>
              </w:rPr>
              <w:t>密度（kg/m</w:t>
            </w:r>
            <w:r>
              <w:rPr>
                <w:b/>
                <w:color w:val="000000" w:themeColor="text1"/>
                <w:sz w:val="21"/>
                <w:szCs w:val="21"/>
                <w:vertAlign w:val="superscript"/>
                <w14:textFill>
                  <w14:solidFill>
                    <w14:schemeClr w14:val="tx1"/>
                  </w14:solidFill>
                </w14:textFill>
              </w:rPr>
              <w:t>3</w:t>
            </w:r>
            <w:r>
              <w:rPr>
                <w:b/>
                <w:color w:val="000000" w:themeColor="text1"/>
                <w:sz w:val="21"/>
                <w:szCs w:val="21"/>
                <w14:textFill>
                  <w14:solidFill>
                    <w14:schemeClr w14:val="tx1"/>
                  </w14:solidFill>
                </w14:textFill>
              </w:rPr>
              <w:t>）</w:t>
            </w:r>
          </w:p>
        </w:tc>
        <w:tc>
          <w:tcPr>
            <w:tcW w:w="1506" w:type="pct"/>
            <w:vAlign w:val="center"/>
          </w:tcPr>
          <w:p w14:paraId="580B6476">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毒性终点浓度-1（mg/m</w:t>
            </w:r>
            <w:r>
              <w:rPr>
                <w:b/>
                <w:color w:val="000000" w:themeColor="text1"/>
                <w:sz w:val="21"/>
                <w:szCs w:val="21"/>
                <w:vertAlign w:val="superscript"/>
                <w14:textFill>
                  <w14:solidFill>
                    <w14:schemeClr w14:val="tx1"/>
                  </w14:solidFill>
                </w14:textFill>
              </w:rPr>
              <w:t>3</w:t>
            </w:r>
            <w:r>
              <w:rPr>
                <w:b/>
                <w:color w:val="000000" w:themeColor="text1"/>
                <w:sz w:val="21"/>
                <w:szCs w:val="21"/>
                <w14:textFill>
                  <w14:solidFill>
                    <w14:schemeClr w14:val="tx1"/>
                  </w14:solidFill>
                </w14:textFill>
              </w:rPr>
              <w:t>）</w:t>
            </w:r>
          </w:p>
        </w:tc>
        <w:tc>
          <w:tcPr>
            <w:tcW w:w="1488" w:type="pct"/>
            <w:vAlign w:val="center"/>
          </w:tcPr>
          <w:p w14:paraId="048EC048">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毒性终点浓度-2（mg/m</w:t>
            </w:r>
            <w:r>
              <w:rPr>
                <w:b/>
                <w:color w:val="000000" w:themeColor="text1"/>
                <w:sz w:val="21"/>
                <w:szCs w:val="21"/>
                <w:vertAlign w:val="superscript"/>
                <w14:textFill>
                  <w14:solidFill>
                    <w14:schemeClr w14:val="tx1"/>
                  </w14:solidFill>
                </w14:textFill>
              </w:rPr>
              <w:t>3</w:t>
            </w:r>
            <w:r>
              <w:rPr>
                <w:b/>
                <w:color w:val="000000" w:themeColor="text1"/>
                <w:sz w:val="21"/>
                <w:szCs w:val="21"/>
                <w14:textFill>
                  <w14:solidFill>
                    <w14:schemeClr w14:val="tx1"/>
                  </w14:solidFill>
                </w14:textFill>
              </w:rPr>
              <w:t>）</w:t>
            </w:r>
          </w:p>
        </w:tc>
      </w:tr>
      <w:tr w14:paraId="7F17EA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5" w:type="pct"/>
            <w:vAlign w:val="center"/>
          </w:tcPr>
          <w:p w14:paraId="6290FF27">
            <w:pPr>
              <w:spacing w:line="240" w:lineRule="auto"/>
              <w:ind w:firstLine="0" w:firstLineChars="0"/>
              <w:jc w:val="center"/>
              <w:rPr>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苯乙烯</w:t>
            </w:r>
          </w:p>
        </w:tc>
        <w:tc>
          <w:tcPr>
            <w:tcW w:w="1201" w:type="pct"/>
            <w:vAlign w:val="center"/>
          </w:tcPr>
          <w:p w14:paraId="3F0E2763">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3.6</w:t>
            </w:r>
          </w:p>
        </w:tc>
        <w:tc>
          <w:tcPr>
            <w:tcW w:w="1506" w:type="pct"/>
            <w:vAlign w:val="center"/>
          </w:tcPr>
          <w:p w14:paraId="0B0C05EA">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47000</w:t>
            </w:r>
          </w:p>
        </w:tc>
        <w:tc>
          <w:tcPr>
            <w:tcW w:w="1488" w:type="pct"/>
            <w:vAlign w:val="center"/>
          </w:tcPr>
          <w:p w14:paraId="2DD76C90">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550</w:t>
            </w:r>
          </w:p>
        </w:tc>
      </w:tr>
      <w:tr w14:paraId="5EF56F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5" w:type="pct"/>
            <w:vAlign w:val="center"/>
          </w:tcPr>
          <w:p w14:paraId="1A05AEBD">
            <w:pPr>
              <w:spacing w:line="240" w:lineRule="auto"/>
              <w:ind w:firstLine="0" w:firstLineChars="0"/>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发烟硫酸</w:t>
            </w:r>
          </w:p>
        </w:tc>
        <w:tc>
          <w:tcPr>
            <w:tcW w:w="1201" w:type="pct"/>
            <w:vAlign w:val="center"/>
          </w:tcPr>
          <w:p w14:paraId="27C36F68">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w:t>
            </w:r>
          </w:p>
        </w:tc>
        <w:tc>
          <w:tcPr>
            <w:tcW w:w="1506" w:type="pct"/>
            <w:vAlign w:val="center"/>
          </w:tcPr>
          <w:p w14:paraId="16B858B4">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160</w:t>
            </w:r>
          </w:p>
        </w:tc>
        <w:tc>
          <w:tcPr>
            <w:tcW w:w="1488" w:type="pct"/>
            <w:vAlign w:val="center"/>
          </w:tcPr>
          <w:p w14:paraId="144F21C7">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8.7</w:t>
            </w:r>
          </w:p>
        </w:tc>
      </w:tr>
    </w:tbl>
    <w:p w14:paraId="1B8C3B6D">
      <w:pPr>
        <w:pStyle w:val="41"/>
        <w:ind w:firstLine="48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2、预测结果</w:t>
      </w:r>
    </w:p>
    <w:p w14:paraId="4CF1368C">
      <w:pPr>
        <w:ind w:firstLine="482"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rFonts w:hint="eastAsia"/>
          <w:bCs/>
          <w:color w:val="000000" w:themeColor="text1"/>
          <w14:textFill>
            <w14:solidFill>
              <w14:schemeClr w14:val="tx1"/>
            </w14:solidFill>
          </w14:textFill>
        </w:rPr>
        <w:t>苯乙烯</w:t>
      </w:r>
      <w:r>
        <w:rPr>
          <w:rFonts w:hint="eastAsia"/>
          <w:color w:val="000000" w:themeColor="text1"/>
          <w14:textFill>
            <w14:solidFill>
              <w14:schemeClr w14:val="tx1"/>
            </w14:solidFill>
          </w14:textFill>
        </w:rPr>
        <w:t>泄漏时，在377.6m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围油坎内形成液池后，</w:t>
      </w:r>
      <w:r>
        <w:rPr>
          <w:rFonts w:hint="eastAsia"/>
          <w:bCs/>
          <w:color w:val="000000" w:themeColor="text1"/>
          <w14:textFill>
            <w14:solidFill>
              <w14:schemeClr w14:val="tx1"/>
            </w14:solidFill>
          </w14:textFill>
        </w:rPr>
        <w:t>苯乙烯</w:t>
      </w:r>
      <w:r>
        <w:rPr>
          <w:rFonts w:hint="eastAsia"/>
          <w:color w:val="000000" w:themeColor="text1"/>
          <w14:textFill>
            <w14:solidFill>
              <w14:schemeClr w14:val="tx1"/>
            </w14:solidFill>
          </w14:textFill>
        </w:rPr>
        <w:t>在最不利气象条件下（F类稳定度，1.5m/s风速，温度25℃，相对湿度50%）的蒸发速率为</w:t>
      </w:r>
      <w:r>
        <w:rPr>
          <w:rFonts w:hint="eastAsia" w:eastAsiaTheme="minorEastAsia"/>
          <w:color w:val="000000" w:themeColor="text1"/>
          <w14:textFill>
            <w14:solidFill>
              <w14:schemeClr w14:val="tx1"/>
            </w14:solidFill>
          </w14:textFill>
        </w:rPr>
        <w:t>0.0158</w:t>
      </w:r>
      <w:r>
        <w:rPr>
          <w:rFonts w:hint="eastAsia"/>
          <w:color w:val="000000" w:themeColor="text1"/>
          <w14:textFill>
            <w14:solidFill>
              <w14:schemeClr w14:val="tx1"/>
            </w14:solidFill>
          </w14:textFill>
        </w:rPr>
        <w:t>kg/s。</w:t>
      </w:r>
    </w:p>
    <w:p w14:paraId="1438073E">
      <w:pPr>
        <w:ind w:firstLine="482"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rFonts w:hint="eastAsia"/>
          <w:bCs/>
          <w:color w:val="000000" w:themeColor="text1"/>
          <w14:textFill>
            <w14:solidFill>
              <w14:schemeClr w14:val="tx1"/>
            </w14:solidFill>
          </w14:textFill>
        </w:rPr>
        <w:t>发烟硫酸</w:t>
      </w:r>
      <w:r>
        <w:rPr>
          <w:rFonts w:hint="eastAsia"/>
          <w:color w:val="000000" w:themeColor="text1"/>
          <w14:textFill>
            <w14:solidFill>
              <w14:schemeClr w14:val="tx1"/>
            </w14:solidFill>
          </w14:textFill>
        </w:rPr>
        <w:t>泄漏时，在377.6m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围油坎内形成液池后，</w:t>
      </w:r>
      <w:r>
        <w:rPr>
          <w:rFonts w:hint="eastAsia"/>
          <w:bCs/>
          <w:color w:val="000000" w:themeColor="text1"/>
          <w14:textFill>
            <w14:solidFill>
              <w14:schemeClr w14:val="tx1"/>
            </w14:solidFill>
          </w14:textFill>
        </w:rPr>
        <w:t>发烟硫酸</w:t>
      </w:r>
      <w:r>
        <w:rPr>
          <w:rFonts w:hint="eastAsia"/>
          <w:color w:val="000000" w:themeColor="text1"/>
          <w14:textFill>
            <w14:solidFill>
              <w14:schemeClr w14:val="tx1"/>
            </w14:solidFill>
          </w14:textFill>
        </w:rPr>
        <w:t>在最不利气象条件下（F类稳定度，1.5m/s风速，温度25℃，相对湿度50%）的蒸发速率为</w:t>
      </w:r>
      <w:r>
        <w:rPr>
          <w:rFonts w:hint="eastAsia" w:eastAsiaTheme="minorEastAsia"/>
          <w:color w:val="000000" w:themeColor="text1"/>
          <w14:textFill>
            <w14:solidFill>
              <w14:schemeClr w14:val="tx1"/>
            </w14:solidFill>
          </w14:textFill>
        </w:rPr>
        <w:t>0.0149</w:t>
      </w:r>
      <w:r>
        <w:rPr>
          <w:rFonts w:hint="eastAsia"/>
          <w:color w:val="000000" w:themeColor="text1"/>
          <w14:textFill>
            <w14:solidFill>
              <w14:schemeClr w14:val="tx1"/>
            </w14:solidFill>
          </w14:textFill>
        </w:rPr>
        <w:t>kg/s。</w:t>
      </w:r>
    </w:p>
    <w:p w14:paraId="6BE512F2">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下风向不同距离苯乙烯的最大浓度</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341"/>
        <w:gridCol w:w="2812"/>
        <w:gridCol w:w="3369"/>
      </w:tblGrid>
      <w:tr w14:paraId="5D22EE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2341" w:type="dxa"/>
            <w:vAlign w:val="center"/>
          </w:tcPr>
          <w:p w14:paraId="41085536">
            <w:pPr>
              <w:spacing w:line="240" w:lineRule="atLeast"/>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下风向距离（m）</w:t>
            </w:r>
          </w:p>
        </w:tc>
        <w:tc>
          <w:tcPr>
            <w:tcW w:w="2812" w:type="dxa"/>
            <w:vAlign w:val="center"/>
          </w:tcPr>
          <w:p w14:paraId="4645BF68">
            <w:pPr>
              <w:spacing w:line="240" w:lineRule="atLeast"/>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浓度出现时间（min）</w:t>
            </w:r>
          </w:p>
        </w:tc>
        <w:tc>
          <w:tcPr>
            <w:tcW w:w="3369" w:type="dxa"/>
            <w:vAlign w:val="center"/>
          </w:tcPr>
          <w:p w14:paraId="2F976A20">
            <w:pPr>
              <w:spacing w:line="240" w:lineRule="atLeast"/>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下风向高峰浓度（mg/m</w:t>
            </w:r>
            <w:r>
              <w:rPr>
                <w:b/>
                <w:color w:val="000000" w:themeColor="text1"/>
                <w:kern w:val="0"/>
                <w:sz w:val="21"/>
                <w:szCs w:val="21"/>
                <w:vertAlign w:val="superscript"/>
                <w14:textFill>
                  <w14:solidFill>
                    <w14:schemeClr w14:val="tx1"/>
                  </w14:solidFill>
                </w14:textFill>
              </w:rPr>
              <w:t>3</w:t>
            </w:r>
            <w:r>
              <w:rPr>
                <w:b/>
                <w:color w:val="000000" w:themeColor="text1"/>
                <w:kern w:val="0"/>
                <w:sz w:val="21"/>
                <w:szCs w:val="21"/>
                <w14:textFill>
                  <w14:solidFill>
                    <w14:schemeClr w14:val="tx1"/>
                  </w14:solidFill>
                </w14:textFill>
              </w:rPr>
              <w:t>）</w:t>
            </w:r>
          </w:p>
        </w:tc>
      </w:tr>
      <w:tr w14:paraId="3D00CF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12" w:space="0"/>
              <w:left w:val="single" w:color="auto" w:sz="12" w:space="0"/>
              <w:bottom w:val="single" w:color="auto" w:sz="6" w:space="0"/>
              <w:right w:val="single" w:color="auto" w:sz="6" w:space="0"/>
            </w:tcBorders>
            <w:shd w:val="clear" w:color="000000" w:fill="FFFFFF"/>
            <w:vAlign w:val="center"/>
          </w:tcPr>
          <w:p w14:paraId="0269C1BC">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2812" w:type="dxa"/>
            <w:tcBorders>
              <w:top w:val="single" w:color="auto" w:sz="12" w:space="0"/>
              <w:left w:val="single" w:color="auto" w:sz="6" w:space="0"/>
              <w:bottom w:val="single" w:color="auto" w:sz="6" w:space="0"/>
              <w:right w:val="single" w:color="auto" w:sz="6" w:space="0"/>
            </w:tcBorders>
            <w:shd w:val="clear" w:color="000000" w:fill="FFFFFF"/>
            <w:vAlign w:val="center"/>
          </w:tcPr>
          <w:p w14:paraId="24CE285B">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0.08 </w:t>
            </w:r>
          </w:p>
        </w:tc>
        <w:tc>
          <w:tcPr>
            <w:tcW w:w="3369" w:type="dxa"/>
            <w:tcBorders>
              <w:top w:val="single" w:color="auto" w:sz="12" w:space="0"/>
              <w:left w:val="single" w:color="auto" w:sz="6" w:space="0"/>
              <w:bottom w:val="single" w:color="auto" w:sz="6" w:space="0"/>
              <w:right w:val="single" w:color="auto" w:sz="12" w:space="0"/>
            </w:tcBorders>
            <w:shd w:val="clear" w:color="000000" w:fill="FFFFFF"/>
            <w:vAlign w:val="center"/>
          </w:tcPr>
          <w:p w14:paraId="6CF250F0">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0.00 </w:t>
            </w:r>
          </w:p>
        </w:tc>
      </w:tr>
      <w:tr w14:paraId="6D1423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7B98E14A">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2DBE107C">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0.17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2E33435A">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1.18 </w:t>
            </w:r>
          </w:p>
        </w:tc>
      </w:tr>
      <w:tr w14:paraId="30684F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7F8FAAC2">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3AD5F86D">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0.42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1A5F67EE">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69.70 </w:t>
            </w:r>
          </w:p>
        </w:tc>
      </w:tr>
      <w:tr w14:paraId="538AA0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13A04A73">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6C9867B6">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0.83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624C817A">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76.03 </w:t>
            </w:r>
          </w:p>
        </w:tc>
      </w:tr>
      <w:tr w14:paraId="033909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46112841">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3236CD35">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1.25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4124AEC1">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59.69 </w:t>
            </w:r>
          </w:p>
        </w:tc>
      </w:tr>
      <w:tr w14:paraId="488D95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540B22D4">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7F43DFF4">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1.67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22751F70">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46.86 </w:t>
            </w:r>
          </w:p>
        </w:tc>
      </w:tr>
      <w:tr w14:paraId="5E4147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09CED488">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0C51D819">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2.08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5C707A89">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37.26 </w:t>
            </w:r>
          </w:p>
        </w:tc>
      </w:tr>
      <w:tr w14:paraId="7E0CCD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70EF7025">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69BDC306">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2.50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3F1172EF">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30.13 </w:t>
            </w:r>
          </w:p>
        </w:tc>
      </w:tr>
      <w:tr w14:paraId="280255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652390C1">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6890C84B">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2.92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3218C24C">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24.80 </w:t>
            </w:r>
          </w:p>
        </w:tc>
      </w:tr>
      <w:tr w14:paraId="1937B9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60A2BD5F">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445AB483">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3.33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6B019988">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20.75 </w:t>
            </w:r>
          </w:p>
        </w:tc>
      </w:tr>
      <w:tr w14:paraId="0C7E1C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7EAAC00B">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450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16F7A80E">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3.75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7C0F7EEF">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17.62 </w:t>
            </w:r>
          </w:p>
        </w:tc>
      </w:tr>
      <w:tr w14:paraId="36D85B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47E35BA1">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590AB1B2">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4.17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3432E58E">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15.15 </w:t>
            </w:r>
          </w:p>
        </w:tc>
      </w:tr>
      <w:tr w14:paraId="2501D2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096C2EA3">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550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51F1D441">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4.58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6D5623A3">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13.18 </w:t>
            </w:r>
          </w:p>
        </w:tc>
      </w:tr>
      <w:tr w14:paraId="4C11D4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21DF47BD">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5A495EBB">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5.00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6304AB8E">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11.57 </w:t>
            </w:r>
          </w:p>
        </w:tc>
      </w:tr>
      <w:tr w14:paraId="1FD3C3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31E0206A">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800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421FD203">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6.67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33415ED1">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7.44 </w:t>
            </w:r>
          </w:p>
        </w:tc>
      </w:tr>
      <w:tr w14:paraId="5D0CF3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12" w:space="0"/>
              <w:right w:val="single" w:color="auto" w:sz="6" w:space="0"/>
            </w:tcBorders>
            <w:shd w:val="clear" w:color="000000" w:fill="FFFFFF"/>
            <w:vAlign w:val="center"/>
          </w:tcPr>
          <w:p w14:paraId="24BC3B24">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1000</w:t>
            </w:r>
          </w:p>
        </w:tc>
        <w:tc>
          <w:tcPr>
            <w:tcW w:w="2812" w:type="dxa"/>
            <w:tcBorders>
              <w:top w:val="single" w:color="auto" w:sz="6" w:space="0"/>
              <w:left w:val="single" w:color="auto" w:sz="6" w:space="0"/>
              <w:bottom w:val="single" w:color="auto" w:sz="12" w:space="0"/>
              <w:right w:val="single" w:color="auto" w:sz="6" w:space="0"/>
            </w:tcBorders>
            <w:shd w:val="clear" w:color="000000" w:fill="FFFFFF"/>
            <w:vAlign w:val="center"/>
          </w:tcPr>
          <w:p w14:paraId="35389E7A">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8.33 </w:t>
            </w:r>
          </w:p>
        </w:tc>
        <w:tc>
          <w:tcPr>
            <w:tcW w:w="3369" w:type="dxa"/>
            <w:tcBorders>
              <w:top w:val="single" w:color="auto" w:sz="6" w:space="0"/>
              <w:left w:val="single" w:color="auto" w:sz="6" w:space="0"/>
              <w:bottom w:val="single" w:color="auto" w:sz="12" w:space="0"/>
              <w:right w:val="single" w:color="auto" w:sz="12" w:space="0"/>
            </w:tcBorders>
            <w:shd w:val="clear" w:color="000000" w:fill="FFFFFF"/>
            <w:vAlign w:val="center"/>
          </w:tcPr>
          <w:p w14:paraId="1D686A92">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5.23 </w:t>
            </w:r>
          </w:p>
        </w:tc>
      </w:tr>
    </w:tbl>
    <w:p w14:paraId="692730E2">
      <w:pPr>
        <w:pStyle w:val="41"/>
        <w:ind w:firstLine="240"/>
        <w:rPr>
          <w:color w:val="000000" w:themeColor="text1"/>
          <w14:textFill>
            <w14:solidFill>
              <w14:schemeClr w14:val="tx1"/>
            </w14:solidFill>
          </w14:textFill>
        </w:rPr>
      </w:pPr>
    </w:p>
    <w:p w14:paraId="64B009E1">
      <w:pPr>
        <w:pStyle w:val="42"/>
        <w:ind w:left="480" w:firstLine="480"/>
        <w:rPr>
          <w:color w:val="000000" w:themeColor="text1"/>
          <w14:textFill>
            <w14:solidFill>
              <w14:schemeClr w14:val="tx1"/>
            </w14:solidFill>
          </w14:textFill>
        </w:rPr>
      </w:pPr>
    </w:p>
    <w:p w14:paraId="17E08D9F">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苯乙烯泄漏超出阈值的范围</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226"/>
        <w:gridCol w:w="2700"/>
        <w:gridCol w:w="2596"/>
      </w:tblGrid>
      <w:tr w14:paraId="4C9439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28" w:type="dxa"/>
            <w:vMerge w:val="restart"/>
            <w:vAlign w:val="center"/>
          </w:tcPr>
          <w:p w14:paraId="29D0F7BD">
            <w:pPr>
              <w:pStyle w:val="128"/>
              <w:widowControl w:val="0"/>
              <w:adjustRightInd w:val="0"/>
              <w:snapToGrid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超过大气毒性终点浓度-1</w:t>
            </w:r>
          </w:p>
        </w:tc>
        <w:tc>
          <w:tcPr>
            <w:tcW w:w="2702" w:type="dxa"/>
            <w:vAlign w:val="center"/>
          </w:tcPr>
          <w:p w14:paraId="6578FB72">
            <w:pPr>
              <w:pStyle w:val="128"/>
              <w:widowControl w:val="0"/>
              <w:adjustRightInd w:val="0"/>
              <w:snapToGrid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阈值（mg/m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tc>
        <w:tc>
          <w:tcPr>
            <w:tcW w:w="2598" w:type="dxa"/>
            <w:vAlign w:val="center"/>
          </w:tcPr>
          <w:p w14:paraId="6D0646D6">
            <w:pPr>
              <w:pStyle w:val="128"/>
              <w:widowControl w:val="0"/>
              <w:adjustRightInd w:val="0"/>
              <w:snapToGrid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4700</w:t>
            </w:r>
          </w:p>
        </w:tc>
      </w:tr>
      <w:tr w14:paraId="567420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28" w:type="dxa"/>
            <w:vMerge w:val="continue"/>
            <w:vAlign w:val="center"/>
          </w:tcPr>
          <w:p w14:paraId="665CDE62">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p>
        </w:tc>
        <w:tc>
          <w:tcPr>
            <w:tcW w:w="2702" w:type="dxa"/>
            <w:vAlign w:val="center"/>
          </w:tcPr>
          <w:p w14:paraId="0E87735C">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最大</w:t>
            </w:r>
            <w:r>
              <w:rPr>
                <w:rFonts w:hint="eastAsia" w:ascii="Times New Roman" w:hAnsi="Times New Roman" w:cs="Times New Roman"/>
                <w:color w:val="000000" w:themeColor="text1"/>
                <w14:textFill>
                  <w14:solidFill>
                    <w14:schemeClr w14:val="tx1"/>
                  </w14:solidFill>
                </w14:textFill>
              </w:rPr>
              <w:t>影响距离</w:t>
            </w:r>
            <w:r>
              <w:rPr>
                <w:rFonts w:ascii="Times New Roman" w:hAnsi="Times New Roman" w:cs="Times New Roman"/>
                <w:color w:val="000000" w:themeColor="text1"/>
                <w14:textFill>
                  <w14:solidFill>
                    <w14:schemeClr w14:val="tx1"/>
                  </w14:solidFill>
                </w14:textFill>
              </w:rPr>
              <w:t>（m）</w:t>
            </w:r>
          </w:p>
        </w:tc>
        <w:tc>
          <w:tcPr>
            <w:tcW w:w="2598" w:type="dxa"/>
            <w:vAlign w:val="center"/>
          </w:tcPr>
          <w:p w14:paraId="56550B25">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0</w:t>
            </w:r>
          </w:p>
        </w:tc>
      </w:tr>
      <w:tr w14:paraId="2D5485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28" w:type="dxa"/>
            <w:vMerge w:val="continue"/>
            <w:vAlign w:val="center"/>
          </w:tcPr>
          <w:p w14:paraId="7E294D0E">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p>
        </w:tc>
        <w:tc>
          <w:tcPr>
            <w:tcW w:w="2702" w:type="dxa"/>
            <w:vAlign w:val="center"/>
          </w:tcPr>
          <w:p w14:paraId="40929A1A">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影响范围（m</w:t>
            </w:r>
            <w:r>
              <w:rPr>
                <w:rFonts w:hint="eastAsia"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tc>
        <w:tc>
          <w:tcPr>
            <w:tcW w:w="2598" w:type="dxa"/>
            <w:vAlign w:val="center"/>
          </w:tcPr>
          <w:p w14:paraId="52557CB3">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0</w:t>
            </w:r>
          </w:p>
        </w:tc>
      </w:tr>
      <w:tr w14:paraId="20F4BB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28" w:type="dxa"/>
            <w:vMerge w:val="restart"/>
            <w:vAlign w:val="center"/>
          </w:tcPr>
          <w:p w14:paraId="0D835222">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超过大气毒性终点浓度-2</w:t>
            </w:r>
          </w:p>
        </w:tc>
        <w:tc>
          <w:tcPr>
            <w:tcW w:w="2702" w:type="dxa"/>
            <w:vAlign w:val="center"/>
          </w:tcPr>
          <w:p w14:paraId="2B8A3AEA">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阈值（mg/m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tc>
        <w:tc>
          <w:tcPr>
            <w:tcW w:w="2598" w:type="dxa"/>
            <w:vAlign w:val="center"/>
          </w:tcPr>
          <w:p w14:paraId="7736711D">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550</w:t>
            </w:r>
          </w:p>
        </w:tc>
      </w:tr>
      <w:tr w14:paraId="47D747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28" w:type="dxa"/>
            <w:vMerge w:val="continue"/>
            <w:vAlign w:val="center"/>
          </w:tcPr>
          <w:p w14:paraId="25E06741">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p>
        </w:tc>
        <w:tc>
          <w:tcPr>
            <w:tcW w:w="2702" w:type="dxa"/>
            <w:vAlign w:val="center"/>
          </w:tcPr>
          <w:p w14:paraId="7B06950E">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最大</w:t>
            </w:r>
            <w:r>
              <w:rPr>
                <w:rFonts w:hint="eastAsia" w:ascii="Times New Roman" w:hAnsi="Times New Roman" w:cs="Times New Roman"/>
                <w:color w:val="000000" w:themeColor="text1"/>
                <w14:textFill>
                  <w14:solidFill>
                    <w14:schemeClr w14:val="tx1"/>
                  </w14:solidFill>
                </w14:textFill>
              </w:rPr>
              <w:t>影响距离</w:t>
            </w:r>
            <w:r>
              <w:rPr>
                <w:rFonts w:ascii="Times New Roman" w:hAnsi="Times New Roman" w:cs="Times New Roman"/>
                <w:color w:val="000000" w:themeColor="text1"/>
                <w14:textFill>
                  <w14:solidFill>
                    <w14:schemeClr w14:val="tx1"/>
                  </w14:solidFill>
                </w14:textFill>
              </w:rPr>
              <w:t>（m）</w:t>
            </w:r>
          </w:p>
        </w:tc>
        <w:tc>
          <w:tcPr>
            <w:tcW w:w="2598" w:type="dxa"/>
            <w:vAlign w:val="center"/>
          </w:tcPr>
          <w:p w14:paraId="5EA830C2">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0</w:t>
            </w:r>
          </w:p>
        </w:tc>
      </w:tr>
      <w:tr w14:paraId="4DFDCF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28" w:type="dxa"/>
            <w:vMerge w:val="continue"/>
            <w:vAlign w:val="center"/>
          </w:tcPr>
          <w:p w14:paraId="1320ED2C">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p>
        </w:tc>
        <w:tc>
          <w:tcPr>
            <w:tcW w:w="2702" w:type="dxa"/>
            <w:vAlign w:val="center"/>
          </w:tcPr>
          <w:p w14:paraId="77E41514">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影响范围（</w:t>
            </w:r>
            <w:r>
              <w:rPr>
                <w:rFonts w:hint="eastAsia" w:ascii="Times New Roman" w:hAnsi="Times New Roman" w:cs="Times New Roman"/>
                <w:color w:val="000000" w:themeColor="text1"/>
                <w14:textFill>
                  <w14:solidFill>
                    <w14:schemeClr w14:val="tx1"/>
                  </w14:solidFill>
                </w14:textFill>
              </w:rPr>
              <w:t>h</w:t>
            </w:r>
            <w:r>
              <w:rPr>
                <w:rFonts w:ascii="Times New Roman" w:hAnsi="Times New Roman" w:cs="Times New Roman"/>
                <w:color w:val="000000" w:themeColor="text1"/>
                <w14:textFill>
                  <w14:solidFill>
                    <w14:schemeClr w14:val="tx1"/>
                  </w14:solidFill>
                </w14:textFill>
              </w:rPr>
              <w:t>m</w:t>
            </w:r>
            <w:r>
              <w:rPr>
                <w:rFonts w:hint="eastAsia"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tc>
        <w:tc>
          <w:tcPr>
            <w:tcW w:w="2598" w:type="dxa"/>
            <w:vAlign w:val="center"/>
          </w:tcPr>
          <w:p w14:paraId="5820D092">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0</w:t>
            </w:r>
          </w:p>
        </w:tc>
      </w:tr>
    </w:tbl>
    <w:p w14:paraId="3018B897">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下风向不同距离发烟硫酸的最大浓度</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341"/>
        <w:gridCol w:w="2812"/>
        <w:gridCol w:w="3369"/>
      </w:tblGrid>
      <w:tr w14:paraId="5982C2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2341" w:type="dxa"/>
            <w:vAlign w:val="center"/>
          </w:tcPr>
          <w:p w14:paraId="0143EB68">
            <w:pPr>
              <w:spacing w:line="240" w:lineRule="atLeast"/>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下风向距离（m）</w:t>
            </w:r>
          </w:p>
        </w:tc>
        <w:tc>
          <w:tcPr>
            <w:tcW w:w="2812" w:type="dxa"/>
            <w:vAlign w:val="center"/>
          </w:tcPr>
          <w:p w14:paraId="4E58EE25">
            <w:pPr>
              <w:spacing w:line="240" w:lineRule="atLeast"/>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浓度出现时间（min）</w:t>
            </w:r>
          </w:p>
        </w:tc>
        <w:tc>
          <w:tcPr>
            <w:tcW w:w="3369" w:type="dxa"/>
            <w:vAlign w:val="center"/>
          </w:tcPr>
          <w:p w14:paraId="7A529101">
            <w:pPr>
              <w:spacing w:line="240" w:lineRule="atLeast"/>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下风向高峰浓度（mg/m</w:t>
            </w:r>
            <w:r>
              <w:rPr>
                <w:b/>
                <w:color w:val="000000" w:themeColor="text1"/>
                <w:kern w:val="0"/>
                <w:sz w:val="21"/>
                <w:szCs w:val="21"/>
                <w:vertAlign w:val="superscript"/>
                <w14:textFill>
                  <w14:solidFill>
                    <w14:schemeClr w14:val="tx1"/>
                  </w14:solidFill>
                </w14:textFill>
              </w:rPr>
              <w:t>3</w:t>
            </w:r>
            <w:r>
              <w:rPr>
                <w:b/>
                <w:color w:val="000000" w:themeColor="text1"/>
                <w:kern w:val="0"/>
                <w:sz w:val="21"/>
                <w:szCs w:val="21"/>
                <w14:textFill>
                  <w14:solidFill>
                    <w14:schemeClr w14:val="tx1"/>
                  </w14:solidFill>
                </w14:textFill>
              </w:rPr>
              <w:t>）</w:t>
            </w:r>
          </w:p>
        </w:tc>
      </w:tr>
      <w:tr w14:paraId="63716D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475BDB84">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2812" w:type="dxa"/>
            <w:shd w:val="clear" w:color="000000" w:fill="FFFFFF"/>
            <w:vAlign w:val="center"/>
          </w:tcPr>
          <w:p w14:paraId="3E6F0BE9">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0.08 </w:t>
            </w:r>
          </w:p>
        </w:tc>
        <w:tc>
          <w:tcPr>
            <w:tcW w:w="3369" w:type="dxa"/>
            <w:shd w:val="clear" w:color="000000" w:fill="FFFFFF"/>
            <w:vAlign w:val="center"/>
          </w:tcPr>
          <w:p w14:paraId="60F7F6F9">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0.73 </w:t>
            </w:r>
          </w:p>
        </w:tc>
      </w:tr>
      <w:tr w14:paraId="55689D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615DF760">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c>
          <w:tcPr>
            <w:tcW w:w="2812" w:type="dxa"/>
            <w:shd w:val="clear" w:color="000000" w:fill="FFFFFF"/>
            <w:vAlign w:val="center"/>
          </w:tcPr>
          <w:p w14:paraId="094C84FB">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0.17 </w:t>
            </w:r>
          </w:p>
        </w:tc>
        <w:tc>
          <w:tcPr>
            <w:tcW w:w="3369" w:type="dxa"/>
            <w:shd w:val="clear" w:color="000000" w:fill="FFFFFF"/>
            <w:vAlign w:val="center"/>
          </w:tcPr>
          <w:p w14:paraId="0CA4EB34">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143.35 </w:t>
            </w:r>
          </w:p>
        </w:tc>
      </w:tr>
      <w:tr w14:paraId="236C77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5A90DCE1">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w:t>
            </w:r>
          </w:p>
        </w:tc>
        <w:tc>
          <w:tcPr>
            <w:tcW w:w="2812" w:type="dxa"/>
            <w:shd w:val="clear" w:color="000000" w:fill="FFFFFF"/>
            <w:vAlign w:val="center"/>
          </w:tcPr>
          <w:p w14:paraId="6255D6E7">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0.42 </w:t>
            </w:r>
          </w:p>
        </w:tc>
        <w:tc>
          <w:tcPr>
            <w:tcW w:w="3369" w:type="dxa"/>
            <w:shd w:val="clear" w:color="000000" w:fill="FFFFFF"/>
            <w:vAlign w:val="center"/>
          </w:tcPr>
          <w:p w14:paraId="5BF4F120">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634.50 </w:t>
            </w:r>
          </w:p>
        </w:tc>
      </w:tr>
      <w:tr w14:paraId="73D04A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0FB2D366">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2812" w:type="dxa"/>
            <w:shd w:val="clear" w:color="000000" w:fill="FFFFFF"/>
            <w:vAlign w:val="center"/>
          </w:tcPr>
          <w:p w14:paraId="33D3684B">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0.83 </w:t>
            </w:r>
          </w:p>
        </w:tc>
        <w:tc>
          <w:tcPr>
            <w:tcW w:w="3369" w:type="dxa"/>
            <w:shd w:val="clear" w:color="000000" w:fill="FFFFFF"/>
            <w:vAlign w:val="center"/>
          </w:tcPr>
          <w:p w14:paraId="37FE284A">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208.87 </w:t>
            </w:r>
          </w:p>
        </w:tc>
      </w:tr>
      <w:tr w14:paraId="52C213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6244AD0D">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150</w:t>
            </w:r>
          </w:p>
        </w:tc>
        <w:tc>
          <w:tcPr>
            <w:tcW w:w="2812" w:type="dxa"/>
            <w:shd w:val="clear" w:color="000000" w:fill="FFFFFF"/>
            <w:vAlign w:val="center"/>
          </w:tcPr>
          <w:p w14:paraId="6D80249C">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1.25 </w:t>
            </w:r>
          </w:p>
        </w:tc>
        <w:tc>
          <w:tcPr>
            <w:tcW w:w="3369" w:type="dxa"/>
            <w:shd w:val="clear" w:color="000000" w:fill="FFFFFF"/>
            <w:vAlign w:val="center"/>
          </w:tcPr>
          <w:p w14:paraId="2A2B7071">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102.56 </w:t>
            </w:r>
          </w:p>
        </w:tc>
      </w:tr>
      <w:tr w14:paraId="49F5D0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21796402">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w:t>
            </w:r>
          </w:p>
        </w:tc>
        <w:tc>
          <w:tcPr>
            <w:tcW w:w="2812" w:type="dxa"/>
            <w:shd w:val="clear" w:color="000000" w:fill="FFFFFF"/>
            <w:vAlign w:val="center"/>
          </w:tcPr>
          <w:p w14:paraId="482A552C">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1.67 </w:t>
            </w:r>
          </w:p>
        </w:tc>
        <w:tc>
          <w:tcPr>
            <w:tcW w:w="3369" w:type="dxa"/>
            <w:shd w:val="clear" w:color="000000" w:fill="FFFFFF"/>
            <w:vAlign w:val="center"/>
          </w:tcPr>
          <w:p w14:paraId="0EA027E3">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61.27 </w:t>
            </w:r>
          </w:p>
        </w:tc>
      </w:tr>
      <w:tr w14:paraId="70A691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25963603">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250</w:t>
            </w:r>
          </w:p>
        </w:tc>
        <w:tc>
          <w:tcPr>
            <w:tcW w:w="2812" w:type="dxa"/>
            <w:shd w:val="clear" w:color="000000" w:fill="FFFFFF"/>
            <w:vAlign w:val="center"/>
          </w:tcPr>
          <w:p w14:paraId="2EB25F31">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2.08 </w:t>
            </w:r>
          </w:p>
        </w:tc>
        <w:tc>
          <w:tcPr>
            <w:tcW w:w="3369" w:type="dxa"/>
            <w:shd w:val="clear" w:color="000000" w:fill="FFFFFF"/>
            <w:vAlign w:val="center"/>
          </w:tcPr>
          <w:p w14:paraId="69853496">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40.90 </w:t>
            </w:r>
          </w:p>
        </w:tc>
      </w:tr>
      <w:tr w14:paraId="090A69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6BECA9D8">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2812" w:type="dxa"/>
            <w:shd w:val="clear" w:color="000000" w:fill="FFFFFF"/>
            <w:vAlign w:val="center"/>
          </w:tcPr>
          <w:p w14:paraId="58AC3E43">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2.50 </w:t>
            </w:r>
          </w:p>
        </w:tc>
        <w:tc>
          <w:tcPr>
            <w:tcW w:w="3369" w:type="dxa"/>
            <w:shd w:val="clear" w:color="000000" w:fill="FFFFFF"/>
            <w:vAlign w:val="center"/>
          </w:tcPr>
          <w:p w14:paraId="431E08A4">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29.37 </w:t>
            </w:r>
          </w:p>
        </w:tc>
      </w:tr>
      <w:tr w14:paraId="11E709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4EB5023A">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350</w:t>
            </w:r>
          </w:p>
        </w:tc>
        <w:tc>
          <w:tcPr>
            <w:tcW w:w="2812" w:type="dxa"/>
            <w:shd w:val="clear" w:color="000000" w:fill="FFFFFF"/>
            <w:vAlign w:val="center"/>
          </w:tcPr>
          <w:p w14:paraId="1CADA52F">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2.92 </w:t>
            </w:r>
          </w:p>
        </w:tc>
        <w:tc>
          <w:tcPr>
            <w:tcW w:w="3369" w:type="dxa"/>
            <w:shd w:val="clear" w:color="000000" w:fill="FFFFFF"/>
            <w:vAlign w:val="center"/>
          </w:tcPr>
          <w:p w14:paraId="4696989D">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22.20 </w:t>
            </w:r>
          </w:p>
        </w:tc>
      </w:tr>
      <w:tr w14:paraId="15032C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3B8FDAEF">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400</w:t>
            </w:r>
          </w:p>
        </w:tc>
        <w:tc>
          <w:tcPr>
            <w:tcW w:w="2812" w:type="dxa"/>
            <w:shd w:val="clear" w:color="000000" w:fill="FFFFFF"/>
            <w:vAlign w:val="center"/>
          </w:tcPr>
          <w:p w14:paraId="529F1D5E">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3.33 </w:t>
            </w:r>
          </w:p>
        </w:tc>
        <w:tc>
          <w:tcPr>
            <w:tcW w:w="3369" w:type="dxa"/>
            <w:shd w:val="clear" w:color="000000" w:fill="FFFFFF"/>
            <w:vAlign w:val="center"/>
          </w:tcPr>
          <w:p w14:paraId="7F3189A5">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17.41 </w:t>
            </w:r>
          </w:p>
        </w:tc>
      </w:tr>
      <w:tr w14:paraId="5C2DB05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4D6CCF01">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450</w:t>
            </w:r>
          </w:p>
        </w:tc>
        <w:tc>
          <w:tcPr>
            <w:tcW w:w="2812" w:type="dxa"/>
            <w:shd w:val="clear" w:color="000000" w:fill="FFFFFF"/>
            <w:vAlign w:val="center"/>
          </w:tcPr>
          <w:p w14:paraId="113BD7F0">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3.75 </w:t>
            </w:r>
          </w:p>
        </w:tc>
        <w:tc>
          <w:tcPr>
            <w:tcW w:w="3369" w:type="dxa"/>
            <w:shd w:val="clear" w:color="000000" w:fill="FFFFFF"/>
            <w:vAlign w:val="center"/>
          </w:tcPr>
          <w:p w14:paraId="1519157A">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14.02 </w:t>
            </w:r>
          </w:p>
        </w:tc>
      </w:tr>
      <w:tr w14:paraId="6E33C5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673A79D6">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500</w:t>
            </w:r>
          </w:p>
        </w:tc>
        <w:tc>
          <w:tcPr>
            <w:tcW w:w="2812" w:type="dxa"/>
            <w:shd w:val="clear" w:color="000000" w:fill="FFFFFF"/>
            <w:vAlign w:val="center"/>
          </w:tcPr>
          <w:p w14:paraId="4108F898">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4.17 </w:t>
            </w:r>
          </w:p>
        </w:tc>
        <w:tc>
          <w:tcPr>
            <w:tcW w:w="3369" w:type="dxa"/>
            <w:shd w:val="clear" w:color="000000" w:fill="FFFFFF"/>
            <w:vAlign w:val="center"/>
          </w:tcPr>
          <w:p w14:paraId="41B716CC">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11.53 </w:t>
            </w:r>
          </w:p>
        </w:tc>
      </w:tr>
      <w:tr w14:paraId="57D64E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4224001F">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600</w:t>
            </w:r>
          </w:p>
        </w:tc>
        <w:tc>
          <w:tcPr>
            <w:tcW w:w="2812" w:type="dxa"/>
            <w:shd w:val="clear" w:color="000000" w:fill="FFFFFF"/>
            <w:vAlign w:val="center"/>
          </w:tcPr>
          <w:p w14:paraId="6089ECD8">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5.00 </w:t>
            </w:r>
          </w:p>
        </w:tc>
        <w:tc>
          <w:tcPr>
            <w:tcW w:w="3369" w:type="dxa"/>
            <w:shd w:val="clear" w:color="000000" w:fill="FFFFFF"/>
            <w:vAlign w:val="center"/>
          </w:tcPr>
          <w:p w14:paraId="7C5125A2">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8.15 </w:t>
            </w:r>
          </w:p>
        </w:tc>
      </w:tr>
      <w:tr w14:paraId="292925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46EF6E8D">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800</w:t>
            </w:r>
          </w:p>
        </w:tc>
        <w:tc>
          <w:tcPr>
            <w:tcW w:w="2812" w:type="dxa"/>
            <w:shd w:val="clear" w:color="000000" w:fill="FFFFFF"/>
            <w:vAlign w:val="center"/>
          </w:tcPr>
          <w:p w14:paraId="0588BA8F">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6.67 </w:t>
            </w:r>
          </w:p>
        </w:tc>
        <w:tc>
          <w:tcPr>
            <w:tcW w:w="3369" w:type="dxa"/>
            <w:shd w:val="clear" w:color="000000" w:fill="FFFFFF"/>
            <w:vAlign w:val="center"/>
          </w:tcPr>
          <w:p w14:paraId="49662A68">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4.56 </w:t>
            </w:r>
          </w:p>
        </w:tc>
      </w:tr>
      <w:tr w14:paraId="213F34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645B4464">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1000</w:t>
            </w:r>
          </w:p>
        </w:tc>
        <w:tc>
          <w:tcPr>
            <w:tcW w:w="2812" w:type="dxa"/>
            <w:shd w:val="clear" w:color="000000" w:fill="FFFFFF"/>
            <w:vAlign w:val="center"/>
          </w:tcPr>
          <w:p w14:paraId="4C3FBF84">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8.33 </w:t>
            </w:r>
          </w:p>
        </w:tc>
        <w:tc>
          <w:tcPr>
            <w:tcW w:w="3369" w:type="dxa"/>
            <w:shd w:val="clear" w:color="000000" w:fill="FFFFFF"/>
            <w:vAlign w:val="center"/>
          </w:tcPr>
          <w:p w14:paraId="127A6F2D">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2.82 </w:t>
            </w:r>
          </w:p>
        </w:tc>
      </w:tr>
      <w:tr w14:paraId="5AFD93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523E0779">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5000</w:t>
            </w:r>
          </w:p>
        </w:tc>
        <w:tc>
          <w:tcPr>
            <w:tcW w:w="2812" w:type="dxa"/>
            <w:shd w:val="clear" w:color="000000" w:fill="FFFFFF"/>
            <w:vAlign w:val="center"/>
          </w:tcPr>
          <w:p w14:paraId="2787A28B">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41.67 </w:t>
            </w:r>
          </w:p>
        </w:tc>
        <w:tc>
          <w:tcPr>
            <w:tcW w:w="3369" w:type="dxa"/>
            <w:shd w:val="clear" w:color="000000" w:fill="FFFFFF"/>
            <w:vAlign w:val="center"/>
          </w:tcPr>
          <w:p w14:paraId="406CCA05">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0.09 </w:t>
            </w:r>
          </w:p>
        </w:tc>
      </w:tr>
    </w:tbl>
    <w:p w14:paraId="3ABA3AF4">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发烟硫酸泄漏超出阈值的范围</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226"/>
        <w:gridCol w:w="2700"/>
        <w:gridCol w:w="2596"/>
      </w:tblGrid>
      <w:tr w14:paraId="164254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28" w:type="dxa"/>
            <w:vMerge w:val="restart"/>
            <w:vAlign w:val="center"/>
          </w:tcPr>
          <w:p w14:paraId="5A701930">
            <w:pPr>
              <w:pStyle w:val="128"/>
              <w:widowControl w:val="0"/>
              <w:adjustRightInd w:val="0"/>
              <w:snapToGrid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超过大气毒性终点浓度-1</w:t>
            </w:r>
          </w:p>
        </w:tc>
        <w:tc>
          <w:tcPr>
            <w:tcW w:w="2702" w:type="dxa"/>
            <w:vAlign w:val="center"/>
          </w:tcPr>
          <w:p w14:paraId="2D756E5D">
            <w:pPr>
              <w:pStyle w:val="128"/>
              <w:widowControl w:val="0"/>
              <w:adjustRightInd w:val="0"/>
              <w:snapToGrid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阈值（mg/m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tc>
        <w:tc>
          <w:tcPr>
            <w:tcW w:w="2598" w:type="dxa"/>
            <w:vAlign w:val="center"/>
          </w:tcPr>
          <w:p w14:paraId="0364F300">
            <w:pPr>
              <w:pStyle w:val="128"/>
              <w:widowControl w:val="0"/>
              <w:adjustRightInd w:val="0"/>
              <w:snapToGrid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160</w:t>
            </w:r>
          </w:p>
        </w:tc>
      </w:tr>
      <w:tr w14:paraId="21B5A0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28" w:type="dxa"/>
            <w:vMerge w:val="continue"/>
            <w:vAlign w:val="center"/>
          </w:tcPr>
          <w:p w14:paraId="0A8F7FF8">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p>
        </w:tc>
        <w:tc>
          <w:tcPr>
            <w:tcW w:w="2702" w:type="dxa"/>
            <w:vAlign w:val="center"/>
          </w:tcPr>
          <w:p w14:paraId="20880138">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最大</w:t>
            </w:r>
            <w:r>
              <w:rPr>
                <w:rFonts w:hint="eastAsia" w:ascii="Times New Roman" w:hAnsi="Times New Roman" w:cs="Times New Roman"/>
                <w:color w:val="000000" w:themeColor="text1"/>
                <w14:textFill>
                  <w14:solidFill>
                    <w14:schemeClr w14:val="tx1"/>
                  </w14:solidFill>
                </w14:textFill>
              </w:rPr>
              <w:t>影响距离</w:t>
            </w:r>
            <w:r>
              <w:rPr>
                <w:rFonts w:ascii="Times New Roman" w:hAnsi="Times New Roman" w:cs="Times New Roman"/>
                <w:color w:val="000000" w:themeColor="text1"/>
                <w14:textFill>
                  <w14:solidFill>
                    <w14:schemeClr w14:val="tx1"/>
                  </w14:solidFill>
                </w14:textFill>
              </w:rPr>
              <w:t>（m）</w:t>
            </w:r>
          </w:p>
        </w:tc>
        <w:tc>
          <w:tcPr>
            <w:tcW w:w="2598" w:type="dxa"/>
            <w:vAlign w:val="center"/>
          </w:tcPr>
          <w:p w14:paraId="58371F6A">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4</w:t>
            </w:r>
          </w:p>
        </w:tc>
      </w:tr>
      <w:tr w14:paraId="09B0D3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28" w:type="dxa"/>
            <w:vMerge w:val="continue"/>
            <w:vAlign w:val="center"/>
          </w:tcPr>
          <w:p w14:paraId="5595CB59">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p>
        </w:tc>
        <w:tc>
          <w:tcPr>
            <w:tcW w:w="2702" w:type="dxa"/>
            <w:vAlign w:val="center"/>
          </w:tcPr>
          <w:p w14:paraId="319E6738">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影响范围（m</w:t>
            </w:r>
            <w:r>
              <w:rPr>
                <w:rFonts w:hint="eastAsia"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tc>
        <w:tc>
          <w:tcPr>
            <w:tcW w:w="2598" w:type="dxa"/>
            <w:vAlign w:val="center"/>
          </w:tcPr>
          <w:p w14:paraId="0623179C">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0.02</w:t>
            </w:r>
          </w:p>
        </w:tc>
      </w:tr>
      <w:tr w14:paraId="7F433D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28" w:type="dxa"/>
            <w:vMerge w:val="restart"/>
            <w:vAlign w:val="center"/>
          </w:tcPr>
          <w:p w14:paraId="1ED09BA3">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超过大气毒性终点浓度-2</w:t>
            </w:r>
          </w:p>
        </w:tc>
        <w:tc>
          <w:tcPr>
            <w:tcW w:w="2702" w:type="dxa"/>
            <w:vAlign w:val="center"/>
          </w:tcPr>
          <w:p w14:paraId="3FE5F08D">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阈值（mg/m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tc>
        <w:tc>
          <w:tcPr>
            <w:tcW w:w="2598" w:type="dxa"/>
            <w:vAlign w:val="center"/>
          </w:tcPr>
          <w:p w14:paraId="2DAE798D">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8.7</w:t>
            </w:r>
          </w:p>
        </w:tc>
      </w:tr>
      <w:tr w14:paraId="4A4060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28" w:type="dxa"/>
            <w:vMerge w:val="continue"/>
            <w:vAlign w:val="center"/>
          </w:tcPr>
          <w:p w14:paraId="17469CF6">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p>
        </w:tc>
        <w:tc>
          <w:tcPr>
            <w:tcW w:w="2702" w:type="dxa"/>
            <w:vAlign w:val="center"/>
          </w:tcPr>
          <w:p w14:paraId="5B0424FD">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最大</w:t>
            </w:r>
            <w:r>
              <w:rPr>
                <w:rFonts w:hint="eastAsia" w:ascii="Times New Roman" w:hAnsi="Times New Roman" w:cs="Times New Roman"/>
                <w:color w:val="000000" w:themeColor="text1"/>
                <w14:textFill>
                  <w14:solidFill>
                    <w14:schemeClr w14:val="tx1"/>
                  </w14:solidFill>
                </w14:textFill>
              </w:rPr>
              <w:t>影响距离</w:t>
            </w:r>
            <w:r>
              <w:rPr>
                <w:rFonts w:ascii="Times New Roman" w:hAnsi="Times New Roman" w:cs="Times New Roman"/>
                <w:color w:val="000000" w:themeColor="text1"/>
                <w14:textFill>
                  <w14:solidFill>
                    <w14:schemeClr w14:val="tx1"/>
                  </w14:solidFill>
                </w14:textFill>
              </w:rPr>
              <w:t>（m）</w:t>
            </w:r>
          </w:p>
        </w:tc>
        <w:tc>
          <w:tcPr>
            <w:tcW w:w="2598" w:type="dxa"/>
            <w:vAlign w:val="center"/>
          </w:tcPr>
          <w:p w14:paraId="295B2BBC">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20</w:t>
            </w:r>
          </w:p>
        </w:tc>
      </w:tr>
      <w:tr w14:paraId="4EB8EF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28" w:type="dxa"/>
            <w:vMerge w:val="continue"/>
            <w:vAlign w:val="center"/>
          </w:tcPr>
          <w:p w14:paraId="375A6BC4">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p>
        </w:tc>
        <w:tc>
          <w:tcPr>
            <w:tcW w:w="2702" w:type="dxa"/>
            <w:vAlign w:val="center"/>
          </w:tcPr>
          <w:p w14:paraId="5791ED9D">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影响范围（</w:t>
            </w:r>
            <w:r>
              <w:rPr>
                <w:rFonts w:hint="eastAsia" w:ascii="Times New Roman" w:hAnsi="Times New Roman" w:cs="Times New Roman"/>
                <w:color w:val="000000" w:themeColor="text1"/>
                <w14:textFill>
                  <w14:solidFill>
                    <w14:schemeClr w14:val="tx1"/>
                  </w14:solidFill>
                </w14:textFill>
              </w:rPr>
              <w:t>h</w:t>
            </w:r>
            <w:r>
              <w:rPr>
                <w:rFonts w:ascii="Times New Roman" w:hAnsi="Times New Roman" w:cs="Times New Roman"/>
                <w:color w:val="000000" w:themeColor="text1"/>
                <w14:textFill>
                  <w14:solidFill>
                    <w14:schemeClr w14:val="tx1"/>
                  </w14:solidFill>
                </w14:textFill>
              </w:rPr>
              <w:t>m</w:t>
            </w:r>
            <w:r>
              <w:rPr>
                <w:rFonts w:hint="eastAsia"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tc>
        <w:tc>
          <w:tcPr>
            <w:tcW w:w="2598" w:type="dxa"/>
            <w:vAlign w:val="center"/>
          </w:tcPr>
          <w:p w14:paraId="452F59B4">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0.85</w:t>
            </w:r>
          </w:p>
        </w:tc>
      </w:tr>
    </w:tbl>
    <w:p w14:paraId="71BFFF86">
      <w:pPr>
        <w:ind w:firstLine="199" w:firstLineChars="83"/>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4310" cy="3149600"/>
            <wp:effectExtent l="19050" t="19050" r="21590" b="12700"/>
            <wp:docPr id="274" name="图片 274" descr="D:\weinxin\xwechat_files\Aicandoit_f66a\temp\InputTemp\06ef105d-522b-4737-b116-ee56e0c5bf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D:\weinxin\xwechat_files\Aicandoit_f66a\temp\InputTemp\06ef105d-522b-4737-b116-ee56e0c5bf75.pn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a:xfrm>
                      <a:off x="0" y="0"/>
                      <a:ext cx="5274310" cy="3149935"/>
                    </a:xfrm>
                    <a:prstGeom prst="rect">
                      <a:avLst/>
                    </a:prstGeom>
                    <a:noFill/>
                    <a:ln>
                      <a:solidFill>
                        <a:schemeClr val="tx1"/>
                      </a:solidFill>
                    </a:ln>
                  </pic:spPr>
                </pic:pic>
              </a:graphicData>
            </a:graphic>
          </wp:inline>
        </w:drawing>
      </w:r>
    </w:p>
    <w:p w14:paraId="09977493">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图5.6-1   发烟硫酸泄漏最大影响范围示意图</w:t>
      </w:r>
    </w:p>
    <w:p w14:paraId="39A36D15">
      <w:pPr>
        <w:ind w:firstLine="0" w:firstLineChars="0"/>
        <w:jc w:val="center"/>
        <w:rPr>
          <w:b/>
          <w:bCs/>
          <w:color w:val="000000" w:themeColor="text1"/>
          <w14:textFill>
            <w14:solidFill>
              <w14:schemeClr w14:val="tx1"/>
            </w14:solidFill>
          </w14:textFill>
        </w:rPr>
      </w:pPr>
      <w:r>
        <w:rPr>
          <w:rFonts w:hint="eastAsia"/>
          <w:b/>
          <w:bCs/>
          <w:color w:val="000000" w:themeColor="text1"/>
          <w:szCs w:val="21"/>
          <w14:textFill>
            <w14:solidFill>
              <w14:schemeClr w14:val="tx1"/>
            </w14:solidFill>
          </w14:textFill>
        </w:rPr>
        <w:t>表5.6-12   大气敏感保护目标发烟硫酸最大影响预测结果</w:t>
      </w:r>
      <w:r>
        <w:rPr>
          <w:rFonts w:hint="eastAsia"/>
          <w:b/>
          <w:bCs/>
          <w:color w:val="000000" w:themeColor="text1"/>
          <w14:textFill>
            <w14:solidFill>
              <w14:schemeClr w14:val="tx1"/>
            </w14:solidFill>
          </w14:textFill>
        </w:rPr>
        <w:t xml:space="preserve">     单位：mg/m</w:t>
      </w:r>
      <w:r>
        <w:rPr>
          <w:rFonts w:hint="eastAsia"/>
          <w:b/>
          <w:bCs/>
          <w:color w:val="000000" w:themeColor="text1"/>
          <w:vertAlign w:val="superscript"/>
          <w14:textFill>
            <w14:solidFill>
              <w14:schemeClr w14:val="tx1"/>
            </w14:solidFill>
          </w14:textFill>
        </w:rPr>
        <w:t>3</w:t>
      </w:r>
    </w:p>
    <w:tbl>
      <w:tblPr>
        <w:tblStyle w:val="43"/>
        <w:tblW w:w="570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326"/>
        <w:gridCol w:w="1135"/>
        <w:gridCol w:w="720"/>
        <w:gridCol w:w="819"/>
        <w:gridCol w:w="540"/>
        <w:gridCol w:w="600"/>
        <w:gridCol w:w="596"/>
        <w:gridCol w:w="607"/>
        <w:gridCol w:w="676"/>
        <w:gridCol w:w="617"/>
        <w:gridCol w:w="659"/>
        <w:gridCol w:w="808"/>
        <w:gridCol w:w="631"/>
        <w:gridCol w:w="781"/>
      </w:tblGrid>
      <w:tr w14:paraId="047CFB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04" w:hRule="atLeast"/>
          <w:jc w:val="center"/>
        </w:trPr>
        <w:tc>
          <w:tcPr>
            <w:tcW w:w="325" w:type="dxa"/>
            <w:vMerge w:val="restart"/>
            <w:noWrap/>
            <w:vAlign w:val="center"/>
          </w:tcPr>
          <w:p w14:paraId="1833B178">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序号</w:t>
            </w:r>
          </w:p>
        </w:tc>
        <w:tc>
          <w:tcPr>
            <w:tcW w:w="1132" w:type="dxa"/>
            <w:vMerge w:val="restart"/>
            <w:noWrap/>
            <w:vAlign w:val="center"/>
          </w:tcPr>
          <w:p w14:paraId="38BAE873">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名称</w:t>
            </w:r>
          </w:p>
        </w:tc>
        <w:tc>
          <w:tcPr>
            <w:tcW w:w="718" w:type="dxa"/>
            <w:vMerge w:val="restart"/>
            <w:noWrap/>
            <w:vAlign w:val="center"/>
          </w:tcPr>
          <w:p w14:paraId="4C4C7B10">
            <w:pPr>
              <w:widowControl/>
              <w:adjustRightInd w:val="0"/>
              <w:snapToGrid w:val="0"/>
              <w:spacing w:line="240" w:lineRule="auto"/>
              <w:ind w:firstLine="0" w:firstLineChars="0"/>
              <w:jc w:val="center"/>
              <w:textAlignment w:val="center"/>
              <w:rPr>
                <w:rFonts w:cs="宋体"/>
                <w:b/>
                <w:bCs/>
                <w:color w:val="000000" w:themeColor="text1"/>
                <w:kern w:val="0"/>
                <w:sz w:val="21"/>
                <w:szCs w:val="21"/>
                <w:lang w:bidi="ar"/>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与事故源的相对距离（km）</w:t>
            </w:r>
          </w:p>
        </w:tc>
        <w:tc>
          <w:tcPr>
            <w:tcW w:w="817" w:type="dxa"/>
            <w:vMerge w:val="restart"/>
            <w:noWrap/>
            <w:vAlign w:val="center"/>
          </w:tcPr>
          <w:p w14:paraId="4891F446">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最大浓度|时间(min)</w:t>
            </w:r>
          </w:p>
        </w:tc>
        <w:tc>
          <w:tcPr>
            <w:tcW w:w="539" w:type="dxa"/>
            <w:vMerge w:val="restart"/>
            <w:noWrap/>
            <w:vAlign w:val="center"/>
          </w:tcPr>
          <w:p w14:paraId="06275744">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5min</w:t>
            </w:r>
          </w:p>
        </w:tc>
        <w:tc>
          <w:tcPr>
            <w:tcW w:w="599" w:type="dxa"/>
            <w:vMerge w:val="restart"/>
            <w:noWrap/>
            <w:vAlign w:val="center"/>
          </w:tcPr>
          <w:p w14:paraId="111C5ABF">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10min</w:t>
            </w:r>
          </w:p>
        </w:tc>
        <w:tc>
          <w:tcPr>
            <w:tcW w:w="595" w:type="dxa"/>
            <w:vMerge w:val="restart"/>
            <w:noWrap/>
            <w:vAlign w:val="center"/>
          </w:tcPr>
          <w:p w14:paraId="579B1705">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15min</w:t>
            </w:r>
          </w:p>
        </w:tc>
        <w:tc>
          <w:tcPr>
            <w:tcW w:w="606" w:type="dxa"/>
            <w:vMerge w:val="restart"/>
            <w:noWrap/>
            <w:vAlign w:val="center"/>
          </w:tcPr>
          <w:p w14:paraId="56A7F3B6">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20min</w:t>
            </w:r>
          </w:p>
        </w:tc>
        <w:tc>
          <w:tcPr>
            <w:tcW w:w="674" w:type="dxa"/>
            <w:vMerge w:val="restart"/>
            <w:noWrap/>
            <w:vAlign w:val="center"/>
          </w:tcPr>
          <w:p w14:paraId="593D99FF">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25min</w:t>
            </w:r>
          </w:p>
        </w:tc>
        <w:tc>
          <w:tcPr>
            <w:tcW w:w="616" w:type="dxa"/>
            <w:vMerge w:val="restart"/>
            <w:noWrap/>
            <w:vAlign w:val="center"/>
          </w:tcPr>
          <w:p w14:paraId="64F26ED7">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30min</w:t>
            </w:r>
          </w:p>
        </w:tc>
        <w:tc>
          <w:tcPr>
            <w:tcW w:w="1463" w:type="dxa"/>
            <w:gridSpan w:val="2"/>
            <w:noWrap/>
            <w:vAlign w:val="center"/>
          </w:tcPr>
          <w:p w14:paraId="7ECAFF8D">
            <w:pPr>
              <w:spacing w:line="240" w:lineRule="atLeast"/>
              <w:ind w:firstLine="0" w:firstLineChars="0"/>
              <w:jc w:val="center"/>
              <w:rPr>
                <w:rFonts w:cs="宋体"/>
                <w:b/>
                <w:bCs/>
                <w:color w:val="000000" w:themeColor="text1"/>
                <w:kern w:val="0"/>
                <w:sz w:val="21"/>
                <w:szCs w:val="21"/>
                <w:lang w:bidi="ar"/>
                <w14:textFill>
                  <w14:solidFill>
                    <w14:schemeClr w14:val="tx1"/>
                  </w14:solidFill>
                </w14:textFill>
              </w:rPr>
            </w:pPr>
            <w:r>
              <w:rPr>
                <w:b/>
                <w:bCs/>
                <w:color w:val="000000" w:themeColor="text1"/>
                <w:sz w:val="21"/>
                <w:szCs w:val="21"/>
                <w14:textFill>
                  <w14:solidFill>
                    <w14:schemeClr w14:val="tx1"/>
                  </w14:solidFill>
                </w14:textFill>
              </w:rPr>
              <w:t>大气毒性终点浓度-1</w:t>
            </w:r>
          </w:p>
        </w:tc>
        <w:tc>
          <w:tcPr>
            <w:tcW w:w="1408" w:type="dxa"/>
            <w:gridSpan w:val="2"/>
            <w:noWrap/>
            <w:vAlign w:val="center"/>
          </w:tcPr>
          <w:p w14:paraId="62E41F0F">
            <w:pPr>
              <w:spacing w:line="240" w:lineRule="atLeast"/>
              <w:ind w:firstLine="0" w:firstLineChars="0"/>
              <w:jc w:val="center"/>
              <w:rPr>
                <w:b/>
                <w:bCs/>
                <w:color w:val="000000" w:themeColor="text1"/>
                <w:kern w:val="0"/>
                <w:sz w:val="21"/>
                <w:szCs w:val="21"/>
                <w14:textFill>
                  <w14:solidFill>
                    <w14:schemeClr w14:val="tx1"/>
                  </w14:solidFill>
                </w14:textFill>
              </w:rPr>
            </w:pPr>
            <w:r>
              <w:rPr>
                <w:b/>
                <w:bCs/>
                <w:color w:val="000000" w:themeColor="text1"/>
                <w:sz w:val="21"/>
                <w:szCs w:val="21"/>
                <w14:textFill>
                  <w14:solidFill>
                    <w14:schemeClr w14:val="tx1"/>
                  </w14:solidFill>
                </w14:textFill>
              </w:rPr>
              <w:t>大气毒性终点浓度-</w:t>
            </w:r>
            <w:r>
              <w:rPr>
                <w:rFonts w:hint="eastAsia"/>
                <w:b/>
                <w:bCs/>
                <w:color w:val="000000" w:themeColor="text1"/>
                <w:sz w:val="21"/>
                <w:szCs w:val="21"/>
                <w14:textFill>
                  <w14:solidFill>
                    <w14:schemeClr w14:val="tx1"/>
                  </w14:solidFill>
                </w14:textFill>
              </w:rPr>
              <w:t>2</w:t>
            </w:r>
          </w:p>
        </w:tc>
      </w:tr>
      <w:tr w14:paraId="1F0155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04" w:hRule="atLeast"/>
          <w:jc w:val="center"/>
        </w:trPr>
        <w:tc>
          <w:tcPr>
            <w:tcW w:w="325" w:type="dxa"/>
            <w:vMerge w:val="continue"/>
            <w:noWrap/>
            <w:vAlign w:val="center"/>
          </w:tcPr>
          <w:p w14:paraId="793832E2">
            <w:pPr>
              <w:spacing w:line="240" w:lineRule="atLeast"/>
              <w:ind w:firstLine="0" w:firstLineChars="0"/>
              <w:jc w:val="center"/>
              <w:rPr>
                <w:b/>
                <w:bCs/>
                <w:color w:val="000000" w:themeColor="text1"/>
                <w:sz w:val="21"/>
                <w:szCs w:val="21"/>
                <w14:textFill>
                  <w14:solidFill>
                    <w14:schemeClr w14:val="tx1"/>
                  </w14:solidFill>
                </w14:textFill>
              </w:rPr>
            </w:pPr>
          </w:p>
        </w:tc>
        <w:tc>
          <w:tcPr>
            <w:tcW w:w="1132" w:type="dxa"/>
            <w:vMerge w:val="continue"/>
            <w:noWrap/>
            <w:vAlign w:val="center"/>
          </w:tcPr>
          <w:p w14:paraId="0893F3F4">
            <w:pPr>
              <w:spacing w:line="240" w:lineRule="atLeast"/>
              <w:ind w:firstLine="0" w:firstLineChars="0"/>
              <w:jc w:val="center"/>
              <w:rPr>
                <w:b/>
                <w:bCs/>
                <w:color w:val="000000" w:themeColor="text1"/>
                <w:sz w:val="21"/>
                <w:szCs w:val="21"/>
                <w14:textFill>
                  <w14:solidFill>
                    <w14:schemeClr w14:val="tx1"/>
                  </w14:solidFill>
                </w14:textFill>
              </w:rPr>
            </w:pPr>
          </w:p>
        </w:tc>
        <w:tc>
          <w:tcPr>
            <w:tcW w:w="718" w:type="dxa"/>
            <w:vMerge w:val="continue"/>
            <w:noWrap/>
            <w:vAlign w:val="center"/>
          </w:tcPr>
          <w:p w14:paraId="692A19F9">
            <w:pPr>
              <w:spacing w:line="240" w:lineRule="atLeast"/>
              <w:ind w:firstLine="0" w:firstLineChars="0"/>
              <w:jc w:val="center"/>
              <w:rPr>
                <w:b/>
                <w:bCs/>
                <w:color w:val="000000" w:themeColor="text1"/>
                <w:sz w:val="21"/>
                <w:szCs w:val="21"/>
                <w14:textFill>
                  <w14:solidFill>
                    <w14:schemeClr w14:val="tx1"/>
                  </w14:solidFill>
                </w14:textFill>
              </w:rPr>
            </w:pPr>
          </w:p>
        </w:tc>
        <w:tc>
          <w:tcPr>
            <w:tcW w:w="817" w:type="dxa"/>
            <w:vMerge w:val="continue"/>
            <w:noWrap/>
            <w:vAlign w:val="center"/>
          </w:tcPr>
          <w:p w14:paraId="68FDFFDD">
            <w:pPr>
              <w:spacing w:line="240" w:lineRule="atLeast"/>
              <w:ind w:firstLine="0" w:firstLineChars="0"/>
              <w:jc w:val="center"/>
              <w:rPr>
                <w:b/>
                <w:bCs/>
                <w:color w:val="000000" w:themeColor="text1"/>
                <w:sz w:val="21"/>
                <w:szCs w:val="21"/>
                <w14:textFill>
                  <w14:solidFill>
                    <w14:schemeClr w14:val="tx1"/>
                  </w14:solidFill>
                </w14:textFill>
              </w:rPr>
            </w:pPr>
          </w:p>
        </w:tc>
        <w:tc>
          <w:tcPr>
            <w:tcW w:w="539" w:type="dxa"/>
            <w:vMerge w:val="continue"/>
            <w:noWrap/>
            <w:vAlign w:val="center"/>
          </w:tcPr>
          <w:p w14:paraId="3E617178">
            <w:pPr>
              <w:spacing w:line="240" w:lineRule="atLeast"/>
              <w:ind w:firstLine="0" w:firstLineChars="0"/>
              <w:jc w:val="center"/>
              <w:rPr>
                <w:b/>
                <w:bCs/>
                <w:color w:val="000000" w:themeColor="text1"/>
                <w:sz w:val="21"/>
                <w:szCs w:val="21"/>
                <w14:textFill>
                  <w14:solidFill>
                    <w14:schemeClr w14:val="tx1"/>
                  </w14:solidFill>
                </w14:textFill>
              </w:rPr>
            </w:pPr>
          </w:p>
        </w:tc>
        <w:tc>
          <w:tcPr>
            <w:tcW w:w="599" w:type="dxa"/>
            <w:vMerge w:val="continue"/>
            <w:noWrap/>
            <w:vAlign w:val="center"/>
          </w:tcPr>
          <w:p w14:paraId="10DC7562">
            <w:pPr>
              <w:spacing w:line="240" w:lineRule="atLeast"/>
              <w:ind w:firstLine="0" w:firstLineChars="0"/>
              <w:jc w:val="center"/>
              <w:rPr>
                <w:b/>
                <w:bCs/>
                <w:color w:val="000000" w:themeColor="text1"/>
                <w:sz w:val="21"/>
                <w:szCs w:val="21"/>
                <w14:textFill>
                  <w14:solidFill>
                    <w14:schemeClr w14:val="tx1"/>
                  </w14:solidFill>
                </w14:textFill>
              </w:rPr>
            </w:pPr>
          </w:p>
        </w:tc>
        <w:tc>
          <w:tcPr>
            <w:tcW w:w="595" w:type="dxa"/>
            <w:vMerge w:val="continue"/>
            <w:noWrap/>
            <w:vAlign w:val="center"/>
          </w:tcPr>
          <w:p w14:paraId="36A8ABAB">
            <w:pPr>
              <w:spacing w:line="240" w:lineRule="atLeast"/>
              <w:ind w:firstLine="0" w:firstLineChars="0"/>
              <w:jc w:val="center"/>
              <w:rPr>
                <w:b/>
                <w:bCs/>
                <w:color w:val="000000" w:themeColor="text1"/>
                <w:sz w:val="21"/>
                <w:szCs w:val="21"/>
                <w14:textFill>
                  <w14:solidFill>
                    <w14:schemeClr w14:val="tx1"/>
                  </w14:solidFill>
                </w14:textFill>
              </w:rPr>
            </w:pPr>
          </w:p>
        </w:tc>
        <w:tc>
          <w:tcPr>
            <w:tcW w:w="606" w:type="dxa"/>
            <w:vMerge w:val="continue"/>
            <w:noWrap/>
            <w:vAlign w:val="center"/>
          </w:tcPr>
          <w:p w14:paraId="48F346E2">
            <w:pPr>
              <w:spacing w:line="240" w:lineRule="atLeast"/>
              <w:ind w:firstLine="0" w:firstLineChars="0"/>
              <w:jc w:val="center"/>
              <w:rPr>
                <w:b/>
                <w:bCs/>
                <w:color w:val="000000" w:themeColor="text1"/>
                <w:sz w:val="21"/>
                <w:szCs w:val="21"/>
                <w14:textFill>
                  <w14:solidFill>
                    <w14:schemeClr w14:val="tx1"/>
                  </w14:solidFill>
                </w14:textFill>
              </w:rPr>
            </w:pPr>
          </w:p>
        </w:tc>
        <w:tc>
          <w:tcPr>
            <w:tcW w:w="674" w:type="dxa"/>
            <w:vMerge w:val="continue"/>
            <w:noWrap/>
            <w:vAlign w:val="center"/>
          </w:tcPr>
          <w:p w14:paraId="7257142B">
            <w:pPr>
              <w:spacing w:line="240" w:lineRule="atLeast"/>
              <w:ind w:firstLine="0" w:firstLineChars="0"/>
              <w:jc w:val="center"/>
              <w:rPr>
                <w:b/>
                <w:bCs/>
                <w:color w:val="000000" w:themeColor="text1"/>
                <w:sz w:val="21"/>
                <w:szCs w:val="21"/>
                <w14:textFill>
                  <w14:solidFill>
                    <w14:schemeClr w14:val="tx1"/>
                  </w14:solidFill>
                </w14:textFill>
              </w:rPr>
            </w:pPr>
          </w:p>
        </w:tc>
        <w:tc>
          <w:tcPr>
            <w:tcW w:w="616" w:type="dxa"/>
            <w:vMerge w:val="continue"/>
            <w:noWrap/>
            <w:vAlign w:val="center"/>
          </w:tcPr>
          <w:p w14:paraId="27CECA9C">
            <w:pPr>
              <w:spacing w:line="240" w:lineRule="atLeast"/>
              <w:ind w:firstLine="0" w:firstLineChars="0"/>
              <w:jc w:val="center"/>
              <w:rPr>
                <w:b/>
                <w:bCs/>
                <w:color w:val="000000" w:themeColor="text1"/>
                <w:sz w:val="21"/>
                <w:szCs w:val="21"/>
                <w14:textFill>
                  <w14:solidFill>
                    <w14:schemeClr w14:val="tx1"/>
                  </w14:solidFill>
                </w14:textFill>
              </w:rPr>
            </w:pPr>
          </w:p>
        </w:tc>
        <w:tc>
          <w:tcPr>
            <w:tcW w:w="657" w:type="dxa"/>
            <w:noWrap/>
            <w:vAlign w:val="center"/>
          </w:tcPr>
          <w:p w14:paraId="7ABB763B">
            <w:pPr>
              <w:spacing w:line="240" w:lineRule="exact"/>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超标时间min</w:t>
            </w:r>
          </w:p>
        </w:tc>
        <w:tc>
          <w:tcPr>
            <w:tcW w:w="806" w:type="dxa"/>
            <w:noWrap/>
            <w:vAlign w:val="center"/>
          </w:tcPr>
          <w:p w14:paraId="54EEA7EF">
            <w:pPr>
              <w:spacing w:line="240" w:lineRule="exact"/>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超标持续时间min</w:t>
            </w:r>
          </w:p>
        </w:tc>
        <w:tc>
          <w:tcPr>
            <w:tcW w:w="629" w:type="dxa"/>
            <w:noWrap/>
            <w:vAlign w:val="center"/>
          </w:tcPr>
          <w:p w14:paraId="3FC45CA9">
            <w:pPr>
              <w:spacing w:line="240" w:lineRule="exact"/>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超标时间min</w:t>
            </w:r>
          </w:p>
        </w:tc>
        <w:tc>
          <w:tcPr>
            <w:tcW w:w="779" w:type="dxa"/>
            <w:noWrap/>
            <w:vAlign w:val="center"/>
          </w:tcPr>
          <w:p w14:paraId="589CE266">
            <w:pPr>
              <w:spacing w:line="240" w:lineRule="exact"/>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超标持续时间min</w:t>
            </w:r>
          </w:p>
        </w:tc>
      </w:tr>
      <w:tr w14:paraId="558B8E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17DCCFF6">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1</w:t>
            </w:r>
          </w:p>
        </w:tc>
        <w:tc>
          <w:tcPr>
            <w:tcW w:w="1132" w:type="dxa"/>
            <w:noWrap/>
            <w:vAlign w:val="center"/>
          </w:tcPr>
          <w:p w14:paraId="151C6CD9">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淡水湾</w:t>
            </w:r>
          </w:p>
        </w:tc>
        <w:tc>
          <w:tcPr>
            <w:tcW w:w="718" w:type="dxa"/>
            <w:noWrap/>
            <w:vAlign w:val="center"/>
          </w:tcPr>
          <w:p w14:paraId="5EC0EECB">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1.98</w:t>
            </w:r>
          </w:p>
        </w:tc>
        <w:tc>
          <w:tcPr>
            <w:tcW w:w="817" w:type="dxa"/>
            <w:noWrap/>
            <w:vAlign w:val="center"/>
          </w:tcPr>
          <w:p w14:paraId="4986B5A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09EB18E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1942216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30E3489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05EA110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6D1D1FB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5E4E1F7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43D62E0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79580D5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65B34C1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3D9B5CD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9AF2D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150C9297">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2</w:t>
            </w:r>
          </w:p>
        </w:tc>
        <w:tc>
          <w:tcPr>
            <w:tcW w:w="1132" w:type="dxa"/>
            <w:noWrap/>
            <w:vAlign w:val="center"/>
          </w:tcPr>
          <w:p w14:paraId="2B5913D7">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果子山村</w:t>
            </w:r>
          </w:p>
        </w:tc>
        <w:tc>
          <w:tcPr>
            <w:tcW w:w="718" w:type="dxa"/>
            <w:noWrap/>
            <w:vAlign w:val="center"/>
          </w:tcPr>
          <w:p w14:paraId="21BFAE61">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3.27</w:t>
            </w:r>
          </w:p>
        </w:tc>
        <w:tc>
          <w:tcPr>
            <w:tcW w:w="817" w:type="dxa"/>
            <w:noWrap/>
            <w:vAlign w:val="center"/>
          </w:tcPr>
          <w:p w14:paraId="32EAFC8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67DC38B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430F566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5A620E6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78244BE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71301EC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066DC9F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0B40D37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4E72203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414B866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658F203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24BB01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587D3988">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3</w:t>
            </w:r>
          </w:p>
        </w:tc>
        <w:tc>
          <w:tcPr>
            <w:tcW w:w="1132" w:type="dxa"/>
            <w:noWrap/>
            <w:vAlign w:val="center"/>
          </w:tcPr>
          <w:p w14:paraId="73FF199D">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厚福沙村</w:t>
            </w:r>
          </w:p>
        </w:tc>
        <w:tc>
          <w:tcPr>
            <w:tcW w:w="718" w:type="dxa"/>
            <w:noWrap/>
            <w:vAlign w:val="center"/>
          </w:tcPr>
          <w:p w14:paraId="2F3908EF">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2.64</w:t>
            </w:r>
          </w:p>
        </w:tc>
        <w:tc>
          <w:tcPr>
            <w:tcW w:w="817" w:type="dxa"/>
            <w:noWrap/>
            <w:vAlign w:val="center"/>
          </w:tcPr>
          <w:p w14:paraId="03E0A77C">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7684AB3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5621C8A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13772C4C">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0107D83C">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245D0E5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6131F58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19C9429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066ACE9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2DBC710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0C2735F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5B757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65D92C84">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4</w:t>
            </w:r>
          </w:p>
        </w:tc>
        <w:tc>
          <w:tcPr>
            <w:tcW w:w="1132" w:type="dxa"/>
            <w:noWrap/>
            <w:vAlign w:val="center"/>
          </w:tcPr>
          <w:p w14:paraId="0EC2C8D5">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滨海社区</w:t>
            </w:r>
          </w:p>
        </w:tc>
        <w:tc>
          <w:tcPr>
            <w:tcW w:w="718" w:type="dxa"/>
            <w:noWrap/>
            <w:vAlign w:val="center"/>
          </w:tcPr>
          <w:p w14:paraId="70164478">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3.38</w:t>
            </w:r>
          </w:p>
        </w:tc>
        <w:tc>
          <w:tcPr>
            <w:tcW w:w="817" w:type="dxa"/>
            <w:noWrap/>
            <w:vAlign w:val="center"/>
          </w:tcPr>
          <w:p w14:paraId="0AC9350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5575F2E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28C9B53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25C3868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6716599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2D9F174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2D8F20D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7B7AFC3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2641151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1ED0271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7AD5834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797C96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0BC0567B">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5</w:t>
            </w:r>
          </w:p>
        </w:tc>
        <w:tc>
          <w:tcPr>
            <w:tcW w:w="1132" w:type="dxa"/>
            <w:noWrap/>
            <w:vAlign w:val="center"/>
          </w:tcPr>
          <w:p w14:paraId="33BA40CC">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鰮鱼潭</w:t>
            </w:r>
          </w:p>
        </w:tc>
        <w:tc>
          <w:tcPr>
            <w:tcW w:w="718" w:type="dxa"/>
            <w:noWrap/>
            <w:vAlign w:val="center"/>
          </w:tcPr>
          <w:p w14:paraId="476CD245">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2.90</w:t>
            </w:r>
          </w:p>
        </w:tc>
        <w:tc>
          <w:tcPr>
            <w:tcW w:w="817" w:type="dxa"/>
            <w:noWrap/>
            <w:vAlign w:val="center"/>
          </w:tcPr>
          <w:p w14:paraId="57216A2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0C53CC0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3658044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789A394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63AEB4B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4DC665E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3F26DFD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0BFA95B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30C32D8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29F150B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3318AD0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21DD98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43C8EEF5">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6</w:t>
            </w:r>
          </w:p>
        </w:tc>
        <w:tc>
          <w:tcPr>
            <w:tcW w:w="1132" w:type="dxa"/>
            <w:noWrap/>
            <w:vAlign w:val="center"/>
          </w:tcPr>
          <w:p w14:paraId="7793362A">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沙岗头</w:t>
            </w:r>
          </w:p>
        </w:tc>
        <w:tc>
          <w:tcPr>
            <w:tcW w:w="718" w:type="dxa"/>
            <w:noWrap/>
            <w:vAlign w:val="center"/>
          </w:tcPr>
          <w:p w14:paraId="1C9DC149">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2.51</w:t>
            </w:r>
          </w:p>
        </w:tc>
        <w:tc>
          <w:tcPr>
            <w:tcW w:w="817" w:type="dxa"/>
            <w:noWrap/>
            <w:vAlign w:val="center"/>
          </w:tcPr>
          <w:p w14:paraId="09305F1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187647B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04E0CD6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3594AF5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11F909A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2654BF0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49FFDD3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6FA088E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089A30D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1EE0A7E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239F4D1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4FA84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26AAB06C">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7</w:t>
            </w:r>
          </w:p>
        </w:tc>
        <w:tc>
          <w:tcPr>
            <w:tcW w:w="1132" w:type="dxa"/>
            <w:noWrap/>
            <w:vAlign w:val="center"/>
          </w:tcPr>
          <w:p w14:paraId="5FBC3AD6">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旧村</w:t>
            </w:r>
          </w:p>
        </w:tc>
        <w:tc>
          <w:tcPr>
            <w:tcW w:w="718" w:type="dxa"/>
            <w:noWrap/>
            <w:vAlign w:val="center"/>
          </w:tcPr>
          <w:p w14:paraId="48BEA706">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2.59</w:t>
            </w:r>
          </w:p>
        </w:tc>
        <w:tc>
          <w:tcPr>
            <w:tcW w:w="817" w:type="dxa"/>
            <w:noWrap/>
            <w:vAlign w:val="center"/>
          </w:tcPr>
          <w:p w14:paraId="72FEB1B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27F0893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58E494F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739D160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0042D37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164B5E2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0CA2196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12DCF79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5FECF99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4215354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3D0E35C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4AEB79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43B1C457">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8</w:t>
            </w:r>
          </w:p>
        </w:tc>
        <w:tc>
          <w:tcPr>
            <w:tcW w:w="1132" w:type="dxa"/>
            <w:noWrap/>
            <w:vAlign w:val="center"/>
          </w:tcPr>
          <w:p w14:paraId="36D89DAD">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金鼓村</w:t>
            </w:r>
          </w:p>
        </w:tc>
        <w:tc>
          <w:tcPr>
            <w:tcW w:w="718" w:type="dxa"/>
            <w:noWrap/>
            <w:vAlign w:val="center"/>
          </w:tcPr>
          <w:p w14:paraId="0DD75754">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2.60</w:t>
            </w:r>
          </w:p>
        </w:tc>
        <w:tc>
          <w:tcPr>
            <w:tcW w:w="817" w:type="dxa"/>
            <w:noWrap/>
            <w:vAlign w:val="center"/>
          </w:tcPr>
          <w:p w14:paraId="2260736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6601DE4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3CE0F0C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521DC78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538C489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5287BE9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2F7B000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135F43C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7CBA6DE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158EAC9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5429EFB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738B7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55832FD2">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9</w:t>
            </w:r>
          </w:p>
        </w:tc>
        <w:tc>
          <w:tcPr>
            <w:tcW w:w="1132" w:type="dxa"/>
            <w:noWrap/>
            <w:vAlign w:val="center"/>
          </w:tcPr>
          <w:p w14:paraId="18802B31">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竹笼</w:t>
            </w:r>
          </w:p>
        </w:tc>
        <w:tc>
          <w:tcPr>
            <w:tcW w:w="718" w:type="dxa"/>
            <w:noWrap/>
            <w:vAlign w:val="center"/>
          </w:tcPr>
          <w:p w14:paraId="566C8E18">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2.92</w:t>
            </w:r>
          </w:p>
        </w:tc>
        <w:tc>
          <w:tcPr>
            <w:tcW w:w="817" w:type="dxa"/>
            <w:noWrap/>
            <w:vAlign w:val="center"/>
          </w:tcPr>
          <w:p w14:paraId="7B27EA8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3AF9509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5981E45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4F93EC6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0BE4934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66D2CE3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29F41AC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79F9800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69E3890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62ED13D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7928E68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BBAD6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2E3412A8">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10</w:t>
            </w:r>
          </w:p>
        </w:tc>
        <w:tc>
          <w:tcPr>
            <w:tcW w:w="1132" w:type="dxa"/>
            <w:noWrap/>
            <w:vAlign w:val="center"/>
          </w:tcPr>
          <w:p w14:paraId="46195D1B">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佛子坳</w:t>
            </w:r>
          </w:p>
        </w:tc>
        <w:tc>
          <w:tcPr>
            <w:tcW w:w="718" w:type="dxa"/>
            <w:noWrap/>
            <w:vAlign w:val="center"/>
          </w:tcPr>
          <w:p w14:paraId="74344318">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3.46</w:t>
            </w:r>
          </w:p>
        </w:tc>
        <w:tc>
          <w:tcPr>
            <w:tcW w:w="817" w:type="dxa"/>
            <w:noWrap/>
            <w:vAlign w:val="center"/>
          </w:tcPr>
          <w:p w14:paraId="5504F6A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538F8C1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7BEB6EB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2EC830B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380AAC7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6783AEC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165DE18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66A997A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76A26BA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05765C8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637466B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3EC6D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73354373">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11</w:t>
            </w:r>
          </w:p>
        </w:tc>
        <w:tc>
          <w:tcPr>
            <w:tcW w:w="1132" w:type="dxa"/>
            <w:noWrap/>
            <w:vAlign w:val="center"/>
          </w:tcPr>
          <w:p w14:paraId="6EBD9D2E">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第一垌</w:t>
            </w:r>
          </w:p>
        </w:tc>
        <w:tc>
          <w:tcPr>
            <w:tcW w:w="718" w:type="dxa"/>
            <w:noWrap/>
            <w:vAlign w:val="center"/>
          </w:tcPr>
          <w:p w14:paraId="4A2F2F2B">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3.47</w:t>
            </w:r>
          </w:p>
        </w:tc>
        <w:tc>
          <w:tcPr>
            <w:tcW w:w="817" w:type="dxa"/>
            <w:noWrap/>
            <w:vAlign w:val="center"/>
          </w:tcPr>
          <w:p w14:paraId="2090432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7D9ABD8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0CC59BEC">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5921C9F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56EB65A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79B9D22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0586B57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0581835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7FCF403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537B83E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1CF5C24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6760BB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216DC75D">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12</w:t>
            </w:r>
          </w:p>
        </w:tc>
        <w:tc>
          <w:tcPr>
            <w:tcW w:w="1132" w:type="dxa"/>
            <w:noWrap/>
            <w:vAlign w:val="center"/>
          </w:tcPr>
          <w:p w14:paraId="3F630866">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鸡墩头</w:t>
            </w:r>
          </w:p>
        </w:tc>
        <w:tc>
          <w:tcPr>
            <w:tcW w:w="718" w:type="dxa"/>
            <w:noWrap/>
            <w:vAlign w:val="center"/>
          </w:tcPr>
          <w:p w14:paraId="6BE764F6">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3.85</w:t>
            </w:r>
          </w:p>
        </w:tc>
        <w:tc>
          <w:tcPr>
            <w:tcW w:w="817" w:type="dxa"/>
            <w:noWrap/>
            <w:vAlign w:val="center"/>
          </w:tcPr>
          <w:p w14:paraId="6F4B9F0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186428B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4C89A77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6A4DB58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2E29ED7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25C2E77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65475AB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2A95CB9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7FF9F9C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7EA5303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17498A8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292BC7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63383044">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13</w:t>
            </w:r>
          </w:p>
        </w:tc>
        <w:tc>
          <w:tcPr>
            <w:tcW w:w="1132" w:type="dxa"/>
            <w:noWrap/>
            <w:vAlign w:val="center"/>
          </w:tcPr>
          <w:p w14:paraId="2E77BFBD">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钦州港经济技术开发区中学</w:t>
            </w:r>
          </w:p>
        </w:tc>
        <w:tc>
          <w:tcPr>
            <w:tcW w:w="718" w:type="dxa"/>
            <w:noWrap/>
            <w:vAlign w:val="center"/>
          </w:tcPr>
          <w:p w14:paraId="3DEC9976">
            <w:pPr>
              <w:widowControl/>
              <w:adjustRightInd w:val="0"/>
              <w:snapToGrid w:val="0"/>
              <w:spacing w:line="240" w:lineRule="auto"/>
              <w:ind w:firstLine="0" w:firstLineChars="0"/>
              <w:textAlignment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3.11</w:t>
            </w:r>
          </w:p>
        </w:tc>
        <w:tc>
          <w:tcPr>
            <w:tcW w:w="817" w:type="dxa"/>
            <w:noWrap/>
            <w:vAlign w:val="center"/>
          </w:tcPr>
          <w:p w14:paraId="78FF6C5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27D6B99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1B96CA1C">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66FC7AF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211580A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7CECFC1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13CA5C4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6763FFA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0DC231F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54FEC90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775A05B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5B000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48E6B355">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14</w:t>
            </w:r>
          </w:p>
        </w:tc>
        <w:tc>
          <w:tcPr>
            <w:tcW w:w="1132" w:type="dxa"/>
            <w:noWrap/>
            <w:vAlign w:val="center"/>
          </w:tcPr>
          <w:p w14:paraId="1DF20955">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钦州港经济技术开发区第四小学</w:t>
            </w:r>
          </w:p>
        </w:tc>
        <w:tc>
          <w:tcPr>
            <w:tcW w:w="718" w:type="dxa"/>
            <w:noWrap/>
            <w:vAlign w:val="center"/>
          </w:tcPr>
          <w:p w14:paraId="0B4420A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3.00</w:t>
            </w:r>
          </w:p>
        </w:tc>
        <w:tc>
          <w:tcPr>
            <w:tcW w:w="817" w:type="dxa"/>
            <w:noWrap/>
            <w:vAlign w:val="center"/>
          </w:tcPr>
          <w:p w14:paraId="2A63613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67036A3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7C57DDF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3706B6A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3651140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50F4F83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329CD7C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623AC83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042A8A0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7D45DB5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4B205A9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bl>
    <w:p w14:paraId="579D4C71">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火灾爆炸事故CO预测结果</w:t>
      </w:r>
    </w:p>
    <w:p w14:paraId="7F2097A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1、预测参数</w:t>
      </w:r>
    </w:p>
    <w:p w14:paraId="7BEE8974">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CO</w:t>
      </w:r>
      <w:r>
        <w:rPr>
          <w:color w:val="000000" w:themeColor="text1"/>
          <w14:textFill>
            <w14:solidFill>
              <w14:schemeClr w14:val="tx1"/>
            </w14:solidFill>
          </w14:textFill>
        </w:rPr>
        <w:t>大气风险预测模型主要参数表</w:t>
      </w:r>
    </w:p>
    <w:tbl>
      <w:tblPr>
        <w:tblStyle w:val="43"/>
        <w:tblW w:w="5004"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00"/>
        <w:gridCol w:w="4181"/>
        <w:gridCol w:w="2548"/>
      </w:tblGrid>
      <w:tr w14:paraId="37D5D3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1055" w:type="pct"/>
            <w:vAlign w:val="center"/>
          </w:tcPr>
          <w:p w14:paraId="5CD8FEAE">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参数类型</w:t>
            </w:r>
          </w:p>
        </w:tc>
        <w:tc>
          <w:tcPr>
            <w:tcW w:w="2451" w:type="pct"/>
            <w:vAlign w:val="center"/>
          </w:tcPr>
          <w:p w14:paraId="18DA5550">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选项</w:t>
            </w:r>
          </w:p>
        </w:tc>
        <w:tc>
          <w:tcPr>
            <w:tcW w:w="1494" w:type="pct"/>
            <w:vAlign w:val="center"/>
          </w:tcPr>
          <w:p w14:paraId="25A260F5">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参数</w:t>
            </w:r>
          </w:p>
        </w:tc>
      </w:tr>
      <w:tr w14:paraId="742454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restart"/>
            <w:vAlign w:val="center"/>
          </w:tcPr>
          <w:p w14:paraId="77F76734">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基本情况</w:t>
            </w:r>
          </w:p>
        </w:tc>
        <w:tc>
          <w:tcPr>
            <w:tcW w:w="2451" w:type="pct"/>
            <w:vAlign w:val="center"/>
          </w:tcPr>
          <w:p w14:paraId="60A4EA92">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事故源经度/(°)</w:t>
            </w:r>
          </w:p>
        </w:tc>
        <w:tc>
          <w:tcPr>
            <w:tcW w:w="1494" w:type="pct"/>
            <w:vAlign w:val="center"/>
          </w:tcPr>
          <w:p w14:paraId="10135CAE">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108.63076568</w:t>
            </w:r>
          </w:p>
        </w:tc>
      </w:tr>
      <w:tr w14:paraId="217D07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0D20D3EC">
            <w:pPr>
              <w:spacing w:line="240" w:lineRule="auto"/>
              <w:ind w:firstLine="420"/>
              <w:jc w:val="center"/>
              <w:rPr>
                <w:color w:val="000000" w:themeColor="text1"/>
                <w:sz w:val="21"/>
                <w:szCs w:val="21"/>
                <w14:textFill>
                  <w14:solidFill>
                    <w14:schemeClr w14:val="tx1"/>
                  </w14:solidFill>
                </w14:textFill>
              </w:rPr>
            </w:pPr>
          </w:p>
        </w:tc>
        <w:tc>
          <w:tcPr>
            <w:tcW w:w="2451" w:type="pct"/>
            <w:vAlign w:val="center"/>
          </w:tcPr>
          <w:p w14:paraId="1A8AE1D9">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事故源纬度/(°)</w:t>
            </w:r>
          </w:p>
        </w:tc>
        <w:tc>
          <w:tcPr>
            <w:tcW w:w="1494" w:type="pct"/>
            <w:vAlign w:val="center"/>
          </w:tcPr>
          <w:p w14:paraId="26F658AF">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21.71193521</w:t>
            </w:r>
          </w:p>
        </w:tc>
      </w:tr>
      <w:tr w14:paraId="2ED26C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055" w:type="pct"/>
            <w:vMerge w:val="continue"/>
            <w:vAlign w:val="center"/>
          </w:tcPr>
          <w:p w14:paraId="676FD986">
            <w:pPr>
              <w:spacing w:line="240" w:lineRule="auto"/>
              <w:ind w:firstLine="420"/>
              <w:jc w:val="center"/>
              <w:rPr>
                <w:color w:val="000000" w:themeColor="text1"/>
                <w:sz w:val="21"/>
                <w:szCs w:val="21"/>
                <w14:textFill>
                  <w14:solidFill>
                    <w14:schemeClr w14:val="tx1"/>
                  </w14:solidFill>
                </w14:textFill>
              </w:rPr>
            </w:pPr>
          </w:p>
        </w:tc>
        <w:tc>
          <w:tcPr>
            <w:tcW w:w="2451" w:type="pct"/>
            <w:vAlign w:val="center"/>
          </w:tcPr>
          <w:p w14:paraId="1C29F409">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事故源类型</w:t>
            </w:r>
          </w:p>
        </w:tc>
        <w:tc>
          <w:tcPr>
            <w:tcW w:w="1494" w:type="pct"/>
            <w:vAlign w:val="center"/>
          </w:tcPr>
          <w:p w14:paraId="290CE654">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泄漏、火灾</w:t>
            </w:r>
          </w:p>
        </w:tc>
      </w:tr>
      <w:tr w14:paraId="36B4FE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restart"/>
            <w:vAlign w:val="center"/>
          </w:tcPr>
          <w:p w14:paraId="0C53CFBD">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气象参数</w:t>
            </w:r>
          </w:p>
        </w:tc>
        <w:tc>
          <w:tcPr>
            <w:tcW w:w="2451" w:type="pct"/>
            <w:vAlign w:val="center"/>
          </w:tcPr>
          <w:p w14:paraId="435648D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气象条件类型</w:t>
            </w:r>
          </w:p>
        </w:tc>
        <w:tc>
          <w:tcPr>
            <w:tcW w:w="1494" w:type="pct"/>
            <w:vAlign w:val="center"/>
          </w:tcPr>
          <w:p w14:paraId="52888E84">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最不利气象</w:t>
            </w:r>
          </w:p>
        </w:tc>
      </w:tr>
      <w:tr w14:paraId="180EE9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0907775E">
            <w:pPr>
              <w:spacing w:line="240" w:lineRule="auto"/>
              <w:ind w:firstLine="420"/>
              <w:jc w:val="center"/>
              <w:rPr>
                <w:color w:val="000000" w:themeColor="text1"/>
                <w:sz w:val="21"/>
                <w:szCs w:val="21"/>
                <w14:textFill>
                  <w14:solidFill>
                    <w14:schemeClr w14:val="tx1"/>
                  </w14:solidFill>
                </w14:textFill>
              </w:rPr>
            </w:pPr>
          </w:p>
        </w:tc>
        <w:tc>
          <w:tcPr>
            <w:tcW w:w="2451" w:type="pct"/>
            <w:vAlign w:val="center"/>
          </w:tcPr>
          <w:p w14:paraId="357DD51E">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风速/（m/s）</w:t>
            </w:r>
          </w:p>
        </w:tc>
        <w:tc>
          <w:tcPr>
            <w:tcW w:w="1494" w:type="pct"/>
            <w:vAlign w:val="center"/>
          </w:tcPr>
          <w:p w14:paraId="1EB57E4D">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r>
      <w:tr w14:paraId="5A465B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055" w:type="pct"/>
            <w:vMerge w:val="continue"/>
            <w:vAlign w:val="center"/>
          </w:tcPr>
          <w:p w14:paraId="30885E3F">
            <w:pPr>
              <w:spacing w:line="240" w:lineRule="auto"/>
              <w:ind w:firstLine="420"/>
              <w:jc w:val="center"/>
              <w:rPr>
                <w:color w:val="000000" w:themeColor="text1"/>
                <w:sz w:val="21"/>
                <w:szCs w:val="21"/>
                <w14:textFill>
                  <w14:solidFill>
                    <w14:schemeClr w14:val="tx1"/>
                  </w14:solidFill>
                </w14:textFill>
              </w:rPr>
            </w:pPr>
          </w:p>
        </w:tc>
        <w:tc>
          <w:tcPr>
            <w:tcW w:w="2451" w:type="pct"/>
            <w:vAlign w:val="center"/>
          </w:tcPr>
          <w:p w14:paraId="733FF11F">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环境温度/C</w:t>
            </w:r>
          </w:p>
        </w:tc>
        <w:tc>
          <w:tcPr>
            <w:tcW w:w="1494" w:type="pct"/>
            <w:vAlign w:val="center"/>
          </w:tcPr>
          <w:p w14:paraId="2EB3E0F5">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25</w:t>
            </w:r>
          </w:p>
        </w:tc>
      </w:tr>
      <w:tr w14:paraId="200EC4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609E1577">
            <w:pPr>
              <w:spacing w:line="240" w:lineRule="auto"/>
              <w:ind w:firstLine="420"/>
              <w:jc w:val="center"/>
              <w:rPr>
                <w:color w:val="000000" w:themeColor="text1"/>
                <w:sz w:val="21"/>
                <w:szCs w:val="21"/>
                <w14:textFill>
                  <w14:solidFill>
                    <w14:schemeClr w14:val="tx1"/>
                  </w14:solidFill>
                </w14:textFill>
              </w:rPr>
            </w:pPr>
          </w:p>
        </w:tc>
        <w:tc>
          <w:tcPr>
            <w:tcW w:w="2451" w:type="pct"/>
            <w:vAlign w:val="center"/>
          </w:tcPr>
          <w:p w14:paraId="2061E5B7">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相对湿度/%</w:t>
            </w:r>
          </w:p>
        </w:tc>
        <w:tc>
          <w:tcPr>
            <w:tcW w:w="1494" w:type="pct"/>
            <w:vAlign w:val="center"/>
          </w:tcPr>
          <w:p w14:paraId="5EE90357">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w:t>
            </w:r>
          </w:p>
        </w:tc>
      </w:tr>
      <w:tr w14:paraId="41B1AE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6C51A6F2">
            <w:pPr>
              <w:spacing w:line="240" w:lineRule="auto"/>
              <w:ind w:firstLine="420"/>
              <w:jc w:val="center"/>
              <w:rPr>
                <w:color w:val="000000" w:themeColor="text1"/>
                <w:sz w:val="21"/>
                <w:szCs w:val="21"/>
                <w14:textFill>
                  <w14:solidFill>
                    <w14:schemeClr w14:val="tx1"/>
                  </w14:solidFill>
                </w14:textFill>
              </w:rPr>
            </w:pPr>
          </w:p>
        </w:tc>
        <w:tc>
          <w:tcPr>
            <w:tcW w:w="2451" w:type="pct"/>
            <w:vAlign w:val="center"/>
          </w:tcPr>
          <w:p w14:paraId="238C6C8D">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稳定度</w:t>
            </w:r>
          </w:p>
        </w:tc>
        <w:tc>
          <w:tcPr>
            <w:tcW w:w="1494" w:type="pct"/>
            <w:vAlign w:val="center"/>
          </w:tcPr>
          <w:p w14:paraId="5D938BAF">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F稳定度</w:t>
            </w:r>
          </w:p>
        </w:tc>
      </w:tr>
      <w:tr w14:paraId="49D0AA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055" w:type="pct"/>
            <w:vMerge w:val="restart"/>
            <w:vAlign w:val="center"/>
          </w:tcPr>
          <w:p w14:paraId="7A27690E">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其他参数</w:t>
            </w:r>
          </w:p>
        </w:tc>
        <w:tc>
          <w:tcPr>
            <w:tcW w:w="2451" w:type="pct"/>
            <w:vAlign w:val="center"/>
          </w:tcPr>
          <w:p w14:paraId="719CA417">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地表粗糙度/m</w:t>
            </w:r>
          </w:p>
        </w:tc>
        <w:tc>
          <w:tcPr>
            <w:tcW w:w="1494" w:type="pct"/>
            <w:vAlign w:val="center"/>
          </w:tcPr>
          <w:p w14:paraId="53E9F4A8">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0.3</w:t>
            </w:r>
          </w:p>
        </w:tc>
      </w:tr>
      <w:tr w14:paraId="08F130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3F645417">
            <w:pPr>
              <w:spacing w:line="240" w:lineRule="auto"/>
              <w:ind w:firstLine="420"/>
              <w:jc w:val="center"/>
              <w:rPr>
                <w:color w:val="000000" w:themeColor="text1"/>
                <w:sz w:val="21"/>
                <w:szCs w:val="21"/>
                <w14:textFill>
                  <w14:solidFill>
                    <w14:schemeClr w14:val="tx1"/>
                  </w14:solidFill>
                </w14:textFill>
              </w:rPr>
            </w:pPr>
          </w:p>
        </w:tc>
        <w:tc>
          <w:tcPr>
            <w:tcW w:w="2451" w:type="pct"/>
            <w:vAlign w:val="center"/>
          </w:tcPr>
          <w:p w14:paraId="7C3C6E13">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是否考虑地形</w:t>
            </w:r>
          </w:p>
        </w:tc>
        <w:tc>
          <w:tcPr>
            <w:tcW w:w="1494" w:type="pct"/>
            <w:vAlign w:val="center"/>
          </w:tcPr>
          <w:p w14:paraId="11D352EE">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r>
      <w:tr w14:paraId="294729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2" w:hRule="atLeast"/>
          <w:jc w:val="center"/>
        </w:trPr>
        <w:tc>
          <w:tcPr>
            <w:tcW w:w="1055" w:type="pct"/>
            <w:vMerge w:val="continue"/>
            <w:vAlign w:val="center"/>
          </w:tcPr>
          <w:p w14:paraId="47C0F167">
            <w:pPr>
              <w:spacing w:line="240" w:lineRule="auto"/>
              <w:ind w:firstLine="420"/>
              <w:jc w:val="center"/>
              <w:rPr>
                <w:color w:val="000000" w:themeColor="text1"/>
                <w:sz w:val="21"/>
                <w:szCs w:val="21"/>
                <w14:textFill>
                  <w14:solidFill>
                    <w14:schemeClr w14:val="tx1"/>
                  </w14:solidFill>
                </w14:textFill>
              </w:rPr>
            </w:pPr>
          </w:p>
        </w:tc>
        <w:tc>
          <w:tcPr>
            <w:tcW w:w="2451" w:type="pct"/>
            <w:vAlign w:val="center"/>
          </w:tcPr>
          <w:p w14:paraId="303D6743">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地形数据精度</w:t>
            </w:r>
          </w:p>
        </w:tc>
        <w:tc>
          <w:tcPr>
            <w:tcW w:w="1494" w:type="pct"/>
            <w:vAlign w:val="center"/>
          </w:tcPr>
          <w:p w14:paraId="7FB26E3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90</w:t>
            </w:r>
          </w:p>
        </w:tc>
      </w:tr>
    </w:tbl>
    <w:p w14:paraId="79CB833A">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危险物质大气毒性终点浓度选取值</w:t>
      </w:r>
    </w:p>
    <w:tbl>
      <w:tblPr>
        <w:tblStyle w:val="43"/>
        <w:tblW w:w="493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53"/>
        <w:gridCol w:w="2023"/>
        <w:gridCol w:w="2535"/>
        <w:gridCol w:w="2507"/>
      </w:tblGrid>
      <w:tr w14:paraId="77BDF3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3" w:type="pct"/>
            <w:vAlign w:val="center"/>
          </w:tcPr>
          <w:p w14:paraId="74CE39A1">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污染物</w:t>
            </w:r>
          </w:p>
        </w:tc>
        <w:tc>
          <w:tcPr>
            <w:tcW w:w="1201" w:type="pct"/>
            <w:vAlign w:val="center"/>
          </w:tcPr>
          <w:p w14:paraId="7707C5BF">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相对蒸</w:t>
            </w:r>
            <w:r>
              <w:rPr>
                <w:rFonts w:hint="eastAsia"/>
                <w:color w:val="000000" w:themeColor="text1"/>
                <w:sz w:val="21"/>
                <w:szCs w:val="21"/>
                <w14:textFill>
                  <w14:solidFill>
                    <w14:schemeClr w14:val="tx1"/>
                  </w14:solidFill>
                </w14:textFill>
              </w:rPr>
              <w:t>气</w:t>
            </w:r>
            <w:r>
              <w:rPr>
                <w:color w:val="000000" w:themeColor="text1"/>
                <w:sz w:val="21"/>
                <w:szCs w:val="21"/>
                <w14:textFill>
                  <w14:solidFill>
                    <w14:schemeClr w14:val="tx1"/>
                  </w14:solidFill>
                </w14:textFill>
              </w:rPr>
              <w:t>密度（kg/m</w:t>
            </w:r>
            <w:r>
              <w:rPr>
                <w:color w:val="000000" w:themeColor="text1"/>
                <w:sz w:val="21"/>
                <w:szCs w:val="21"/>
                <w:vertAlign w:val="superscript"/>
                <w14:textFill>
                  <w14:solidFill>
                    <w14:schemeClr w14:val="tx1"/>
                  </w14:solidFill>
                </w14:textFill>
              </w:rPr>
              <w:t>3</w:t>
            </w:r>
            <w:r>
              <w:rPr>
                <w:color w:val="000000" w:themeColor="text1"/>
                <w:sz w:val="21"/>
                <w:szCs w:val="21"/>
                <w14:textFill>
                  <w14:solidFill>
                    <w14:schemeClr w14:val="tx1"/>
                  </w14:solidFill>
                </w14:textFill>
              </w:rPr>
              <w:t>）</w:t>
            </w:r>
          </w:p>
        </w:tc>
        <w:tc>
          <w:tcPr>
            <w:tcW w:w="1505" w:type="pct"/>
            <w:vAlign w:val="center"/>
          </w:tcPr>
          <w:p w14:paraId="3C82036F">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毒性终点浓度-1（mg/m</w:t>
            </w:r>
            <w:r>
              <w:rPr>
                <w:color w:val="000000" w:themeColor="text1"/>
                <w:sz w:val="21"/>
                <w:szCs w:val="21"/>
                <w:vertAlign w:val="superscript"/>
                <w14:textFill>
                  <w14:solidFill>
                    <w14:schemeClr w14:val="tx1"/>
                  </w14:solidFill>
                </w14:textFill>
              </w:rPr>
              <w:t>3</w:t>
            </w:r>
            <w:r>
              <w:rPr>
                <w:color w:val="000000" w:themeColor="text1"/>
                <w:sz w:val="21"/>
                <w:szCs w:val="21"/>
                <w14:textFill>
                  <w14:solidFill>
                    <w14:schemeClr w14:val="tx1"/>
                  </w14:solidFill>
                </w14:textFill>
              </w:rPr>
              <w:t>）</w:t>
            </w:r>
          </w:p>
        </w:tc>
        <w:tc>
          <w:tcPr>
            <w:tcW w:w="1488" w:type="pct"/>
            <w:vAlign w:val="center"/>
          </w:tcPr>
          <w:p w14:paraId="4D40B7A0">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毒性终点浓度-2（mg/m</w:t>
            </w:r>
            <w:r>
              <w:rPr>
                <w:color w:val="000000" w:themeColor="text1"/>
                <w:sz w:val="21"/>
                <w:szCs w:val="21"/>
                <w:vertAlign w:val="superscript"/>
                <w14:textFill>
                  <w14:solidFill>
                    <w14:schemeClr w14:val="tx1"/>
                  </w14:solidFill>
                </w14:textFill>
              </w:rPr>
              <w:t>3</w:t>
            </w:r>
            <w:r>
              <w:rPr>
                <w:color w:val="000000" w:themeColor="text1"/>
                <w:sz w:val="21"/>
                <w:szCs w:val="21"/>
                <w14:textFill>
                  <w14:solidFill>
                    <w14:schemeClr w14:val="tx1"/>
                  </w14:solidFill>
                </w14:textFill>
              </w:rPr>
              <w:t>）</w:t>
            </w:r>
          </w:p>
        </w:tc>
      </w:tr>
      <w:tr w14:paraId="11C5C5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3" w:type="pct"/>
            <w:vAlign w:val="center"/>
          </w:tcPr>
          <w:p w14:paraId="153C7F8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CO</w:t>
            </w:r>
          </w:p>
        </w:tc>
        <w:tc>
          <w:tcPr>
            <w:tcW w:w="1201" w:type="pct"/>
            <w:vAlign w:val="center"/>
          </w:tcPr>
          <w:p w14:paraId="656268D6">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0.97</w:t>
            </w:r>
          </w:p>
        </w:tc>
        <w:tc>
          <w:tcPr>
            <w:tcW w:w="1505" w:type="pct"/>
            <w:vAlign w:val="center"/>
          </w:tcPr>
          <w:p w14:paraId="3DF9B584">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380</w:t>
            </w:r>
          </w:p>
        </w:tc>
        <w:tc>
          <w:tcPr>
            <w:tcW w:w="1488" w:type="pct"/>
            <w:vAlign w:val="center"/>
          </w:tcPr>
          <w:p w14:paraId="4FBBBBD3">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95</w:t>
            </w:r>
          </w:p>
        </w:tc>
      </w:tr>
    </w:tbl>
    <w:p w14:paraId="37EB06E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2、预测结果</w:t>
      </w:r>
    </w:p>
    <w:p w14:paraId="1648E41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由预测结果可知，在最不利气象条件（F类稳定度，1.5m/s风速，温度25</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，相对湿度50%）下，苯乙烯泄漏并发生火灾伴生CO事故，CO浓度达到大气毒性终点浓度-1（380mg/m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）的最大影响范围约为32m，达到大气毒性终点浓度-2（95mg/m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）的最大影响范围约为16m，该范围内主要影响人群为码头及周边企业职工。</w:t>
      </w:r>
    </w:p>
    <w:p w14:paraId="7B98E8B6">
      <w:pPr>
        <w:ind w:firstLine="480"/>
        <w:rPr>
          <w:color w:val="000000" w:themeColor="text1"/>
          <w14:textFill>
            <w14:solidFill>
              <w14:schemeClr w14:val="tx1"/>
            </w14:solidFill>
          </w14:textFill>
        </w:rPr>
      </w:pPr>
      <w:r>
        <w:rPr>
          <w:color w:val="000000" w:themeColor="text1"/>
          <w14:textFill>
            <w14:solidFill>
              <w14:schemeClr w14:val="tx1"/>
            </w14:solidFill>
          </w14:textFill>
        </w:rPr>
        <w:t>事故发生后，预测到达</w:t>
      </w:r>
      <w:r>
        <w:rPr>
          <w:rFonts w:hint="eastAsia"/>
          <w:color w:val="000000" w:themeColor="text1"/>
          <w14:textFill>
            <w14:solidFill>
              <w14:schemeClr w14:val="tx1"/>
            </w14:solidFill>
          </w14:textFill>
        </w:rPr>
        <w:t>居民点</w:t>
      </w:r>
      <w:r>
        <w:rPr>
          <w:color w:val="000000" w:themeColor="text1"/>
          <w14:textFill>
            <w14:solidFill>
              <w14:schemeClr w14:val="tx1"/>
            </w14:solidFill>
          </w14:textFill>
        </w:rPr>
        <w:t>的</w:t>
      </w:r>
      <w:r>
        <w:rPr>
          <w:rFonts w:hint="eastAsia"/>
          <w:color w:val="000000" w:themeColor="text1"/>
          <w14:textFill>
            <w14:solidFill>
              <w14:schemeClr w14:val="tx1"/>
            </w14:solidFill>
          </w14:textFill>
        </w:rPr>
        <w:t>CO最大</w:t>
      </w:r>
      <w:r>
        <w:rPr>
          <w:color w:val="000000" w:themeColor="text1"/>
          <w14:textFill>
            <w14:solidFill>
              <w14:schemeClr w14:val="tx1"/>
            </w14:solidFill>
          </w14:textFill>
        </w:rPr>
        <w:t>贡献值</w:t>
      </w:r>
      <w:r>
        <w:rPr>
          <w:rFonts w:hint="eastAsia"/>
          <w:color w:val="000000" w:themeColor="text1"/>
          <w14:textFill>
            <w14:solidFill>
              <w14:schemeClr w14:val="tx1"/>
            </w14:solidFill>
          </w14:textFill>
        </w:rPr>
        <w:t>出现在淡水湾村，浓度为0.02mg/m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均未超出</w:t>
      </w:r>
      <w:r>
        <w:rPr>
          <w:color w:val="000000" w:themeColor="text1"/>
          <w14:textFill>
            <w14:solidFill>
              <w14:schemeClr w14:val="tx1"/>
            </w14:solidFill>
          </w14:textFill>
        </w:rPr>
        <w:t>大气毒性终点浓度-1</w:t>
      </w:r>
      <w:r>
        <w:rPr>
          <w:rFonts w:hint="eastAsia"/>
          <w:color w:val="000000" w:themeColor="text1"/>
          <w14:textFill>
            <w14:solidFill>
              <w14:schemeClr w14:val="tx1"/>
            </w14:solidFill>
          </w14:textFill>
        </w:rPr>
        <w:t>及</w:t>
      </w:r>
      <w:r>
        <w:rPr>
          <w:color w:val="000000" w:themeColor="text1"/>
          <w14:textFill>
            <w14:solidFill>
              <w14:schemeClr w14:val="tx1"/>
            </w14:solidFill>
          </w14:textFill>
        </w:rPr>
        <w:t>大气毒性终点浓度-</w:t>
      </w:r>
      <w:r>
        <w:rPr>
          <w:rFonts w:hint="eastAsia"/>
          <w:color w:val="000000" w:themeColor="text1"/>
          <w14:textFill>
            <w14:solidFill>
              <w14:schemeClr w14:val="tx1"/>
            </w14:solidFill>
          </w14:textFill>
        </w:rPr>
        <w:t>2范围。</w:t>
      </w:r>
      <w:r>
        <w:rPr>
          <w:bCs/>
          <w:color w:val="000000" w:themeColor="text1"/>
          <w14:textFill>
            <w14:solidFill>
              <w14:schemeClr w14:val="tx1"/>
            </w14:solidFill>
          </w14:textFill>
        </w:rPr>
        <w:t>项目</w:t>
      </w:r>
      <w:r>
        <w:rPr>
          <w:rFonts w:hint="eastAsia"/>
          <w:color w:val="000000" w:themeColor="text1"/>
          <w14:textFill>
            <w14:solidFill>
              <w14:schemeClr w14:val="tx1"/>
            </w14:solidFill>
          </w14:textFill>
        </w:rPr>
        <w:t>CO</w:t>
      </w:r>
      <w:r>
        <w:rPr>
          <w:rFonts w:hint="eastAsia"/>
          <w:bCs/>
          <w:color w:val="000000" w:themeColor="text1"/>
          <w14:textFill>
            <w14:solidFill>
              <w14:schemeClr w14:val="tx1"/>
            </w14:solidFill>
          </w14:textFill>
        </w:rPr>
        <w:t>泄漏</w:t>
      </w:r>
      <w:r>
        <w:rPr>
          <w:bCs/>
          <w:color w:val="000000" w:themeColor="text1"/>
          <w14:textFill>
            <w14:solidFill>
              <w14:schemeClr w14:val="tx1"/>
            </w14:solidFill>
          </w14:textFill>
        </w:rPr>
        <w:t>对项目周边环境影响较</w:t>
      </w:r>
      <w:r>
        <w:rPr>
          <w:rFonts w:hint="eastAsia"/>
          <w:bCs/>
          <w:color w:val="000000" w:themeColor="text1"/>
          <w14:textFill>
            <w14:solidFill>
              <w14:schemeClr w14:val="tx1"/>
            </w14:solidFill>
          </w14:textFill>
        </w:rPr>
        <w:t>小</w:t>
      </w:r>
      <w:r>
        <w:rPr>
          <w:bCs/>
          <w:color w:val="000000" w:themeColor="text1"/>
          <w14:textFill>
            <w14:solidFill>
              <w14:schemeClr w14:val="tx1"/>
            </w14:solidFill>
          </w14:textFill>
        </w:rPr>
        <w:t>。</w:t>
      </w:r>
      <w:r>
        <w:rPr>
          <w:rFonts w:hint="eastAsia"/>
          <w:color w:val="000000" w:themeColor="text1"/>
          <w14:textFill>
            <w14:solidFill>
              <w14:schemeClr w14:val="tx1"/>
            </w14:solidFill>
          </w14:textFill>
        </w:rPr>
        <w:t>一旦发生事故后，应立即采取相关防护措施，及时启动应急预案，减缓事故对厂区周边敏感点的影响。</w:t>
      </w:r>
    </w:p>
    <w:p w14:paraId="56FB6D7C">
      <w:pPr>
        <w:ind w:firstLine="480"/>
        <w:rPr>
          <w:color w:val="000000" w:themeColor="text1"/>
          <w14:textFill>
            <w14:solidFill>
              <w14:schemeClr w14:val="tx1"/>
            </w14:solidFill>
          </w14:textFill>
        </w:rPr>
      </w:pPr>
    </w:p>
    <w:p w14:paraId="0E478EEE">
      <w:pPr>
        <w:ind w:firstLine="480"/>
        <w:rPr>
          <w:color w:val="000000" w:themeColor="text1"/>
          <w14:textFill>
            <w14:solidFill>
              <w14:schemeClr w14:val="tx1"/>
            </w14:solidFill>
          </w14:textFill>
        </w:rPr>
      </w:pPr>
    </w:p>
    <w:p w14:paraId="761AFD93">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下风向不同距离</w:t>
      </w:r>
      <w:r>
        <w:rPr>
          <w:rFonts w:hint="eastAsia"/>
          <w:color w:val="000000" w:themeColor="text1"/>
          <w14:textFill>
            <w14:solidFill>
              <w14:schemeClr w14:val="tx1"/>
            </w14:solidFill>
          </w14:textFill>
        </w:rPr>
        <w:t>CO</w:t>
      </w:r>
      <w:r>
        <w:rPr>
          <w:color w:val="000000" w:themeColor="text1"/>
          <w14:textFill>
            <w14:solidFill>
              <w14:schemeClr w14:val="tx1"/>
            </w14:solidFill>
          </w14:textFill>
        </w:rPr>
        <w:t>的最大浓度</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338"/>
        <w:gridCol w:w="2811"/>
        <w:gridCol w:w="3373"/>
      </w:tblGrid>
      <w:tr w14:paraId="5AF219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2338" w:type="dxa"/>
            <w:vAlign w:val="center"/>
          </w:tcPr>
          <w:p w14:paraId="70173C10">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下风向距离（m）</w:t>
            </w:r>
          </w:p>
        </w:tc>
        <w:tc>
          <w:tcPr>
            <w:tcW w:w="2811" w:type="dxa"/>
            <w:vAlign w:val="center"/>
          </w:tcPr>
          <w:p w14:paraId="1D7F0A7E">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浓度出现时间（min）</w:t>
            </w:r>
          </w:p>
        </w:tc>
        <w:tc>
          <w:tcPr>
            <w:tcW w:w="3373" w:type="dxa"/>
            <w:vAlign w:val="center"/>
          </w:tcPr>
          <w:p w14:paraId="2CBC6514">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下风向高峰浓度（mg/m</w:t>
            </w:r>
            <w:r>
              <w:rPr>
                <w:color w:val="000000" w:themeColor="text1"/>
                <w:kern w:val="0"/>
                <w:sz w:val="21"/>
                <w:szCs w:val="21"/>
                <w:vertAlign w:val="superscript"/>
                <w14:textFill>
                  <w14:solidFill>
                    <w14:schemeClr w14:val="tx1"/>
                  </w14:solidFill>
                </w14:textFill>
              </w:rPr>
              <w:t>3</w:t>
            </w:r>
            <w:r>
              <w:rPr>
                <w:color w:val="000000" w:themeColor="text1"/>
                <w:kern w:val="0"/>
                <w:sz w:val="21"/>
                <w:szCs w:val="21"/>
                <w14:textFill>
                  <w14:solidFill>
                    <w14:schemeClr w14:val="tx1"/>
                  </w14:solidFill>
                </w14:textFill>
              </w:rPr>
              <w:t>）</w:t>
            </w:r>
          </w:p>
        </w:tc>
      </w:tr>
      <w:tr w14:paraId="7CB10A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5D9B76C8">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2811" w:type="dxa"/>
            <w:shd w:val="clear" w:color="000000" w:fill="FFFFFF"/>
            <w:vAlign w:val="center"/>
          </w:tcPr>
          <w:p w14:paraId="36C3E5AB">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0.08 </w:t>
            </w:r>
          </w:p>
        </w:tc>
        <w:tc>
          <w:tcPr>
            <w:tcW w:w="3373" w:type="dxa"/>
            <w:shd w:val="clear" w:color="000000" w:fill="FFFFFF"/>
            <w:vAlign w:val="center"/>
          </w:tcPr>
          <w:p w14:paraId="7E587A16">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2220.80 </w:t>
            </w:r>
          </w:p>
        </w:tc>
      </w:tr>
      <w:tr w14:paraId="3EE05B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29C67DD7">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c>
          <w:tcPr>
            <w:tcW w:w="2811" w:type="dxa"/>
            <w:shd w:val="clear" w:color="000000" w:fill="FFFFFF"/>
            <w:vAlign w:val="center"/>
          </w:tcPr>
          <w:p w14:paraId="2202CF12">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0.17 </w:t>
            </w:r>
          </w:p>
        </w:tc>
        <w:tc>
          <w:tcPr>
            <w:tcW w:w="3373" w:type="dxa"/>
            <w:shd w:val="clear" w:color="000000" w:fill="FFFFFF"/>
            <w:vAlign w:val="center"/>
          </w:tcPr>
          <w:p w14:paraId="3946625C">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570.34 </w:t>
            </w:r>
          </w:p>
        </w:tc>
      </w:tr>
      <w:tr w14:paraId="75B0E8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1DFD5982">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w:t>
            </w:r>
          </w:p>
        </w:tc>
        <w:tc>
          <w:tcPr>
            <w:tcW w:w="2811" w:type="dxa"/>
            <w:shd w:val="clear" w:color="000000" w:fill="FFFFFF"/>
            <w:vAlign w:val="center"/>
          </w:tcPr>
          <w:p w14:paraId="308CB214">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0.42 </w:t>
            </w:r>
          </w:p>
        </w:tc>
        <w:tc>
          <w:tcPr>
            <w:tcW w:w="3373" w:type="dxa"/>
            <w:shd w:val="clear" w:color="000000" w:fill="FFFFFF"/>
            <w:vAlign w:val="center"/>
          </w:tcPr>
          <w:p w14:paraId="7511723C">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119.80 </w:t>
            </w:r>
          </w:p>
        </w:tc>
      </w:tr>
      <w:tr w14:paraId="0C108F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4113D46F">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2811" w:type="dxa"/>
            <w:shd w:val="clear" w:color="000000" w:fill="FFFFFF"/>
            <w:vAlign w:val="center"/>
          </w:tcPr>
          <w:p w14:paraId="783B043B">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0.83 </w:t>
            </w:r>
          </w:p>
        </w:tc>
        <w:tc>
          <w:tcPr>
            <w:tcW w:w="3373" w:type="dxa"/>
            <w:shd w:val="clear" w:color="000000" w:fill="FFFFFF"/>
            <w:vAlign w:val="center"/>
          </w:tcPr>
          <w:p w14:paraId="59BF6705">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27.58 </w:t>
            </w:r>
          </w:p>
        </w:tc>
      </w:tr>
      <w:tr w14:paraId="72242D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06359794">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w:t>
            </w:r>
          </w:p>
        </w:tc>
        <w:tc>
          <w:tcPr>
            <w:tcW w:w="2811" w:type="dxa"/>
            <w:shd w:val="clear" w:color="000000" w:fill="FFFFFF"/>
            <w:vAlign w:val="center"/>
          </w:tcPr>
          <w:p w14:paraId="673B4846">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1.67 </w:t>
            </w:r>
          </w:p>
        </w:tc>
        <w:tc>
          <w:tcPr>
            <w:tcW w:w="3373" w:type="dxa"/>
            <w:shd w:val="clear" w:color="000000" w:fill="FFFFFF"/>
            <w:vAlign w:val="center"/>
          </w:tcPr>
          <w:p w14:paraId="6CF7169A">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6.01 </w:t>
            </w:r>
          </w:p>
        </w:tc>
      </w:tr>
      <w:tr w14:paraId="27F2BD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33F6BE05">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2811" w:type="dxa"/>
            <w:shd w:val="clear" w:color="000000" w:fill="FFFFFF"/>
            <w:vAlign w:val="center"/>
          </w:tcPr>
          <w:p w14:paraId="1A8F3D72">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2.50 </w:t>
            </w:r>
          </w:p>
        </w:tc>
        <w:tc>
          <w:tcPr>
            <w:tcW w:w="3373" w:type="dxa"/>
            <w:shd w:val="clear" w:color="000000" w:fill="FFFFFF"/>
            <w:vAlign w:val="center"/>
          </w:tcPr>
          <w:p w14:paraId="2C4B6434">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2.45 </w:t>
            </w:r>
          </w:p>
        </w:tc>
      </w:tr>
      <w:tr w14:paraId="3DDEFA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52F18F72">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400</w:t>
            </w:r>
          </w:p>
        </w:tc>
        <w:tc>
          <w:tcPr>
            <w:tcW w:w="2811" w:type="dxa"/>
            <w:shd w:val="clear" w:color="000000" w:fill="FFFFFF"/>
            <w:vAlign w:val="center"/>
          </w:tcPr>
          <w:p w14:paraId="12E68E8B">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3.33 </w:t>
            </w:r>
          </w:p>
        </w:tc>
        <w:tc>
          <w:tcPr>
            <w:tcW w:w="3373" w:type="dxa"/>
            <w:shd w:val="clear" w:color="000000" w:fill="FFFFFF"/>
            <w:vAlign w:val="center"/>
          </w:tcPr>
          <w:p w14:paraId="533FB93E">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1.30 </w:t>
            </w:r>
          </w:p>
        </w:tc>
      </w:tr>
      <w:tr w14:paraId="3E47AE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4B08064E">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500</w:t>
            </w:r>
          </w:p>
        </w:tc>
        <w:tc>
          <w:tcPr>
            <w:tcW w:w="2811" w:type="dxa"/>
            <w:shd w:val="clear" w:color="000000" w:fill="FFFFFF"/>
            <w:vAlign w:val="center"/>
          </w:tcPr>
          <w:p w14:paraId="0B854D67">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4.17 </w:t>
            </w:r>
          </w:p>
        </w:tc>
        <w:tc>
          <w:tcPr>
            <w:tcW w:w="3373" w:type="dxa"/>
            <w:shd w:val="clear" w:color="000000" w:fill="FFFFFF"/>
            <w:vAlign w:val="center"/>
          </w:tcPr>
          <w:p w14:paraId="2B0BE3E9">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0.79 </w:t>
            </w:r>
          </w:p>
        </w:tc>
      </w:tr>
      <w:tr w14:paraId="272978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2DF0841D">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1000</w:t>
            </w:r>
          </w:p>
        </w:tc>
        <w:tc>
          <w:tcPr>
            <w:tcW w:w="2811" w:type="dxa"/>
            <w:shd w:val="clear" w:color="000000" w:fill="FFFFFF"/>
            <w:vAlign w:val="center"/>
          </w:tcPr>
          <w:p w14:paraId="403DC677">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8.33 </w:t>
            </w:r>
          </w:p>
        </w:tc>
        <w:tc>
          <w:tcPr>
            <w:tcW w:w="3373" w:type="dxa"/>
            <w:shd w:val="clear" w:color="000000" w:fill="FFFFFF"/>
            <w:vAlign w:val="center"/>
          </w:tcPr>
          <w:p w14:paraId="53A925AA">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0.14 </w:t>
            </w:r>
          </w:p>
        </w:tc>
      </w:tr>
      <w:tr w14:paraId="590B17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46DB87DB">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1500</w:t>
            </w:r>
          </w:p>
        </w:tc>
        <w:tc>
          <w:tcPr>
            <w:tcW w:w="2811" w:type="dxa"/>
            <w:shd w:val="clear" w:color="000000" w:fill="FFFFFF"/>
            <w:vAlign w:val="center"/>
          </w:tcPr>
          <w:p w14:paraId="2879AF89">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12.50 </w:t>
            </w:r>
          </w:p>
        </w:tc>
        <w:tc>
          <w:tcPr>
            <w:tcW w:w="3373" w:type="dxa"/>
            <w:shd w:val="clear" w:color="000000" w:fill="FFFFFF"/>
            <w:vAlign w:val="center"/>
          </w:tcPr>
          <w:p w14:paraId="06018FF7">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0.04 </w:t>
            </w:r>
          </w:p>
        </w:tc>
      </w:tr>
      <w:tr w14:paraId="1D0FDA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78715C11">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2000</w:t>
            </w:r>
          </w:p>
        </w:tc>
        <w:tc>
          <w:tcPr>
            <w:tcW w:w="2811" w:type="dxa"/>
            <w:shd w:val="clear" w:color="000000" w:fill="FFFFFF"/>
            <w:vAlign w:val="center"/>
          </w:tcPr>
          <w:p w14:paraId="0AFE7393">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23.67 </w:t>
            </w:r>
          </w:p>
        </w:tc>
        <w:tc>
          <w:tcPr>
            <w:tcW w:w="3373" w:type="dxa"/>
            <w:shd w:val="clear" w:color="000000" w:fill="FFFFFF"/>
            <w:vAlign w:val="center"/>
          </w:tcPr>
          <w:p w14:paraId="752A0E71">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0.02 </w:t>
            </w:r>
          </w:p>
        </w:tc>
      </w:tr>
      <w:tr w14:paraId="33E5DB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4DA2B2E7">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3000</w:t>
            </w:r>
          </w:p>
        </w:tc>
        <w:tc>
          <w:tcPr>
            <w:tcW w:w="2811" w:type="dxa"/>
            <w:shd w:val="clear" w:color="000000" w:fill="FFFFFF"/>
            <w:vAlign w:val="center"/>
          </w:tcPr>
          <w:p w14:paraId="7BA21138">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32.00 </w:t>
            </w:r>
          </w:p>
        </w:tc>
        <w:tc>
          <w:tcPr>
            <w:tcW w:w="3373" w:type="dxa"/>
            <w:shd w:val="clear" w:color="000000" w:fill="FFFFFF"/>
            <w:vAlign w:val="center"/>
          </w:tcPr>
          <w:p w14:paraId="32AFCA8B">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0.00 </w:t>
            </w:r>
          </w:p>
        </w:tc>
      </w:tr>
      <w:tr w14:paraId="42B5B0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2EE33BF6">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4000</w:t>
            </w:r>
          </w:p>
        </w:tc>
        <w:tc>
          <w:tcPr>
            <w:tcW w:w="2811" w:type="dxa"/>
            <w:shd w:val="clear" w:color="000000" w:fill="FFFFFF"/>
            <w:vAlign w:val="center"/>
          </w:tcPr>
          <w:p w14:paraId="4A8D5AA2">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40.33 </w:t>
            </w:r>
          </w:p>
        </w:tc>
        <w:tc>
          <w:tcPr>
            <w:tcW w:w="3373" w:type="dxa"/>
            <w:shd w:val="clear" w:color="000000" w:fill="FFFFFF"/>
            <w:vAlign w:val="center"/>
          </w:tcPr>
          <w:p w14:paraId="2BFA2482">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0.00 </w:t>
            </w:r>
          </w:p>
        </w:tc>
      </w:tr>
    </w:tbl>
    <w:p w14:paraId="2E0A3C04">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CO泄漏超出阈值的范围</w:t>
      </w:r>
    </w:p>
    <w:tbl>
      <w:tblPr>
        <w:tblStyle w:val="4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226"/>
        <w:gridCol w:w="2700"/>
        <w:gridCol w:w="2596"/>
      </w:tblGrid>
      <w:tr w14:paraId="599BF4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228" w:type="dxa"/>
            <w:vMerge w:val="restart"/>
            <w:vAlign w:val="center"/>
          </w:tcPr>
          <w:p w14:paraId="7768FDC9">
            <w:pPr>
              <w:pStyle w:val="128"/>
              <w:widowControl w:val="0"/>
              <w:adjustRightInd w:val="0"/>
              <w:snapToGrid w:val="0"/>
              <w:spacing w:line="240" w:lineRule="exact"/>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超过大气毒性终点浓度-1</w:t>
            </w:r>
          </w:p>
        </w:tc>
        <w:tc>
          <w:tcPr>
            <w:tcW w:w="2702" w:type="dxa"/>
            <w:vAlign w:val="center"/>
          </w:tcPr>
          <w:p w14:paraId="6DF489C0">
            <w:pPr>
              <w:pStyle w:val="128"/>
              <w:widowControl w:val="0"/>
              <w:adjustRightInd w:val="0"/>
              <w:snapToGrid w:val="0"/>
              <w:spacing w:line="240" w:lineRule="exact"/>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阈值（mg/m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tc>
        <w:tc>
          <w:tcPr>
            <w:tcW w:w="2598" w:type="dxa"/>
            <w:vAlign w:val="center"/>
          </w:tcPr>
          <w:p w14:paraId="73998060">
            <w:pPr>
              <w:pStyle w:val="128"/>
              <w:widowControl w:val="0"/>
              <w:adjustRightInd w:val="0"/>
              <w:snapToGrid w:val="0"/>
              <w:spacing w:line="240" w:lineRule="exact"/>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380</w:t>
            </w:r>
          </w:p>
        </w:tc>
      </w:tr>
      <w:tr w14:paraId="340E35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228" w:type="dxa"/>
            <w:vMerge w:val="continue"/>
            <w:vAlign w:val="center"/>
          </w:tcPr>
          <w:p w14:paraId="63AA527E">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p>
        </w:tc>
        <w:tc>
          <w:tcPr>
            <w:tcW w:w="2702" w:type="dxa"/>
            <w:vAlign w:val="center"/>
          </w:tcPr>
          <w:p w14:paraId="7E72D0B9">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最大</w:t>
            </w:r>
            <w:r>
              <w:rPr>
                <w:rFonts w:hint="eastAsia" w:ascii="Times New Roman" w:hAnsi="Times New Roman" w:cs="Times New Roman"/>
                <w:color w:val="000000" w:themeColor="text1"/>
                <w14:textFill>
                  <w14:solidFill>
                    <w14:schemeClr w14:val="tx1"/>
                  </w14:solidFill>
                </w14:textFill>
              </w:rPr>
              <w:t>影响距离</w:t>
            </w:r>
            <w:r>
              <w:rPr>
                <w:rFonts w:ascii="Times New Roman" w:hAnsi="Times New Roman" w:cs="Times New Roman"/>
                <w:color w:val="000000" w:themeColor="text1"/>
                <w14:textFill>
                  <w14:solidFill>
                    <w14:schemeClr w14:val="tx1"/>
                  </w14:solidFill>
                </w14:textFill>
              </w:rPr>
              <w:t>（m）</w:t>
            </w:r>
          </w:p>
        </w:tc>
        <w:tc>
          <w:tcPr>
            <w:tcW w:w="2598" w:type="dxa"/>
            <w:vAlign w:val="center"/>
          </w:tcPr>
          <w:p w14:paraId="42E879B1">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32</w:t>
            </w:r>
          </w:p>
        </w:tc>
      </w:tr>
      <w:tr w14:paraId="59DB94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228" w:type="dxa"/>
            <w:vMerge w:val="continue"/>
            <w:vAlign w:val="center"/>
          </w:tcPr>
          <w:p w14:paraId="50934BB8">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p>
        </w:tc>
        <w:tc>
          <w:tcPr>
            <w:tcW w:w="2702" w:type="dxa"/>
            <w:vAlign w:val="center"/>
          </w:tcPr>
          <w:p w14:paraId="5365FB12">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影响范围（</w:t>
            </w:r>
            <w:r>
              <w:rPr>
                <w:rFonts w:hint="eastAsia" w:ascii="Times New Roman" w:hAnsi="Times New Roman" w:cs="Times New Roman"/>
                <w:color w:val="000000" w:themeColor="text1"/>
                <w14:textFill>
                  <w14:solidFill>
                    <w14:schemeClr w14:val="tx1"/>
                  </w14:solidFill>
                </w14:textFill>
              </w:rPr>
              <w:t>h</w:t>
            </w:r>
            <w:r>
              <w:rPr>
                <w:rFonts w:ascii="Times New Roman" w:hAnsi="Times New Roman" w:cs="Times New Roman"/>
                <w:color w:val="000000" w:themeColor="text1"/>
                <w14:textFill>
                  <w14:solidFill>
                    <w14:schemeClr w14:val="tx1"/>
                  </w14:solidFill>
                </w14:textFill>
              </w:rPr>
              <w:t>m</w:t>
            </w:r>
            <w:r>
              <w:rPr>
                <w:rFonts w:hint="eastAsia"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tc>
        <w:tc>
          <w:tcPr>
            <w:tcW w:w="2598" w:type="dxa"/>
            <w:vAlign w:val="center"/>
          </w:tcPr>
          <w:p w14:paraId="0E8DB96C">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0.62</w:t>
            </w:r>
          </w:p>
        </w:tc>
      </w:tr>
      <w:tr w14:paraId="0194F9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228" w:type="dxa"/>
            <w:vMerge w:val="restart"/>
            <w:vAlign w:val="center"/>
          </w:tcPr>
          <w:p w14:paraId="540B6B5F">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超过大气毒性终点浓度-2</w:t>
            </w:r>
          </w:p>
        </w:tc>
        <w:tc>
          <w:tcPr>
            <w:tcW w:w="2702" w:type="dxa"/>
            <w:vAlign w:val="center"/>
          </w:tcPr>
          <w:p w14:paraId="77402015">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阈值（mg/m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tc>
        <w:tc>
          <w:tcPr>
            <w:tcW w:w="2598" w:type="dxa"/>
            <w:vAlign w:val="center"/>
          </w:tcPr>
          <w:p w14:paraId="35FA75AF">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95</w:t>
            </w:r>
          </w:p>
        </w:tc>
      </w:tr>
      <w:tr w14:paraId="3631BC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228" w:type="dxa"/>
            <w:vMerge w:val="continue"/>
            <w:vAlign w:val="center"/>
          </w:tcPr>
          <w:p w14:paraId="182BA064">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p>
        </w:tc>
        <w:tc>
          <w:tcPr>
            <w:tcW w:w="2702" w:type="dxa"/>
            <w:vAlign w:val="center"/>
          </w:tcPr>
          <w:p w14:paraId="214C3753">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最大</w:t>
            </w:r>
            <w:r>
              <w:rPr>
                <w:rFonts w:hint="eastAsia" w:ascii="Times New Roman" w:hAnsi="Times New Roman" w:cs="Times New Roman"/>
                <w:color w:val="000000" w:themeColor="text1"/>
                <w14:textFill>
                  <w14:solidFill>
                    <w14:schemeClr w14:val="tx1"/>
                  </w14:solidFill>
                </w14:textFill>
              </w:rPr>
              <w:t>影响距离</w:t>
            </w:r>
            <w:r>
              <w:rPr>
                <w:rFonts w:ascii="Times New Roman" w:hAnsi="Times New Roman" w:cs="Times New Roman"/>
                <w:color w:val="000000" w:themeColor="text1"/>
                <w14:textFill>
                  <w14:solidFill>
                    <w14:schemeClr w14:val="tx1"/>
                  </w14:solidFill>
                </w14:textFill>
              </w:rPr>
              <w:t>（m）</w:t>
            </w:r>
          </w:p>
        </w:tc>
        <w:tc>
          <w:tcPr>
            <w:tcW w:w="2598" w:type="dxa"/>
            <w:vAlign w:val="center"/>
          </w:tcPr>
          <w:p w14:paraId="1F539328">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16</w:t>
            </w:r>
          </w:p>
        </w:tc>
      </w:tr>
      <w:tr w14:paraId="2354A0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228" w:type="dxa"/>
            <w:vMerge w:val="continue"/>
            <w:vAlign w:val="center"/>
          </w:tcPr>
          <w:p w14:paraId="7AD98541">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p>
        </w:tc>
        <w:tc>
          <w:tcPr>
            <w:tcW w:w="2702" w:type="dxa"/>
            <w:vAlign w:val="center"/>
          </w:tcPr>
          <w:p w14:paraId="165CC48E">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影响范围（</w:t>
            </w:r>
            <w:r>
              <w:rPr>
                <w:rFonts w:hint="eastAsia" w:ascii="Times New Roman" w:hAnsi="Times New Roman" w:cs="Times New Roman"/>
                <w:color w:val="000000" w:themeColor="text1"/>
                <w14:textFill>
                  <w14:solidFill>
                    <w14:schemeClr w14:val="tx1"/>
                  </w14:solidFill>
                </w14:textFill>
              </w:rPr>
              <w:t>h</w:t>
            </w:r>
            <w:r>
              <w:rPr>
                <w:rFonts w:ascii="Times New Roman" w:hAnsi="Times New Roman" w:cs="Times New Roman"/>
                <w:color w:val="000000" w:themeColor="text1"/>
                <w14:textFill>
                  <w14:solidFill>
                    <w14:schemeClr w14:val="tx1"/>
                  </w14:solidFill>
                </w14:textFill>
              </w:rPr>
              <w:t>m</w:t>
            </w:r>
            <w:r>
              <w:rPr>
                <w:rFonts w:hint="eastAsia"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tc>
        <w:tc>
          <w:tcPr>
            <w:tcW w:w="2598" w:type="dxa"/>
            <w:vAlign w:val="center"/>
          </w:tcPr>
          <w:p w14:paraId="7E361A54">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3.29</w:t>
            </w:r>
          </w:p>
        </w:tc>
      </w:tr>
    </w:tbl>
    <w:p w14:paraId="0EA5AF13">
      <w:pPr>
        <w:ind w:firstLine="480"/>
        <w:rPr>
          <w:color w:val="000000" w:themeColor="text1"/>
          <w14:textFill>
            <w14:solidFill>
              <w14:schemeClr w14:val="tx1"/>
            </w14:solidFill>
          </w14:textFill>
        </w:rPr>
      </w:pPr>
    </w:p>
    <w:p w14:paraId="179F7339">
      <w:pPr>
        <w:ind w:firstLine="0" w:firstLineChars="0"/>
        <w:jc w:val="center"/>
        <w:rPr>
          <w:b/>
          <w:bCs/>
          <w:color w:val="000000" w:themeColor="text1"/>
          <w14:textFill>
            <w14:solidFill>
              <w14:schemeClr w14:val="tx1"/>
            </w14:solidFill>
          </w14:textFill>
        </w:rPr>
      </w:pPr>
      <w:r>
        <w:rPr>
          <w:rFonts w:hint="eastAsia"/>
          <w:b/>
          <w:bCs/>
          <w:color w:val="000000" w:themeColor="text1"/>
          <w:szCs w:val="21"/>
          <w14:textFill>
            <w14:solidFill>
              <w14:schemeClr w14:val="tx1"/>
            </w14:solidFill>
          </w14:textFill>
        </w:rPr>
        <w:t xml:space="preserve">表5.6-12   大气敏感保护目标CO最大影响预测结果  </w:t>
      </w:r>
      <w:r>
        <w:rPr>
          <w:rFonts w:hint="eastAsia"/>
          <w:b/>
          <w:bCs/>
          <w:color w:val="000000" w:themeColor="text1"/>
          <w14:textFill>
            <w14:solidFill>
              <w14:schemeClr w14:val="tx1"/>
            </w14:solidFill>
          </w14:textFill>
        </w:rPr>
        <w:t xml:space="preserve">   单位：mg/m</w:t>
      </w:r>
      <w:r>
        <w:rPr>
          <w:rFonts w:hint="eastAsia"/>
          <w:b/>
          <w:bCs/>
          <w:color w:val="000000" w:themeColor="text1"/>
          <w:vertAlign w:val="superscript"/>
          <w14:textFill>
            <w14:solidFill>
              <w14:schemeClr w14:val="tx1"/>
            </w14:solidFill>
          </w14:textFill>
        </w:rPr>
        <w:t>3</w:t>
      </w:r>
    </w:p>
    <w:tbl>
      <w:tblPr>
        <w:tblStyle w:val="43"/>
        <w:tblW w:w="570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326"/>
        <w:gridCol w:w="1135"/>
        <w:gridCol w:w="720"/>
        <w:gridCol w:w="819"/>
        <w:gridCol w:w="540"/>
        <w:gridCol w:w="600"/>
        <w:gridCol w:w="596"/>
        <w:gridCol w:w="607"/>
        <w:gridCol w:w="676"/>
        <w:gridCol w:w="617"/>
        <w:gridCol w:w="659"/>
        <w:gridCol w:w="808"/>
        <w:gridCol w:w="631"/>
        <w:gridCol w:w="781"/>
      </w:tblGrid>
      <w:tr w14:paraId="4528C0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04" w:hRule="atLeast"/>
          <w:tblHeader/>
          <w:jc w:val="center"/>
        </w:trPr>
        <w:tc>
          <w:tcPr>
            <w:tcW w:w="325" w:type="dxa"/>
            <w:vMerge w:val="restart"/>
            <w:noWrap/>
            <w:vAlign w:val="center"/>
          </w:tcPr>
          <w:p w14:paraId="766221CA">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序号</w:t>
            </w:r>
          </w:p>
        </w:tc>
        <w:tc>
          <w:tcPr>
            <w:tcW w:w="1132" w:type="dxa"/>
            <w:vMerge w:val="restart"/>
            <w:noWrap/>
            <w:vAlign w:val="center"/>
          </w:tcPr>
          <w:p w14:paraId="48544A50">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名称</w:t>
            </w:r>
          </w:p>
        </w:tc>
        <w:tc>
          <w:tcPr>
            <w:tcW w:w="718" w:type="dxa"/>
            <w:vMerge w:val="restart"/>
            <w:noWrap/>
            <w:vAlign w:val="center"/>
          </w:tcPr>
          <w:p w14:paraId="2E18C59F">
            <w:pPr>
              <w:widowControl/>
              <w:adjustRightInd w:val="0"/>
              <w:snapToGrid w:val="0"/>
              <w:spacing w:line="240" w:lineRule="auto"/>
              <w:ind w:firstLine="0" w:firstLineChars="0"/>
              <w:jc w:val="center"/>
              <w:textAlignment w:val="center"/>
              <w:rPr>
                <w:rFonts w:cs="宋体"/>
                <w:b/>
                <w:bCs/>
                <w:color w:val="000000" w:themeColor="text1"/>
                <w:kern w:val="0"/>
                <w:sz w:val="21"/>
                <w:szCs w:val="21"/>
                <w:lang w:bidi="ar"/>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与事故源的相对距离（km）</w:t>
            </w:r>
          </w:p>
        </w:tc>
        <w:tc>
          <w:tcPr>
            <w:tcW w:w="817" w:type="dxa"/>
            <w:vMerge w:val="restart"/>
            <w:noWrap/>
            <w:vAlign w:val="center"/>
          </w:tcPr>
          <w:p w14:paraId="7A376016">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最大浓度|时间(min)</w:t>
            </w:r>
          </w:p>
        </w:tc>
        <w:tc>
          <w:tcPr>
            <w:tcW w:w="539" w:type="dxa"/>
            <w:vMerge w:val="restart"/>
            <w:noWrap/>
            <w:vAlign w:val="center"/>
          </w:tcPr>
          <w:p w14:paraId="7AD45135">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5min</w:t>
            </w:r>
          </w:p>
        </w:tc>
        <w:tc>
          <w:tcPr>
            <w:tcW w:w="599" w:type="dxa"/>
            <w:vMerge w:val="restart"/>
            <w:noWrap/>
            <w:vAlign w:val="center"/>
          </w:tcPr>
          <w:p w14:paraId="5398C3D7">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10min</w:t>
            </w:r>
          </w:p>
        </w:tc>
        <w:tc>
          <w:tcPr>
            <w:tcW w:w="595" w:type="dxa"/>
            <w:vMerge w:val="restart"/>
            <w:noWrap/>
            <w:vAlign w:val="center"/>
          </w:tcPr>
          <w:p w14:paraId="3D98BD48">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15min</w:t>
            </w:r>
          </w:p>
        </w:tc>
        <w:tc>
          <w:tcPr>
            <w:tcW w:w="606" w:type="dxa"/>
            <w:vMerge w:val="restart"/>
            <w:noWrap/>
            <w:vAlign w:val="center"/>
          </w:tcPr>
          <w:p w14:paraId="79849709">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20min</w:t>
            </w:r>
          </w:p>
        </w:tc>
        <w:tc>
          <w:tcPr>
            <w:tcW w:w="674" w:type="dxa"/>
            <w:vMerge w:val="restart"/>
            <w:noWrap/>
            <w:vAlign w:val="center"/>
          </w:tcPr>
          <w:p w14:paraId="196689E3">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25min</w:t>
            </w:r>
          </w:p>
        </w:tc>
        <w:tc>
          <w:tcPr>
            <w:tcW w:w="616" w:type="dxa"/>
            <w:vMerge w:val="restart"/>
            <w:noWrap/>
            <w:vAlign w:val="center"/>
          </w:tcPr>
          <w:p w14:paraId="68CEB309">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30min</w:t>
            </w:r>
          </w:p>
        </w:tc>
        <w:tc>
          <w:tcPr>
            <w:tcW w:w="1463" w:type="dxa"/>
            <w:gridSpan w:val="2"/>
            <w:noWrap/>
            <w:vAlign w:val="center"/>
          </w:tcPr>
          <w:p w14:paraId="519C1F86">
            <w:pPr>
              <w:spacing w:line="240" w:lineRule="atLeast"/>
              <w:ind w:firstLine="0" w:firstLineChars="0"/>
              <w:jc w:val="center"/>
              <w:rPr>
                <w:rFonts w:cs="宋体"/>
                <w:b/>
                <w:bCs/>
                <w:color w:val="000000" w:themeColor="text1"/>
                <w:kern w:val="0"/>
                <w:sz w:val="21"/>
                <w:szCs w:val="21"/>
                <w:lang w:bidi="ar"/>
                <w14:textFill>
                  <w14:solidFill>
                    <w14:schemeClr w14:val="tx1"/>
                  </w14:solidFill>
                </w14:textFill>
              </w:rPr>
            </w:pPr>
            <w:r>
              <w:rPr>
                <w:b/>
                <w:bCs/>
                <w:color w:val="000000" w:themeColor="text1"/>
                <w:sz w:val="21"/>
                <w:szCs w:val="21"/>
                <w14:textFill>
                  <w14:solidFill>
                    <w14:schemeClr w14:val="tx1"/>
                  </w14:solidFill>
                </w14:textFill>
              </w:rPr>
              <w:t>大气毒性终点浓度-1</w:t>
            </w:r>
          </w:p>
        </w:tc>
        <w:tc>
          <w:tcPr>
            <w:tcW w:w="1408" w:type="dxa"/>
            <w:gridSpan w:val="2"/>
            <w:noWrap/>
            <w:vAlign w:val="center"/>
          </w:tcPr>
          <w:p w14:paraId="6A0AEA91">
            <w:pPr>
              <w:spacing w:line="240" w:lineRule="atLeast"/>
              <w:ind w:firstLine="0" w:firstLineChars="0"/>
              <w:jc w:val="center"/>
              <w:rPr>
                <w:b/>
                <w:bCs/>
                <w:color w:val="000000" w:themeColor="text1"/>
                <w:kern w:val="0"/>
                <w:sz w:val="21"/>
                <w:szCs w:val="21"/>
                <w14:textFill>
                  <w14:solidFill>
                    <w14:schemeClr w14:val="tx1"/>
                  </w14:solidFill>
                </w14:textFill>
              </w:rPr>
            </w:pPr>
            <w:r>
              <w:rPr>
                <w:b/>
                <w:bCs/>
                <w:color w:val="000000" w:themeColor="text1"/>
                <w:sz w:val="21"/>
                <w:szCs w:val="21"/>
                <w14:textFill>
                  <w14:solidFill>
                    <w14:schemeClr w14:val="tx1"/>
                  </w14:solidFill>
                </w14:textFill>
              </w:rPr>
              <w:t>大气毒性终点浓度-</w:t>
            </w:r>
            <w:r>
              <w:rPr>
                <w:rFonts w:hint="eastAsia"/>
                <w:b/>
                <w:bCs/>
                <w:color w:val="000000" w:themeColor="text1"/>
                <w:sz w:val="21"/>
                <w:szCs w:val="21"/>
                <w14:textFill>
                  <w14:solidFill>
                    <w14:schemeClr w14:val="tx1"/>
                  </w14:solidFill>
                </w14:textFill>
              </w:rPr>
              <w:t>2</w:t>
            </w:r>
          </w:p>
        </w:tc>
      </w:tr>
      <w:tr w14:paraId="02CD4B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04" w:hRule="atLeast"/>
          <w:tblHeader/>
          <w:jc w:val="center"/>
        </w:trPr>
        <w:tc>
          <w:tcPr>
            <w:tcW w:w="325" w:type="dxa"/>
            <w:vMerge w:val="continue"/>
            <w:noWrap/>
            <w:vAlign w:val="center"/>
          </w:tcPr>
          <w:p w14:paraId="3527C4AC">
            <w:pPr>
              <w:spacing w:line="240" w:lineRule="atLeast"/>
              <w:ind w:firstLine="0" w:firstLineChars="0"/>
              <w:jc w:val="center"/>
              <w:rPr>
                <w:b/>
                <w:bCs/>
                <w:color w:val="000000" w:themeColor="text1"/>
                <w:sz w:val="21"/>
                <w:szCs w:val="21"/>
                <w14:textFill>
                  <w14:solidFill>
                    <w14:schemeClr w14:val="tx1"/>
                  </w14:solidFill>
                </w14:textFill>
              </w:rPr>
            </w:pPr>
          </w:p>
        </w:tc>
        <w:tc>
          <w:tcPr>
            <w:tcW w:w="1132" w:type="dxa"/>
            <w:vMerge w:val="continue"/>
            <w:noWrap/>
            <w:vAlign w:val="center"/>
          </w:tcPr>
          <w:p w14:paraId="19983F7A">
            <w:pPr>
              <w:spacing w:line="240" w:lineRule="atLeast"/>
              <w:ind w:firstLine="0" w:firstLineChars="0"/>
              <w:jc w:val="center"/>
              <w:rPr>
                <w:b/>
                <w:bCs/>
                <w:color w:val="000000" w:themeColor="text1"/>
                <w:sz w:val="21"/>
                <w:szCs w:val="21"/>
                <w14:textFill>
                  <w14:solidFill>
                    <w14:schemeClr w14:val="tx1"/>
                  </w14:solidFill>
                </w14:textFill>
              </w:rPr>
            </w:pPr>
          </w:p>
        </w:tc>
        <w:tc>
          <w:tcPr>
            <w:tcW w:w="718" w:type="dxa"/>
            <w:vMerge w:val="continue"/>
            <w:noWrap/>
            <w:vAlign w:val="center"/>
          </w:tcPr>
          <w:p w14:paraId="54BA3B02">
            <w:pPr>
              <w:spacing w:line="240" w:lineRule="atLeast"/>
              <w:ind w:firstLine="0" w:firstLineChars="0"/>
              <w:jc w:val="center"/>
              <w:rPr>
                <w:b/>
                <w:bCs/>
                <w:color w:val="000000" w:themeColor="text1"/>
                <w:sz w:val="21"/>
                <w:szCs w:val="21"/>
                <w14:textFill>
                  <w14:solidFill>
                    <w14:schemeClr w14:val="tx1"/>
                  </w14:solidFill>
                </w14:textFill>
              </w:rPr>
            </w:pPr>
          </w:p>
        </w:tc>
        <w:tc>
          <w:tcPr>
            <w:tcW w:w="817" w:type="dxa"/>
            <w:vMerge w:val="continue"/>
            <w:noWrap/>
            <w:vAlign w:val="center"/>
          </w:tcPr>
          <w:p w14:paraId="63FCD485">
            <w:pPr>
              <w:spacing w:line="240" w:lineRule="atLeast"/>
              <w:ind w:firstLine="0" w:firstLineChars="0"/>
              <w:jc w:val="center"/>
              <w:rPr>
                <w:b/>
                <w:bCs/>
                <w:color w:val="000000" w:themeColor="text1"/>
                <w:sz w:val="21"/>
                <w:szCs w:val="21"/>
                <w14:textFill>
                  <w14:solidFill>
                    <w14:schemeClr w14:val="tx1"/>
                  </w14:solidFill>
                </w14:textFill>
              </w:rPr>
            </w:pPr>
          </w:p>
        </w:tc>
        <w:tc>
          <w:tcPr>
            <w:tcW w:w="539" w:type="dxa"/>
            <w:vMerge w:val="continue"/>
            <w:noWrap/>
            <w:vAlign w:val="center"/>
          </w:tcPr>
          <w:p w14:paraId="7D3BC547">
            <w:pPr>
              <w:spacing w:line="240" w:lineRule="atLeast"/>
              <w:ind w:firstLine="0" w:firstLineChars="0"/>
              <w:jc w:val="center"/>
              <w:rPr>
                <w:b/>
                <w:bCs/>
                <w:color w:val="000000" w:themeColor="text1"/>
                <w:sz w:val="21"/>
                <w:szCs w:val="21"/>
                <w14:textFill>
                  <w14:solidFill>
                    <w14:schemeClr w14:val="tx1"/>
                  </w14:solidFill>
                </w14:textFill>
              </w:rPr>
            </w:pPr>
          </w:p>
        </w:tc>
        <w:tc>
          <w:tcPr>
            <w:tcW w:w="599" w:type="dxa"/>
            <w:vMerge w:val="continue"/>
            <w:noWrap/>
            <w:vAlign w:val="center"/>
          </w:tcPr>
          <w:p w14:paraId="36612C9B">
            <w:pPr>
              <w:spacing w:line="240" w:lineRule="atLeast"/>
              <w:ind w:firstLine="0" w:firstLineChars="0"/>
              <w:jc w:val="center"/>
              <w:rPr>
                <w:b/>
                <w:bCs/>
                <w:color w:val="000000" w:themeColor="text1"/>
                <w:sz w:val="21"/>
                <w:szCs w:val="21"/>
                <w14:textFill>
                  <w14:solidFill>
                    <w14:schemeClr w14:val="tx1"/>
                  </w14:solidFill>
                </w14:textFill>
              </w:rPr>
            </w:pPr>
          </w:p>
        </w:tc>
        <w:tc>
          <w:tcPr>
            <w:tcW w:w="595" w:type="dxa"/>
            <w:vMerge w:val="continue"/>
            <w:noWrap/>
            <w:vAlign w:val="center"/>
          </w:tcPr>
          <w:p w14:paraId="2837A009">
            <w:pPr>
              <w:spacing w:line="240" w:lineRule="atLeast"/>
              <w:ind w:firstLine="0" w:firstLineChars="0"/>
              <w:jc w:val="center"/>
              <w:rPr>
                <w:b/>
                <w:bCs/>
                <w:color w:val="000000" w:themeColor="text1"/>
                <w:sz w:val="21"/>
                <w:szCs w:val="21"/>
                <w14:textFill>
                  <w14:solidFill>
                    <w14:schemeClr w14:val="tx1"/>
                  </w14:solidFill>
                </w14:textFill>
              </w:rPr>
            </w:pPr>
          </w:p>
        </w:tc>
        <w:tc>
          <w:tcPr>
            <w:tcW w:w="606" w:type="dxa"/>
            <w:vMerge w:val="continue"/>
            <w:noWrap/>
            <w:vAlign w:val="center"/>
          </w:tcPr>
          <w:p w14:paraId="1A5ECC04">
            <w:pPr>
              <w:spacing w:line="240" w:lineRule="atLeast"/>
              <w:ind w:firstLine="0" w:firstLineChars="0"/>
              <w:jc w:val="center"/>
              <w:rPr>
                <w:b/>
                <w:bCs/>
                <w:color w:val="000000" w:themeColor="text1"/>
                <w:sz w:val="21"/>
                <w:szCs w:val="21"/>
                <w14:textFill>
                  <w14:solidFill>
                    <w14:schemeClr w14:val="tx1"/>
                  </w14:solidFill>
                </w14:textFill>
              </w:rPr>
            </w:pPr>
          </w:p>
        </w:tc>
        <w:tc>
          <w:tcPr>
            <w:tcW w:w="674" w:type="dxa"/>
            <w:vMerge w:val="continue"/>
            <w:noWrap/>
            <w:vAlign w:val="center"/>
          </w:tcPr>
          <w:p w14:paraId="438B3A3D">
            <w:pPr>
              <w:spacing w:line="240" w:lineRule="atLeast"/>
              <w:ind w:firstLine="0" w:firstLineChars="0"/>
              <w:jc w:val="center"/>
              <w:rPr>
                <w:b/>
                <w:bCs/>
                <w:color w:val="000000" w:themeColor="text1"/>
                <w:sz w:val="21"/>
                <w:szCs w:val="21"/>
                <w14:textFill>
                  <w14:solidFill>
                    <w14:schemeClr w14:val="tx1"/>
                  </w14:solidFill>
                </w14:textFill>
              </w:rPr>
            </w:pPr>
          </w:p>
        </w:tc>
        <w:tc>
          <w:tcPr>
            <w:tcW w:w="616" w:type="dxa"/>
            <w:vMerge w:val="continue"/>
            <w:noWrap/>
            <w:vAlign w:val="center"/>
          </w:tcPr>
          <w:p w14:paraId="7A4049B3">
            <w:pPr>
              <w:spacing w:line="240" w:lineRule="atLeast"/>
              <w:ind w:firstLine="0" w:firstLineChars="0"/>
              <w:jc w:val="center"/>
              <w:rPr>
                <w:b/>
                <w:bCs/>
                <w:color w:val="000000" w:themeColor="text1"/>
                <w:sz w:val="21"/>
                <w:szCs w:val="21"/>
                <w14:textFill>
                  <w14:solidFill>
                    <w14:schemeClr w14:val="tx1"/>
                  </w14:solidFill>
                </w14:textFill>
              </w:rPr>
            </w:pPr>
          </w:p>
        </w:tc>
        <w:tc>
          <w:tcPr>
            <w:tcW w:w="657" w:type="dxa"/>
            <w:noWrap/>
            <w:vAlign w:val="center"/>
          </w:tcPr>
          <w:p w14:paraId="58D21A3C">
            <w:pPr>
              <w:spacing w:line="240" w:lineRule="atLeast"/>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超标时间min</w:t>
            </w:r>
          </w:p>
        </w:tc>
        <w:tc>
          <w:tcPr>
            <w:tcW w:w="806" w:type="dxa"/>
            <w:noWrap/>
            <w:vAlign w:val="center"/>
          </w:tcPr>
          <w:p w14:paraId="433F6036">
            <w:pPr>
              <w:spacing w:line="240" w:lineRule="atLeast"/>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超标持续时间min</w:t>
            </w:r>
          </w:p>
        </w:tc>
        <w:tc>
          <w:tcPr>
            <w:tcW w:w="629" w:type="dxa"/>
            <w:noWrap/>
            <w:vAlign w:val="center"/>
          </w:tcPr>
          <w:p w14:paraId="2B5BF7C8">
            <w:pPr>
              <w:spacing w:line="240" w:lineRule="atLeast"/>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超标时间min</w:t>
            </w:r>
          </w:p>
        </w:tc>
        <w:tc>
          <w:tcPr>
            <w:tcW w:w="779" w:type="dxa"/>
            <w:noWrap/>
            <w:vAlign w:val="center"/>
          </w:tcPr>
          <w:p w14:paraId="2BCA741A">
            <w:pPr>
              <w:spacing w:line="240" w:lineRule="atLeast"/>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超标持续时间min</w:t>
            </w:r>
          </w:p>
        </w:tc>
      </w:tr>
      <w:tr w14:paraId="7D48D2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1B2D1E39">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1</w:t>
            </w:r>
          </w:p>
        </w:tc>
        <w:tc>
          <w:tcPr>
            <w:tcW w:w="1132" w:type="dxa"/>
            <w:noWrap/>
            <w:vAlign w:val="center"/>
          </w:tcPr>
          <w:p w14:paraId="6CF7455D">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淡水湾</w:t>
            </w:r>
          </w:p>
        </w:tc>
        <w:tc>
          <w:tcPr>
            <w:tcW w:w="718" w:type="dxa"/>
            <w:noWrap/>
            <w:vAlign w:val="center"/>
          </w:tcPr>
          <w:p w14:paraId="7BE1D0D4">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1.98</w:t>
            </w:r>
          </w:p>
        </w:tc>
        <w:tc>
          <w:tcPr>
            <w:tcW w:w="817" w:type="dxa"/>
            <w:noWrap/>
            <w:vAlign w:val="center"/>
          </w:tcPr>
          <w:p w14:paraId="6C2F889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51E9D2A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0AE8935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33F70CB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6CF1198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69751A1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3A4C2F4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0.02</w:t>
            </w:r>
          </w:p>
        </w:tc>
        <w:tc>
          <w:tcPr>
            <w:tcW w:w="657" w:type="dxa"/>
            <w:noWrap/>
            <w:vAlign w:val="center"/>
          </w:tcPr>
          <w:p w14:paraId="100EE01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47CD469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6252E15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1B5EBA7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7DAB3B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1AE13305">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2</w:t>
            </w:r>
          </w:p>
        </w:tc>
        <w:tc>
          <w:tcPr>
            <w:tcW w:w="1132" w:type="dxa"/>
            <w:noWrap/>
            <w:vAlign w:val="center"/>
          </w:tcPr>
          <w:p w14:paraId="57BD09BA">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果子山村</w:t>
            </w:r>
          </w:p>
        </w:tc>
        <w:tc>
          <w:tcPr>
            <w:tcW w:w="718" w:type="dxa"/>
            <w:noWrap/>
            <w:vAlign w:val="center"/>
          </w:tcPr>
          <w:p w14:paraId="26D8ACDF">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3.27</w:t>
            </w:r>
          </w:p>
        </w:tc>
        <w:tc>
          <w:tcPr>
            <w:tcW w:w="817" w:type="dxa"/>
            <w:noWrap/>
            <w:vAlign w:val="center"/>
          </w:tcPr>
          <w:p w14:paraId="7A6AD1E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577A660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611A698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6136F41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75F67B2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274277D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3A42F8C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29FC289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50A2979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1BD6B4E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11700FC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5A91B5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622A33ED">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3</w:t>
            </w:r>
          </w:p>
        </w:tc>
        <w:tc>
          <w:tcPr>
            <w:tcW w:w="1132" w:type="dxa"/>
            <w:noWrap/>
            <w:vAlign w:val="center"/>
          </w:tcPr>
          <w:p w14:paraId="2220D719">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厚福沙村</w:t>
            </w:r>
          </w:p>
        </w:tc>
        <w:tc>
          <w:tcPr>
            <w:tcW w:w="718" w:type="dxa"/>
            <w:noWrap/>
            <w:vAlign w:val="center"/>
          </w:tcPr>
          <w:p w14:paraId="71A5CDB7">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2.64</w:t>
            </w:r>
          </w:p>
        </w:tc>
        <w:tc>
          <w:tcPr>
            <w:tcW w:w="817" w:type="dxa"/>
            <w:noWrap/>
            <w:vAlign w:val="center"/>
          </w:tcPr>
          <w:p w14:paraId="2E89B06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35588BB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76549DB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4917E87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2CE4E84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60C9280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50C01A2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134CED5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7081DFA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02F5420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2FE0D9E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2780AF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52D579B2">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4</w:t>
            </w:r>
          </w:p>
        </w:tc>
        <w:tc>
          <w:tcPr>
            <w:tcW w:w="1132" w:type="dxa"/>
            <w:noWrap/>
            <w:vAlign w:val="center"/>
          </w:tcPr>
          <w:p w14:paraId="6F449B10">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滨海社区</w:t>
            </w:r>
          </w:p>
        </w:tc>
        <w:tc>
          <w:tcPr>
            <w:tcW w:w="718" w:type="dxa"/>
            <w:noWrap/>
            <w:vAlign w:val="center"/>
          </w:tcPr>
          <w:p w14:paraId="0CF85ACC">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3.38</w:t>
            </w:r>
          </w:p>
        </w:tc>
        <w:tc>
          <w:tcPr>
            <w:tcW w:w="817" w:type="dxa"/>
            <w:noWrap/>
            <w:vAlign w:val="center"/>
          </w:tcPr>
          <w:p w14:paraId="5AE715E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0CFECD5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5C1DB4C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53DF9CF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78577AD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3AD76C7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1EFE4F7C">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21F208B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7A8BF88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6E8767E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0C04958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400CCD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4A5361DC">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5</w:t>
            </w:r>
          </w:p>
        </w:tc>
        <w:tc>
          <w:tcPr>
            <w:tcW w:w="1132" w:type="dxa"/>
            <w:noWrap/>
            <w:vAlign w:val="center"/>
          </w:tcPr>
          <w:p w14:paraId="6DE515C4">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鰮鱼潭</w:t>
            </w:r>
          </w:p>
        </w:tc>
        <w:tc>
          <w:tcPr>
            <w:tcW w:w="718" w:type="dxa"/>
            <w:noWrap/>
            <w:vAlign w:val="center"/>
          </w:tcPr>
          <w:p w14:paraId="25B48B88">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2.90</w:t>
            </w:r>
          </w:p>
        </w:tc>
        <w:tc>
          <w:tcPr>
            <w:tcW w:w="817" w:type="dxa"/>
            <w:noWrap/>
            <w:vAlign w:val="center"/>
          </w:tcPr>
          <w:p w14:paraId="334A577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3D8A929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4ACCED7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0BAB011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737C859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5202C7DC">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3790553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2C62D6BC">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224F078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5F1CB72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4941A05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22A267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0570FE3A">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6</w:t>
            </w:r>
          </w:p>
        </w:tc>
        <w:tc>
          <w:tcPr>
            <w:tcW w:w="1132" w:type="dxa"/>
            <w:noWrap/>
            <w:vAlign w:val="center"/>
          </w:tcPr>
          <w:p w14:paraId="7A1BD7F2">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沙岗头</w:t>
            </w:r>
          </w:p>
        </w:tc>
        <w:tc>
          <w:tcPr>
            <w:tcW w:w="718" w:type="dxa"/>
            <w:noWrap/>
            <w:vAlign w:val="center"/>
          </w:tcPr>
          <w:p w14:paraId="3B0C1C32">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2.51</w:t>
            </w:r>
          </w:p>
        </w:tc>
        <w:tc>
          <w:tcPr>
            <w:tcW w:w="817" w:type="dxa"/>
            <w:noWrap/>
            <w:vAlign w:val="center"/>
          </w:tcPr>
          <w:p w14:paraId="28B32AC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0D36611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1838F5A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3AAEB17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767E27D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4560686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297FAE3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46C1D99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7B47D3F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3DEAEB5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5C77B6C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2A062E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547FC64F">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7</w:t>
            </w:r>
          </w:p>
        </w:tc>
        <w:tc>
          <w:tcPr>
            <w:tcW w:w="1132" w:type="dxa"/>
            <w:noWrap/>
            <w:vAlign w:val="center"/>
          </w:tcPr>
          <w:p w14:paraId="4602DC74">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旧村</w:t>
            </w:r>
          </w:p>
        </w:tc>
        <w:tc>
          <w:tcPr>
            <w:tcW w:w="718" w:type="dxa"/>
            <w:noWrap/>
            <w:vAlign w:val="center"/>
          </w:tcPr>
          <w:p w14:paraId="2E5479BA">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2.59</w:t>
            </w:r>
          </w:p>
        </w:tc>
        <w:tc>
          <w:tcPr>
            <w:tcW w:w="817" w:type="dxa"/>
            <w:noWrap/>
            <w:vAlign w:val="center"/>
          </w:tcPr>
          <w:p w14:paraId="10FFD08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3C10DF5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6B11470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2E10ABF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74FACFA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44CB817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4D61237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6B6D2FE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44D4E19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24B2E62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1E8F3EA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63708D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172A451C">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8</w:t>
            </w:r>
          </w:p>
        </w:tc>
        <w:tc>
          <w:tcPr>
            <w:tcW w:w="1132" w:type="dxa"/>
            <w:noWrap/>
            <w:vAlign w:val="center"/>
          </w:tcPr>
          <w:p w14:paraId="4F831BA9">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金鼓村</w:t>
            </w:r>
          </w:p>
        </w:tc>
        <w:tc>
          <w:tcPr>
            <w:tcW w:w="718" w:type="dxa"/>
            <w:noWrap/>
            <w:vAlign w:val="center"/>
          </w:tcPr>
          <w:p w14:paraId="6DD6A630">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2.60</w:t>
            </w:r>
          </w:p>
        </w:tc>
        <w:tc>
          <w:tcPr>
            <w:tcW w:w="817" w:type="dxa"/>
            <w:noWrap/>
            <w:vAlign w:val="center"/>
          </w:tcPr>
          <w:p w14:paraId="1B43144C">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428FF85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05AA0D3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733BFE4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7EF3202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5B5AEA4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186ED0C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7C7BCC3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3448465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2D2CCDC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0D0F9AD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24079F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5D7A7411">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9</w:t>
            </w:r>
          </w:p>
        </w:tc>
        <w:tc>
          <w:tcPr>
            <w:tcW w:w="1132" w:type="dxa"/>
            <w:noWrap/>
            <w:vAlign w:val="center"/>
          </w:tcPr>
          <w:p w14:paraId="1A20BFF3">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竹笼</w:t>
            </w:r>
          </w:p>
        </w:tc>
        <w:tc>
          <w:tcPr>
            <w:tcW w:w="718" w:type="dxa"/>
            <w:noWrap/>
            <w:vAlign w:val="center"/>
          </w:tcPr>
          <w:p w14:paraId="43F802C1">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2.92</w:t>
            </w:r>
          </w:p>
        </w:tc>
        <w:tc>
          <w:tcPr>
            <w:tcW w:w="817" w:type="dxa"/>
            <w:noWrap/>
            <w:vAlign w:val="center"/>
          </w:tcPr>
          <w:p w14:paraId="2F13469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1ED0FBF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097C7F6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5CA8ACF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37EE739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5084C84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15D9674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1C23E77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6337A10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554C695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1DDE942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2CF1EA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1E5CFA41">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10</w:t>
            </w:r>
          </w:p>
        </w:tc>
        <w:tc>
          <w:tcPr>
            <w:tcW w:w="1132" w:type="dxa"/>
            <w:noWrap/>
            <w:vAlign w:val="center"/>
          </w:tcPr>
          <w:p w14:paraId="6CE2EB10">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佛子坳</w:t>
            </w:r>
          </w:p>
        </w:tc>
        <w:tc>
          <w:tcPr>
            <w:tcW w:w="718" w:type="dxa"/>
            <w:noWrap/>
            <w:vAlign w:val="center"/>
          </w:tcPr>
          <w:p w14:paraId="7C65ACF0">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3.46</w:t>
            </w:r>
          </w:p>
        </w:tc>
        <w:tc>
          <w:tcPr>
            <w:tcW w:w="817" w:type="dxa"/>
            <w:noWrap/>
            <w:vAlign w:val="center"/>
          </w:tcPr>
          <w:p w14:paraId="3B8501D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340EA8A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54241D8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4A1B6CA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6B0046D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446D626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31F2FF6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5D180DC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25088E8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7C34F3F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2DD31E0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AD65C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108EA85C">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11</w:t>
            </w:r>
          </w:p>
        </w:tc>
        <w:tc>
          <w:tcPr>
            <w:tcW w:w="1132" w:type="dxa"/>
            <w:noWrap/>
            <w:vAlign w:val="center"/>
          </w:tcPr>
          <w:p w14:paraId="6C14EB80">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第一垌</w:t>
            </w:r>
          </w:p>
        </w:tc>
        <w:tc>
          <w:tcPr>
            <w:tcW w:w="718" w:type="dxa"/>
            <w:noWrap/>
            <w:vAlign w:val="center"/>
          </w:tcPr>
          <w:p w14:paraId="75195DA7">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3.47</w:t>
            </w:r>
          </w:p>
        </w:tc>
        <w:tc>
          <w:tcPr>
            <w:tcW w:w="817" w:type="dxa"/>
            <w:noWrap/>
            <w:vAlign w:val="center"/>
          </w:tcPr>
          <w:p w14:paraId="1AF7651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111984A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4B6E703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74B413C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2E6C536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67D0E31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4F328F3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28912E1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7B485EB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7F4B736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54EDC71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4DAC1D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42C454EA">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12</w:t>
            </w:r>
          </w:p>
        </w:tc>
        <w:tc>
          <w:tcPr>
            <w:tcW w:w="1132" w:type="dxa"/>
            <w:noWrap/>
            <w:vAlign w:val="center"/>
          </w:tcPr>
          <w:p w14:paraId="4F21A81C">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鸡墩头</w:t>
            </w:r>
          </w:p>
        </w:tc>
        <w:tc>
          <w:tcPr>
            <w:tcW w:w="718" w:type="dxa"/>
            <w:noWrap/>
            <w:vAlign w:val="center"/>
          </w:tcPr>
          <w:p w14:paraId="4777ED12">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3.85</w:t>
            </w:r>
          </w:p>
        </w:tc>
        <w:tc>
          <w:tcPr>
            <w:tcW w:w="817" w:type="dxa"/>
            <w:noWrap/>
            <w:vAlign w:val="center"/>
          </w:tcPr>
          <w:p w14:paraId="24AB08E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5FD24E7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0F1B733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53F36CF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5AEDA88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6CD0B86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25A0568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34BBC36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5041AA5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704ED2B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6CA8BAE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4EBCA2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477F4FE1">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13</w:t>
            </w:r>
          </w:p>
        </w:tc>
        <w:tc>
          <w:tcPr>
            <w:tcW w:w="1132" w:type="dxa"/>
            <w:noWrap/>
            <w:vAlign w:val="center"/>
          </w:tcPr>
          <w:p w14:paraId="341F281E">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钦州港经济技术开发区中学</w:t>
            </w:r>
          </w:p>
        </w:tc>
        <w:tc>
          <w:tcPr>
            <w:tcW w:w="718" w:type="dxa"/>
            <w:noWrap/>
            <w:vAlign w:val="center"/>
          </w:tcPr>
          <w:p w14:paraId="5E1BFA2F">
            <w:pPr>
              <w:widowControl/>
              <w:adjustRightInd w:val="0"/>
              <w:snapToGrid w:val="0"/>
              <w:spacing w:line="240" w:lineRule="auto"/>
              <w:ind w:firstLine="0" w:firstLineChars="0"/>
              <w:textAlignment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3.11</w:t>
            </w:r>
          </w:p>
        </w:tc>
        <w:tc>
          <w:tcPr>
            <w:tcW w:w="817" w:type="dxa"/>
            <w:noWrap/>
            <w:vAlign w:val="center"/>
          </w:tcPr>
          <w:p w14:paraId="15724CF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09A0238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7FFCB25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6023E99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56799C5C">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59E622F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5743663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4B93E78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3C6D429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3D0E283C">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578D60B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3F7E81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79276519">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14</w:t>
            </w:r>
          </w:p>
        </w:tc>
        <w:tc>
          <w:tcPr>
            <w:tcW w:w="1132" w:type="dxa"/>
            <w:noWrap/>
            <w:vAlign w:val="center"/>
          </w:tcPr>
          <w:p w14:paraId="37EDB6BA">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钦州港经济技术开发区第四小学</w:t>
            </w:r>
          </w:p>
        </w:tc>
        <w:tc>
          <w:tcPr>
            <w:tcW w:w="718" w:type="dxa"/>
            <w:noWrap/>
            <w:vAlign w:val="center"/>
          </w:tcPr>
          <w:p w14:paraId="6E3EA5C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3.00</w:t>
            </w:r>
          </w:p>
        </w:tc>
        <w:tc>
          <w:tcPr>
            <w:tcW w:w="817" w:type="dxa"/>
            <w:noWrap/>
            <w:vAlign w:val="center"/>
          </w:tcPr>
          <w:p w14:paraId="70C1F23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14B94D6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4B4F262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20519C8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4A05947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03E10DA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1CDA9D0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2C0A6C3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0CA7D76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2992BE2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5AC1DD4C">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bl>
    <w:p w14:paraId="22AFDC99">
      <w:pPr>
        <w:ind w:firstLine="199" w:firstLineChars="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4310" cy="3149600"/>
            <wp:effectExtent l="19050" t="19050" r="21590" b="12700"/>
            <wp:docPr id="275" name="图片 275" descr="D:\weinxin\xwechat_files\Aicandoit_f66a\temp\InputTemp\4a5e6452-c899-4856-8e77-a23c2895fc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D:\weinxin\xwechat_files\Aicandoit_f66a\temp\InputTemp\4a5e6452-c899-4856-8e77-a23c2895fc98.pn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a:xfrm>
                      <a:off x="0" y="0"/>
                      <a:ext cx="5274310" cy="3149935"/>
                    </a:xfrm>
                    <a:prstGeom prst="rect">
                      <a:avLst/>
                    </a:prstGeom>
                    <a:noFill/>
                    <a:ln>
                      <a:solidFill>
                        <a:schemeClr val="tx1"/>
                      </a:solidFill>
                    </a:ln>
                  </pic:spPr>
                </pic:pic>
              </a:graphicData>
            </a:graphic>
          </wp:inline>
        </w:drawing>
      </w:r>
    </w:p>
    <w:p w14:paraId="02CD3B2A">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图5.6-2   CO最大影响范围示意图</w:t>
      </w:r>
    </w:p>
    <w:p w14:paraId="07479886">
      <w:pPr>
        <w:pStyle w:val="5"/>
        <w:keepNext w:val="0"/>
        <w:keepLines w:val="0"/>
        <w:rPr>
          <w:color w:val="000000" w:themeColor="text1"/>
          <w14:textFill>
            <w14:solidFill>
              <w14:schemeClr w14:val="tx1"/>
            </w14:solidFill>
          </w14:textFill>
        </w:rPr>
      </w:pPr>
      <w:r>
        <w:rPr>
          <w:color w:val="000000" w:themeColor="text1"/>
          <w14:textFill>
            <w14:solidFill>
              <w14:schemeClr w14:val="tx1"/>
            </w14:solidFill>
          </w14:textFill>
        </w:rPr>
        <w:t>风险管理</w:t>
      </w:r>
    </w:p>
    <w:p w14:paraId="5C90917B">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环境风险管理目标</w:t>
      </w:r>
    </w:p>
    <w:p w14:paraId="71DB165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环境风险管理目标是采用最低合理可靠原则管控环境风险。采取的环境风险防范措施应与社会经济技术发展水平相适应，运用科学的技术手段和管理方法，对环境风险进行有效</w:t>
      </w:r>
      <w:r>
        <w:rPr>
          <w:rFonts w:hint="eastAsia"/>
          <w:color w:val="000000" w:themeColor="text1"/>
          <w:lang w:eastAsia="zh-CN"/>
          <w14:textFill>
            <w14:solidFill>
              <w14:schemeClr w14:val="tx1"/>
            </w14:solidFill>
          </w14:textFill>
        </w:rPr>
        <w:t>地</w:t>
      </w:r>
      <w:r>
        <w:rPr>
          <w:rFonts w:hint="eastAsia"/>
          <w:color w:val="000000" w:themeColor="text1"/>
          <w14:textFill>
            <w14:solidFill>
              <w14:schemeClr w14:val="tx1"/>
            </w14:solidFill>
          </w14:textFill>
        </w:rPr>
        <w:t>预防、监控、响应。</w:t>
      </w:r>
    </w:p>
    <w:p w14:paraId="76618684">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现有环境风险防范措施及可靠性、有效性分析</w:t>
      </w:r>
    </w:p>
    <w:p w14:paraId="1663EC4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增加货种装卸，涉及的危险物质及可能发生的环境风险事故，主要新增装卸的危险物质为苯乙烯、裂解C9、棕榈酸化油、脂肪酸甲酯、脂肪酸混合物、工业级混合油、脂肪酸甲酯、纯生物柴油、航空煤油、液硫、碱液、发烟硫酸（硫酸），主要风险事故为危险货物泄漏和溢油事故。广西自贸区逸海港务有限责任公司于2025年5月发布了突发环境事件应急预案，并已取得钦州市生态环境局备案（预案编号450702-2025-0036-H，见附件5）。公司成立突发环境事件应急组织机构。现有环境风险防范措施及应急物资较完善。因此，现有工程采取的环境风险防范措施及配备应急物资，依托可行可靠，有效（具体见章节5.7.3-5.7.11）。</w:t>
      </w:r>
    </w:p>
    <w:p w14:paraId="20D13011">
      <w:pPr>
        <w:pStyle w:val="13"/>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拟建项目后续需根据建设内容、建设单位内部管理规定等特征，</w:t>
      </w:r>
      <w:r>
        <w:rPr>
          <w:color w:val="000000" w:themeColor="text1"/>
          <w:sz w:val="24"/>
          <w14:textFill>
            <w14:solidFill>
              <w14:schemeClr w14:val="tx1"/>
            </w14:solidFill>
          </w14:textFill>
        </w:rPr>
        <w:t xml:space="preserve"> 在投入运营前，修订完善现有的环境风险应急预案并进行报备。</w:t>
      </w:r>
    </w:p>
    <w:p w14:paraId="5CD577D6">
      <w:pPr>
        <w:pStyle w:val="4"/>
        <w:keepNext w:val="0"/>
        <w:keepLines w:val="0"/>
        <w:rPr>
          <w:color w:val="000000" w:themeColor="text1"/>
          <w14:textFill>
            <w14:solidFill>
              <w14:schemeClr w14:val="tx1"/>
            </w14:solidFill>
          </w14:textFill>
        </w:rPr>
      </w:pPr>
      <w:r>
        <w:rPr>
          <w:color w:val="000000" w:themeColor="text1"/>
          <w14:textFill>
            <w14:solidFill>
              <w14:schemeClr w14:val="tx1"/>
            </w14:solidFill>
          </w14:textFill>
        </w:rPr>
        <w:t>陆域风险管理措施</w:t>
      </w:r>
    </w:p>
    <w:p w14:paraId="557E16A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拟建工程环境风险防范措施主要是指为了防止事故产生的有毒有害物质进入环境而采取的措施。</w:t>
      </w:r>
    </w:p>
    <w:p w14:paraId="4BFD7196">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1、监控措施</w:t>
      </w:r>
    </w:p>
    <w:p w14:paraId="0494C73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目前码头区域已有监控措施包括：</w:t>
      </w:r>
    </w:p>
    <w:p w14:paraId="5294FE3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①码头、值班室等处安装报警电话和应急广播，一旦发生火警可及时和监控中心、消防值班室联络，及时启动应急处理预案。</w:t>
      </w:r>
    </w:p>
    <w:p w14:paraId="5C7C19B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②港区设有监控系统，监控摄像头安装在码头前沿、监控视频设在港区综合办公楼中控室内，可以随时监控码头作业区的作业情况。</w:t>
      </w:r>
    </w:p>
    <w:p w14:paraId="2963FC6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③设有消防灭火系统，具备较完善消防设备、防污染设施和应急救援物资。 </w:t>
      </w:r>
    </w:p>
    <w:p w14:paraId="6DD4BDF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④设置火灾报警系统，该系统由火灾报警控制器、火灾探测器、手动报警按钮等组成，以利于自动预警和及时组织灭火扑救。</w:t>
      </w:r>
    </w:p>
    <w:p w14:paraId="1490CF40">
      <w:pPr>
        <w:ind w:firstLine="480"/>
        <w:rPr>
          <w:b/>
          <w:bCs/>
          <w:color w:val="000000" w:themeColor="text1"/>
          <w14:textFill>
            <w14:solidFill>
              <w14:schemeClr w14:val="tx1"/>
            </w14:solidFill>
          </w14:textFill>
        </w:rPr>
      </w:pPr>
      <w:r>
        <w:rPr>
          <w:rFonts w:hint="eastAsia"/>
          <w:color w:val="000000" w:themeColor="text1"/>
          <w14:textFill>
            <w14:solidFill>
              <w14:schemeClr w14:val="tx1"/>
            </w14:solidFill>
          </w14:textFill>
        </w:rPr>
        <w:t>⑤安装有毒有害气体报警器，实时监测环境中有毒有害气体的浓度，一旦浓度超过预设的安全阈值，报警器会立即发出声光警报，从而迅速提醒现场工作人员采取相应的安全措施，防止气体泄漏引发的事故和危害。</w:t>
      </w:r>
    </w:p>
    <w:p w14:paraId="5F62A98D">
      <w:pPr>
        <w:widowControl/>
        <w:ind w:firstLine="482"/>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2、</w:t>
      </w:r>
      <w:r>
        <w:rPr>
          <w:rFonts w:hint="eastAsia" w:cs="宋体"/>
          <w:b/>
          <w:bCs/>
          <w:color w:val="000000" w:themeColor="text1"/>
          <w:kern w:val="0"/>
          <w:lang w:bidi="ar"/>
          <w14:textFill>
            <w14:solidFill>
              <w14:schemeClr w14:val="tx1"/>
            </w14:solidFill>
          </w14:textFill>
        </w:rPr>
        <w:t>危险货物管道装卸作业风险防范措施</w:t>
      </w:r>
    </w:p>
    <w:p w14:paraId="73890572">
      <w:pPr>
        <w:widowControl/>
        <w:ind w:firstLine="480"/>
        <w:jc w:val="left"/>
        <w:rPr>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①货物管道装卸作业，码头作业人员应严格按照装卸船操作工艺规程进行各项装卸船操作。</w:t>
      </w:r>
    </w:p>
    <w:p w14:paraId="35C6FCA8">
      <w:pPr>
        <w:widowControl/>
        <w:ind w:firstLine="480"/>
        <w:jc w:val="left"/>
        <w:rPr>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②码头员工与当班班长通信必须保持畅通（对讲机或手机），码头员工与船方时刻保持联系，视野可见范围或电话联系。</w:t>
      </w:r>
    </w:p>
    <w:p w14:paraId="6332E6BA">
      <w:pPr>
        <w:widowControl/>
        <w:ind w:firstLine="480"/>
        <w:jc w:val="left"/>
        <w:rPr>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③码头操作人员注意潮涨潮落及到港船舶吃水情况，及时调整船岸间输送软管及固定绳的位置及紧度，预防输送软管被船压坏或者拉断，同时加强管路巡查，发现问题及时处理并报告。</w:t>
      </w:r>
    </w:p>
    <w:p w14:paraId="4BE34AE7">
      <w:pPr>
        <w:widowControl/>
        <w:ind w:firstLine="480"/>
        <w:jc w:val="left"/>
        <w:rPr>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④班长负责本班码头作业阀门的开启和关闭，对管线各阀门等进行巡视，确保阀门开启和关闭的正确性，杜绝跑、冒、滴、漏等现象的发生，发现问题及时处理并及时报告。</w:t>
      </w:r>
    </w:p>
    <w:p w14:paraId="19D0D551">
      <w:pPr>
        <w:widowControl/>
        <w:ind w:firstLine="480"/>
        <w:jc w:val="left"/>
        <w:rPr>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⑤输送软管使用前应先试压确保无泄漏。软管连接、移位、拆卸过程中严禁用叉车拖、拉或推软管，需要移位则拆下法兰螺栓后逐根叉走（软管移位过程中不可与地面接触），对于暂不使用的软管应上好盲板并妥善放置。</w:t>
      </w:r>
    </w:p>
    <w:p w14:paraId="75B36578">
      <w:pPr>
        <w:widowControl/>
        <w:ind w:firstLine="480"/>
        <w:jc w:val="left"/>
        <w:rPr>
          <w:color w:val="000000" w:themeColor="text1"/>
          <w:u w:val="single"/>
          <w14:textFill>
            <w14:solidFill>
              <w14:schemeClr w14:val="tx1"/>
            </w14:solidFill>
          </w14:textFill>
        </w:rPr>
      </w:pPr>
      <w:r>
        <w:rPr>
          <w:rFonts w:hint="eastAsia" w:cs="宋体"/>
          <w:color w:val="000000" w:themeColor="text1"/>
          <w:kern w:val="0"/>
          <w:lang w:bidi="ar"/>
          <w14:textFill>
            <w14:solidFill>
              <w14:schemeClr w14:val="tx1"/>
            </w14:solidFill>
          </w14:textFill>
        </w:rPr>
        <w:t>⑥到港船舶靠港期间，应在码头前沿布设围油栏，并注意观察海面情况，发现油污应及时清理。</w:t>
      </w:r>
    </w:p>
    <w:p w14:paraId="68D3DEA0">
      <w:pPr>
        <w:ind w:firstLine="480"/>
        <w:rPr>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⑦</w:t>
      </w:r>
      <w:r>
        <w:rPr>
          <w:rFonts w:hint="eastAsia"/>
          <w:color w:val="000000" w:themeColor="text1"/>
          <w14:textFill>
            <w14:solidFill>
              <w14:schemeClr w14:val="tx1"/>
            </w14:solidFill>
          </w14:textFill>
        </w:rPr>
        <w:t>注重培养危险货物作业人员的安全意识，定期开展安全教育培训；作业时应做到谨慎操作，稳起稳落，严格避免野蛮作业行为。</w:t>
      </w:r>
    </w:p>
    <w:p w14:paraId="74A7AA34">
      <w:pPr>
        <w:widowControl/>
        <w:ind w:firstLine="480"/>
        <w:jc w:val="left"/>
        <w:rPr>
          <w:rFonts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⑧严禁烟火，避免接触火焰。</w:t>
      </w:r>
    </w:p>
    <w:p w14:paraId="205EAC57">
      <w:pPr>
        <w:widowControl/>
        <w:ind w:firstLine="480"/>
        <w:jc w:val="left"/>
        <w:rPr>
          <w:rFonts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⑨不得在雨天装卸。</w:t>
      </w:r>
    </w:p>
    <w:p w14:paraId="2EDC4B6D">
      <w:pPr>
        <w:ind w:firstLine="482"/>
        <w:rPr>
          <w:b/>
          <w:bCs/>
          <w:color w:val="000000" w:themeColor="text1"/>
          <w:u w:val="single"/>
          <w14:textFill>
            <w14:solidFill>
              <w14:schemeClr w14:val="tx1"/>
            </w14:solidFill>
          </w14:textFill>
        </w:rPr>
      </w:pPr>
      <w:r>
        <w:rPr>
          <w:rFonts w:hint="eastAsia"/>
          <w:b/>
          <w:bCs/>
          <w:color w:val="000000" w:themeColor="text1"/>
          <w:u w:val="single"/>
          <w14:textFill>
            <w14:solidFill>
              <w14:schemeClr w14:val="tx1"/>
            </w14:solidFill>
          </w14:textFill>
        </w:rPr>
        <w:t>3、依托可行性</w:t>
      </w:r>
    </w:p>
    <w:p w14:paraId="691A0FF2">
      <w:pPr>
        <w:widowControl/>
        <w:ind w:firstLine="480"/>
        <w:jc w:val="left"/>
        <w:rPr>
          <w:color w:val="000000" w:themeColor="text1"/>
          <w:u w:val="single"/>
          <w:lang w:bidi="ar"/>
          <w14:textFill>
            <w14:solidFill>
              <w14:schemeClr w14:val="tx1"/>
            </w14:solidFill>
          </w14:textFill>
        </w:rPr>
      </w:pPr>
      <w:r>
        <w:rPr>
          <w:rFonts w:hint="eastAsia" w:cs="宋体"/>
          <w:color w:val="000000" w:themeColor="text1"/>
          <w:kern w:val="0"/>
          <w:u w:val="single"/>
          <w:lang w:bidi="ar"/>
          <w14:textFill>
            <w14:solidFill>
              <w14:schemeClr w14:val="tx1"/>
            </w14:solidFill>
          </w14:textFill>
        </w:rPr>
        <w:t>项目在现有码头上增加货种，每次作业时仅停靠一艘船，一个货种作业，现有陆域风险管理措施完全满足拟建项目运行时的需求。</w:t>
      </w:r>
    </w:p>
    <w:p w14:paraId="623E56B6">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大气风险防范措施</w:t>
      </w:r>
    </w:p>
    <w:p w14:paraId="3896324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（1）现有泄漏防范和泄漏监控措施</w:t>
      </w:r>
    </w:p>
    <w:p w14:paraId="1C52C96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①定期检查码头上的装卸臂等设备以及输送管道，定期进行压力管道检测和管道、阀门维护保养，防止输送管道和装卸设备泄漏。</w:t>
      </w:r>
    </w:p>
    <w:p w14:paraId="24825B7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码头现有工程已设有可燃气体、有毒气体监测系统（简称GDS），独立于过程控制系统DCS。GDS系统由控制器，辅助机柜和操作站构成，具备时间顺序记录功能。GDS系统对可燃易爆气体泄漏监测显示和报警，通过网络将数据送至DCS系统，操作员可在DCS系统操作员站上对GDS系统进行实时监控。</w:t>
      </w:r>
      <w:r>
        <w:rPr>
          <w:bCs/>
          <w:color w:val="000000" w:themeColor="text1"/>
          <w14:textFill>
            <w14:solidFill>
              <w14:schemeClr w14:val="tx1"/>
            </w14:solidFill>
          </w14:textFill>
        </w:rPr>
        <w:t>SIS系统依托现有，在新增管线及引桥根部新增紧急切断阀，紧急切断阀满足SIL2安全完整性和可靠性要求</w:t>
      </w:r>
      <w:r>
        <w:rPr>
          <w:color w:val="000000" w:themeColor="text1"/>
          <w14:textFill>
            <w14:solidFill>
              <w14:schemeClr w14:val="tx1"/>
            </w14:solidFill>
          </w14:textFill>
        </w:rPr>
        <w:t>。</w:t>
      </w:r>
    </w:p>
    <w:p w14:paraId="72D4255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（2）现有物料泄漏应急、救援及减缓措施</w:t>
      </w:r>
    </w:p>
    <w:p w14:paraId="345A721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当发生易燃易爆或有毒物料泄漏时，可根据物料性质，选择采取以下措施，防止事态进一步发展：</w:t>
      </w:r>
    </w:p>
    <w:p w14:paraId="3E1FB70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①根据事故级别启动应急预案。</w:t>
      </w:r>
    </w:p>
    <w:p w14:paraId="58EE014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②将无关人员迅速疏散到上风向安全区，对危险区域进行隔离，并严格控制出入，切断火源；根据需要疏散周围居住区人群。</w:t>
      </w:r>
    </w:p>
    <w:p w14:paraId="16A37AC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⑥比空气重的易挥发易燃液体泄漏时，用工业覆盖层或吸附/吸收剂盖住泄漏点附近的下水道等地方，防止气体进入。</w:t>
      </w:r>
    </w:p>
    <w:p w14:paraId="35C421D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⑦喷雾状水稀释，构筑临时围堤收容产生的大量废水。</w:t>
      </w:r>
    </w:p>
    <w:p w14:paraId="6FC8886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⑧小量液体泄漏：用砂土、吸附材料、中和材料吸收或中和，也可以用大量水冲洗，稀释水排入废水系统。大量液体泄漏：构筑临时围堤收容。用泡沫覆盖，降低挥发蒸气灾害。用防爆泵转移至槽车或专用收集器内，运至有资质单位处置。</w:t>
      </w:r>
    </w:p>
    <w:p w14:paraId="050FA2F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⑨喷雾吸收或中和：对某些可通过物理、化学反应中和或吸收的气体发生泄漏，可喷相关雾状液进行中和或吸收。</w:t>
      </w:r>
    </w:p>
    <w:p w14:paraId="0B179BA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（3）现有火灾爆炸防范措施</w:t>
      </w:r>
    </w:p>
    <w:p w14:paraId="0EED0C18">
      <w:pPr>
        <w:tabs>
          <w:tab w:val="left" w:pos="420"/>
        </w:tabs>
        <w:ind w:firstLine="480"/>
        <w:rPr>
          <w:color w:val="000000" w:themeColor="text1"/>
          <w14:textFill>
            <w14:solidFill>
              <w14:schemeClr w14:val="tx1"/>
            </w14:solidFill>
          </w14:textFill>
        </w:rPr>
      </w:pPr>
      <w:r>
        <w:rPr>
          <w:bCs/>
          <w:color w:val="000000" w:themeColor="text1"/>
          <w14:textFill>
            <w14:solidFill>
              <w14:schemeClr w14:val="tx1"/>
            </w14:solidFill>
          </w14:textFill>
        </w:rPr>
        <w:t>火灾报警系统</w:t>
      </w:r>
      <w:r>
        <w:rPr>
          <w:rFonts w:hint="eastAsia"/>
          <w:bCs/>
          <w:color w:val="000000" w:themeColor="text1"/>
          <w14:textFill>
            <w14:solidFill>
              <w14:schemeClr w14:val="tx1"/>
            </w14:solidFill>
          </w14:textFill>
        </w:rPr>
        <w:t>和</w:t>
      </w:r>
      <w:r>
        <w:rPr>
          <w:bCs/>
          <w:color w:val="000000" w:themeColor="text1"/>
          <w14:textFill>
            <w14:solidFill>
              <w14:schemeClr w14:val="tx1"/>
            </w14:solidFill>
          </w14:textFill>
        </w:rPr>
        <w:t>消防控制系统依托已建系统，满足本项目需要。</w:t>
      </w:r>
    </w:p>
    <w:p w14:paraId="2A90847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①控制与消除火源。装卸作业过程中可能遇到的火源主要是吸烟、维修用火、电器火灾、静电打火、雷击、撞击火星和自燃发热。为此应采取如下措施：</w:t>
      </w:r>
    </w:p>
    <w:p w14:paraId="33D6025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a有火灾爆炸危险的区域严禁吸烟，禁止携带火种、穿戴钉子皮鞋进入；</w:t>
      </w:r>
    </w:p>
    <w:p w14:paraId="2F74AD9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b进入有火灾爆炸危险的区域的车辆必须佩戴防火罩；</w:t>
      </w:r>
    </w:p>
    <w:p w14:paraId="360D017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c管线及设备等如需维修动火，必须彻底吹扫、置换泄压和强制通风换气；</w:t>
      </w:r>
    </w:p>
    <w:p w14:paraId="18DFCE2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d在有火灾爆炸危险的区域使用的工具、手电等应为防爆型；</w:t>
      </w:r>
    </w:p>
    <w:p w14:paraId="36380DC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e管线应接地良好、可靠，定期检查，</w:t>
      </w:r>
      <w:r>
        <w:rPr>
          <w:color w:val="000000" w:themeColor="text1"/>
          <w14:textFill>
            <w14:solidFill>
              <w14:schemeClr w14:val="tx1"/>
            </w14:solidFill>
          </w14:textFill>
        </w:rPr>
        <w:t>管线的防静电接地电阻应＜10Ω</w:t>
      </w:r>
      <w:r>
        <w:rPr>
          <w:rFonts w:hint="eastAsia"/>
          <w:color w:val="000000" w:themeColor="text1"/>
          <w14:textFill>
            <w14:solidFill>
              <w14:schemeClr w14:val="tx1"/>
            </w14:solidFill>
          </w14:textFill>
        </w:rPr>
        <w:t>。装卸货时应控制流速，防止静电引起事故；</w:t>
      </w:r>
    </w:p>
    <w:p w14:paraId="111E2A9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f油抹布、油棉纱等都是易于自燃起火的物质，不能堆积过多，且应远离热源，及时清除，放置于安全地点；</w:t>
      </w:r>
    </w:p>
    <w:p w14:paraId="256F91B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g在有火灾爆炸危险的区域设置固定式可燃气体检测报警仪，也可配置一定数量的便携式可燃气体检测报警仪代替固定式检测报警仪。</w:t>
      </w:r>
    </w:p>
    <w:p w14:paraId="00D93C4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②防止泄漏。一旦发生物料因跑、冒、滴、漏，化学品会到处蔓延和扩散，低处积聚是安全生产一大隐患，必须坚持巡回检查，加强设备维修保养，提高设备完好率，努力消除一切隐患。</w:t>
      </w:r>
    </w:p>
    <w:p w14:paraId="6F5D298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③安全作业措施</w:t>
      </w:r>
    </w:p>
    <w:p w14:paraId="03C03A8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a在整个装卸作业期间，船岸双方应派出足够的作业人员、值班人员，这些人员应了解装卸作业过程中存在的危险危害因素，并具备应急处理能力；</w:t>
      </w:r>
    </w:p>
    <w:p w14:paraId="00285D9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b装卸作业过程中，应密切注意码头管线和装卸臂的工作状况，防止跑、冒、滴、漏情况发生；</w:t>
      </w:r>
    </w:p>
    <w:p w14:paraId="4C41F71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c在作业现场应设置冲洗设施和急救药箱，以便在油品溅到作业人员身体、手、眼时，能及时冲洗并进行药物处理。</w:t>
      </w:r>
    </w:p>
    <w:p w14:paraId="77734BD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④出现下列情况时，应立即停止装卸作业：</w:t>
      </w:r>
    </w:p>
    <w:p w14:paraId="3D8BA74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a遇有雷电；</w:t>
      </w:r>
    </w:p>
    <w:p w14:paraId="3DCF163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b检测到存在可燃气体或发生液体化工品泄漏事故；</w:t>
      </w:r>
    </w:p>
    <w:p w14:paraId="53DEA3D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c接到主管部门下达的终止作业通知；</w:t>
      </w:r>
    </w:p>
    <w:p w14:paraId="3E5D068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d船岸双方任何一方认为作业有危险。</w:t>
      </w:r>
    </w:p>
    <w:p w14:paraId="2BE9126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（4）现有火灾、爆炸应急、减缓措施</w:t>
      </w:r>
    </w:p>
    <w:p w14:paraId="560D5E3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当发生火灾或爆炸时：</w:t>
      </w:r>
    </w:p>
    <w:p w14:paraId="630D2DC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①根据事故级别启动应急预案；</w:t>
      </w:r>
    </w:p>
    <w:p w14:paraId="5CCF5CC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②根据需要，切断着火设施上、下游物料，防止发生连锁效应；</w:t>
      </w:r>
    </w:p>
    <w:p w14:paraId="6FE04AF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③救火的同时，采用水幕或喷淋的方法，防止引发继发事故；</w:t>
      </w:r>
    </w:p>
    <w:p w14:paraId="1D2B194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④用干粉、二氧化碳、砂土、泡沫等进行灭火；</w:t>
      </w:r>
    </w:p>
    <w:p w14:paraId="312F32B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⑤据事故级别疏散周边人员。</w:t>
      </w:r>
    </w:p>
    <w:p w14:paraId="084CE5DB">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（5）依托可行性</w:t>
      </w:r>
    </w:p>
    <w:p w14:paraId="2A6B4B22">
      <w:pPr>
        <w:widowControl/>
        <w:ind w:firstLine="480"/>
        <w:jc w:val="left"/>
        <w:rPr>
          <w:color w:val="000000" w:themeColor="text1"/>
          <w:u w:val="single"/>
          <w14:textFill>
            <w14:solidFill>
              <w14:schemeClr w14:val="tx1"/>
            </w14:solidFill>
          </w14:textFill>
        </w:rPr>
      </w:pPr>
      <w:r>
        <w:rPr>
          <w:rFonts w:hint="eastAsia" w:cs="宋体"/>
          <w:color w:val="000000" w:themeColor="text1"/>
          <w:kern w:val="0"/>
          <w:u w:val="single"/>
          <w:lang w:bidi="ar"/>
          <w14:textFill>
            <w14:solidFill>
              <w14:schemeClr w14:val="tx1"/>
            </w14:solidFill>
          </w14:textFill>
        </w:rPr>
        <w:t>项目在现有码头上增加货种，每次作业时仅停靠一艘船，一个货种作业，现有陆域风险管理措施完全满足拟建项目运行时的需求。但</w:t>
      </w:r>
      <w:r>
        <w:rPr>
          <w:rFonts w:hint="eastAsia"/>
          <w:color w:val="000000" w:themeColor="text1"/>
          <w:u w:val="single"/>
          <w14:textFill>
            <w14:solidFill>
              <w14:schemeClr w14:val="tx1"/>
            </w14:solidFill>
          </w14:textFill>
        </w:rPr>
        <w:t>后续需根据建设内容、建设单位内部管理规定等特征，</w:t>
      </w:r>
      <w:r>
        <w:rPr>
          <w:color w:val="000000" w:themeColor="text1"/>
          <w:u w:val="single"/>
          <w14:textFill>
            <w14:solidFill>
              <w14:schemeClr w14:val="tx1"/>
            </w14:solidFill>
          </w14:textFill>
        </w:rPr>
        <w:t xml:space="preserve"> 在投入运营前，修订完善现有的环境风险应急预案并进行报备。</w:t>
      </w:r>
    </w:p>
    <w:p w14:paraId="3104048D">
      <w:pPr>
        <w:pStyle w:val="4"/>
        <w:rPr>
          <w:color w:val="000000" w:themeColor="text1"/>
          <w14:textFill>
            <w14:solidFill>
              <w14:schemeClr w14:val="tx1"/>
            </w14:solidFill>
          </w14:textFill>
        </w:rPr>
      </w:pPr>
      <w:r>
        <w:rPr>
          <w:color w:val="000000" w:themeColor="text1"/>
          <w14:textFill>
            <w14:solidFill>
              <w14:schemeClr w14:val="tx1"/>
            </w14:solidFill>
          </w14:textFill>
        </w:rPr>
        <w:t>海域环境风险防范措施</w:t>
      </w:r>
    </w:p>
    <w:p w14:paraId="3F622751">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现有</w:t>
      </w:r>
      <w:r>
        <w:rPr>
          <w:color w:val="000000" w:themeColor="text1"/>
          <w14:textFill>
            <w14:solidFill>
              <w14:schemeClr w14:val="tx1"/>
            </w14:solidFill>
          </w14:textFill>
        </w:rPr>
        <w:t>装卸、运输作业风险防范措施</w:t>
      </w:r>
    </w:p>
    <w:p w14:paraId="154CADE9">
      <w:pPr>
        <w:ind w:firstLine="480"/>
        <w:rPr>
          <w:color w:val="000000" w:themeColor="text1"/>
          <w14:textFill>
            <w14:solidFill>
              <w14:schemeClr w14:val="tx1"/>
            </w14:solidFill>
          </w14:textFill>
        </w:rPr>
      </w:pPr>
      <w:r>
        <w:rPr>
          <w:color w:val="000000" w:themeColor="text1"/>
          <w14:textFill>
            <w14:solidFill>
              <w14:schemeClr w14:val="tx1"/>
            </w14:solidFill>
          </w14:textFill>
        </w:rPr>
        <w:t>（1）在装卸作业过程中严格执行《装卸作业规程》和码头有关设备《安全技术操作规程》等制度，密切注意码头面管线和化学品输送臂的工作状况。</w:t>
      </w:r>
    </w:p>
    <w:p w14:paraId="1E905039">
      <w:pPr>
        <w:ind w:firstLine="480"/>
        <w:rPr>
          <w:color w:val="000000" w:themeColor="text1"/>
          <w14:textFill>
            <w14:solidFill>
              <w14:schemeClr w14:val="tx1"/>
            </w14:solidFill>
          </w14:textFill>
        </w:rPr>
      </w:pPr>
      <w:r>
        <w:rPr>
          <w:color w:val="000000" w:themeColor="text1"/>
          <w14:textFill>
            <w14:solidFill>
              <w14:schemeClr w14:val="tx1"/>
            </w14:solidFill>
          </w14:textFill>
        </w:rPr>
        <w:t>（2）加强作业过程中的现场盯靠和巡检，公司调度与船方、货主密切联系，码头与船方配备足够的、满足安全生产需要的作业人员。</w:t>
      </w:r>
    </w:p>
    <w:p w14:paraId="28192253">
      <w:pPr>
        <w:ind w:firstLine="480"/>
        <w:rPr>
          <w:color w:val="000000" w:themeColor="text1"/>
          <w14:textFill>
            <w14:solidFill>
              <w14:schemeClr w14:val="tx1"/>
            </w14:solidFill>
          </w14:textFill>
        </w:rPr>
      </w:pPr>
      <w:r>
        <w:rPr>
          <w:color w:val="000000" w:themeColor="text1"/>
          <w14:textFill>
            <w14:solidFill>
              <w14:schemeClr w14:val="tx1"/>
            </w14:solidFill>
          </w14:textFill>
        </w:rPr>
        <w:t>（3）严格落实《设备管理办法》，加强设备的</w:t>
      </w:r>
      <w:r>
        <w:rPr>
          <w:rFonts w:hint="eastAsia"/>
          <w:color w:val="000000" w:themeColor="text1"/>
          <w14:textFill>
            <w14:solidFill>
              <w14:schemeClr w14:val="tx1"/>
            </w14:solidFill>
          </w14:textFill>
        </w:rPr>
        <w:t>“管、用、养、修”</w:t>
      </w:r>
      <w:r>
        <w:rPr>
          <w:color w:val="000000" w:themeColor="text1"/>
          <w14:textFill>
            <w14:solidFill>
              <w14:schemeClr w14:val="tx1"/>
            </w14:solidFill>
          </w14:textFill>
        </w:rPr>
        <w:t>，防止设备、设施的损坏造成泄漏。保持泄漏监视报警装置的完好有效，发现泄漏及时报告，启动应急预案组织抢险。</w:t>
      </w:r>
    </w:p>
    <w:p w14:paraId="46DD0105">
      <w:pPr>
        <w:ind w:firstLine="480"/>
        <w:rPr>
          <w:color w:val="000000" w:themeColor="text1"/>
          <w14:textFill>
            <w14:solidFill>
              <w14:schemeClr w14:val="tx1"/>
            </w14:solidFill>
          </w14:textFill>
        </w:rPr>
      </w:pPr>
      <w:r>
        <w:rPr>
          <w:color w:val="000000" w:themeColor="text1"/>
          <w14:textFill>
            <w14:solidFill>
              <w14:schemeClr w14:val="tx1"/>
            </w14:solidFill>
          </w14:textFill>
        </w:rPr>
        <w:t>（4）落实船岸联检制度，并严格按《船岸安全检查表》的内容要求进行检查和填写，同时应接受海事部门的监督检查。做好与船方必要的沟通与交流，明确作业期间的通讯联络方式及交流语言，并明确规定紧急情况下的应急信号。如果在作业过程中出现通讯中断或联系有误等情况，应停止作业，以免发生误装、冒顶或泄漏等事故。</w:t>
      </w:r>
    </w:p>
    <w:p w14:paraId="776470AE">
      <w:pPr>
        <w:ind w:firstLine="480"/>
        <w:rPr>
          <w:color w:val="000000" w:themeColor="text1"/>
          <w14:textFill>
            <w14:solidFill>
              <w14:schemeClr w14:val="tx1"/>
            </w14:solidFill>
          </w14:textFill>
        </w:rPr>
      </w:pPr>
      <w:r>
        <w:rPr>
          <w:color w:val="000000" w:themeColor="text1"/>
          <w14:textFill>
            <w14:solidFill>
              <w14:schemeClr w14:val="tx1"/>
            </w14:solidFill>
          </w14:textFill>
        </w:rPr>
        <w:t>（5）对于泵、阀门、法兰等泄漏，应严格按照《船舶接卸安全操作程序》等技术要求操作。操作前，对泵、阀门、法兰等仔细检查，作业时，由专人负责正常巡视，并配备泄漏探测报警设备，发现泄漏及时处理。</w:t>
      </w:r>
    </w:p>
    <w:p w14:paraId="0DFAAD82">
      <w:pPr>
        <w:ind w:firstLine="480"/>
        <w:rPr>
          <w:color w:val="000000" w:themeColor="text1"/>
          <w14:textFill>
            <w14:solidFill>
              <w14:schemeClr w14:val="tx1"/>
            </w14:solidFill>
          </w14:textFill>
        </w:rPr>
      </w:pPr>
      <w:r>
        <w:rPr>
          <w:color w:val="000000" w:themeColor="text1"/>
          <w14:textFill>
            <w14:solidFill>
              <w14:schemeClr w14:val="tx1"/>
            </w14:solidFill>
          </w14:textFill>
        </w:rPr>
        <w:t>（6）采用计算机控制系统，将化学品输运、设备报警和应急监控以及消防设备设施操控统一到中控室。一旦发生化学品泄漏或火灾事故，可确保由计算机发出明确信息，向指挥系统和抢险人员提供快速准确的指令，最大限度控制事故影响。</w:t>
      </w:r>
    </w:p>
    <w:p w14:paraId="706848DC">
      <w:pPr>
        <w:ind w:firstLine="480"/>
        <w:rPr>
          <w:color w:val="000000" w:themeColor="text1"/>
          <w14:textFill>
            <w14:solidFill>
              <w14:schemeClr w14:val="tx1"/>
            </w14:solidFill>
          </w14:textFill>
        </w:rPr>
      </w:pPr>
      <w:r>
        <w:rPr>
          <w:color w:val="000000" w:themeColor="text1"/>
          <w14:textFill>
            <w14:solidFill>
              <w14:schemeClr w14:val="tx1"/>
            </w14:solidFill>
          </w14:textFill>
        </w:rPr>
        <w:t>（7）化学品输送臂配备紧急脱离装置，设可燃性气体检测报警仪，控制和消除火源，按照《装卸油品码头防火设计规范》配备消防设施。</w:t>
      </w:r>
    </w:p>
    <w:p w14:paraId="6868E5D8">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在码头平台以及管廊带处设有火灾手动报警按钮和报警器，且均采用防爆结构。码头平台设置消防炮塔5座，炮塔设有固定式电动遥控炮。码头平台消防炮、消防电动阀门的控制由设置在综合用房消防控制室内的消防炮控制柜以及电动阀门控制柜完成。消防炮控制系统采用PLC控制，可以控制消防炮和电动阀门，并与可燃气体检测报警系统和火灾报警系统联锁。</w:t>
      </w:r>
    </w:p>
    <w:p w14:paraId="48D8E1A3">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）对可能释放可燃、有毒气体的码头装卸区等部位设置可燃/有毒气体检测报警器</w:t>
      </w:r>
      <w:r>
        <w:rPr>
          <w:rFonts w:hint="eastAsia"/>
          <w:color w:val="000000" w:themeColor="text1"/>
          <w14:textFill>
            <w14:solidFill>
              <w14:schemeClr w14:val="tx1"/>
            </w14:solidFill>
          </w14:textFill>
        </w:rPr>
        <w:t>。已建工程设有可燃气体、有毒气体监测系统（简称GDS）。GDS系统对可燃易爆气体泄漏监测显示和报警，通过网络将数据送至DCS系统并由操作员实时监控。预警浓度满足风险防范和应急要求。</w:t>
      </w:r>
    </w:p>
    <w:p w14:paraId="7BCEFB0D">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10</w:t>
      </w:r>
      <w:r>
        <w:rPr>
          <w:color w:val="000000" w:themeColor="text1"/>
          <w14:textFill>
            <w14:solidFill>
              <w14:schemeClr w14:val="tx1"/>
            </w14:solidFill>
          </w14:textFill>
        </w:rPr>
        <w:t>）化学品船应按靠泊标准和作业标准进行作业。出现下列情况时，应立即停止装卸作业：遇有雷电或烟囱冒火星；检测到存在可燃气体或发生化学品泄漏事故；接到主管部门下达的终止作业通知；船岸双方任何一方认为作业有危险。</w:t>
      </w:r>
    </w:p>
    <w:p w14:paraId="07AD740E">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11</w:t>
      </w:r>
      <w:r>
        <w:rPr>
          <w:color w:val="000000" w:themeColor="text1"/>
          <w14:textFill>
            <w14:solidFill>
              <w14:schemeClr w14:val="tx1"/>
            </w14:solidFill>
          </w14:textFill>
        </w:rPr>
        <w:t>）根据JTS196-12-20</w:t>
      </w:r>
      <w:r>
        <w:rPr>
          <w:rFonts w:hint="eastAsia"/>
          <w:color w:val="000000" w:themeColor="text1"/>
          <w:lang w:val="en-US" w:eastAsia="zh-CN"/>
          <w14:textFill>
            <w14:solidFill>
              <w14:schemeClr w14:val="tx1"/>
            </w14:solidFill>
          </w14:textFill>
        </w:rPr>
        <w:t>23</w:t>
      </w:r>
      <w:r>
        <w:rPr>
          <w:color w:val="000000" w:themeColor="text1"/>
          <w14:textFill>
            <w14:solidFill>
              <w14:schemeClr w14:val="tx1"/>
            </w14:solidFill>
          </w14:textFill>
        </w:rPr>
        <w:t>《码头油气回收设施建设技术规范》的要求，船岸安全装置需设有紧急切断阀、压力/真空释放阀、气液分离器、防爆轰型阻火器等管件，以及油气浓度、含氧量、压力、温度、流量监测和报警，用于码头装船废气的安全接收。</w:t>
      </w:r>
    </w:p>
    <w:p w14:paraId="1564CCD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12）输送软管使用前应先试压确保无泄漏。软管连接、移位、拆卸过程中严禁用叉车拖、拉或推软管，需要移位则拆下法兰螺栓后逐根叉走（软管移位过程中不可与地面接触），对于暂不使用的软管应上好盲板并妥善放置。</w:t>
      </w:r>
    </w:p>
    <w:p w14:paraId="129999D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（13）到港船舶靠港期间，应在码头前沿布设围油栏，并注意观察海面情况，发现油污应及时清理。</w:t>
      </w:r>
    </w:p>
    <w:p w14:paraId="08E5174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（14）注重培养危险货物作业人员的安全意识，定期开展安全教育培训；作业时应做到谨慎操作，稳起稳落，严格避免野蛮作业行为。</w:t>
      </w:r>
    </w:p>
    <w:p w14:paraId="4A603B21">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（15）上述措施依托可行性</w:t>
      </w:r>
    </w:p>
    <w:p w14:paraId="4D8CCD48">
      <w:pPr>
        <w:bidi w:val="0"/>
        <w:rPr>
          <w:rFonts w:hint="eastAsia" w:cs="宋体"/>
          <w:color w:val="000000" w:themeColor="text1"/>
          <w:kern w:val="0"/>
          <w:u w:val="single"/>
          <w:lang w:bidi="ar"/>
          <w14:textFill>
            <w14:solidFill>
              <w14:schemeClr w14:val="tx1"/>
            </w14:solidFill>
          </w14:textFill>
        </w:rPr>
      </w:pPr>
      <w:r>
        <w:rPr>
          <w:rFonts w:hint="eastAsia" w:cs="宋体"/>
          <w:color w:val="000000" w:themeColor="text1"/>
          <w:kern w:val="0"/>
          <w:u w:val="single"/>
          <w:lang w:bidi="ar"/>
          <w14:textFill>
            <w14:solidFill>
              <w14:schemeClr w14:val="tx1"/>
            </w14:solidFill>
          </w14:textFill>
        </w:rPr>
        <w:t>项目在现有码头上增加货种，每次作业时仅停靠一艘船，一个货种作业，现有陆域风险管理措施完全满足拟建项目运行时的需求。</w:t>
      </w:r>
    </w:p>
    <w:p w14:paraId="6075DCF5">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尾气工艺回收处理流程如下：</w:t>
      </w:r>
    </w:p>
    <w:p w14:paraId="657E4C72">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化工品船→双管装卸臂的气相管→船岸安全装置→后方罐区的尾气风机→恒逸厂区RTO炉</w:t>
      </w:r>
      <w:r>
        <w:rPr>
          <w:rFonts w:hint="eastAsia"/>
          <w:color w:val="000000" w:themeColor="text1"/>
          <w:lang w:val="en-US" w:eastAsia="zh-CN"/>
          <w14:textFill>
            <w14:solidFill>
              <w14:schemeClr w14:val="tx1"/>
            </w14:solidFill>
          </w14:textFill>
        </w:rPr>
        <w:t>。</w:t>
      </w:r>
    </w:p>
    <w:p w14:paraId="4B171FED">
      <w:pPr>
        <w:bidi w:val="0"/>
        <w:rPr>
          <w:rFonts w:hint="default"/>
          <w:color w:val="000000" w:themeColor="text1"/>
          <w:u w:val="single"/>
          <w:lang w:val="en-US"/>
          <w14:textFill>
            <w14:solidFill>
              <w14:schemeClr w14:val="tx1"/>
            </w14:solidFill>
          </w14:textFill>
        </w:rPr>
      </w:pPr>
      <w:r>
        <w:rPr>
          <w:rFonts w:hint="default"/>
          <w:color w:val="000000" w:themeColor="text1"/>
          <w:lang w:val="en-US" w:eastAsia="zh-CN"/>
          <w14:textFill>
            <w14:solidFill>
              <w14:schemeClr w14:val="tx1"/>
            </w14:solidFill>
          </w14:textFill>
        </w:rPr>
        <w:t>船岸安全装置在进气端、出气端之间的管道上设置有紧急切断阀、压力/真空释放阀、气液分离器、防爆轰型阻火器、紧急充氮接入口、含氧量传感器、VOC测定仪、压力表、温度计等。管道运行压力高于或低于船舶设定的超压或超真空状态规定时，压力/真空释放阀泄压，延时超压时自动关闭切断阀，同时开启电磁阀。管道内油气含氧量体积比高于6%时报警，并同时开启阀门补入惰性气体；含氧量体积比高于8%时，系统自动关闭紧急切断阀，同时开启电磁阀实施紧急排放。船岸安全装置</w:t>
      </w:r>
      <w:r>
        <w:rPr>
          <w:rFonts w:hint="eastAsia"/>
          <w:color w:val="000000" w:themeColor="text1"/>
          <w:lang w:val="en-US" w:eastAsia="zh-CN"/>
          <w14:textFill>
            <w14:solidFill>
              <w14:schemeClr w14:val="tx1"/>
            </w14:solidFill>
          </w14:textFill>
        </w:rPr>
        <w:t>利用</w:t>
      </w:r>
      <w:r>
        <w:rPr>
          <w:rFonts w:hint="default"/>
          <w:color w:val="000000" w:themeColor="text1"/>
          <w:lang w:val="en-US" w:eastAsia="zh-CN"/>
          <w14:textFill>
            <w14:solidFill>
              <w14:schemeClr w14:val="tx1"/>
            </w14:solidFill>
          </w14:textFill>
        </w:rPr>
        <w:t>现场已有设备，本次设计</w:t>
      </w:r>
      <w:r>
        <w:rPr>
          <w:rFonts w:hint="eastAsia"/>
          <w:color w:val="000000" w:themeColor="text1"/>
          <w:lang w:val="en-US" w:eastAsia="zh-CN"/>
          <w14:textFill>
            <w14:solidFill>
              <w14:schemeClr w14:val="tx1"/>
            </w14:solidFill>
          </w14:textFill>
        </w:rPr>
        <w:t>油品装卸臂</w:t>
      </w:r>
      <w:r>
        <w:rPr>
          <w:rFonts w:hint="default"/>
          <w:color w:val="000000" w:themeColor="text1"/>
          <w:lang w:val="en-US" w:eastAsia="zh-CN"/>
          <w14:textFill>
            <w14:solidFill>
              <w14:schemeClr w14:val="tx1"/>
            </w14:solidFill>
          </w14:textFill>
        </w:rPr>
        <w:t>尾气管接至船岸安全装置总管。</w:t>
      </w:r>
      <w:r>
        <w:rPr>
          <w:rFonts w:hint="eastAsia"/>
          <w:color w:val="000000" w:themeColor="text1"/>
          <w:lang w:val="en-US" w:eastAsia="zh-CN"/>
          <w14:textFill>
            <w14:solidFill>
              <w14:schemeClr w14:val="tx1"/>
            </w14:solidFill>
          </w14:textFill>
        </w:rPr>
        <w:t>油气回收装置可行。</w:t>
      </w:r>
    </w:p>
    <w:p w14:paraId="4F790CAD">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船舶交通事故风险防范措施</w:t>
      </w:r>
    </w:p>
    <w:p w14:paraId="5F058786">
      <w:pPr>
        <w:adjustRightIn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现有船舶助航、导航、其他船舶禁航等安全措施</w:t>
      </w:r>
    </w:p>
    <w:p w14:paraId="09C2352A">
      <w:pPr>
        <w:adjustRightInd w:val="0"/>
        <w:ind w:firstLine="480"/>
        <w:rPr>
          <w:color w:val="000000" w:themeColor="text1"/>
          <w14:textFill>
            <w14:solidFill>
              <w14:schemeClr w14:val="tx1"/>
            </w14:solidFill>
          </w14:textFill>
        </w:rPr>
      </w:pPr>
      <w:r>
        <w:rPr>
          <w:color w:val="000000" w:themeColor="text1"/>
          <w14:textFill>
            <w14:solidFill>
              <w14:schemeClr w14:val="tx1"/>
            </w14:solidFill>
          </w14:textFill>
        </w:rPr>
        <w:t>为保障本项目附近水域及进港航道船舶的航行安全，建设单位应接受当地海事局对船舶交通、船舶报告等方面的协调、监督和管理。应加强码头前沿水域和进港航道的维护和管理，确保码头前沿现有助航导航设施的有效性，并根据主管部门的要求，不断完善船舶靠泊、助航导航等安全设施。此外，当大型油轮进港时，应禁止其他船舶在此进港航道通行。</w:t>
      </w:r>
    </w:p>
    <w:p w14:paraId="1958E40F">
      <w:pPr>
        <w:adjustRightIn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2、现有</w:t>
      </w:r>
      <w:r>
        <w:rPr>
          <w:color w:val="000000" w:themeColor="text1"/>
          <w14:textFill>
            <w14:solidFill>
              <w14:schemeClr w14:val="tx1"/>
            </w14:solidFill>
          </w14:textFill>
        </w:rPr>
        <w:t>督促进出港船舶加强港内航行与靠离泊风险控制</w:t>
      </w:r>
    </w:p>
    <w:p w14:paraId="1CF90AEA">
      <w:pPr>
        <w:adjustRightIn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加强航行组织与进出该项目所在码头水域的准备。到港船舶进出港口前，船长应督促相关人员严格按照检查表中的检查项目清单逐项认真地检查、试验、测试和落实，做好相关记录并签字确认，以确保每一项检查、试验或测试都得到认真落实。</w:t>
      </w:r>
    </w:p>
    <w:p w14:paraId="78D77DA3">
      <w:pPr>
        <w:adjustRightIn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督促到港船舶在进出港口、靠离泊前制订周密的航行与操纵计划和程序。</w:t>
      </w:r>
    </w:p>
    <w:p w14:paraId="1FA41861">
      <w:pPr>
        <w:adjustRightIn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到港船舶应及时掌握最新海图、港口航道、潮汐潮流、水文气象、助航标志、水深底质、船舶密度等通航相关资料，了解并严格遵守有关规章、航行法规和通讯、报告制度，充分考虑环境和自然因素对船舶操纵的影响。</w:t>
      </w:r>
    </w:p>
    <w:p w14:paraId="792CBB3E">
      <w:pPr>
        <w:adjustRightIn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船舶应对动力设备工况进行充分分析与评价，根据应急预案做好应急准备措施，做到早检查、早发现、早解决，防止船舶因设备问题造成紧迫局面。必要时请求岸基提供帮助。</w:t>
      </w:r>
    </w:p>
    <w:p w14:paraId="0DFEE67C">
      <w:pPr>
        <w:adjustRightIn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充分利用和管理驾驶台资源，合理组织值班船员，明确驾驶台团队各自的位置、角度、常规职责、应急职责、信息沟通交流方式、记录、应急处置、驾驶台工作规程等，做到严守职责，坚守岗位。</w:t>
      </w:r>
    </w:p>
    <w:p w14:paraId="4FBF6652">
      <w:pPr>
        <w:adjustRightIn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切实做好通信与沟通工作。VHF应在指定频道收听并保持与港口的控制台、导航雷达站、海上交通指挥中心等有关方面的联系，并听从其指导。</w:t>
      </w:r>
    </w:p>
    <w:p w14:paraId="39CD1C06">
      <w:pPr>
        <w:adjustRightIn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禁止船舶在动力、助导航设备存在隐患的情况下进出港，禁止疲劳驾驶。</w:t>
      </w:r>
    </w:p>
    <w:p w14:paraId="3EF36202">
      <w:pPr>
        <w:adjustRightIn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现有航海人员培训教育，提高操作技能和安全意识</w:t>
      </w:r>
    </w:p>
    <w:p w14:paraId="788CB69A">
      <w:pPr>
        <w:adjustRightInd w:val="0"/>
        <w:ind w:firstLine="480"/>
        <w:rPr>
          <w:color w:val="000000" w:themeColor="text1"/>
          <w14:textFill>
            <w14:solidFill>
              <w14:schemeClr w14:val="tx1"/>
            </w14:solidFill>
          </w14:textFill>
        </w:rPr>
      </w:pPr>
      <w:r>
        <w:rPr>
          <w:color w:val="000000" w:themeColor="text1"/>
          <w14:textFill>
            <w14:solidFill>
              <w14:schemeClr w14:val="tx1"/>
            </w14:solidFill>
          </w14:textFill>
        </w:rPr>
        <w:t>海难性事故发生的原因，除恶劣天气人类很难控制外，多数与操作人员的管理密切相关。减少事故的发生，就是要加强操作人员的安全意识及操作技能。船公司要组织经常性的海上安全意识教育和海上安全技能训练，</w:t>
      </w:r>
      <w:r>
        <w:rPr>
          <w:rFonts w:hint="eastAsia"/>
          <w:color w:val="000000" w:themeColor="text1"/>
          <w14:textFill>
            <w14:solidFill>
              <w14:schemeClr w14:val="tx1"/>
            </w14:solidFill>
          </w14:textFill>
        </w:rPr>
        <w:t>做好</w:t>
      </w:r>
      <w:r>
        <w:rPr>
          <w:color w:val="000000" w:themeColor="text1"/>
          <w14:textFill>
            <w14:solidFill>
              <w14:schemeClr w14:val="tx1"/>
            </w14:solidFill>
          </w14:textFill>
        </w:rPr>
        <w:t>船舶的定期检查和养护工作，确保各种设备安全有效、性能良好。普及安全知识提高船员素质，加强船员对安全生产知识的了解和对安全技术的熟练掌握。科学合理安排作息时间，避免船员疲劳造成反应迟缓、注意力不集中等现象，减少人为海难因素。</w:t>
      </w:r>
    </w:p>
    <w:p w14:paraId="104D3DEC">
      <w:pPr>
        <w:pStyle w:val="13"/>
        <w:ind w:firstLine="480"/>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4、上述措施依托可行性</w:t>
      </w:r>
    </w:p>
    <w:p w14:paraId="798CE10D">
      <w:pPr>
        <w:ind w:firstLine="480"/>
        <w:rPr>
          <w:color w:val="000000" w:themeColor="text1"/>
          <w:u w:val="single"/>
          <w14:textFill>
            <w14:solidFill>
              <w14:schemeClr w14:val="tx1"/>
            </w14:solidFill>
          </w14:textFill>
        </w:rPr>
      </w:pPr>
      <w:r>
        <w:rPr>
          <w:rFonts w:hint="eastAsia" w:cs="宋体"/>
          <w:color w:val="000000" w:themeColor="text1"/>
          <w:kern w:val="0"/>
          <w:u w:val="single"/>
          <w:lang w:bidi="ar"/>
          <w14:textFill>
            <w14:solidFill>
              <w14:schemeClr w14:val="tx1"/>
            </w14:solidFill>
          </w14:textFill>
        </w:rPr>
        <w:t>项目在现有码头上增加货种，每次作业时仅停靠一艘船，一个货种作业，现有陆域风险管理措施完全满足拟建项目运行时的需求。</w:t>
      </w:r>
    </w:p>
    <w:p w14:paraId="42A2AC8A">
      <w:pPr>
        <w:pStyle w:val="6"/>
        <w:rPr>
          <w:color w:val="000000" w:themeColor="text1"/>
          <w14:textFill>
            <w14:solidFill>
              <w14:schemeClr w14:val="tx1"/>
            </w14:solidFill>
          </w14:textFill>
        </w:rPr>
      </w:pPr>
      <w:r>
        <w:rPr>
          <w:color w:val="000000" w:themeColor="text1"/>
          <w14:textFill>
            <w14:solidFill>
              <w14:schemeClr w14:val="tx1"/>
            </w14:solidFill>
          </w14:textFill>
        </w:rPr>
        <w:t>施工期事故防范措施</w:t>
      </w:r>
    </w:p>
    <w:p w14:paraId="5C53F24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本项目的施工方案主要包括管道安装施工、设备安装施工和电仪安装，施工顺序为：设备安装-管道焊接-电气仪表安装-设备调试。施工区域在</w:t>
      </w:r>
      <w:r>
        <w:rPr>
          <w:rFonts w:hint="eastAsia" w:cs="宋体"/>
          <w:bCs/>
          <w:color w:val="000000" w:themeColor="text1"/>
          <w14:textFill>
            <w14:solidFill>
              <w14:schemeClr w14:val="tx1"/>
            </w14:solidFill>
          </w14:textFill>
        </w:rPr>
        <w:t>装卸点。</w:t>
      </w:r>
      <w:r>
        <w:rPr>
          <w:rFonts w:hint="eastAsia"/>
          <w:color w:val="000000" w:themeColor="text1"/>
          <w14:textFill>
            <w14:solidFill>
              <w14:schemeClr w14:val="tx1"/>
            </w14:solidFill>
          </w14:textFill>
        </w:rPr>
        <w:t>大型设备如装卸臂，设备较大而且空间较狭窄，安装过程中应注意设备安全和人身伤害风险，装卸臂吊装的工期一般为3～5天。管廊管线均架空敷设，涉及管线较多，而引桥宽度有限，两面临海，存在一定的施工安全风险。</w:t>
      </w:r>
      <w:r>
        <w:rPr>
          <w:color w:val="000000" w:themeColor="text1"/>
          <w14:textFill>
            <w14:solidFill>
              <w14:schemeClr w14:val="tx1"/>
            </w14:solidFill>
          </w14:textFill>
        </w:rPr>
        <w:t>本码头为化工品泊位，装卸货种多数为易燃易爆液体，在码头上管线安装前，应对已有管道进行安全隔离或将残留的物料进行清理，在满足相关安全规程的前提下，方可进行码头区域的改造施工。</w:t>
      </w:r>
    </w:p>
    <w:p w14:paraId="0ECB7FC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1、风险识别及负面影响</w:t>
      </w:r>
    </w:p>
    <w:p w14:paraId="624D5E4E">
      <w:pPr>
        <w:ind w:firstLine="480"/>
        <w:rPr>
          <w:color w:val="000000" w:themeColor="text1"/>
          <w14:textFill>
            <w14:solidFill>
              <w14:schemeClr w14:val="tx1"/>
            </w14:solidFill>
          </w14:textFill>
        </w:rPr>
      </w:pPr>
      <w:r>
        <w:rPr>
          <w:color w:val="000000" w:themeColor="text1"/>
          <w14:textFill>
            <w14:solidFill>
              <w14:schemeClr w14:val="tx1"/>
            </w14:solidFill>
          </w14:textFill>
        </w:rPr>
        <w:t>（1）船舶作业过程中发生碰撞，可能会造成船舶燃料油泄漏。</w:t>
      </w:r>
    </w:p>
    <w:p w14:paraId="4162BFE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施工期主要包括设备设施和管道的安装、建筑材料运输等活动，项目中存在交叉施工问题。施工中无法避免要进行动火等作业，在这些作业中，如果对安全方面的预防措施不到位，则施工当中的火源可能对码头运营造成危害。</w:t>
      </w:r>
    </w:p>
    <w:p w14:paraId="0D323D9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（3）无可避免施工人员、施工设备、车辆、材料等要通过已建的引桥、码头进行运输，若未采取有效的措施，一旦发生事故会对正常的生产造成影响甚至引发火灾、爆炸等次生灾害。</w:t>
      </w:r>
    </w:p>
    <w:p w14:paraId="211ED3D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（4）企业若对施工管理不到位，施工设备、材料等乱堆乱放，占用原有引桥等，一旦发生事故，会对应急救援造成一定影响。施工要特别注意现有码头及管线的安全性。</w:t>
      </w:r>
    </w:p>
    <w:p w14:paraId="545607E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2、防范措施</w:t>
      </w:r>
    </w:p>
    <w:p w14:paraId="3845E50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施工前要求制定具体可行的《施工期间安全管理工作规定》，从技术和管理上采取有效措施，防止各类事故发生。</w:t>
      </w:r>
    </w:p>
    <w:p w14:paraId="2050557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施工前将施工作业的时间、地点、作业方式和施工强度等信息进行公告；加强施工船舶管理和调度，避让航道内其他船只，避免船舶碰撞事故的发生</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严禁施工作业单位擅自扩大施工作业安全区，严禁无关船舶进入施工作业水域，并提前、定时发布航行公告</w:t>
      </w:r>
      <w:r>
        <w:rPr>
          <w:rFonts w:hint="eastAsia"/>
          <w:color w:val="000000" w:themeColor="text1"/>
          <w14:textFill>
            <w14:solidFill>
              <w14:schemeClr w14:val="tx1"/>
            </w14:solidFill>
          </w14:textFill>
        </w:rPr>
        <w:t>。</w:t>
      </w:r>
    </w:p>
    <w:p w14:paraId="1EF6362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施工作业期间所有施工船舶须按照规定显示信号，在施工期间加强值班瞭望，施工作业人员应严格按照操作规程进行操作；合理安排各个施工船舶的施工时序，加强施工秩序管理，防止施工船舶之间发生碰撞；做好防风暴潮工作，恶劣天气情况禁止作业</w:t>
      </w:r>
      <w:r>
        <w:rPr>
          <w:rFonts w:hint="eastAsia"/>
          <w:color w:val="000000" w:themeColor="text1"/>
          <w14:textFill>
            <w14:solidFill>
              <w14:schemeClr w14:val="tx1"/>
            </w14:solidFill>
          </w14:textFill>
        </w:rPr>
        <w:t>。</w:t>
      </w:r>
    </w:p>
    <w:p w14:paraId="3DBCD60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组织环境风险</w:t>
      </w:r>
      <w:r>
        <w:rPr>
          <w:rFonts w:hint="eastAsia"/>
          <w:color w:val="000000" w:themeColor="text1"/>
          <w14:textFill>
            <w14:solidFill>
              <w14:schemeClr w14:val="tx1"/>
            </w14:solidFill>
          </w14:textFill>
        </w:rPr>
        <w:t>事故培训</w:t>
      </w:r>
      <w:r>
        <w:rPr>
          <w:color w:val="000000" w:themeColor="text1"/>
          <w14:textFill>
            <w14:solidFill>
              <w14:schemeClr w14:val="tx1"/>
            </w14:solidFill>
          </w14:textFill>
        </w:rPr>
        <w:t>，提高施工人员的应急处置能力</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船舶含油污水禁止外排。</w:t>
      </w:r>
    </w:p>
    <w:p w14:paraId="357A150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高风险施工作业（包括但不限于：动火作业、吊装作业、高空作业、临时用电作业、无损探伤、压力测试等）必须有工作安全分析，制定专门施工安全方案，并经业主方、监理方、施工方确认和审批。施工方须严格按码头施工作业票管理程序做好动火作业、吊装作业、高空作业、临时用电作业、无损探伤、压力测试等安全防范措施，确保现场施工安全。</w:t>
      </w:r>
    </w:p>
    <w:p w14:paraId="015BFF1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（6）管线改造及新建过程中应严格执行安全动火的相关规定，制定严格的防范措施，制定完善的爆炸事故、泄漏事故应急预案。</w:t>
      </w:r>
    </w:p>
    <w:p w14:paraId="02954B7B">
      <w:pPr>
        <w:ind w:firstLine="480"/>
        <w:rPr>
          <w:color w:val="000000" w:themeColor="text1"/>
          <w:szCs w:val="20"/>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7</w:t>
      </w:r>
      <w:r>
        <w:rPr>
          <w:color w:val="000000" w:themeColor="text1"/>
          <w:szCs w:val="20"/>
          <w14:textFill>
            <w14:solidFill>
              <w14:schemeClr w14:val="tx1"/>
            </w14:solidFill>
          </w14:textFill>
        </w:rPr>
        <w:t>）</w:t>
      </w:r>
      <w:r>
        <w:rPr>
          <w:rFonts w:hint="eastAsia"/>
          <w:color w:val="000000" w:themeColor="text1"/>
          <w:szCs w:val="20"/>
          <w14:textFill>
            <w14:solidFill>
              <w14:schemeClr w14:val="tx1"/>
            </w14:solidFill>
          </w14:textFill>
        </w:rPr>
        <w:t>根据</w:t>
      </w:r>
      <w:r>
        <w:rPr>
          <w:color w:val="000000" w:themeColor="text1"/>
          <w:szCs w:val="20"/>
          <w14:textFill>
            <w14:solidFill>
              <w14:schemeClr w14:val="tx1"/>
            </w14:solidFill>
          </w14:textFill>
        </w:rPr>
        <w:t>《安全用火管理制度》</w:t>
      </w:r>
      <w:r>
        <w:rPr>
          <w:rFonts w:hint="eastAsia"/>
          <w:color w:val="000000" w:themeColor="text1"/>
          <w:szCs w:val="20"/>
          <w14:textFill>
            <w14:solidFill>
              <w14:schemeClr w14:val="tx1"/>
            </w14:solidFill>
          </w14:textFill>
        </w:rPr>
        <w:t>第五条、第六条，在具有火灾、爆炸危险的场所内进行以下作业或使用其中设施（各种焊接、切割作业；烧、烤、煨管及其他产生火花的作业；使用不防爆的电动工具、电器）均应纳入用火审批范围。凡在用火管理范围内的用火作业必须办理用火许可证，方可实施。</w:t>
      </w:r>
    </w:p>
    <w:p w14:paraId="7032517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rFonts w:hint="eastAsia"/>
          <w:color w:val="000000" w:themeColor="text1"/>
          <w:szCs w:val="20"/>
          <w14:textFill>
            <w14:solidFill>
              <w14:schemeClr w14:val="tx1"/>
            </w14:solidFill>
          </w14:textFill>
        </w:rPr>
        <w:t>根据</w:t>
      </w:r>
      <w:r>
        <w:rPr>
          <w:color w:val="000000" w:themeColor="text1"/>
          <w:szCs w:val="20"/>
          <w14:textFill>
            <w14:solidFill>
              <w14:schemeClr w14:val="tx1"/>
            </w14:solidFill>
          </w14:textFill>
        </w:rPr>
        <w:t>《安全用火管理制度》</w:t>
      </w:r>
      <w:r>
        <w:rPr>
          <w:rFonts w:hint="eastAsia"/>
          <w:color w:val="000000" w:themeColor="text1"/>
          <w:szCs w:val="20"/>
          <w14:textFill>
            <w14:solidFill>
              <w14:schemeClr w14:val="tx1"/>
            </w14:solidFill>
          </w14:textFill>
        </w:rPr>
        <w:t>第八条，</w:t>
      </w:r>
      <w:r>
        <w:rPr>
          <w:rFonts w:hint="eastAsia"/>
          <w:color w:val="000000" w:themeColor="text1"/>
          <w14:textFill>
            <w14:solidFill>
              <w14:schemeClr w14:val="tx1"/>
            </w14:solidFill>
          </w14:textFill>
        </w:rPr>
        <w:t>进行电焊、气焊等具有火灾危险作业的特殊工种操作人员，必须持证上岗，并遵守消防安全规定，落实相应的消防安全措施。</w:t>
      </w:r>
      <w:r>
        <w:rPr>
          <w:color w:val="000000" w:themeColor="text1"/>
          <w14:textFill>
            <w14:solidFill>
              <w14:schemeClr w14:val="tx1"/>
            </w14:solidFill>
          </w14:textFill>
        </w:rPr>
        <w:t>按要求对作业区域易燃易爆物</w:t>
      </w:r>
      <w:r>
        <w:rPr>
          <w:rFonts w:hint="eastAsia"/>
          <w:color w:val="000000" w:themeColor="text1"/>
          <w14:textFill>
            <w14:solidFill>
              <w14:schemeClr w14:val="tx1"/>
            </w14:solidFill>
          </w14:textFill>
        </w:rPr>
        <w:t>、施工废料</w:t>
      </w:r>
      <w:r>
        <w:rPr>
          <w:color w:val="000000" w:themeColor="text1"/>
          <w14:textFill>
            <w14:solidFill>
              <w14:schemeClr w14:val="tx1"/>
            </w14:solidFill>
          </w14:textFill>
        </w:rPr>
        <w:t>进行清理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有涉及动火的施工作业时，尽量避开周边码头装卸作业时段。</w:t>
      </w:r>
    </w:p>
    <w:p w14:paraId="4C11235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（9）本项目</w:t>
      </w:r>
      <w:r>
        <w:rPr>
          <w:rFonts w:hint="eastAsia"/>
          <w:color w:val="000000" w:themeColor="text1"/>
          <w:szCs w:val="21"/>
          <w14:textFill>
            <w14:solidFill>
              <w14:schemeClr w14:val="tx1"/>
            </w14:solidFill>
          </w14:textFill>
        </w:rPr>
        <w:t>新增管线的施工与已投用设施和管线必须采取有效的安全隔离设施，涉及工艺管线采取切断或者物理隔离阀门的措施，其他工作界面用波纹板和防火毯进行隔离。管道安装前，应当提前规划，统筹考虑新增管线的安装空间；安装时，应对旁边的管道进行防护。</w:t>
      </w:r>
    </w:p>
    <w:p w14:paraId="49850BB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3、监控措施</w:t>
      </w:r>
    </w:p>
    <w:p w14:paraId="60492819">
      <w:pPr>
        <w:ind w:firstLine="480"/>
        <w:rPr>
          <w:color w:val="000000" w:themeColor="text1"/>
          <w:szCs w:val="28"/>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码头综合用房内已设有消防控制室和火灾报警系统，负责码头消防报警系统的监控。</w:t>
      </w:r>
      <w:r>
        <w:rPr>
          <w:color w:val="000000" w:themeColor="text1"/>
          <w:szCs w:val="28"/>
          <w14:textFill>
            <w14:solidFill>
              <w14:schemeClr w14:val="tx1"/>
            </w14:solidFill>
          </w14:textFill>
        </w:rPr>
        <w:t>在码头平台以及管廊带处设有火灾手动报警按钮和报警器，且均采用防爆结构。</w:t>
      </w:r>
    </w:p>
    <w:p w14:paraId="441C4035">
      <w:pPr>
        <w:ind w:firstLine="480"/>
        <w:rPr>
          <w:color w:val="000000" w:themeColor="text1"/>
          <w:szCs w:val="28"/>
          <w14:textFill>
            <w14:solidFill>
              <w14:schemeClr w14:val="tx1"/>
            </w14:solidFill>
          </w14:textFill>
        </w:rPr>
      </w:pPr>
      <w:r>
        <w:rPr>
          <w:rFonts w:hint="eastAsia"/>
          <w:color w:val="000000" w:themeColor="text1"/>
          <w:szCs w:val="28"/>
          <w14:textFill>
            <w14:solidFill>
              <w14:schemeClr w14:val="tx1"/>
            </w14:solidFill>
          </w14:textFill>
        </w:rPr>
        <w:t>（2</w:t>
      </w:r>
      <w:r>
        <w:rPr>
          <w:color w:val="000000" w:themeColor="text1"/>
          <w:szCs w:val="28"/>
          <w14:textFill>
            <w14:solidFill>
              <w14:schemeClr w14:val="tx1"/>
            </w14:solidFill>
          </w14:textFill>
        </w:rPr>
        <w:t>）本工程依托已建的工业电视监视系统。该监视系统与后方库区工业电视监视系统组成一个统一的监视系统。监视系统的监控室设置在后方库区中控室内。工业电视监控系统和计算机网络系统设备采用UPS不间断电源供电。</w:t>
      </w:r>
    </w:p>
    <w:p w14:paraId="0B77950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消防控制室值班人员可通过室内工业电视监视器对整个作业区进行监控，及时发现火情，启动消防系统，通过操作台实现有线远距离控制消防系统设备运行或近距离使用遥控器控制消防系统设备运行。</w:t>
      </w:r>
    </w:p>
    <w:p w14:paraId="4741FE4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（4）高风险施工作业现场应落实现场监护人，将施工区和使用区进行防火分隔，落实高风险施工作业区域</w:t>
      </w:r>
      <w:r>
        <w:rPr>
          <w:rFonts w:hint="eastAsia"/>
          <w:color w:val="000000" w:themeColor="text1"/>
          <w:szCs w:val="21"/>
          <w14:textFill>
            <w14:solidFill>
              <w14:schemeClr w14:val="tx1"/>
            </w14:solidFill>
          </w14:textFill>
        </w:rPr>
        <w:t>的安全隔离设施，</w:t>
      </w:r>
      <w:r>
        <w:rPr>
          <w:rFonts w:hint="eastAsia"/>
          <w:color w:val="000000" w:themeColor="text1"/>
          <w14:textFill>
            <w14:solidFill>
              <w14:schemeClr w14:val="tx1"/>
            </w14:solidFill>
          </w14:textFill>
        </w:rPr>
        <w:t>清除用火区域的易燃、可燃物，配置消防器材，专人监护，在确认无火灾、爆炸危险后方可用火施工。</w:t>
      </w:r>
    </w:p>
    <w:p w14:paraId="3864F69B">
      <w:pPr>
        <w:ind w:firstLine="480"/>
        <w:rPr>
          <w:color w:val="000000" w:themeColor="text1"/>
          <w:szCs w:val="28"/>
          <w14:textFill>
            <w14:solidFill>
              <w14:schemeClr w14:val="tx1"/>
            </w14:solidFill>
          </w14:textFill>
        </w:rPr>
      </w:pPr>
      <w:r>
        <w:rPr>
          <w:rFonts w:hint="eastAsia"/>
          <w:color w:val="000000" w:themeColor="text1"/>
          <w:szCs w:val="28"/>
          <w14:textFill>
            <w14:solidFill>
              <w14:schemeClr w14:val="tx1"/>
            </w14:solidFill>
          </w14:textFill>
        </w:rPr>
        <w:t>（5</w:t>
      </w:r>
      <w:r>
        <w:rPr>
          <w:color w:val="000000" w:themeColor="text1"/>
          <w:szCs w:val="28"/>
          <w14:textFill>
            <w14:solidFill>
              <w14:schemeClr w14:val="tx1"/>
            </w14:solidFill>
          </w14:textFill>
        </w:rPr>
        <w:t>）</w:t>
      </w:r>
      <w:r>
        <w:rPr>
          <w:rFonts w:hint="eastAsia"/>
          <w:color w:val="000000" w:themeColor="text1"/>
          <w:szCs w:val="28"/>
          <w14:textFill>
            <w14:solidFill>
              <w14:schemeClr w14:val="tx1"/>
            </w14:solidFill>
          </w14:textFill>
        </w:rPr>
        <w:t>施工期间加强</w:t>
      </w:r>
      <w:r>
        <w:rPr>
          <w:color w:val="000000" w:themeColor="text1"/>
          <w:szCs w:val="28"/>
          <w14:textFill>
            <w14:solidFill>
              <w14:schemeClr w14:val="tx1"/>
            </w14:solidFill>
          </w14:textFill>
        </w:rPr>
        <w:t>检查</w:t>
      </w:r>
      <w:r>
        <w:rPr>
          <w:rFonts w:hint="eastAsia"/>
          <w:color w:val="000000" w:themeColor="text1"/>
          <w:szCs w:val="28"/>
          <w14:textFill>
            <w14:solidFill>
              <w14:schemeClr w14:val="tx1"/>
            </w14:solidFill>
          </w14:textFill>
        </w:rPr>
        <w:t>现有</w:t>
      </w:r>
      <w:r>
        <w:rPr>
          <w:color w:val="000000" w:themeColor="text1"/>
          <w:szCs w:val="28"/>
          <w14:textFill>
            <w14:solidFill>
              <w14:schemeClr w14:val="tx1"/>
            </w14:solidFill>
          </w14:textFill>
        </w:rPr>
        <w:t>管线接头和阀门等处的密封状况，发现故障及时报告并安排维修</w:t>
      </w:r>
      <w:r>
        <w:rPr>
          <w:rFonts w:hint="eastAsia"/>
          <w:color w:val="000000" w:themeColor="text1"/>
          <w:szCs w:val="28"/>
          <w14:textFill>
            <w14:solidFill>
              <w14:schemeClr w14:val="tx1"/>
            </w14:solidFill>
          </w14:textFill>
        </w:rPr>
        <w:t>，降低本项目施工引起火灾、爆炸的风险。</w:t>
      </w:r>
    </w:p>
    <w:p w14:paraId="6E2FA73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4、应急措施</w:t>
      </w:r>
    </w:p>
    <w:p w14:paraId="04A1FB4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（1）各种管线设置有明显的标识，危险场所、应急疏散通道设置有醒目的安全标志和警示标志。</w:t>
      </w:r>
    </w:p>
    <w:p w14:paraId="6BCF490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（2）施工场地配备救生器材，设置安全防护栏、挂好安全网及救生圈等必要的设备</w:t>
      </w:r>
      <w:r>
        <w:rPr>
          <w:color w:val="000000" w:themeColor="text1"/>
          <w:szCs w:val="28"/>
          <w14:textFill>
            <w14:solidFill>
              <w14:schemeClr w14:val="tx1"/>
            </w14:solidFill>
          </w14:textFill>
        </w:rPr>
        <w:t>。</w:t>
      </w:r>
      <w:r>
        <w:rPr>
          <w:color w:val="000000" w:themeColor="text1"/>
          <w14:textFill>
            <w14:solidFill>
              <w14:schemeClr w14:val="tx1"/>
            </w14:solidFill>
          </w14:textFill>
        </w:rPr>
        <w:t>装卸设备前设置水幕，</w:t>
      </w:r>
      <w:r>
        <w:rPr>
          <w:color w:val="000000" w:themeColor="text1"/>
          <w:szCs w:val="20"/>
          <w14:textFill>
            <w14:solidFill>
              <w14:schemeClr w14:val="tx1"/>
            </w14:solidFill>
          </w14:textFill>
        </w:rPr>
        <w:t>泊位前沿靠水侧1.5米内工作</w:t>
      </w:r>
      <w:r>
        <w:rPr>
          <w:rFonts w:hint="eastAsia"/>
          <w:color w:val="000000" w:themeColor="text1"/>
          <w:szCs w:val="20"/>
          <w14:textFill>
            <w14:solidFill>
              <w14:schemeClr w14:val="tx1"/>
            </w14:solidFill>
          </w14:textFill>
        </w:rPr>
        <w:t>人员</w:t>
      </w:r>
      <w:r>
        <w:rPr>
          <w:color w:val="000000" w:themeColor="text1"/>
          <w:szCs w:val="20"/>
          <w14:textFill>
            <w14:solidFill>
              <w14:schemeClr w14:val="tx1"/>
            </w14:solidFill>
          </w14:textFill>
        </w:rPr>
        <w:t>应穿工作救生衣</w:t>
      </w:r>
      <w:r>
        <w:rPr>
          <w:rFonts w:hint="eastAsia"/>
          <w:color w:val="000000" w:themeColor="text1"/>
          <w:szCs w:val="20"/>
          <w14:textFill>
            <w14:solidFill>
              <w14:schemeClr w14:val="tx1"/>
            </w14:solidFill>
          </w14:textFill>
        </w:rPr>
        <w:t>。</w:t>
      </w:r>
      <w:r>
        <w:rPr>
          <w:color w:val="000000" w:themeColor="text1"/>
          <w14:textFill>
            <w14:solidFill>
              <w14:schemeClr w14:val="tx1"/>
            </w14:solidFill>
          </w14:textFill>
        </w:rPr>
        <w:t>保护设施和人员的安全。</w:t>
      </w:r>
    </w:p>
    <w:p w14:paraId="4D03751F">
      <w:pPr>
        <w:tabs>
          <w:tab w:val="left" w:pos="0"/>
        </w:tabs>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码头综合用房内已设有消防控制室和火灾报警系统，负责码头消防报警系统的监控，在码头平台以及管廊带处设有火灾手动报警按钮和报警器。</w:t>
      </w:r>
      <w:r>
        <w:rPr>
          <w:color w:val="000000" w:themeColor="text1"/>
          <w14:textFill>
            <w14:solidFill>
              <w14:schemeClr w14:val="tx1"/>
            </w14:solidFill>
          </w14:textFill>
        </w:rPr>
        <w:t>码头</w:t>
      </w:r>
      <w:r>
        <w:rPr>
          <w:rFonts w:hint="eastAsia"/>
          <w:color w:val="000000" w:themeColor="text1"/>
          <w14:textFill>
            <w14:solidFill>
              <w14:schemeClr w14:val="tx1"/>
            </w14:solidFill>
          </w14:textFill>
        </w:rPr>
        <w:t>已</w:t>
      </w:r>
      <w:r>
        <w:rPr>
          <w:color w:val="000000" w:themeColor="text1"/>
          <w14:textFill>
            <w14:solidFill>
              <w14:schemeClr w14:val="tx1"/>
            </w14:solidFill>
          </w14:textFill>
        </w:rPr>
        <w:t>设置固定式水冷却和泡沫灭火系统</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并配备移动式消防炮、消防水枪等辅助灭火设施。</w:t>
      </w:r>
    </w:p>
    <w:p w14:paraId="004C2AF5">
      <w:pPr>
        <w:tabs>
          <w:tab w:val="left" w:pos="0"/>
        </w:tabs>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w:t>
      </w:r>
      <w:r>
        <w:rPr>
          <w:color w:val="000000" w:themeColor="text1"/>
          <w:szCs w:val="28"/>
          <w14:textFill>
            <w14:solidFill>
              <w14:schemeClr w14:val="tx1"/>
            </w14:solidFill>
          </w14:textFill>
        </w:rPr>
        <w:t>码头泊位设置有阻燃型围油栏。</w:t>
      </w:r>
      <w:r>
        <w:rPr>
          <w:color w:val="000000" w:themeColor="text1"/>
          <w14:textFill>
            <w14:solidFill>
              <w14:schemeClr w14:val="tx1"/>
            </w14:solidFill>
          </w14:textFill>
        </w:rPr>
        <w:t>水域配备消防船或拖消二用船，码头作业时应有消防船（或拖消船）监护。</w:t>
      </w:r>
    </w:p>
    <w:p w14:paraId="75C482C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szCs w:val="28"/>
          <w14:textFill>
            <w14:solidFill>
              <w14:schemeClr w14:val="tx1"/>
            </w14:solidFill>
          </w14:textFill>
        </w:rPr>
        <w:t>码头平台设置消防炮塔</w:t>
      </w:r>
      <w:r>
        <w:rPr>
          <w:rFonts w:hint="eastAsia"/>
          <w:color w:val="000000" w:themeColor="text1"/>
          <w:szCs w:val="28"/>
          <w14:textFill>
            <w14:solidFill>
              <w14:schemeClr w14:val="tx1"/>
            </w14:solidFill>
          </w14:textFill>
        </w:rPr>
        <w:t>2</w:t>
      </w:r>
      <w:r>
        <w:rPr>
          <w:color w:val="000000" w:themeColor="text1"/>
          <w:szCs w:val="28"/>
          <w14:textFill>
            <w14:solidFill>
              <w14:schemeClr w14:val="tx1"/>
            </w14:solidFill>
          </w14:textFill>
        </w:rPr>
        <w:t>座，炮塔设有固定式电动遥控炮。消防炮控制系统采用PLC控制，可以控制消防炮和电动阀门，并与可燃气体检测报警系统和火灾报警系统联锁。</w:t>
      </w:r>
      <w:r>
        <w:rPr>
          <w:color w:val="000000" w:themeColor="text1"/>
          <w14:textFill>
            <w14:solidFill>
              <w14:schemeClr w14:val="tx1"/>
            </w14:solidFill>
          </w14:textFill>
        </w:rPr>
        <w:t>消防水源由后方孚宝库区保障，消防管道平时由厂区稳压，确保消防泡沫和消防水到达火场的时间不超过5min。</w:t>
      </w:r>
    </w:p>
    <w:p w14:paraId="3056B8B0">
      <w:pPr>
        <w:ind w:firstLine="480"/>
        <w:rPr>
          <w:color w:val="000000" w:themeColor="text1"/>
          <w14:textFill>
            <w14:solidFill>
              <w14:schemeClr w14:val="tx1"/>
            </w14:solidFill>
          </w14:textFill>
        </w:rPr>
      </w:pPr>
      <w:r>
        <w:rPr>
          <w:rFonts w:hint="eastAsia"/>
          <w:color w:val="000000" w:themeColor="text1"/>
          <w:szCs w:val="28"/>
          <w14:textFill>
            <w14:solidFill>
              <w14:schemeClr w14:val="tx1"/>
            </w14:solidFill>
          </w14:textFill>
        </w:rPr>
        <w:t>（6）若因</w:t>
      </w:r>
      <w:r>
        <w:rPr>
          <w:rFonts w:hint="eastAsia"/>
          <w:color w:val="000000" w:themeColor="text1"/>
          <w14:textFill>
            <w14:solidFill>
              <w14:schemeClr w14:val="tx1"/>
            </w14:solidFill>
          </w14:textFill>
        </w:rPr>
        <w:t>码头施工引起火情，现场人员应立即按事故报告程序进行报告，切断泄漏源，立即停止附近一切码头作业。随后通过无线或有线电话及控制室的报警系统立即通知后方消防中心，消防中心在接到报警后立即启动消防水泵向码头前方输送压力水，与此同时码头消防控制室内值班人员应立即启动泡沫比例混合器中的泡沫液泵，配制泡沫混合液并根据火灾地点，开启码头水幕、消防水炮及泡沫炮进行消防作业。</w:t>
      </w:r>
    </w:p>
    <w:p w14:paraId="26CB8A99">
      <w:pPr>
        <w:widowControl/>
        <w:ind w:firstLine="480"/>
        <w:jc w:val="left"/>
        <w:rPr>
          <w:color w:val="000000" w:themeColor="text1"/>
          <w14:textFill>
            <w14:solidFill>
              <w14:schemeClr w14:val="tx1"/>
            </w14:solidFill>
          </w14:textFill>
        </w:rPr>
      </w:pPr>
      <w:r>
        <w:rPr>
          <w:color w:val="000000" w:themeColor="text1"/>
          <w:kern w:val="0"/>
          <w:lang w:bidi="ar"/>
          <w14:textFill>
            <w14:solidFill>
              <w14:schemeClr w14:val="tx1"/>
            </w14:solidFill>
          </w14:textFill>
        </w:rPr>
        <w:t>（</w:t>
      </w:r>
      <w:r>
        <w:rPr>
          <w:rFonts w:hint="eastAsia"/>
          <w:color w:val="000000" w:themeColor="text1"/>
          <w:kern w:val="0"/>
          <w:lang w:bidi="ar"/>
          <w14:textFill>
            <w14:solidFill>
              <w14:schemeClr w14:val="tx1"/>
            </w14:solidFill>
          </w14:textFill>
        </w:rPr>
        <w:t>7</w:t>
      </w:r>
      <w:r>
        <w:rPr>
          <w:color w:val="000000" w:themeColor="text1"/>
          <w:kern w:val="0"/>
          <w:lang w:bidi="ar"/>
          <w14:textFill>
            <w14:solidFill>
              <w14:schemeClr w14:val="tx1"/>
            </w14:solidFill>
          </w14:textFill>
        </w:rPr>
        <w:t>）各施工队伍各工段、各班组、各工种都要形成人员预案网络，都要有专人负责，在接到撤离通知后整个网络要上下左右形成协调联动。现场与施工总部保持联络，及时了解相关动态，遇紧急情况时，在接到通知后迅速组织现场施工队伍撤离。</w:t>
      </w:r>
    </w:p>
    <w:p w14:paraId="073A8510">
      <w:pPr>
        <w:widowControl/>
        <w:ind w:firstLine="480"/>
        <w:jc w:val="left"/>
        <w:rPr>
          <w:color w:val="000000" w:themeColor="text1"/>
          <w14:textFill>
            <w14:solidFill>
              <w14:schemeClr w14:val="tx1"/>
            </w14:solidFill>
          </w14:textFill>
        </w:rPr>
      </w:pPr>
      <w:r>
        <w:rPr>
          <w:color w:val="000000" w:themeColor="text1"/>
          <w:kern w:val="0"/>
          <w:lang w:bidi="ar"/>
          <w14:textFill>
            <w14:solidFill>
              <w14:schemeClr w14:val="tx1"/>
            </w14:solidFill>
          </w14:textFill>
        </w:rPr>
        <w:t>（</w:t>
      </w:r>
      <w:r>
        <w:rPr>
          <w:rFonts w:hint="eastAsia"/>
          <w:color w:val="000000" w:themeColor="text1"/>
          <w:kern w:val="0"/>
          <w:lang w:bidi="ar"/>
          <w14:textFill>
            <w14:solidFill>
              <w14:schemeClr w14:val="tx1"/>
            </w14:solidFill>
          </w14:textFill>
        </w:rPr>
        <w:t>8</w:t>
      </w:r>
      <w:r>
        <w:rPr>
          <w:color w:val="000000" w:themeColor="text1"/>
          <w:kern w:val="0"/>
          <w:lang w:bidi="ar"/>
          <w14:textFill>
            <w14:solidFill>
              <w14:schemeClr w14:val="tx1"/>
            </w14:solidFill>
          </w14:textFill>
        </w:rPr>
        <w:t>）在施工期间加强对该水域的监控，尽可能避免大型船在施工水域段会船。沿进出港航道航行的船舶通过施工水域时应加强了望，避免与施工船舶之间发生碰撞。</w:t>
      </w:r>
    </w:p>
    <w:p w14:paraId="4C2689BD">
      <w:pPr>
        <w:pStyle w:val="4"/>
        <w:rPr>
          <w:color w:val="000000" w:themeColor="text1"/>
          <w14:textFill>
            <w14:solidFill>
              <w14:schemeClr w14:val="tx1"/>
            </w14:solidFill>
          </w14:textFill>
        </w:rPr>
      </w:pPr>
      <w:r>
        <w:rPr>
          <w:color w:val="000000" w:themeColor="text1"/>
          <w14:textFill>
            <w14:solidFill>
              <w14:schemeClr w14:val="tx1"/>
            </w14:solidFill>
          </w14:textFill>
        </w:rPr>
        <w:t>风险管理措施</w:t>
      </w:r>
    </w:p>
    <w:p w14:paraId="64D55B61">
      <w:pPr>
        <w:ind w:firstLine="480"/>
        <w:rPr>
          <w:color w:val="000000" w:themeColor="text1"/>
          <w14:textFill>
            <w14:solidFill>
              <w14:schemeClr w14:val="tx1"/>
            </w14:solidFill>
          </w14:textFill>
        </w:rPr>
      </w:pPr>
      <w:r>
        <w:rPr>
          <w:color w:val="000000" w:themeColor="text1"/>
          <w14:textFill>
            <w14:solidFill>
              <w14:schemeClr w14:val="tx1"/>
            </w14:solidFill>
          </w14:textFill>
        </w:rPr>
        <w:t>（1）选用优质设备器材。根据</w:t>
      </w:r>
      <w:r>
        <w:rPr>
          <w:rFonts w:hint="eastAsia"/>
          <w:color w:val="000000" w:themeColor="text1"/>
          <w14:textFill>
            <w14:solidFill>
              <w14:schemeClr w14:val="tx1"/>
            </w14:solidFill>
          </w14:textFill>
        </w:rPr>
        <w:t>装卸物种</w:t>
      </w:r>
      <w:r>
        <w:rPr>
          <w:color w:val="000000" w:themeColor="text1"/>
          <w14:textFill>
            <w14:solidFill>
              <w14:schemeClr w14:val="tx1"/>
            </w14:solidFill>
          </w14:textFill>
        </w:rPr>
        <w:t>的特点和工艺要求，采用合理的工艺流程，选用高效密封安全可靠的设备材料，做到防止跑、冒、滴、漏、防爆防雷以及防静电。工艺管道应满足输送液体化学品对温度、压力的要求，并满足耐腐蚀的要求。</w:t>
      </w:r>
    </w:p>
    <w:p w14:paraId="7230ECC4">
      <w:pPr>
        <w:ind w:firstLine="480"/>
        <w:rPr>
          <w:color w:val="000000" w:themeColor="text1"/>
          <w14:textFill>
            <w14:solidFill>
              <w14:schemeClr w14:val="tx1"/>
            </w14:solidFill>
          </w14:textFill>
        </w:rPr>
      </w:pPr>
      <w:r>
        <w:rPr>
          <w:color w:val="000000" w:themeColor="text1"/>
          <w14:textFill>
            <w14:solidFill>
              <w14:schemeClr w14:val="tx1"/>
            </w14:solidFill>
          </w14:textFill>
        </w:rPr>
        <w:t>（2）阀门、法兰等按工艺要求选定，安装后生产单位要认真进行核查确认。</w:t>
      </w:r>
    </w:p>
    <w:p w14:paraId="5B479D5C">
      <w:pPr>
        <w:ind w:firstLine="480"/>
        <w:rPr>
          <w:color w:val="000000" w:themeColor="text1"/>
          <w14:textFill>
            <w14:solidFill>
              <w14:schemeClr w14:val="tx1"/>
            </w14:solidFill>
          </w14:textFill>
        </w:rPr>
      </w:pPr>
      <w:r>
        <w:rPr>
          <w:color w:val="000000" w:themeColor="text1"/>
          <w14:textFill>
            <w14:solidFill>
              <w14:schemeClr w14:val="tx1"/>
            </w14:solidFill>
          </w14:textFill>
        </w:rPr>
        <w:t>（3）所有压力容器、可燃气体检测仪、安全阀以及远距离控制阀等，应按规定周期定期检验，确保安全、灵敏、可靠。</w:t>
      </w:r>
    </w:p>
    <w:p w14:paraId="7882406C">
      <w:pPr>
        <w:ind w:firstLine="480"/>
        <w:rPr>
          <w:bCs/>
          <w:color w:val="000000" w:themeColor="text1"/>
          <w14:textFill>
            <w14:solidFill>
              <w14:schemeClr w14:val="tx1"/>
            </w14:solidFill>
          </w14:textFill>
        </w:rPr>
      </w:pPr>
      <w:r>
        <w:rPr>
          <w:color w:val="000000" w:themeColor="text1"/>
          <w14:textFill>
            <w14:solidFill>
              <w14:schemeClr w14:val="tx1"/>
            </w14:solidFill>
          </w14:textFill>
        </w:rPr>
        <w:t>（4）加强对易腐蚀系统的设备和管线的壁厚监测工作，随时掌握壁厚减薄等情况，以利随时更换腐蚀较严重的设施。</w:t>
      </w:r>
      <w:r>
        <w:rPr>
          <w:color w:val="000000" w:themeColor="text1"/>
          <w:szCs w:val="28"/>
          <w14:textFill>
            <w14:solidFill>
              <w14:schemeClr w14:val="tx1"/>
            </w14:solidFill>
          </w14:textFill>
        </w:rPr>
        <w:t>工艺管道上压力、温度的测量采用就地显示，并设置压力变送器远程显示管道压力。</w:t>
      </w:r>
      <w:r>
        <w:rPr>
          <w:bCs/>
          <w:color w:val="000000" w:themeColor="text1"/>
          <w14:textFill>
            <w14:solidFill>
              <w14:schemeClr w14:val="tx1"/>
            </w14:solidFill>
          </w14:textFill>
        </w:rPr>
        <w:t>压力的测量采用隔膜压力变送器。本项目依托现有仪表控制室内控制系统，对新增管道紧急切断阀门（气动阀）、压力变送器等进行数据采集和集中控制。</w:t>
      </w:r>
    </w:p>
    <w:p w14:paraId="5C55F68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对可能释放可燃、有毒气体的码头装卸区等部位设置可燃/有毒气体检测报警器</w:t>
      </w:r>
      <w:r>
        <w:rPr>
          <w:rFonts w:hint="eastAsia"/>
          <w:color w:val="000000" w:themeColor="text1"/>
          <w14:textFill>
            <w14:solidFill>
              <w14:schemeClr w14:val="tx1"/>
            </w14:solidFill>
          </w14:textFill>
        </w:rPr>
        <w:t>。GDS系统对可燃易爆气体泄漏监测显示和报警，通过网络将数据送至DCS系统并由操作员实时监控。</w:t>
      </w:r>
      <w:r>
        <w:rPr>
          <w:color w:val="000000" w:themeColor="text1"/>
          <w14:textFill>
            <w14:solidFill>
              <w14:schemeClr w14:val="tx1"/>
            </w14:solidFill>
          </w14:textFill>
        </w:rPr>
        <w:t>采用计算机控制系统，将化学品</w:t>
      </w:r>
      <w:r>
        <w:rPr>
          <w:rFonts w:hint="eastAsia"/>
          <w:color w:val="000000" w:themeColor="text1"/>
          <w:lang w:eastAsia="zh-CN"/>
          <w14:textFill>
            <w14:solidFill>
              <w14:schemeClr w14:val="tx1"/>
            </w14:solidFill>
          </w14:textFill>
        </w:rPr>
        <w:t>运输</w:t>
      </w:r>
      <w:r>
        <w:rPr>
          <w:color w:val="000000" w:themeColor="text1"/>
          <w14:textFill>
            <w14:solidFill>
              <w14:schemeClr w14:val="tx1"/>
            </w14:solidFill>
          </w14:textFill>
        </w:rPr>
        <w:t>、设备报警和应急监控以及消防设备设施操控统一到中控室。一旦发生化学品泄漏或火灾事故，可确保由计算机发出明确信息，向指挥系统和抢险人员提供快速准确的指令，最大限度</w:t>
      </w:r>
      <w:r>
        <w:rPr>
          <w:rFonts w:hint="eastAsia"/>
          <w:color w:val="000000" w:themeColor="text1"/>
          <w14:textFill>
            <w14:solidFill>
              <w14:schemeClr w14:val="tx1"/>
            </w14:solidFill>
          </w14:textFill>
        </w:rPr>
        <w:t>地</w:t>
      </w:r>
      <w:r>
        <w:rPr>
          <w:color w:val="000000" w:themeColor="text1"/>
          <w14:textFill>
            <w14:solidFill>
              <w14:schemeClr w14:val="tx1"/>
            </w14:solidFill>
          </w14:textFill>
        </w:rPr>
        <w:t>控制事故影响。</w:t>
      </w:r>
    </w:p>
    <w:p w14:paraId="4B7C2498">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）工艺管线设置防静电接地装置，管线应采取防腐措施。</w:t>
      </w:r>
    </w:p>
    <w:p w14:paraId="51E54FD6">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7</w:t>
      </w:r>
      <w:r>
        <w:rPr>
          <w:color w:val="000000" w:themeColor="text1"/>
          <w14:textFill>
            <w14:solidFill>
              <w14:schemeClr w14:val="tx1"/>
            </w14:solidFill>
          </w14:textFill>
        </w:rPr>
        <w:t>）在金属软管根部设置的工艺管线紧急切断阀门，当采用电动控制方式时，还应有手动操作功能，并有操作</w:t>
      </w:r>
      <w:r>
        <w:rPr>
          <w:rFonts w:hint="eastAsia"/>
          <w:color w:val="000000" w:themeColor="text1"/>
          <w14:textFill>
            <w14:solidFill>
              <w14:schemeClr w14:val="tx1"/>
            </w14:solidFill>
          </w14:textFill>
        </w:rPr>
        <w:t>标识牌</w:t>
      </w:r>
      <w:r>
        <w:rPr>
          <w:color w:val="000000" w:themeColor="text1"/>
          <w14:textFill>
            <w14:solidFill>
              <w14:schemeClr w14:val="tx1"/>
            </w14:solidFill>
          </w14:textFill>
        </w:rPr>
        <w:t>。安装固定可燃报警仪器，并配备便携式可燃气体报警仪。</w:t>
      </w:r>
    </w:p>
    <w:p w14:paraId="2FD74BC3">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）扫线介质压力应满足扫线作业的要求，并不得大于被扫工艺管道设计的压力。工艺管道的排液和排气口应设置放空阀。</w:t>
      </w:r>
    </w:p>
    <w:p w14:paraId="6A20FC14">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）建立重大危险源的特征污染物的自动报警和控制系统</w:t>
      </w:r>
      <w:r>
        <w:rPr>
          <w:rFonts w:hint="eastAsia"/>
          <w:color w:val="000000" w:themeColor="text1"/>
          <w14:textFill>
            <w14:solidFill>
              <w14:schemeClr w14:val="tx1"/>
            </w14:solidFill>
          </w14:textFill>
        </w:rPr>
        <w:t>，并</w:t>
      </w:r>
      <w:r>
        <w:rPr>
          <w:color w:val="000000" w:themeColor="text1"/>
          <w14:textFill>
            <w14:solidFill>
              <w14:schemeClr w14:val="tx1"/>
            </w14:solidFill>
          </w14:textFill>
        </w:rPr>
        <w:t>配备事故初级救护器材和</w:t>
      </w:r>
      <w:r>
        <w:rPr>
          <w:rFonts w:hint="eastAsia"/>
          <w:color w:val="000000" w:themeColor="text1"/>
          <w14:textFill>
            <w14:solidFill>
              <w14:schemeClr w14:val="tx1"/>
            </w14:solidFill>
          </w14:textFill>
        </w:rPr>
        <w:t>物资</w:t>
      </w:r>
      <w:r>
        <w:rPr>
          <w:color w:val="000000" w:themeColor="text1"/>
          <w14:textFill>
            <w14:solidFill>
              <w14:schemeClr w14:val="tx1"/>
            </w14:solidFill>
          </w14:textFill>
        </w:rPr>
        <w:t>。</w:t>
      </w:r>
    </w:p>
    <w:p w14:paraId="0F9D939D">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10</w:t>
      </w:r>
      <w:r>
        <w:rPr>
          <w:color w:val="000000" w:themeColor="text1"/>
          <w14:textFill>
            <w14:solidFill>
              <w14:schemeClr w14:val="tx1"/>
            </w14:solidFill>
          </w14:textFill>
        </w:rPr>
        <w:t>）保证所有节点阀门封闭，焊点和管道接头处设置接收盘，收集的化学品应由有危险废物资质的单位处置，不得随意丢弃。</w:t>
      </w:r>
    </w:p>
    <w:p w14:paraId="0A0FCCA4">
      <w:pPr>
        <w:ind w:firstLine="48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规范船舶装卸作业行为。船岸双方应严格落实船岸安全检查制度，认真执行操作规程，遵守安全注意事项，合理控制装卸货物的压力、流速等参数，加强值班和巡视，注意作业现场及周边环境，维护船舶靠泊秩序，合理为船舶积载，确保船岸双方的安全。</w:t>
      </w:r>
    </w:p>
    <w:p w14:paraId="2FA9CFEE">
      <w:pPr>
        <w:ind w:firstLine="48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）船舶停靠码头后，在进行装卸作业前，检查管路、阀门等有关设备，使其处于良好状态，检查双方系泊是否安全。</w:t>
      </w:r>
    </w:p>
    <w:p w14:paraId="62445B8B">
      <w:pPr>
        <w:ind w:firstLine="48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）配备与靠泊船舶相适应的消拖轮，消拖轮的功率和消防供水量应满足船舶的应急需要。</w:t>
      </w:r>
    </w:p>
    <w:p w14:paraId="2E22ABC9">
      <w:pPr>
        <w:ind w:firstLine="48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）利用实时监控设备，对船舶靠离泊、装卸作业过程进行实时远程监控，一旦出现险情，及时反应，防止事态扩大。</w:t>
      </w:r>
    </w:p>
    <w:p w14:paraId="06BA42DF">
      <w:pPr>
        <w:ind w:firstLine="48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建设单位应根据化学品输送管道的特点加强环境健康安全的管理；建立健全的岗位操作规程和管理程序，并确保贯彻执行。调度人员应熟悉管辖范围内的工艺流程和管道的运行情况，能根据管道的输送量、环境条件，确定其输送温度和输送方案；能根据管道运行参数的变化，判断管道运行是否正常，并能够及时采取措施，消除管道的事故隐患。</w:t>
      </w:r>
    </w:p>
    <w:p w14:paraId="09D9D2E5">
      <w:pPr>
        <w:pStyle w:val="13"/>
        <w:ind w:firstLine="480"/>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（16）上述的管理措施完全满足拟建项目的要求。</w:t>
      </w:r>
    </w:p>
    <w:p w14:paraId="0827D78A">
      <w:pPr>
        <w:pStyle w:val="4"/>
        <w:rPr>
          <w:color w:val="000000" w:themeColor="text1"/>
          <w14:textFill>
            <w14:solidFill>
              <w14:schemeClr w14:val="tx1"/>
            </w14:solidFill>
          </w14:textFill>
        </w:rPr>
      </w:pPr>
      <w:r>
        <w:rPr>
          <w:color w:val="000000" w:themeColor="text1"/>
          <w14:textFill>
            <w14:solidFill>
              <w14:schemeClr w14:val="tx1"/>
            </w14:solidFill>
          </w14:textFill>
        </w:rPr>
        <w:t>风险应急措施</w:t>
      </w:r>
    </w:p>
    <w:p w14:paraId="10144981">
      <w:pPr>
        <w:pStyle w:val="6"/>
        <w:ind w:left="0"/>
        <w:rPr>
          <w:color w:val="000000" w:themeColor="text1"/>
          <w14:textFill>
            <w14:solidFill>
              <w14:schemeClr w14:val="tx1"/>
            </w14:solidFill>
          </w14:textFill>
        </w:rPr>
      </w:pPr>
      <w:r>
        <w:rPr>
          <w:color w:val="000000" w:themeColor="text1"/>
          <w14:textFill>
            <w14:solidFill>
              <w14:schemeClr w14:val="tx1"/>
            </w14:solidFill>
          </w14:textFill>
        </w:rPr>
        <w:t>现有风险事故应急措施</w:t>
      </w:r>
    </w:p>
    <w:p w14:paraId="2F522735">
      <w:pPr>
        <w:ind w:firstLine="480"/>
        <w:rPr>
          <w:color w:val="000000" w:themeColor="text1"/>
          <w14:textFill>
            <w14:solidFill>
              <w14:schemeClr w14:val="tx1"/>
            </w14:solidFill>
          </w14:textFill>
        </w:rPr>
      </w:pPr>
      <w:r>
        <w:rPr>
          <w:color w:val="000000" w:themeColor="text1"/>
          <w14:textFill>
            <w14:solidFill>
              <w14:schemeClr w14:val="tx1"/>
            </w14:solidFill>
          </w14:textFill>
        </w:rPr>
        <w:t>为防止出现灾害事故，减少风险，要求项目工程设计、施工和运行，要科学规划，合理布置，严格按照防火安全设计规范设计，保证施工质量，严格安全生产制度，严格管理，提高操作人员素质和水平，以减少事故的发生。风险事故发生后，应根据事故严重情况采取相应的应急措施，控制事态发展，减缓事故灾害。</w:t>
      </w:r>
    </w:p>
    <w:p w14:paraId="22C5E8A5">
      <w:pPr>
        <w:pStyle w:val="6"/>
        <w:ind w:left="0"/>
        <w:rPr>
          <w:color w:val="000000" w:themeColor="text1"/>
          <w14:textFill>
            <w14:solidFill>
              <w14:schemeClr w14:val="tx1"/>
            </w14:solidFill>
          </w14:textFill>
        </w:rPr>
      </w:pPr>
      <w:r>
        <w:rPr>
          <w:color w:val="000000" w:themeColor="text1"/>
          <w14:textFill>
            <w14:solidFill>
              <w14:schemeClr w14:val="tx1"/>
            </w14:solidFill>
          </w14:textFill>
        </w:rPr>
        <w:t>现有化学品泄漏处置措施</w:t>
      </w:r>
    </w:p>
    <w:p w14:paraId="3BE8FF71">
      <w:pPr>
        <w:ind w:firstLine="480"/>
        <w:rPr>
          <w:color w:val="000000" w:themeColor="text1"/>
          <w14:textFill>
            <w14:solidFill>
              <w14:schemeClr w14:val="tx1"/>
            </w14:solidFill>
          </w14:textFill>
        </w:rPr>
      </w:pPr>
      <w:r>
        <w:rPr>
          <w:color w:val="000000" w:themeColor="text1"/>
          <w14:textFill>
            <w14:solidFill>
              <w14:schemeClr w14:val="tx1"/>
            </w14:solidFill>
          </w14:textFill>
        </w:rPr>
        <w:t>应急处理方案应当从化学品泄漏行为动态、危险危害特性、事故规模、海况条件、处理设备性能等方面入手，充分考虑应急行动的应急措施的安全性、经济性和有效性，其中化学品泄漏行为动态是首要考虑因素。</w:t>
      </w:r>
    </w:p>
    <w:p w14:paraId="73C20EE8">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）挥发类化学品</w:t>
      </w:r>
    </w:p>
    <w:p w14:paraId="268060B1">
      <w:pPr>
        <w:ind w:firstLine="480"/>
        <w:rPr>
          <w:color w:val="000000" w:themeColor="text1"/>
          <w14:textFill>
            <w14:solidFill>
              <w14:schemeClr w14:val="tx1"/>
            </w14:solidFill>
          </w14:textFill>
        </w:rPr>
      </w:pPr>
      <w:r>
        <w:rPr>
          <w:color w:val="000000" w:themeColor="text1"/>
          <w14:textFill>
            <w14:solidFill>
              <w14:schemeClr w14:val="tx1"/>
            </w14:solidFill>
          </w14:textFill>
        </w:rPr>
        <w:t>挥发类化学品泄漏处理难度很大，其造成环境危害的程度主要从有害蒸气浓度及其持续时间两个方面衡量。因此，在处理此类化学品泄漏事故时，应定量描述散化事故中蒸汽危害区（一定浓度的有害蒸气的空间范围）与事故危害期（有害蒸汽持续时间）；对于稳定烟流排放，计算出危害区最大下风向距离及最大横风向危害距离。</w:t>
      </w:r>
    </w:p>
    <w:p w14:paraId="5319050F">
      <w:pPr>
        <w:ind w:firstLine="480"/>
        <w:rPr>
          <w:color w:val="000000" w:themeColor="text1"/>
          <w14:textFill>
            <w14:solidFill>
              <w14:schemeClr w14:val="tx1"/>
            </w14:solidFill>
          </w14:textFill>
        </w:rPr>
      </w:pPr>
      <w:r>
        <w:rPr>
          <w:color w:val="000000" w:themeColor="text1"/>
          <w14:textFill>
            <w14:solidFill>
              <w14:schemeClr w14:val="tx1"/>
            </w14:solidFill>
          </w14:textFill>
        </w:rPr>
        <w:t>根据模拟计算结果和有毒蒸气对人员的伤害浓度剂量标准，划定危险区域，对危险区域内的人群实施掩蔽或疏散。在气体和蒸气大量释放的情况下，唯一可行的应对措施是回避。</w:t>
      </w:r>
    </w:p>
    <w:p w14:paraId="455BA5E3">
      <w:pPr>
        <w:ind w:firstLine="480"/>
        <w:rPr>
          <w:color w:val="000000" w:themeColor="text1"/>
          <w14:textFill>
            <w14:solidFill>
              <w14:schemeClr w14:val="tx1"/>
            </w14:solidFill>
          </w14:textFill>
        </w:rPr>
      </w:pPr>
      <w:r>
        <w:rPr>
          <w:color w:val="000000" w:themeColor="text1"/>
          <w14:textFill>
            <w14:solidFill>
              <w14:schemeClr w14:val="tx1"/>
            </w14:solidFill>
          </w14:textFill>
        </w:rPr>
        <w:t>泄漏蒸发物的另外一个危害在于可能造成火灾爆炸危险。当可燃混合气体的浓度超过爆炸下限（LEL）就会有发生爆炸的危险。一般情况下通过扩散模型计算蒸气大致浓度，并用仪器检测气体浓度是否达到10%LEL，以确定火灾危险区域的外部边界。</w:t>
      </w:r>
    </w:p>
    <w:p w14:paraId="79441FFB">
      <w:pPr>
        <w:ind w:firstLine="480"/>
        <w:rPr>
          <w:color w:val="000000" w:themeColor="text1"/>
          <w14:textFill>
            <w14:solidFill>
              <w14:schemeClr w14:val="tx1"/>
            </w14:solidFill>
          </w14:textFill>
        </w:rPr>
      </w:pPr>
      <w:r>
        <w:rPr>
          <w:color w:val="000000" w:themeColor="text1"/>
          <w14:textFill>
            <w14:solidFill>
              <w14:schemeClr w14:val="tx1"/>
            </w14:solidFill>
          </w14:textFill>
        </w:rPr>
        <w:t>当泄漏蒸气浓度通过大气或水的消散或稀释而降至可接受的水平时，最终宣布安全。</w:t>
      </w:r>
    </w:p>
    <w:p w14:paraId="499EB95F">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）漂浮在水面的化学品</w:t>
      </w:r>
    </w:p>
    <w:p w14:paraId="41D0BB27">
      <w:pPr>
        <w:ind w:firstLine="480"/>
        <w:rPr>
          <w:color w:val="000000" w:themeColor="text1"/>
          <w14:textFill>
            <w14:solidFill>
              <w14:schemeClr w14:val="tx1"/>
            </w14:solidFill>
          </w14:textFill>
        </w:rPr>
      </w:pPr>
      <w:r>
        <w:rPr>
          <w:color w:val="000000" w:themeColor="text1"/>
          <w14:textFill>
            <w14:solidFill>
              <w14:schemeClr w14:val="tx1"/>
            </w14:solidFill>
          </w14:textFill>
        </w:rPr>
        <w:t>漂浮在水面的有毒液体物质进入水面后的基本状态有四种：FD类（边漂浮边溶解于水）、FE类（边漂浮边蒸发到空气中）、FED类（边漂浮边蒸发边溶解于水）和F类（既不溶解也不蒸发）。</w:t>
      </w:r>
      <w:r>
        <w:rPr>
          <w:rFonts w:hint="eastAsia"/>
          <w:color w:val="000000" w:themeColor="text1"/>
          <w14:textFill>
            <w14:solidFill>
              <w14:schemeClr w14:val="tx1"/>
            </w14:solidFill>
          </w14:textFill>
        </w:rPr>
        <w:t>在采用适当的处理剂或吸附剂处理后，可用不同类型的撇油器回收。这类化学品泄漏可借鉴海上溢油的防治技术，加以调整，如下图</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7-1所示。具体应急措施包括：</w:t>
      </w:r>
    </w:p>
    <w:p w14:paraId="349AE09B">
      <w:pPr>
        <w:spacing w:line="240" w:lineRule="auto"/>
        <w:ind w:firstLine="0" w:firstLineChars="0"/>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drawing>
          <wp:inline distT="0" distB="0" distL="0" distR="0">
            <wp:extent cx="4105275" cy="2466975"/>
            <wp:effectExtent l="0" t="0" r="9525" b="9525"/>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a:xfrm>
                      <a:off x="0" y="0"/>
                      <a:ext cx="4105275" cy="2466975"/>
                    </a:xfrm>
                    <a:prstGeom prst="rect">
                      <a:avLst/>
                    </a:prstGeom>
                    <a:noFill/>
                    <a:ln>
                      <a:noFill/>
                    </a:ln>
                    <a:effectLst/>
                  </pic:spPr>
                </pic:pic>
              </a:graphicData>
            </a:graphic>
          </wp:inline>
        </w:drawing>
      </w:r>
    </w:p>
    <w:p w14:paraId="1ADC147D">
      <w:pPr>
        <w:spacing w:line="240" w:lineRule="auto"/>
        <w:ind w:firstLine="0" w:firstLineChars="0"/>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 xml:space="preserve">图5.7-1 </w:t>
      </w:r>
      <w:r>
        <w:rPr>
          <w:b/>
          <w:color w:val="000000" w:themeColor="text1"/>
          <w14:textFill>
            <w14:solidFill>
              <w14:schemeClr w14:val="tx1"/>
            </w14:solidFill>
          </w14:textFill>
        </w:rPr>
        <w:t xml:space="preserve"> </w:t>
      </w:r>
      <w:r>
        <w:rPr>
          <w:rFonts w:hint="eastAsia"/>
          <w:b/>
          <w:color w:val="000000" w:themeColor="text1"/>
          <w14:textFill>
            <w14:solidFill>
              <w14:schemeClr w14:val="tx1"/>
            </w14:solidFill>
          </w14:textFill>
        </w:rPr>
        <w:t>化学品泄漏防治技术流程图</w:t>
      </w:r>
    </w:p>
    <w:p w14:paraId="034C5C8A">
      <w:pPr>
        <w:ind w:firstLine="480"/>
        <w:rPr>
          <w:color w:val="000000" w:themeColor="text1"/>
          <w14:textFill>
            <w14:solidFill>
              <w14:schemeClr w14:val="tx1"/>
            </w14:solidFill>
          </w14:textFill>
        </w:rPr>
      </w:pPr>
      <w:r>
        <w:rPr>
          <w:rFonts w:hint="eastAsia" w:cs="宋体"/>
          <w:color w:val="000000" w:themeColor="text1"/>
          <w14:textFill>
            <w14:solidFill>
              <w14:schemeClr w14:val="tx1"/>
            </w14:solidFill>
          </w14:textFill>
        </w:rPr>
        <w:t>①</w:t>
      </w:r>
      <w:r>
        <w:rPr>
          <w:rFonts w:hint="eastAsia"/>
          <w:color w:val="000000" w:themeColor="text1"/>
          <w14:textFill>
            <w14:solidFill>
              <w14:schemeClr w14:val="tx1"/>
            </w14:solidFill>
          </w14:textFill>
        </w:rPr>
        <w:t>围油栏围控。为了防止漂浮型危险品的扩散，便于漂浮型危险化学品的清除，而采用的一种能够把危险化学品漂浮层限制在一定范围的方法。</w:t>
      </w:r>
    </w:p>
    <w:p w14:paraId="65A96D0A">
      <w:pPr>
        <w:ind w:firstLine="480"/>
        <w:rPr>
          <w:color w:val="000000" w:themeColor="text1"/>
          <w14:textFill>
            <w14:solidFill>
              <w14:schemeClr w14:val="tx1"/>
            </w14:solidFill>
          </w14:textFill>
        </w:rPr>
      </w:pPr>
      <w:r>
        <w:rPr>
          <w:rFonts w:hint="eastAsia" w:cs="宋体"/>
          <w:color w:val="000000" w:themeColor="text1"/>
          <w14:textFill>
            <w14:solidFill>
              <w14:schemeClr w14:val="tx1"/>
            </w14:solidFill>
          </w14:textFill>
        </w:rPr>
        <w:t>②</w:t>
      </w:r>
      <w:r>
        <w:rPr>
          <w:rFonts w:hint="eastAsia"/>
          <w:color w:val="000000" w:themeColor="text1"/>
          <w14:textFill>
            <w14:solidFill>
              <w14:schemeClr w14:val="tx1"/>
            </w14:solidFill>
          </w14:textFill>
        </w:rPr>
        <w:t>分散剂法。喷洒分散剂能使漂浮型危险化学品分散成微小颗粒，使其在波浪或外加搅拌力的作用下分散到水体中，从而加速水上危险化学品被水中微生物降解的过程，达到降低污染的目的。</w:t>
      </w:r>
    </w:p>
    <w:p w14:paraId="5787A6C9">
      <w:pPr>
        <w:ind w:firstLine="480"/>
        <w:rPr>
          <w:color w:val="000000" w:themeColor="text1"/>
          <w14:textFill>
            <w14:solidFill>
              <w14:schemeClr w14:val="tx1"/>
            </w14:solidFill>
          </w14:textFill>
        </w:rPr>
      </w:pPr>
      <w:r>
        <w:rPr>
          <w:rFonts w:hint="eastAsia" w:cs="宋体"/>
          <w:color w:val="000000" w:themeColor="text1"/>
          <w14:textFill>
            <w14:solidFill>
              <w14:schemeClr w14:val="tx1"/>
            </w14:solidFill>
          </w14:textFill>
        </w:rPr>
        <w:t>③</w:t>
      </w:r>
      <w:r>
        <w:rPr>
          <w:rFonts w:hint="eastAsia"/>
          <w:color w:val="000000" w:themeColor="text1"/>
          <w14:textFill>
            <w14:solidFill>
              <w14:schemeClr w14:val="tx1"/>
            </w14:solidFill>
          </w14:textFill>
        </w:rPr>
        <w:t>机械回收。通过浮油回收器、浮油回收船等作用于水体表面，对漂浮型危险化学品进行回收处理。</w:t>
      </w:r>
    </w:p>
    <w:p w14:paraId="439CA0A6">
      <w:pPr>
        <w:ind w:firstLine="480"/>
        <w:rPr>
          <w:color w:val="000000" w:themeColor="text1"/>
          <w14:textFill>
            <w14:solidFill>
              <w14:schemeClr w14:val="tx1"/>
            </w14:solidFill>
          </w14:textFill>
        </w:rPr>
      </w:pPr>
      <w:r>
        <w:rPr>
          <w:rFonts w:hint="eastAsia" w:cs="宋体"/>
          <w:color w:val="000000" w:themeColor="text1"/>
          <w14:textFill>
            <w14:solidFill>
              <w14:schemeClr w14:val="tx1"/>
            </w14:solidFill>
          </w14:textFill>
        </w:rPr>
        <w:t>④</w:t>
      </w:r>
      <w:r>
        <w:rPr>
          <w:rFonts w:hint="eastAsia"/>
          <w:color w:val="000000" w:themeColor="text1"/>
          <w14:textFill>
            <w14:solidFill>
              <w14:schemeClr w14:val="tx1"/>
            </w14:solidFill>
          </w14:textFill>
        </w:rPr>
        <w:t>吸附剂法。对漂浮的液体、或慢慢挥发和溶解的漂浮型泄漏物可采用传统的溢油吸附剂。</w:t>
      </w:r>
    </w:p>
    <w:p w14:paraId="32408126">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）水溶性化学品</w:t>
      </w:r>
    </w:p>
    <w:p w14:paraId="3A48DC6C">
      <w:pPr>
        <w:widowControl/>
        <w:ind w:firstLine="480"/>
        <w:rPr>
          <w:rFonts w:cs="宋体"/>
          <w:color w:val="000000" w:themeColor="text1"/>
          <w:kern w:val="0"/>
          <w:lang w:bidi="ar"/>
          <w14:textFill>
            <w14:solidFill>
              <w14:schemeClr w14:val="tx1"/>
            </w14:solidFill>
          </w14:textFill>
        </w:rPr>
      </w:pPr>
      <w:r>
        <w:rPr>
          <w:color w:val="000000" w:themeColor="text1"/>
          <w14:textFill>
            <w14:solidFill>
              <w14:schemeClr w14:val="tx1"/>
            </w14:solidFill>
          </w14:textFill>
        </w:rPr>
        <w:t>水溶性化学品一旦进入水中后，</w:t>
      </w:r>
      <w:r>
        <w:rPr>
          <w:rFonts w:hint="eastAsia"/>
          <w:color w:val="000000" w:themeColor="text1"/>
          <w14:textFill>
            <w14:solidFill>
              <w14:schemeClr w14:val="tx1"/>
            </w14:solidFill>
          </w14:textFill>
        </w:rPr>
        <w:t>针对溶解型化学品泄漏的处置响应措施有如下：利用活性炭对溶解型危化品进行吸附，使其吸附在活性炭上，从而降低其污染程度。现有工程已于码头前沿配备活性炭2t，可满足本项目风险防控需求。废弃物料由槽车或专用收集器收集，运至有资质单位处置。码头前沿已配备有泄漏应急桶总容量（20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）。除活性炭吸附外，还可以采取中和处理措施，以降低水溶性化学品的毒性并减少其对环境的影响。</w:t>
      </w:r>
      <w:r>
        <w:rPr>
          <w:rFonts w:hint="eastAsia" w:cs="宋体"/>
          <w:color w:val="000000" w:themeColor="text1"/>
          <w:kern w:val="0"/>
          <w:lang w:bidi="ar"/>
          <w14:textFill>
            <w14:solidFill>
              <w14:schemeClr w14:val="tx1"/>
            </w14:solidFill>
          </w14:textFill>
        </w:rPr>
        <w:t>在一些特殊区域对己溶解的有毒液体物质可以进行中和剂处理，狭窄、敏感的水域中如海湾、港口、湖泊、多岛海)大的泄漏可以用中和剂处理。</w:t>
      </w:r>
      <w:r>
        <w:rPr>
          <w:rFonts w:hint="eastAsia"/>
          <w:color w:val="000000" w:themeColor="text1"/>
          <w14:textFill>
            <w14:solidFill>
              <w14:schemeClr w14:val="tx1"/>
            </w14:solidFill>
          </w14:textFill>
        </w:rPr>
        <w:t>中和剂是</w:t>
      </w:r>
      <w:r>
        <w:rPr>
          <w:color w:val="000000" w:themeColor="text1"/>
          <w14:textFill>
            <w14:solidFill>
              <w14:schemeClr w14:val="tx1"/>
            </w14:solidFill>
          </w14:textFill>
        </w:rPr>
        <w:t>水溶性化学品</w:t>
      </w:r>
      <w:r>
        <w:rPr>
          <w:rFonts w:hint="eastAsia"/>
          <w:color w:val="000000" w:themeColor="text1"/>
          <w14:textFill>
            <w14:solidFill>
              <w14:schemeClr w14:val="tx1"/>
            </w14:solidFill>
          </w14:textFill>
        </w:rPr>
        <w:t>泄漏处理中的重要试剂，其作用是与水溶性化学品发生化学反应，生成无毒或低毒的物质。常用的中和剂包括稀释后的碳酸钠溶液等。这些中和剂不仅能够有效降低</w:t>
      </w:r>
      <w:r>
        <w:rPr>
          <w:color w:val="000000" w:themeColor="text1"/>
          <w14:textFill>
            <w14:solidFill>
              <w14:schemeClr w14:val="tx1"/>
            </w14:solidFill>
          </w14:textFill>
        </w:rPr>
        <w:t>水溶性化学品</w:t>
      </w:r>
      <w:r>
        <w:rPr>
          <w:rFonts w:hint="eastAsia"/>
          <w:color w:val="000000" w:themeColor="text1"/>
          <w14:textFill>
            <w14:solidFill>
              <w14:schemeClr w14:val="tx1"/>
            </w14:solidFill>
          </w14:textFill>
        </w:rPr>
        <w:t>的毒性，还能减少其在环境中的残留。在使用中和剂时，需要注意以下几点：首先，中和剂的选择应根据泄漏物质的性质和泄漏量来决定，避免因反应失控引发二次事故；其次，</w:t>
      </w:r>
      <w:r>
        <w:rPr>
          <w:rFonts w:hint="eastAsia" w:cs="宋体"/>
          <w:color w:val="000000" w:themeColor="text1"/>
          <w:kern w:val="0"/>
          <w:lang w:bidi="ar"/>
          <w14:textFill>
            <w14:solidFill>
              <w14:schemeClr w14:val="tx1"/>
            </w14:solidFill>
          </w14:textFill>
        </w:rPr>
        <w:t>处理过程要与当地的环境、生态专家进行磋商，</w:t>
      </w:r>
      <w:r>
        <w:rPr>
          <w:rFonts w:hint="eastAsia"/>
          <w:color w:val="000000" w:themeColor="text1"/>
          <w14:textFill>
            <w14:solidFill>
              <w14:schemeClr w14:val="tx1"/>
            </w14:solidFill>
          </w14:textFill>
        </w:rPr>
        <w:t>中和剂的使用应在专业人员的指导下进行，</w:t>
      </w:r>
      <w:r>
        <w:rPr>
          <w:rFonts w:hint="eastAsia" w:cs="宋体"/>
          <w:color w:val="000000" w:themeColor="text1"/>
          <w:kern w:val="0"/>
          <w:lang w:bidi="ar"/>
          <w14:textFill>
            <w14:solidFill>
              <w14:schemeClr w14:val="tx1"/>
            </w14:solidFill>
          </w14:textFill>
        </w:rPr>
        <w:t>尽可能快地</w:t>
      </w:r>
      <w:r>
        <w:rPr>
          <w:color w:val="000000" w:themeColor="text1"/>
          <w:kern w:val="0"/>
          <w:lang w:bidi="ar"/>
          <w14:textFill>
            <w14:solidFill>
              <w14:schemeClr w14:val="tx1"/>
            </w14:solidFill>
          </w14:textFill>
        </w:rPr>
        <w:t>进行。处理前要进行估算，决定中和剂的用量。本项目可依托钦州港金谷港区金鼓江作业区1</w:t>
      </w:r>
      <w:r>
        <w:rPr>
          <w:rFonts w:hint="eastAsia"/>
          <w:color w:val="000000" w:themeColor="text1"/>
          <w:kern w:val="0"/>
          <w:lang w:bidi="ar"/>
          <w14:textFill>
            <w14:solidFill>
              <w14:schemeClr w14:val="tx1"/>
            </w14:solidFill>
          </w14:textFill>
        </w:rPr>
        <w:t>4</w:t>
      </w:r>
      <w:r>
        <w:rPr>
          <w:color w:val="000000" w:themeColor="text1"/>
          <w:kern w:val="0"/>
          <w:lang w:bidi="ar"/>
          <w14:textFill>
            <w14:solidFill>
              <w14:schemeClr w14:val="tx1"/>
            </w14:solidFill>
          </w14:textFill>
        </w:rPr>
        <w:t>号、17号泊位扩建工程的风险应急物资。</w:t>
      </w:r>
    </w:p>
    <w:p w14:paraId="5ADE2352">
      <w:pPr>
        <w:pStyle w:val="6"/>
        <w:ind w:left="0"/>
        <w:rPr>
          <w:color w:val="000000" w:themeColor="text1"/>
          <w14:textFill>
            <w14:solidFill>
              <w14:schemeClr w14:val="tx1"/>
            </w14:solidFill>
          </w14:textFill>
        </w:rPr>
      </w:pPr>
      <w:r>
        <w:rPr>
          <w:color w:val="000000" w:themeColor="text1"/>
          <w14:textFill>
            <w14:solidFill>
              <w14:schemeClr w14:val="tx1"/>
            </w14:solidFill>
          </w14:textFill>
        </w:rPr>
        <w:t>现有装卸、运输作业事故处置措施</w:t>
      </w:r>
    </w:p>
    <w:p w14:paraId="19CC72DE">
      <w:pPr>
        <w:ind w:firstLine="480"/>
        <w:rPr>
          <w:color w:val="000000" w:themeColor="text1"/>
          <w14:textFill>
            <w14:solidFill>
              <w14:schemeClr w14:val="tx1"/>
            </w14:solidFill>
          </w14:textFill>
        </w:rPr>
      </w:pPr>
      <w:r>
        <w:rPr>
          <w:color w:val="000000" w:themeColor="text1"/>
          <w14:textFill>
            <w14:solidFill>
              <w14:schemeClr w14:val="tx1"/>
            </w14:solidFill>
          </w14:textFill>
        </w:rPr>
        <w:t>在装卸作业过程中严格执行《装卸作业规程》和码头有关设备《安全技术操作规程》等制度，密切注意码头管线和化学品输送臂的工作状况，要求化学品船停靠码头期间，与移船有关的设备都保持在待用状态。</w:t>
      </w:r>
    </w:p>
    <w:p w14:paraId="05B287FF">
      <w:pPr>
        <w:ind w:firstLine="480"/>
        <w:rPr>
          <w:color w:val="000000" w:themeColor="text1"/>
          <w14:textFill>
            <w14:solidFill>
              <w14:schemeClr w14:val="tx1"/>
            </w14:solidFill>
          </w14:textFill>
        </w:rPr>
      </w:pPr>
      <w:r>
        <w:rPr>
          <w:color w:val="000000" w:themeColor="text1"/>
          <w14:textFill>
            <w14:solidFill>
              <w14:schemeClr w14:val="tx1"/>
            </w14:solidFill>
          </w14:textFill>
        </w:rPr>
        <w:t>船舶装卸作业前，严格按《船岸安全检查表》的内容要求进行检查和填写，同时应接受海事部门的监督检查。做好与船方必要的沟通与交流，明确作业期间的通讯联络方式及交流语言，并明确规定紧急情况下的应急信号。如果在作业过程中出现通讯中断或联系有误等情况，应停止作业，以免发生误装、冒顶或泄漏等事故。</w:t>
      </w:r>
    </w:p>
    <w:p w14:paraId="53E6996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一般泄漏事故</w:t>
      </w:r>
    </w:p>
    <w:p w14:paraId="41338F79">
      <w:pPr>
        <w:ind w:firstLine="480"/>
        <w:rPr>
          <w:color w:val="000000" w:themeColor="text1"/>
          <w14:textFill>
            <w14:solidFill>
              <w14:schemeClr w14:val="tx1"/>
            </w14:solidFill>
          </w14:textFill>
        </w:rPr>
      </w:pPr>
      <w:r>
        <w:rPr>
          <w:color w:val="000000" w:themeColor="text1"/>
          <w14:textFill>
            <w14:solidFill>
              <w14:schemeClr w14:val="tx1"/>
            </w14:solidFill>
          </w14:textFill>
        </w:rPr>
        <w:t>对于大型泄漏，可选择依托码头平台隔膜泵将泄漏出的物料抽入槽车内；对于小型泄漏，根据物质特性依托码头平台砂土、吸附材料等吸收。</w:t>
      </w:r>
      <w:r>
        <w:rPr>
          <w:rFonts w:hint="eastAsia"/>
          <w:color w:val="000000" w:themeColor="text1"/>
          <w14:textFill>
            <w14:solidFill>
              <w14:schemeClr w14:val="tx1"/>
            </w14:solidFill>
          </w14:textFill>
        </w:rPr>
        <w:t>废弃物料由防爆泵转移至槽车或专用收集器内，运至有资质单位处置。</w:t>
      </w:r>
    </w:p>
    <w:p w14:paraId="53B86CB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根据物质特性，码头配备相应的应急物资见下表。</w:t>
      </w:r>
    </w:p>
    <w:p w14:paraId="521B9CB5">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应急物资配备一览表</w:t>
      </w:r>
    </w:p>
    <w:tbl>
      <w:tblPr>
        <w:tblStyle w:val="43"/>
        <w:tblW w:w="4879" w:type="pct"/>
        <w:tblInd w:w="102"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583"/>
        <w:gridCol w:w="2188"/>
        <w:gridCol w:w="3545"/>
      </w:tblGrid>
      <w:tr w14:paraId="785D2B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553" w:type="pct"/>
            <w:vAlign w:val="center"/>
          </w:tcPr>
          <w:p w14:paraId="244574A2">
            <w:pPr>
              <w:spacing w:line="240" w:lineRule="auto"/>
              <w:ind w:firstLine="420"/>
              <w:jc w:val="center"/>
              <w:rPr>
                <w:color w:val="000000" w:themeColor="text1"/>
                <w:szCs w:val="20"/>
                <w14:textFill>
                  <w14:solidFill>
                    <w14:schemeClr w14:val="tx1"/>
                  </w14:solidFill>
                </w14:textFill>
              </w:rPr>
            </w:pPr>
            <w:r>
              <w:rPr>
                <w:rFonts w:hint="eastAsia"/>
                <w:color w:val="000000" w:themeColor="text1"/>
                <w:sz w:val="21"/>
                <w:szCs w:val="21"/>
                <w14:textFill>
                  <w14:solidFill>
                    <w14:schemeClr w14:val="tx1"/>
                  </w14:solidFill>
                </w14:textFill>
              </w:rPr>
              <w:t>名称</w:t>
            </w:r>
          </w:p>
        </w:tc>
        <w:tc>
          <w:tcPr>
            <w:tcW w:w="1315" w:type="pct"/>
            <w:vAlign w:val="center"/>
          </w:tcPr>
          <w:p w14:paraId="31C25FF1">
            <w:pPr>
              <w:spacing w:line="240" w:lineRule="auto"/>
              <w:ind w:firstLine="420"/>
              <w:jc w:val="center"/>
              <w:rPr>
                <w:color w:val="000000" w:themeColor="text1"/>
                <w:szCs w:val="20"/>
                <w14:textFill>
                  <w14:solidFill>
                    <w14:schemeClr w14:val="tx1"/>
                  </w14:solidFill>
                </w14:textFill>
              </w:rPr>
            </w:pPr>
            <w:r>
              <w:rPr>
                <w:rFonts w:hint="eastAsia"/>
                <w:color w:val="000000" w:themeColor="text1"/>
                <w:sz w:val="21"/>
                <w:szCs w:val="21"/>
                <w14:textFill>
                  <w14:solidFill>
                    <w14:schemeClr w14:val="tx1"/>
                  </w14:solidFill>
                </w14:textFill>
              </w:rPr>
              <w:t>应用情景</w:t>
            </w:r>
          </w:p>
        </w:tc>
        <w:tc>
          <w:tcPr>
            <w:tcW w:w="2131" w:type="pct"/>
            <w:vAlign w:val="center"/>
          </w:tcPr>
          <w:p w14:paraId="552F25D7">
            <w:pPr>
              <w:spacing w:line="240" w:lineRule="auto"/>
              <w:ind w:firstLine="420"/>
              <w:jc w:val="center"/>
              <w:rPr>
                <w:color w:val="000000" w:themeColor="text1"/>
                <w:szCs w:val="20"/>
                <w14:textFill>
                  <w14:solidFill>
                    <w14:schemeClr w14:val="tx1"/>
                  </w14:solidFill>
                </w14:textFill>
              </w:rPr>
            </w:pPr>
            <w:r>
              <w:rPr>
                <w:rFonts w:hint="eastAsia"/>
                <w:color w:val="000000" w:themeColor="text1"/>
                <w:sz w:val="21"/>
                <w:szCs w:val="21"/>
                <w14:textFill>
                  <w14:solidFill>
                    <w14:schemeClr w14:val="tx1"/>
                  </w14:solidFill>
                </w14:textFill>
              </w:rPr>
              <w:t>备注</w:t>
            </w:r>
          </w:p>
        </w:tc>
      </w:tr>
      <w:tr w14:paraId="76AE88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553" w:type="pct"/>
            <w:vAlign w:val="center"/>
          </w:tcPr>
          <w:p w14:paraId="2FFC396B">
            <w:pPr>
              <w:widowControl/>
              <w:spacing w:line="240" w:lineRule="auto"/>
              <w:ind w:firstLine="420"/>
              <w:jc w:val="center"/>
              <w:rPr>
                <w:color w:val="000000" w:themeColor="text1"/>
                <w:szCs w:val="20"/>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吸附材料</w:t>
            </w:r>
          </w:p>
        </w:tc>
        <w:tc>
          <w:tcPr>
            <w:tcW w:w="1315" w:type="pct"/>
            <w:vAlign w:val="center"/>
          </w:tcPr>
          <w:p w14:paraId="7009FCF6">
            <w:pPr>
              <w:spacing w:line="240" w:lineRule="auto"/>
              <w:ind w:firstLine="420"/>
              <w:jc w:val="center"/>
              <w:rPr>
                <w:color w:val="000000" w:themeColor="text1"/>
                <w:szCs w:val="20"/>
                <w14:textFill>
                  <w14:solidFill>
                    <w14:schemeClr w14:val="tx1"/>
                  </w14:solidFill>
                </w14:textFill>
              </w:rPr>
            </w:pPr>
            <w:r>
              <w:rPr>
                <w:rFonts w:hint="eastAsia"/>
                <w:color w:val="000000" w:themeColor="text1"/>
                <w:sz w:val="21"/>
                <w:szCs w:val="21"/>
                <w14:textFill>
                  <w14:solidFill>
                    <w14:schemeClr w14:val="tx1"/>
                  </w14:solidFill>
                </w14:textFill>
              </w:rPr>
              <w:t>小型事故</w:t>
            </w:r>
          </w:p>
        </w:tc>
        <w:tc>
          <w:tcPr>
            <w:tcW w:w="2131" w:type="pct"/>
            <w:vAlign w:val="center"/>
          </w:tcPr>
          <w:p w14:paraId="415F0F00">
            <w:pPr>
              <w:spacing w:line="240" w:lineRule="auto"/>
              <w:ind w:firstLine="420"/>
              <w:jc w:val="center"/>
              <w:rPr>
                <w:color w:val="000000" w:themeColor="text1"/>
                <w:szCs w:val="20"/>
                <w14:textFill>
                  <w14:solidFill>
                    <w14:schemeClr w14:val="tx1"/>
                  </w14:solidFill>
                </w14:textFill>
              </w:rPr>
            </w:pPr>
            <w:r>
              <w:rPr>
                <w:rFonts w:hint="eastAsia"/>
                <w:color w:val="000000" w:themeColor="text1"/>
                <w:sz w:val="21"/>
                <w:szCs w:val="21"/>
                <w14:textFill>
                  <w14:solidFill>
                    <w14:schemeClr w14:val="tx1"/>
                  </w14:solidFill>
                </w14:textFill>
              </w:rPr>
              <w:t>砂土、吸附棉、吸附垫、活性炭等</w:t>
            </w:r>
          </w:p>
        </w:tc>
      </w:tr>
      <w:tr w14:paraId="11D94D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553" w:type="pct"/>
            <w:vAlign w:val="center"/>
          </w:tcPr>
          <w:p w14:paraId="2672B356">
            <w:pPr>
              <w:spacing w:line="240" w:lineRule="auto"/>
              <w:ind w:firstLine="420"/>
              <w:jc w:val="center"/>
              <w:rPr>
                <w:color w:val="000000" w:themeColor="text1"/>
                <w:szCs w:val="20"/>
                <w14:textFill>
                  <w14:solidFill>
                    <w14:schemeClr w14:val="tx1"/>
                  </w14:solidFill>
                </w14:textFill>
              </w:rPr>
            </w:pPr>
            <w:r>
              <w:rPr>
                <w:rFonts w:hint="eastAsia"/>
                <w:color w:val="000000" w:themeColor="text1"/>
                <w:sz w:val="21"/>
                <w:szCs w:val="21"/>
                <w14:textFill>
                  <w14:solidFill>
                    <w14:schemeClr w14:val="tx1"/>
                  </w14:solidFill>
                </w14:textFill>
              </w:rPr>
              <w:t>灭火抢险救援车、灭火器</w:t>
            </w:r>
          </w:p>
        </w:tc>
        <w:tc>
          <w:tcPr>
            <w:tcW w:w="1315" w:type="pct"/>
            <w:vAlign w:val="center"/>
          </w:tcPr>
          <w:p w14:paraId="76F57754">
            <w:pPr>
              <w:spacing w:line="240" w:lineRule="auto"/>
              <w:ind w:firstLine="420"/>
              <w:jc w:val="center"/>
              <w:rPr>
                <w:color w:val="000000" w:themeColor="text1"/>
                <w:szCs w:val="20"/>
                <w14:textFill>
                  <w14:solidFill>
                    <w14:schemeClr w14:val="tx1"/>
                  </w14:solidFill>
                </w14:textFill>
              </w:rPr>
            </w:pPr>
            <w:r>
              <w:rPr>
                <w:rFonts w:hint="eastAsia"/>
                <w:color w:val="000000" w:themeColor="text1"/>
                <w:sz w:val="21"/>
                <w:szCs w:val="21"/>
                <w14:textFill>
                  <w14:solidFill>
                    <w14:schemeClr w14:val="tx1"/>
                  </w14:solidFill>
                </w14:textFill>
              </w:rPr>
              <w:t>火灾事故</w:t>
            </w:r>
          </w:p>
        </w:tc>
        <w:tc>
          <w:tcPr>
            <w:tcW w:w="2131" w:type="pct"/>
            <w:vAlign w:val="center"/>
          </w:tcPr>
          <w:p w14:paraId="3F7338EA">
            <w:pPr>
              <w:spacing w:line="240" w:lineRule="auto"/>
              <w:ind w:firstLine="480"/>
              <w:jc w:val="center"/>
              <w:rPr>
                <w:color w:val="000000" w:themeColor="text1"/>
                <w:szCs w:val="20"/>
                <w14:textFill>
                  <w14:solidFill>
                    <w14:schemeClr w14:val="tx1"/>
                  </w14:solidFill>
                </w14:textFill>
              </w:rPr>
            </w:pPr>
          </w:p>
        </w:tc>
      </w:tr>
      <w:tr w14:paraId="5DD87C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553" w:type="pct"/>
            <w:vAlign w:val="center"/>
          </w:tcPr>
          <w:p w14:paraId="0626B97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水幕喷头</w:t>
            </w:r>
          </w:p>
        </w:tc>
        <w:tc>
          <w:tcPr>
            <w:tcW w:w="1315" w:type="pct"/>
            <w:vAlign w:val="center"/>
          </w:tcPr>
          <w:p w14:paraId="1BB08D7F">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小型事故</w:t>
            </w:r>
          </w:p>
        </w:tc>
        <w:tc>
          <w:tcPr>
            <w:tcW w:w="2131" w:type="pct"/>
            <w:vAlign w:val="center"/>
          </w:tcPr>
          <w:p w14:paraId="484101D5">
            <w:pPr>
              <w:spacing w:line="240" w:lineRule="auto"/>
              <w:ind w:firstLine="480"/>
              <w:jc w:val="center"/>
              <w:rPr>
                <w:color w:val="000000" w:themeColor="text1"/>
                <w:szCs w:val="20"/>
                <w14:textFill>
                  <w14:solidFill>
                    <w14:schemeClr w14:val="tx1"/>
                  </w14:solidFill>
                </w14:textFill>
              </w:rPr>
            </w:pPr>
          </w:p>
        </w:tc>
      </w:tr>
      <w:tr w14:paraId="54B3F6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553" w:type="pct"/>
            <w:vAlign w:val="center"/>
          </w:tcPr>
          <w:p w14:paraId="50A2FAB1">
            <w:pPr>
              <w:spacing w:line="240" w:lineRule="auto"/>
              <w:ind w:firstLine="420"/>
              <w:jc w:val="center"/>
              <w:rPr>
                <w:color w:val="000000" w:themeColor="text1"/>
                <w:szCs w:val="20"/>
                <w14:textFill>
                  <w14:solidFill>
                    <w14:schemeClr w14:val="tx1"/>
                  </w14:solidFill>
                </w14:textFill>
              </w:rPr>
            </w:pPr>
            <w:r>
              <w:rPr>
                <w:rFonts w:hint="eastAsia"/>
                <w:color w:val="000000" w:themeColor="text1"/>
                <w:sz w:val="21"/>
                <w:szCs w:val="21"/>
                <w14:textFill>
                  <w14:solidFill>
                    <w14:schemeClr w14:val="tx1"/>
                  </w14:solidFill>
                </w14:textFill>
              </w:rPr>
              <w:t>槽车</w:t>
            </w:r>
          </w:p>
        </w:tc>
        <w:tc>
          <w:tcPr>
            <w:tcW w:w="1315" w:type="pct"/>
            <w:vAlign w:val="center"/>
          </w:tcPr>
          <w:p w14:paraId="3495D7F7">
            <w:pPr>
              <w:spacing w:line="240" w:lineRule="auto"/>
              <w:ind w:firstLine="420"/>
              <w:jc w:val="center"/>
              <w:rPr>
                <w:color w:val="000000" w:themeColor="text1"/>
                <w:szCs w:val="20"/>
                <w14:textFill>
                  <w14:solidFill>
                    <w14:schemeClr w14:val="tx1"/>
                  </w14:solidFill>
                </w14:textFill>
              </w:rPr>
            </w:pPr>
            <w:r>
              <w:rPr>
                <w:rFonts w:hint="eastAsia"/>
                <w:color w:val="000000" w:themeColor="text1"/>
                <w:sz w:val="21"/>
                <w:szCs w:val="21"/>
                <w14:textFill>
                  <w14:solidFill>
                    <w14:schemeClr w14:val="tx1"/>
                  </w14:solidFill>
                </w14:textFill>
              </w:rPr>
              <w:t>大型事故</w:t>
            </w:r>
          </w:p>
        </w:tc>
        <w:tc>
          <w:tcPr>
            <w:tcW w:w="2131" w:type="pct"/>
            <w:vAlign w:val="center"/>
          </w:tcPr>
          <w:p w14:paraId="67808F96">
            <w:pPr>
              <w:spacing w:line="240" w:lineRule="auto"/>
              <w:ind w:firstLine="480"/>
              <w:jc w:val="center"/>
              <w:rPr>
                <w:color w:val="000000" w:themeColor="text1"/>
                <w:szCs w:val="20"/>
                <w14:textFill>
                  <w14:solidFill>
                    <w14:schemeClr w14:val="tx1"/>
                  </w14:solidFill>
                </w14:textFill>
              </w:rPr>
            </w:pPr>
          </w:p>
        </w:tc>
      </w:tr>
      <w:tr w14:paraId="5CD0A0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553" w:type="pct"/>
            <w:vAlign w:val="center"/>
          </w:tcPr>
          <w:p w14:paraId="4802D0E4">
            <w:pPr>
              <w:spacing w:line="240" w:lineRule="auto"/>
              <w:ind w:firstLine="420"/>
              <w:jc w:val="center"/>
              <w:rPr>
                <w:color w:val="000000" w:themeColor="text1"/>
                <w:szCs w:val="20"/>
                <w14:textFill>
                  <w14:solidFill>
                    <w14:schemeClr w14:val="tx1"/>
                  </w14:solidFill>
                </w14:textFill>
              </w:rPr>
            </w:pPr>
            <w:r>
              <w:rPr>
                <w:rFonts w:hint="eastAsia"/>
                <w:color w:val="000000" w:themeColor="text1"/>
                <w:sz w:val="21"/>
                <w:szCs w:val="21"/>
                <w14:textFill>
                  <w14:solidFill>
                    <w14:schemeClr w14:val="tx1"/>
                  </w14:solidFill>
                </w14:textFill>
              </w:rPr>
              <w:t>转移泵</w:t>
            </w:r>
          </w:p>
        </w:tc>
        <w:tc>
          <w:tcPr>
            <w:tcW w:w="1315" w:type="pct"/>
            <w:vAlign w:val="center"/>
          </w:tcPr>
          <w:p w14:paraId="38D2A70C">
            <w:pPr>
              <w:spacing w:line="240" w:lineRule="auto"/>
              <w:ind w:firstLine="420"/>
              <w:jc w:val="center"/>
              <w:rPr>
                <w:color w:val="000000" w:themeColor="text1"/>
                <w:szCs w:val="20"/>
                <w14:textFill>
                  <w14:solidFill>
                    <w14:schemeClr w14:val="tx1"/>
                  </w14:solidFill>
                </w14:textFill>
              </w:rPr>
            </w:pPr>
            <w:r>
              <w:rPr>
                <w:rFonts w:hint="eastAsia"/>
                <w:color w:val="000000" w:themeColor="text1"/>
                <w:sz w:val="21"/>
                <w:szCs w:val="21"/>
                <w14:textFill>
                  <w14:solidFill>
                    <w14:schemeClr w14:val="tx1"/>
                  </w14:solidFill>
                </w14:textFill>
              </w:rPr>
              <w:t>大型事故</w:t>
            </w:r>
          </w:p>
        </w:tc>
        <w:tc>
          <w:tcPr>
            <w:tcW w:w="2131" w:type="pct"/>
            <w:vAlign w:val="center"/>
          </w:tcPr>
          <w:p w14:paraId="77C40A7B">
            <w:pPr>
              <w:spacing w:line="240" w:lineRule="auto"/>
              <w:ind w:firstLine="480"/>
              <w:jc w:val="center"/>
              <w:rPr>
                <w:color w:val="000000" w:themeColor="text1"/>
                <w:szCs w:val="20"/>
                <w14:textFill>
                  <w14:solidFill>
                    <w14:schemeClr w14:val="tx1"/>
                  </w14:solidFill>
                </w14:textFill>
              </w:rPr>
            </w:pPr>
          </w:p>
        </w:tc>
      </w:tr>
    </w:tbl>
    <w:p w14:paraId="6E2E83E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码头已配备应急物资基本满足要求，后续应根据实际情况适当完善应急物资配备。</w:t>
      </w:r>
    </w:p>
    <w:p w14:paraId="7C5155F8">
      <w:pPr>
        <w:ind w:firstLine="480"/>
        <w:rPr>
          <w:color w:val="000000" w:themeColor="text1"/>
          <w14:textFill>
            <w14:solidFill>
              <w14:schemeClr w14:val="tx1"/>
            </w14:solidFill>
          </w14:textFill>
        </w:rPr>
      </w:pPr>
      <w:r>
        <w:rPr>
          <w:color w:val="000000" w:themeColor="text1"/>
          <w14:textFill>
            <w14:solidFill>
              <w14:schemeClr w14:val="tx1"/>
            </w14:solidFill>
          </w14:textFill>
        </w:rPr>
        <w:t>待事故结束后，再依托码头平台废水收集系统将事故冲洗废水和泄漏物质排入码头污水池，污水池内设置自动感应提升泵，当达到设定水位后开始运行，将废水提升至后方罐区污水管道，最终</w:t>
      </w:r>
      <w:r>
        <w:rPr>
          <w:rFonts w:hint="eastAsia"/>
          <w:color w:val="000000" w:themeColor="text1"/>
          <w14:textFill>
            <w14:solidFill>
              <w14:schemeClr w14:val="tx1"/>
            </w14:solidFill>
          </w14:textFill>
        </w:rPr>
        <w:t>广西恒逸污水处理厂进行处理</w:t>
      </w:r>
      <w:r>
        <w:rPr>
          <w:color w:val="000000" w:themeColor="text1"/>
          <w14:textFill>
            <w14:solidFill>
              <w14:schemeClr w14:val="tx1"/>
            </w14:solidFill>
          </w14:textFill>
        </w:rPr>
        <w:t>进行处理。</w:t>
      </w:r>
    </w:p>
    <w:p w14:paraId="5742BCA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泄漏、火灾事故</w:t>
      </w:r>
    </w:p>
    <w:p w14:paraId="7B85DB8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码头装卸物料特性，发生泄漏、火灾事故时，采用泡沫为主要灭火介质。水为主要冷却介质，采用雾状水或者喷淋的方式，慢慢冷却，同时确保通风，能有效降低泄漏物质的浓度，减少爆炸的可能性。本项目所在14号泊位码头设置有事故池、围堰、防火堤、收集泄漏液化品及消防废水，码头事故废水已建立污染源头、过程处理和最终排放的“三级防控”机制，发生泄漏事故时，通过采取相应环境风险应急措施，泄漏液态物料会被截留在码头的事故水三级防控设施内，消防废水最终进入广西恒逸污水处理厂进行处理进行处理。</w:t>
      </w:r>
    </w:p>
    <w:p w14:paraId="1E3CC34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本码头依托码头及后方库区消防设施：码头采取分区收集初期雨水方式，在码头泊位装卸区四周设置围堰（长宽高：29.5m×13.3m×0.2m，有效容积78m3），围堰内设置集污池（有效容积2m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），设置3200m³消防水罐2座，配套消防炮塔、消防水泵、消防栓、消防队伍等。可满足本项目所在码头的消防要求。</w:t>
      </w:r>
    </w:p>
    <w:p w14:paraId="17650F6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码头及化工液体船舶发生火情时，现场人员立即按事故报告程序进行报告，切断泄漏源，立即停止附近一切码头作业。随后通过无线或有线电话及控制室的报警系统立即通知后方消防中心，消防中心在接到报警后立即启动消防水泵向码头前方输送压力水，与此同时码头消防控制室内值班人员应立即启动泡沫比例混合器中的泡沫液泵，配制泡沫混合液并根据火灾地点，开启码头水幕、消防水炮及泡沫炮进行消防作业。</w:t>
      </w:r>
    </w:p>
    <w:p w14:paraId="233C0A96">
      <w:pPr>
        <w:ind w:firstLine="480"/>
        <w:rPr>
          <w:color w:val="000000" w:themeColor="text1"/>
          <w14:textFill>
            <w14:solidFill>
              <w14:schemeClr w14:val="tx1"/>
            </w14:solidFill>
          </w14:textFill>
        </w:rPr>
      </w:pPr>
      <w:r>
        <w:rPr>
          <w:color w:val="000000" w:themeColor="text1"/>
          <w14:textFill>
            <w14:solidFill>
              <w14:schemeClr w14:val="tx1"/>
            </w14:solidFill>
          </w14:textFill>
        </w:rPr>
        <w:t>冲洗废水、消防水通过码头收集系统引入码头污水池，污水池内设置自动感应提升泵，当达到设定水位后开始运行，将废水提升至后方罐区污水管道，最终进入</w:t>
      </w:r>
      <w:r>
        <w:rPr>
          <w:rFonts w:hint="eastAsia"/>
          <w:color w:val="000000" w:themeColor="text1"/>
          <w14:textFill>
            <w14:solidFill>
              <w14:schemeClr w14:val="tx1"/>
            </w14:solidFill>
          </w14:textFill>
        </w:rPr>
        <w:t>广西恒逸污水处理厂</w:t>
      </w:r>
      <w:r>
        <w:rPr>
          <w:color w:val="000000" w:themeColor="text1"/>
          <w14:textFill>
            <w14:solidFill>
              <w14:schemeClr w14:val="tx1"/>
            </w14:solidFill>
          </w14:textFill>
        </w:rPr>
        <w:t>进行处理。</w:t>
      </w:r>
    </w:p>
    <w:p w14:paraId="5AF16FE3">
      <w:pPr>
        <w:pStyle w:val="7"/>
        <w:rPr>
          <w:color w:val="000000" w:themeColor="text1"/>
          <w14:textFill>
            <w14:solidFill>
              <w14:schemeClr w14:val="tx1"/>
            </w14:solidFill>
          </w14:textFill>
        </w:rPr>
      </w:pPr>
      <w:r>
        <w:rPr>
          <w:color w:val="000000" w:themeColor="text1"/>
          <w14:textFill>
            <w14:solidFill>
              <w14:schemeClr w14:val="tx1"/>
            </w14:solidFill>
          </w14:textFill>
        </w:rPr>
        <w:t>危险化学品突发环境事件的应急措施</w:t>
      </w:r>
    </w:p>
    <w:tbl>
      <w:tblPr>
        <w:tblStyle w:val="43"/>
        <w:tblW w:w="9617" w:type="dxa"/>
        <w:tblInd w:w="-413"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570"/>
        <w:gridCol w:w="1050"/>
        <w:gridCol w:w="2205"/>
        <w:gridCol w:w="3195"/>
        <w:gridCol w:w="2597"/>
      </w:tblGrid>
      <w:tr w14:paraId="7EDA51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674" w:hRule="atLeast"/>
          <w:tblHeader/>
        </w:trPr>
        <w:tc>
          <w:tcPr>
            <w:tcW w:w="1620" w:type="dxa"/>
            <w:gridSpan w:val="2"/>
            <w:vAlign w:val="center"/>
          </w:tcPr>
          <w:p w14:paraId="2A9552DE">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危险化学品类别</w:t>
            </w:r>
          </w:p>
        </w:tc>
        <w:tc>
          <w:tcPr>
            <w:tcW w:w="2205" w:type="dxa"/>
            <w:vAlign w:val="center"/>
          </w:tcPr>
          <w:p w14:paraId="2141CFD5">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需配备的专用应急器材</w:t>
            </w:r>
          </w:p>
        </w:tc>
        <w:tc>
          <w:tcPr>
            <w:tcW w:w="3195" w:type="dxa"/>
            <w:vAlign w:val="center"/>
          </w:tcPr>
          <w:p w14:paraId="117A8299">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泄漏应急行动</w:t>
            </w:r>
          </w:p>
        </w:tc>
        <w:tc>
          <w:tcPr>
            <w:tcW w:w="2597" w:type="dxa"/>
            <w:vAlign w:val="center"/>
          </w:tcPr>
          <w:p w14:paraId="4A9605D2">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火灾（爆炸）应急行动</w:t>
            </w:r>
          </w:p>
        </w:tc>
      </w:tr>
      <w:tr w14:paraId="455DE3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570" w:type="dxa"/>
            <w:vMerge w:val="restart"/>
            <w:vAlign w:val="center"/>
          </w:tcPr>
          <w:p w14:paraId="464651F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第3类</w:t>
            </w:r>
          </w:p>
        </w:tc>
        <w:tc>
          <w:tcPr>
            <w:tcW w:w="1050" w:type="dxa"/>
            <w:vAlign w:val="center"/>
          </w:tcPr>
          <w:p w14:paraId="0739B4B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易燃液体，有毒的和/或腐蚀性的，不与水反应</w:t>
            </w:r>
          </w:p>
        </w:tc>
        <w:tc>
          <w:tcPr>
            <w:tcW w:w="2205" w:type="dxa"/>
            <w:vAlign w:val="center"/>
          </w:tcPr>
          <w:p w14:paraId="7D78944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适合的防护服（手套、靴子、连体工作服、安全帽)、自给式呼吸器</w:t>
            </w:r>
            <w:r>
              <w:rPr>
                <w:rFonts w:hint="eastAsia"/>
                <w:color w:val="000000" w:themeColor="text1"/>
                <w:sz w:val="21"/>
                <w:szCs w:val="21"/>
                <w14:textFill>
                  <w14:solidFill>
                    <w14:schemeClr w14:val="tx1"/>
                  </w14:solidFill>
                </w14:textFill>
              </w:rPr>
              <w:t>、雾状水幕装置</w:t>
            </w:r>
          </w:p>
        </w:tc>
        <w:tc>
          <w:tcPr>
            <w:tcW w:w="3195" w:type="dxa"/>
            <w:vAlign w:val="center"/>
          </w:tcPr>
          <w:p w14:paraId="3E7075AC">
            <w:pPr>
              <w:adjustRightInd w:val="0"/>
              <w:snapToGrid w:val="0"/>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及时用砂土覆盖或用松软材料吸附，集中收集后移至空旷安全处销毁。急救时防止液体流入雨水井、海域造成污染，更有可能引起火灾和爆炸</w:t>
            </w:r>
          </w:p>
        </w:tc>
        <w:tc>
          <w:tcPr>
            <w:tcW w:w="2597" w:type="dxa"/>
            <w:vAlign w:val="center"/>
          </w:tcPr>
          <w:p w14:paraId="043FEBBF">
            <w:pPr>
              <w:adjustRightInd w:val="0"/>
              <w:snapToGrid w:val="0"/>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如可能，使用水雾、泡沫或干粉灭火（与水相溶的物质不能用泡沫）。不能使用水射流。</w:t>
            </w:r>
          </w:p>
        </w:tc>
      </w:tr>
      <w:tr w14:paraId="234EE2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570" w:type="dxa"/>
            <w:vMerge w:val="continue"/>
            <w:vAlign w:val="center"/>
          </w:tcPr>
          <w:p w14:paraId="02D06A51">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1050" w:type="dxa"/>
            <w:vAlign w:val="center"/>
          </w:tcPr>
          <w:p w14:paraId="57A541D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lang w:eastAsia="zh-CN"/>
                <w14:textFill>
                  <w14:solidFill>
                    <w14:schemeClr w14:val="tx1"/>
                  </w14:solidFill>
                </w14:textFill>
              </w:rPr>
              <w:t>其他</w:t>
            </w:r>
            <w:r>
              <w:rPr>
                <w:color w:val="000000" w:themeColor="text1"/>
                <w:sz w:val="21"/>
                <w:szCs w:val="21"/>
                <w14:textFill>
                  <w14:solidFill>
                    <w14:schemeClr w14:val="tx1"/>
                  </w14:solidFill>
                </w14:textFill>
              </w:rPr>
              <w:t>易燃液体</w:t>
            </w:r>
          </w:p>
        </w:tc>
        <w:tc>
          <w:tcPr>
            <w:tcW w:w="2205" w:type="dxa"/>
            <w:vAlign w:val="center"/>
          </w:tcPr>
          <w:p w14:paraId="7ABF1AC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防护手套和靴子、自给式呼吸器、喷雾水枪</w:t>
            </w:r>
            <w:r>
              <w:rPr>
                <w:rFonts w:hint="eastAsia"/>
                <w:color w:val="000000" w:themeColor="text1"/>
                <w:sz w:val="21"/>
                <w:szCs w:val="21"/>
                <w14:textFill>
                  <w14:solidFill>
                    <w14:schemeClr w14:val="tx1"/>
                  </w14:solidFill>
                </w14:textFill>
              </w:rPr>
              <w:t>、雾状水幕装置</w:t>
            </w:r>
          </w:p>
        </w:tc>
        <w:tc>
          <w:tcPr>
            <w:tcW w:w="3195" w:type="dxa"/>
            <w:vAlign w:val="center"/>
          </w:tcPr>
          <w:p w14:paraId="0B3D60CD">
            <w:pPr>
              <w:adjustRightInd w:val="0"/>
              <w:snapToGrid w:val="0"/>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及时用砂土覆盖或用松软材料吸附，集中收集后移至空旷安全处销毁。急救时防止液体流入雨水井、海域造成污染，更有可能引起火灾和爆炸</w:t>
            </w:r>
          </w:p>
        </w:tc>
        <w:tc>
          <w:tcPr>
            <w:tcW w:w="2597" w:type="dxa"/>
            <w:vAlign w:val="center"/>
          </w:tcPr>
          <w:p w14:paraId="628D0FC0">
            <w:pPr>
              <w:adjustRightInd w:val="0"/>
              <w:snapToGrid w:val="0"/>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如可能，使水雾、泡沫或干粉灭火（与水相溶或溶于易燃溶剂的特质不能用泡沫）。不能使用水射流。</w:t>
            </w:r>
          </w:p>
        </w:tc>
      </w:tr>
      <w:tr w14:paraId="2FB849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570" w:type="dxa"/>
            <w:vAlign w:val="center"/>
          </w:tcPr>
          <w:p w14:paraId="037E277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6.1有毒物质（非剧毒品）</w:t>
            </w:r>
          </w:p>
        </w:tc>
        <w:tc>
          <w:tcPr>
            <w:tcW w:w="1050" w:type="dxa"/>
            <w:vAlign w:val="center"/>
          </w:tcPr>
          <w:p w14:paraId="4F296A6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有毒液体</w:t>
            </w:r>
          </w:p>
        </w:tc>
        <w:tc>
          <w:tcPr>
            <w:tcW w:w="2205" w:type="dxa"/>
            <w:vAlign w:val="center"/>
          </w:tcPr>
          <w:p w14:paraId="0938CBB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防护服（手套、靴子、连体工作服、安全帽)、自给式呼吸器、喷雾水枪</w:t>
            </w:r>
            <w:r>
              <w:rPr>
                <w:rFonts w:hint="eastAsia"/>
                <w:color w:val="000000" w:themeColor="text1"/>
                <w:sz w:val="21"/>
                <w:szCs w:val="21"/>
                <w14:textFill>
                  <w14:solidFill>
                    <w14:schemeClr w14:val="tx1"/>
                  </w14:solidFill>
                </w14:textFill>
              </w:rPr>
              <w:t>、雾状水幕装置</w:t>
            </w:r>
          </w:p>
        </w:tc>
        <w:tc>
          <w:tcPr>
            <w:tcW w:w="3195" w:type="dxa"/>
            <w:vAlign w:val="center"/>
          </w:tcPr>
          <w:p w14:paraId="6996CF32">
            <w:pPr>
              <w:adjustRightInd w:val="0"/>
              <w:snapToGrid w:val="0"/>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如实际可行，用吸收材料（砂土、锯末等）收集起溢漏物</w:t>
            </w:r>
          </w:p>
        </w:tc>
        <w:tc>
          <w:tcPr>
            <w:tcW w:w="2597" w:type="dxa"/>
            <w:vAlign w:val="center"/>
          </w:tcPr>
          <w:p w14:paraId="31003FB7">
            <w:pPr>
              <w:adjustRightInd w:val="0"/>
              <w:snapToGrid w:val="0"/>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如可能，转移可能卷入火中的集装箱，将事故集装箱吊升至危险品应急处置容器内，使用大量的水或其他方法灭火（如物品易燃，使用水雾，不得使用水射流）</w:t>
            </w:r>
          </w:p>
        </w:tc>
      </w:tr>
      <w:tr w14:paraId="0CF9B1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620" w:type="dxa"/>
            <w:gridSpan w:val="2"/>
            <w:vAlign w:val="center"/>
          </w:tcPr>
          <w:p w14:paraId="3022D3D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第8类：</w:t>
            </w:r>
            <w:r>
              <w:rPr>
                <w:color w:val="000000" w:themeColor="text1"/>
                <w:sz w:val="21"/>
                <w:szCs w:val="21"/>
                <w14:textFill>
                  <w14:solidFill>
                    <w14:schemeClr w14:val="tx1"/>
                  </w14:solidFill>
                </w14:textFill>
              </w:rPr>
              <w:t>腐蚀品</w:t>
            </w:r>
          </w:p>
        </w:tc>
        <w:tc>
          <w:tcPr>
            <w:tcW w:w="2205" w:type="dxa"/>
            <w:vAlign w:val="center"/>
          </w:tcPr>
          <w:p w14:paraId="17AB0EC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防护服（手套、靴子、连体工作服、安全帽)、自给式呼吸器、喷雾水枪</w:t>
            </w:r>
            <w:r>
              <w:rPr>
                <w:rFonts w:hint="eastAsia"/>
                <w:color w:val="000000" w:themeColor="text1"/>
                <w:sz w:val="21"/>
                <w:szCs w:val="21"/>
                <w14:textFill>
                  <w14:solidFill>
                    <w14:schemeClr w14:val="tx1"/>
                  </w14:solidFill>
                </w14:textFill>
              </w:rPr>
              <w:t>、雾状水幕装置</w:t>
            </w:r>
          </w:p>
        </w:tc>
        <w:tc>
          <w:tcPr>
            <w:tcW w:w="3195" w:type="dxa"/>
            <w:vAlign w:val="center"/>
          </w:tcPr>
          <w:p w14:paraId="01EB1285">
            <w:pPr>
              <w:adjustRightInd w:val="0"/>
              <w:snapToGrid w:val="0"/>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用干砂、干土或其他惰性材料吸收，清扫干净后再用水扫刷。如大量溢漏，或用干砂干土不足以吸收时，可视溢漏物的酸碱性，分别用稀碱或稀酸中和。中和时注意不要使反应太激烈。用水扫刷现场时，不能直接喷射而只能缓缓地浇洗，防止带酸碱性的水珠飞溅伤人</w:t>
            </w:r>
          </w:p>
        </w:tc>
        <w:tc>
          <w:tcPr>
            <w:tcW w:w="2597" w:type="dxa"/>
            <w:vAlign w:val="center"/>
          </w:tcPr>
          <w:p w14:paraId="462BA45A">
            <w:pPr>
              <w:adjustRightInd w:val="0"/>
              <w:snapToGrid w:val="0"/>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有选择</w:t>
            </w:r>
            <w:r>
              <w:rPr>
                <w:rFonts w:hint="eastAsia"/>
                <w:color w:val="000000" w:themeColor="text1"/>
                <w:sz w:val="21"/>
                <w:szCs w:val="21"/>
                <w:lang w:eastAsia="zh-CN"/>
                <w14:textFill>
                  <w14:solidFill>
                    <w14:schemeClr w14:val="tx1"/>
                  </w14:solidFill>
                </w14:textFill>
              </w:rPr>
              <w:t>地</w:t>
            </w:r>
            <w:r>
              <w:rPr>
                <w:color w:val="000000" w:themeColor="text1"/>
                <w:sz w:val="21"/>
                <w:szCs w:val="21"/>
                <w14:textFill>
                  <w14:solidFill>
                    <w14:schemeClr w14:val="tx1"/>
                  </w14:solidFill>
                </w14:textFill>
              </w:rPr>
              <w:t>使用水雾和水射流（征求专家意见），保持邻近容器的冷却，如有可能，转移可能卷入火中的集装箱</w:t>
            </w:r>
          </w:p>
        </w:tc>
      </w:tr>
      <w:tr w14:paraId="5C985A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620" w:type="dxa"/>
            <w:gridSpan w:val="2"/>
            <w:vAlign w:val="center"/>
          </w:tcPr>
          <w:p w14:paraId="2651D1D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第9类：</w:t>
            </w:r>
            <w:r>
              <w:rPr>
                <w:color w:val="000000" w:themeColor="text1"/>
                <w:sz w:val="21"/>
                <w:szCs w:val="21"/>
                <w14:textFill>
                  <w14:solidFill>
                    <w14:schemeClr w14:val="tx1"/>
                  </w14:solidFill>
                </w14:textFill>
              </w:rPr>
              <w:t>杂类危险品</w:t>
            </w:r>
          </w:p>
        </w:tc>
        <w:tc>
          <w:tcPr>
            <w:tcW w:w="2205" w:type="dxa"/>
            <w:vAlign w:val="center"/>
          </w:tcPr>
          <w:p w14:paraId="3E3054B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根据突发环境事件危险品性质，结合上述危险品类别定</w:t>
            </w:r>
          </w:p>
        </w:tc>
        <w:tc>
          <w:tcPr>
            <w:tcW w:w="3195" w:type="dxa"/>
            <w:vAlign w:val="center"/>
          </w:tcPr>
          <w:p w14:paraId="0ABEB769">
            <w:pPr>
              <w:adjustRightInd w:val="0"/>
              <w:snapToGrid w:val="0"/>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根据该危险品具体性质，结合上述危险品类别确定应对措施</w:t>
            </w:r>
          </w:p>
        </w:tc>
        <w:tc>
          <w:tcPr>
            <w:tcW w:w="2597" w:type="dxa"/>
            <w:vAlign w:val="center"/>
          </w:tcPr>
          <w:p w14:paraId="5A2EA83A">
            <w:pPr>
              <w:adjustRightInd w:val="0"/>
              <w:snapToGrid w:val="0"/>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根据某种危险品性质，结合上述危险品类别确定应对措施</w:t>
            </w:r>
          </w:p>
        </w:tc>
      </w:tr>
    </w:tbl>
    <w:p w14:paraId="0DA63669">
      <w:pPr>
        <w:pStyle w:val="6"/>
        <w:ind w:left="0"/>
        <w:rPr>
          <w:color w:val="000000" w:themeColor="text1"/>
          <w14:textFill>
            <w14:solidFill>
              <w14:schemeClr w14:val="tx1"/>
            </w14:solidFill>
          </w14:textFill>
        </w:rPr>
      </w:pPr>
      <w:r>
        <w:rPr>
          <w:color w:val="000000" w:themeColor="text1"/>
          <w14:textFill>
            <w14:solidFill>
              <w14:schemeClr w14:val="tx1"/>
            </w14:solidFill>
          </w14:textFill>
        </w:rPr>
        <w:t>现有燃料油泄漏处置措施</w:t>
      </w:r>
    </w:p>
    <w:p w14:paraId="1E746A5A">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w:t>
      </w:r>
      <w:r>
        <w:rPr>
          <w:b/>
          <w:bCs/>
          <w:color w:val="000000" w:themeColor="text1"/>
          <w14:textFill>
            <w14:solidFill>
              <w14:schemeClr w14:val="tx1"/>
            </w14:solidFill>
          </w14:textFill>
        </w:rPr>
        <w:t>1</w:t>
      </w:r>
      <w:r>
        <w:rPr>
          <w:rFonts w:hint="eastAsia"/>
          <w:b/>
          <w:bCs/>
          <w:color w:val="000000" w:themeColor="text1"/>
          <w14:textFill>
            <w14:solidFill>
              <w14:schemeClr w14:val="tx1"/>
            </w14:solidFill>
          </w14:textFill>
        </w:rPr>
        <w:t>）针对环境敏感区的应急措施</w:t>
      </w:r>
      <w:r>
        <w:rPr>
          <w:b/>
          <w:bCs/>
          <w:color w:val="000000" w:themeColor="text1"/>
          <w14:textFill>
            <w14:solidFill>
              <w14:schemeClr w14:val="tx1"/>
            </w14:solidFill>
          </w14:textFill>
        </w:rPr>
        <w:t xml:space="preserve"> </w:t>
      </w:r>
    </w:p>
    <w:p w14:paraId="29C5639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一旦发生溢油风险事故</w:t>
      </w:r>
      <w:r>
        <w:rPr>
          <w:rFonts w:hint="eastAsia"/>
          <w:color w:val="000000" w:themeColor="text1"/>
          <w:spacing w:val="-24"/>
          <w14:textFill>
            <w14:solidFill>
              <w14:schemeClr w14:val="tx1"/>
            </w14:solidFill>
          </w14:textFill>
        </w:rPr>
        <w:t>，</w:t>
      </w:r>
      <w:r>
        <w:rPr>
          <w:rFonts w:hint="eastAsia"/>
          <w:color w:val="000000" w:themeColor="text1"/>
          <w14:textFill>
            <w14:solidFill>
              <w14:schemeClr w14:val="tx1"/>
            </w14:solidFill>
          </w14:textFill>
        </w:rPr>
        <w:t>应立即采取有效措施封堵泄漏口</w:t>
      </w:r>
      <w:r>
        <w:rPr>
          <w:rFonts w:hint="eastAsia"/>
          <w:color w:val="000000" w:themeColor="text1"/>
          <w:spacing w:val="-24"/>
          <w14:textFill>
            <w14:solidFill>
              <w14:schemeClr w14:val="tx1"/>
            </w14:solidFill>
          </w14:textFill>
        </w:rPr>
        <w:t>，</w:t>
      </w:r>
      <w:r>
        <w:rPr>
          <w:rFonts w:hint="eastAsia"/>
          <w:color w:val="000000" w:themeColor="text1"/>
          <w14:textFill>
            <w14:solidFill>
              <w14:schemeClr w14:val="tx1"/>
            </w14:solidFill>
          </w14:textFill>
        </w:rPr>
        <w:t>密切注意是否有发生火灾爆炸的危险</w:t>
      </w:r>
      <w:r>
        <w:rPr>
          <w:rFonts w:hint="eastAsia"/>
          <w:color w:val="000000" w:themeColor="text1"/>
          <w:spacing w:val="-24"/>
          <w14:textFill>
            <w14:solidFill>
              <w14:schemeClr w14:val="tx1"/>
            </w14:solidFill>
          </w14:textFill>
        </w:rPr>
        <w:t>；</w:t>
      </w:r>
      <w:r>
        <w:rPr>
          <w:rFonts w:hint="eastAsia"/>
          <w:color w:val="000000" w:themeColor="text1"/>
          <w14:textFill>
            <w14:solidFill>
              <w14:schemeClr w14:val="tx1"/>
            </w14:solidFill>
          </w14:textFill>
        </w:rPr>
        <w:t>事故现场及周边区域全部禁止明火</w:t>
      </w:r>
      <w:r>
        <w:rPr>
          <w:rFonts w:hint="eastAsia"/>
          <w:color w:val="000000" w:themeColor="text1"/>
          <w:spacing w:val="-24"/>
          <w14:textFill>
            <w14:solidFill>
              <w14:schemeClr w14:val="tx1"/>
            </w14:solidFill>
          </w14:textFill>
        </w:rPr>
        <w:t>，</w:t>
      </w:r>
      <w:r>
        <w:rPr>
          <w:rFonts w:hint="eastAsia"/>
          <w:color w:val="000000" w:themeColor="text1"/>
          <w14:textFill>
            <w14:solidFill>
              <w14:schemeClr w14:val="tx1"/>
            </w14:solidFill>
          </w14:textFill>
        </w:rPr>
        <w:t>注意消除其他可能诱发火灾爆炸的因素</w:t>
      </w:r>
      <w:r>
        <w:rPr>
          <w:rFonts w:hint="eastAsia"/>
          <w:color w:val="000000" w:themeColor="text1"/>
          <w:spacing w:val="-12"/>
          <w14:textFill>
            <w14:solidFill>
              <w14:schemeClr w14:val="tx1"/>
            </w14:solidFill>
          </w14:textFill>
        </w:rPr>
        <w:t>；</w:t>
      </w:r>
      <w:r>
        <w:rPr>
          <w:rFonts w:hint="eastAsia"/>
          <w:color w:val="000000" w:themeColor="text1"/>
          <w14:textFill>
            <w14:solidFill>
              <w14:schemeClr w14:val="tx1"/>
            </w14:solidFill>
          </w14:textFill>
        </w:rPr>
        <w:t>隔离和疏散可能受伤的人员</w:t>
      </w:r>
      <w:r>
        <w:rPr>
          <w:rFonts w:hint="eastAsia"/>
          <w:color w:val="000000" w:themeColor="text1"/>
          <w:spacing w:val="-12"/>
          <w14:textFill>
            <w14:solidFill>
              <w14:schemeClr w14:val="tx1"/>
            </w14:solidFill>
          </w14:textFill>
        </w:rPr>
        <w:t>，</w:t>
      </w:r>
      <w:r>
        <w:rPr>
          <w:rFonts w:hint="eastAsia"/>
          <w:color w:val="000000" w:themeColor="text1"/>
          <w14:textFill>
            <w14:solidFill>
              <w14:schemeClr w14:val="tx1"/>
            </w14:solidFill>
          </w14:textFill>
        </w:rPr>
        <w:t>核实遇险人数</w:t>
      </w:r>
      <w:r>
        <w:rPr>
          <w:rFonts w:hint="eastAsia"/>
          <w:color w:val="000000" w:themeColor="text1"/>
          <w:spacing w:val="-12"/>
          <w14:textFill>
            <w14:solidFill>
              <w14:schemeClr w14:val="tx1"/>
            </w14:solidFill>
          </w14:textFill>
        </w:rPr>
        <w:t>、</w:t>
      </w:r>
      <w:r>
        <w:rPr>
          <w:rFonts w:hint="eastAsia"/>
          <w:color w:val="000000" w:themeColor="text1"/>
          <w14:textFill>
            <w14:solidFill>
              <w14:schemeClr w14:val="tx1"/>
            </w14:solidFill>
          </w14:textFill>
        </w:rPr>
        <w:t>遇险水域的气象海况</w:t>
      </w:r>
      <w:r>
        <w:rPr>
          <w:rFonts w:hint="eastAsia"/>
          <w:color w:val="000000" w:themeColor="text1"/>
          <w:spacing w:val="-12"/>
          <w14:textFill>
            <w14:solidFill>
              <w14:schemeClr w14:val="tx1"/>
            </w14:solidFill>
          </w14:textFill>
        </w:rPr>
        <w:t>、</w:t>
      </w:r>
      <w:r>
        <w:rPr>
          <w:rFonts w:hint="eastAsia"/>
          <w:color w:val="000000" w:themeColor="text1"/>
          <w14:textFill>
            <w14:solidFill>
              <w14:schemeClr w14:val="tx1"/>
            </w14:solidFill>
          </w14:textFill>
        </w:rPr>
        <w:t>水温及救助要求等情况；组织救助遇险人员，对受伤人员进行救护。</w:t>
      </w:r>
    </w:p>
    <w:p w14:paraId="71189C6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根据可能受到威胁的环境敏感区的优先保护次序</w:t>
      </w:r>
      <w:r>
        <w:rPr>
          <w:rFonts w:hint="eastAsia"/>
          <w:color w:val="000000" w:themeColor="text1"/>
          <w:spacing w:val="-48"/>
          <w14:textFill>
            <w14:solidFill>
              <w14:schemeClr w14:val="tx1"/>
            </w14:solidFill>
          </w14:textFill>
        </w:rPr>
        <w:t>，</w:t>
      </w:r>
      <w:r>
        <w:rPr>
          <w:rFonts w:hint="eastAsia"/>
          <w:color w:val="000000" w:themeColor="text1"/>
          <w14:textFill>
            <w14:solidFill>
              <w14:schemeClr w14:val="tx1"/>
            </w14:solidFill>
          </w14:textFill>
        </w:rPr>
        <w:t>根据不同环境敏感资源的保护内容及特性制定有针对性的溢油应急措施。</w:t>
      </w:r>
    </w:p>
    <w:p w14:paraId="78DA040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溢油事故发生后</w:t>
      </w:r>
      <w:r>
        <w:rPr>
          <w:rFonts w:hint="eastAsia"/>
          <w:color w:val="000000" w:themeColor="text1"/>
          <w:spacing w:val="-17"/>
          <w14:textFill>
            <w14:solidFill>
              <w14:schemeClr w14:val="tx1"/>
            </w14:solidFill>
          </w14:textFill>
        </w:rPr>
        <w:t>，</w:t>
      </w:r>
      <w:r>
        <w:rPr>
          <w:rFonts w:hint="eastAsia"/>
          <w:color w:val="000000" w:themeColor="text1"/>
          <w14:textFill>
            <w14:solidFill>
              <w14:schemeClr w14:val="tx1"/>
            </w14:solidFill>
          </w14:textFill>
        </w:rPr>
        <w:t>根据溢油漂移轨迹</w:t>
      </w:r>
      <w:r>
        <w:rPr>
          <w:rFonts w:hint="eastAsia"/>
          <w:color w:val="000000" w:themeColor="text1"/>
          <w:spacing w:val="-17"/>
          <w14:textFill>
            <w14:solidFill>
              <w14:schemeClr w14:val="tx1"/>
            </w14:solidFill>
          </w14:textFill>
        </w:rPr>
        <w:t>，</w:t>
      </w:r>
      <w:r>
        <w:rPr>
          <w:rFonts w:hint="eastAsia"/>
          <w:color w:val="000000" w:themeColor="text1"/>
          <w14:textFill>
            <w14:solidFill>
              <w14:schemeClr w14:val="tx1"/>
            </w14:solidFill>
          </w14:textFill>
        </w:rPr>
        <w:t>在可能受影响的保护区附近</w:t>
      </w:r>
      <w:r>
        <w:rPr>
          <w:rFonts w:hint="eastAsia"/>
          <w:color w:val="000000" w:themeColor="text1"/>
          <w:spacing w:val="-17"/>
          <w14:textFill>
            <w14:solidFill>
              <w14:schemeClr w14:val="tx1"/>
            </w14:solidFill>
          </w14:textFill>
        </w:rPr>
        <w:t>，</w:t>
      </w:r>
      <w:r>
        <w:rPr>
          <w:rFonts w:hint="eastAsia"/>
          <w:color w:val="000000" w:themeColor="text1"/>
          <w14:textFill>
            <w14:solidFill>
              <w14:schemeClr w14:val="tx1"/>
            </w14:solidFill>
          </w14:textFill>
        </w:rPr>
        <w:t>沿保护区边界</w:t>
      </w:r>
      <w:r>
        <w:rPr>
          <w:rFonts w:hint="eastAsia"/>
          <w:color w:val="000000" w:themeColor="text1"/>
          <w:position w:val="-3"/>
          <w14:textFill>
            <w14:solidFill>
              <w14:schemeClr w14:val="tx1"/>
            </w14:solidFill>
          </w14:textFill>
        </w:rPr>
        <w:t>线布放一般用途围油栏</w:t>
      </w:r>
      <w:r>
        <w:rPr>
          <w:rFonts w:hint="eastAsia"/>
          <w:color w:val="000000" w:themeColor="text1"/>
          <w:spacing w:val="-17"/>
          <w:position w:val="-3"/>
          <w14:textFill>
            <w14:solidFill>
              <w14:schemeClr w14:val="tx1"/>
            </w14:solidFill>
          </w14:textFill>
        </w:rPr>
        <w:t>，</w:t>
      </w:r>
      <w:r>
        <w:rPr>
          <w:rFonts w:hint="eastAsia"/>
          <w:color w:val="000000" w:themeColor="text1"/>
          <w:position w:val="-3"/>
          <w14:textFill>
            <w14:solidFill>
              <w14:schemeClr w14:val="tx1"/>
            </w14:solidFill>
          </w14:textFill>
        </w:rPr>
        <w:t>尽量避免或延缓油膜向保护区扩散</w:t>
      </w:r>
      <w:r>
        <w:rPr>
          <w:rFonts w:hint="eastAsia"/>
          <w:color w:val="000000" w:themeColor="text1"/>
          <w:spacing w:val="-17"/>
          <w:position w:val="-3"/>
          <w14:textFill>
            <w14:solidFill>
              <w14:schemeClr w14:val="tx1"/>
            </w14:solidFill>
          </w14:textFill>
        </w:rPr>
        <w:t>，</w:t>
      </w:r>
      <w:r>
        <w:rPr>
          <w:rFonts w:hint="eastAsia"/>
          <w:color w:val="000000" w:themeColor="text1"/>
          <w:spacing w:val="1"/>
          <w:position w:val="-3"/>
          <w14:textFill>
            <w14:solidFill>
              <w14:schemeClr w14:val="tx1"/>
            </w14:solidFill>
          </w14:textFill>
        </w:rPr>
        <w:t>同</w:t>
      </w:r>
      <w:r>
        <w:rPr>
          <w:rFonts w:hint="eastAsia"/>
          <w:color w:val="000000" w:themeColor="text1"/>
          <w:position w:val="-3"/>
          <w14:textFill>
            <w14:solidFill>
              <w14:schemeClr w14:val="tx1"/>
            </w14:solidFill>
          </w14:textFill>
        </w:rPr>
        <w:t>时用浮油回收船</w:t>
      </w:r>
      <w:r>
        <w:rPr>
          <w:rFonts w:hint="eastAsia"/>
          <w:color w:val="000000" w:themeColor="text1"/>
          <w:spacing w:val="-17"/>
          <w:position w:val="-3"/>
          <w14:textFill>
            <w14:solidFill>
              <w14:schemeClr w14:val="tx1"/>
            </w14:solidFill>
          </w14:textFill>
        </w:rPr>
        <w:t>、</w:t>
      </w:r>
      <w:r>
        <w:rPr>
          <w:rFonts w:hint="eastAsia"/>
          <w:color w:val="000000" w:themeColor="text1"/>
          <w:position w:val="-3"/>
          <w14:textFill>
            <w14:solidFill>
              <w14:schemeClr w14:val="tx1"/>
            </w14:solidFill>
          </w14:textFill>
        </w:rPr>
        <w:t>围油</w:t>
      </w:r>
    </w:p>
    <w:p w14:paraId="0C91F1B8">
      <w:pPr>
        <w:ind w:firstLine="488"/>
        <w:rPr>
          <w:color w:val="000000" w:themeColor="text1"/>
          <w14:textFill>
            <w14:solidFill>
              <w14:schemeClr w14:val="tx1"/>
            </w14:solidFill>
          </w14:textFill>
        </w:rPr>
      </w:pPr>
      <w:r>
        <w:rPr>
          <w:rFonts w:hint="eastAsia"/>
          <w:color w:val="000000" w:themeColor="text1"/>
          <w:spacing w:val="2"/>
          <w14:textFill>
            <w14:solidFill>
              <w14:schemeClr w14:val="tx1"/>
            </w14:solidFill>
          </w14:textFill>
        </w:rPr>
        <w:t>栏布</w:t>
      </w:r>
      <w:r>
        <w:rPr>
          <w:rFonts w:hint="eastAsia"/>
          <w:color w:val="000000" w:themeColor="text1"/>
          <w14:textFill>
            <w14:solidFill>
              <w14:schemeClr w14:val="tx1"/>
            </w14:solidFill>
          </w14:textFill>
        </w:rPr>
        <w:t>放</w:t>
      </w:r>
      <w:r>
        <w:rPr>
          <w:rFonts w:hint="eastAsia"/>
          <w:color w:val="000000" w:themeColor="text1"/>
          <w:spacing w:val="2"/>
          <w14:textFill>
            <w14:solidFill>
              <w14:schemeClr w14:val="tx1"/>
            </w14:solidFill>
          </w14:textFill>
        </w:rPr>
        <w:t>艇</w:t>
      </w:r>
      <w:r>
        <w:rPr>
          <w:rFonts w:hint="eastAsia"/>
          <w:color w:val="000000" w:themeColor="text1"/>
          <w14:textFill>
            <w14:solidFill>
              <w14:schemeClr w14:val="tx1"/>
            </w14:solidFill>
          </w14:textFill>
        </w:rPr>
        <w:t>拖</w:t>
      </w:r>
      <w:r>
        <w:rPr>
          <w:rFonts w:hint="eastAsia"/>
          <w:color w:val="000000" w:themeColor="text1"/>
          <w:spacing w:val="2"/>
          <w14:textFill>
            <w14:solidFill>
              <w14:schemeClr w14:val="tx1"/>
            </w14:solidFill>
          </w14:textFill>
        </w:rPr>
        <w:t>带</w:t>
      </w:r>
      <w:r>
        <w:rPr>
          <w:rFonts w:hint="eastAsia"/>
          <w:color w:val="000000" w:themeColor="text1"/>
          <w14:textFill>
            <w14:solidFill>
              <w14:schemeClr w14:val="tx1"/>
            </w14:solidFill>
          </w14:textFill>
        </w:rPr>
        <w:t>导</w:t>
      </w:r>
      <w:r>
        <w:rPr>
          <w:rFonts w:hint="eastAsia"/>
          <w:color w:val="000000" w:themeColor="text1"/>
          <w:spacing w:val="2"/>
          <w14:textFill>
            <w14:solidFill>
              <w14:schemeClr w14:val="tx1"/>
            </w14:solidFill>
          </w14:textFill>
        </w:rPr>
        <w:t>流</w:t>
      </w:r>
      <w:r>
        <w:rPr>
          <w:rFonts w:hint="eastAsia"/>
          <w:color w:val="000000" w:themeColor="text1"/>
          <w14:textFill>
            <w14:solidFill>
              <w14:schemeClr w14:val="tx1"/>
            </w14:solidFill>
          </w14:textFill>
        </w:rPr>
        <w:t>型围</w:t>
      </w:r>
      <w:r>
        <w:rPr>
          <w:rFonts w:hint="eastAsia"/>
          <w:color w:val="000000" w:themeColor="text1"/>
          <w:spacing w:val="2"/>
          <w14:textFill>
            <w14:solidFill>
              <w14:schemeClr w14:val="tx1"/>
            </w14:solidFill>
          </w14:textFill>
        </w:rPr>
        <w:t>油栏</w:t>
      </w:r>
      <w:r>
        <w:rPr>
          <w:rFonts w:hint="eastAsia"/>
          <w:color w:val="000000" w:themeColor="text1"/>
          <w14:textFill>
            <w14:solidFill>
              <w14:schemeClr w14:val="tx1"/>
            </w14:solidFill>
          </w14:textFill>
        </w:rPr>
        <w:t>组</w:t>
      </w:r>
      <w:r>
        <w:rPr>
          <w:rFonts w:hint="eastAsia"/>
          <w:color w:val="000000" w:themeColor="text1"/>
          <w:spacing w:val="5"/>
          <w14:textFill>
            <w14:solidFill>
              <w14:schemeClr w14:val="tx1"/>
            </w14:solidFill>
          </w14:textFill>
        </w:rPr>
        <w:t>成</w:t>
      </w:r>
      <w:r>
        <w:rPr>
          <w:color w:val="000000" w:themeColor="text1"/>
          <w:spacing w:val="-1"/>
          <w14:textFill>
            <w14:solidFill>
              <w14:schemeClr w14:val="tx1"/>
            </w14:solidFill>
          </w14:textFill>
        </w:rPr>
        <w:t>“</w:t>
      </w:r>
      <w:r>
        <w:rPr>
          <w:color w:val="000000" w:themeColor="text1"/>
          <w14:textFill>
            <w14:solidFill>
              <w14:schemeClr w14:val="tx1"/>
            </w14:solidFill>
          </w14:textFill>
        </w:rPr>
        <w:t>V</w:t>
      </w:r>
      <w:r>
        <w:rPr>
          <w:color w:val="000000" w:themeColor="text1"/>
          <w:spacing w:val="1"/>
          <w14:textFill>
            <w14:solidFill>
              <w14:schemeClr w14:val="tx1"/>
            </w14:solidFill>
          </w14:textFill>
        </w:rPr>
        <w:t>”</w:t>
      </w:r>
      <w:r>
        <w:rPr>
          <w:rFonts w:hint="eastAsia"/>
          <w:color w:val="000000" w:themeColor="text1"/>
          <w:spacing w:val="2"/>
          <w14:textFill>
            <w14:solidFill>
              <w14:schemeClr w14:val="tx1"/>
            </w14:solidFill>
          </w14:textFill>
        </w:rPr>
        <w:t>字</w:t>
      </w:r>
      <w:r>
        <w:rPr>
          <w:rFonts w:hint="eastAsia"/>
          <w:color w:val="000000" w:themeColor="text1"/>
          <w14:textFill>
            <w14:solidFill>
              <w14:schemeClr w14:val="tx1"/>
            </w14:solidFill>
          </w14:textFill>
        </w:rPr>
        <w:t>型</w:t>
      </w:r>
      <w:r>
        <w:rPr>
          <w:rFonts w:hint="eastAsia"/>
          <w:color w:val="000000" w:themeColor="text1"/>
          <w:spacing w:val="2"/>
          <w14:textFill>
            <w14:solidFill>
              <w14:schemeClr w14:val="tx1"/>
            </w14:solidFill>
          </w14:textFill>
        </w:rPr>
        <w:t>高</w:t>
      </w:r>
      <w:r>
        <w:rPr>
          <w:rFonts w:hint="eastAsia"/>
          <w:color w:val="000000" w:themeColor="text1"/>
          <w14:textFill>
            <w14:solidFill>
              <w14:schemeClr w14:val="tx1"/>
            </w14:solidFill>
          </w14:textFill>
        </w:rPr>
        <w:t>效</w:t>
      </w:r>
      <w:r>
        <w:rPr>
          <w:rFonts w:hint="eastAsia"/>
          <w:color w:val="000000" w:themeColor="text1"/>
          <w:spacing w:val="2"/>
          <w14:textFill>
            <w14:solidFill>
              <w14:schemeClr w14:val="tx1"/>
            </w14:solidFill>
          </w14:textFill>
        </w:rPr>
        <w:t>应急</w:t>
      </w:r>
      <w:r>
        <w:rPr>
          <w:rFonts w:hint="eastAsia"/>
          <w:color w:val="000000" w:themeColor="text1"/>
          <w14:textFill>
            <w14:solidFill>
              <w14:schemeClr w14:val="tx1"/>
            </w14:solidFill>
          </w14:textFill>
        </w:rPr>
        <w:t>组</w:t>
      </w:r>
      <w:r>
        <w:rPr>
          <w:rFonts w:hint="eastAsia"/>
          <w:color w:val="000000" w:themeColor="text1"/>
          <w:spacing w:val="2"/>
          <w14:textFill>
            <w14:solidFill>
              <w14:schemeClr w14:val="tx1"/>
            </w14:solidFill>
          </w14:textFill>
        </w:rPr>
        <w:t>合</w:t>
      </w:r>
      <w:r>
        <w:rPr>
          <w:rFonts w:hint="eastAsia"/>
          <w:color w:val="000000" w:themeColor="text1"/>
          <w14:textFill>
            <w14:solidFill>
              <w14:schemeClr w14:val="tx1"/>
            </w14:solidFill>
          </w14:textFill>
        </w:rPr>
        <w:t>，</w:t>
      </w:r>
      <w:r>
        <w:rPr>
          <w:rFonts w:hint="eastAsia"/>
          <w:color w:val="000000" w:themeColor="text1"/>
          <w:spacing w:val="2"/>
          <w14:textFill>
            <w14:solidFill>
              <w14:schemeClr w14:val="tx1"/>
            </w14:solidFill>
          </w14:textFill>
        </w:rPr>
        <w:t>在</w:t>
      </w:r>
      <w:r>
        <w:rPr>
          <w:rFonts w:hint="eastAsia"/>
          <w:color w:val="000000" w:themeColor="text1"/>
          <w14:textFill>
            <w14:solidFill>
              <w14:schemeClr w14:val="tx1"/>
            </w14:solidFill>
          </w14:textFill>
        </w:rPr>
        <w:t>溢</w:t>
      </w:r>
      <w:r>
        <w:rPr>
          <w:rFonts w:hint="eastAsia"/>
          <w:color w:val="000000" w:themeColor="text1"/>
          <w:spacing w:val="2"/>
          <w14:textFill>
            <w14:solidFill>
              <w14:schemeClr w14:val="tx1"/>
            </w14:solidFill>
          </w14:textFill>
        </w:rPr>
        <w:t>油</w:t>
      </w:r>
      <w:r>
        <w:rPr>
          <w:rFonts w:hint="eastAsia"/>
          <w:color w:val="000000" w:themeColor="text1"/>
          <w14:textFill>
            <w14:solidFill>
              <w14:schemeClr w14:val="tx1"/>
            </w14:solidFill>
          </w14:textFill>
        </w:rPr>
        <w:t>流向</w:t>
      </w:r>
      <w:r>
        <w:rPr>
          <w:rFonts w:hint="eastAsia"/>
          <w:color w:val="000000" w:themeColor="text1"/>
          <w:spacing w:val="2"/>
          <w14:textFill>
            <w14:solidFill>
              <w14:schemeClr w14:val="tx1"/>
            </w14:solidFill>
          </w14:textFill>
        </w:rPr>
        <w:t>的下</w:t>
      </w:r>
      <w:r>
        <w:rPr>
          <w:rFonts w:hint="eastAsia"/>
          <w:color w:val="000000" w:themeColor="text1"/>
          <w14:textFill>
            <w14:solidFill>
              <w14:schemeClr w14:val="tx1"/>
            </w14:solidFill>
          </w14:textFill>
        </w:rPr>
        <w:t>风</w:t>
      </w:r>
      <w:r>
        <w:rPr>
          <w:rFonts w:hint="eastAsia"/>
          <w:color w:val="000000" w:themeColor="text1"/>
          <w:spacing w:val="2"/>
          <w14:textFill>
            <w14:solidFill>
              <w14:schemeClr w14:val="tx1"/>
            </w14:solidFill>
          </w14:textFill>
        </w:rPr>
        <w:t>向</w:t>
      </w:r>
      <w:r>
        <w:rPr>
          <w:rFonts w:hint="eastAsia"/>
          <w:color w:val="000000" w:themeColor="text1"/>
          <w14:textFill>
            <w14:solidFill>
              <w14:schemeClr w14:val="tx1"/>
            </w14:solidFill>
          </w14:textFill>
        </w:rPr>
        <w:t>，</w:t>
      </w:r>
      <w:r>
        <w:rPr>
          <w:rFonts w:hint="eastAsia"/>
          <w:color w:val="000000" w:themeColor="text1"/>
          <w:spacing w:val="2"/>
          <w14:textFill>
            <w14:solidFill>
              <w14:schemeClr w14:val="tx1"/>
            </w14:solidFill>
          </w14:textFill>
        </w:rPr>
        <w:t>进行</w:t>
      </w:r>
      <w:r>
        <w:rPr>
          <w:rFonts w:hint="eastAsia"/>
          <w:color w:val="000000" w:themeColor="text1"/>
          <w14:textFill>
            <w14:solidFill>
              <w14:schemeClr w14:val="tx1"/>
            </w14:solidFill>
          </w14:textFill>
        </w:rPr>
        <w:t>溢</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油回收处置。</w:t>
      </w:r>
    </w:p>
    <w:p w14:paraId="10D3151F">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（2）在港池内溢油污染的围控和清除</w:t>
      </w:r>
    </w:p>
    <w:p w14:paraId="3410A90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根据溢油量判断，小规模溢油事故可采取主</w:t>
      </w:r>
      <w:r>
        <w:rPr>
          <w:rFonts w:hint="eastAsia"/>
          <w:color w:val="000000" w:themeColor="text1"/>
          <w:spacing w:val="1"/>
          <w14:textFill>
            <w14:solidFill>
              <w14:schemeClr w14:val="tx1"/>
            </w14:solidFill>
          </w14:textFill>
        </w:rPr>
        <w:t>动</w:t>
      </w:r>
      <w:r>
        <w:rPr>
          <w:rFonts w:hint="eastAsia"/>
          <w:color w:val="000000" w:themeColor="text1"/>
          <w14:textFill>
            <w14:solidFill>
              <w14:schemeClr w14:val="tx1"/>
            </w14:solidFill>
          </w14:textFill>
        </w:rPr>
        <w:t>围控措施，调用应急设备库围油栏，利用布防艇或拖船对溢油点进行主动围控</w:t>
      </w:r>
      <w:r>
        <w:rPr>
          <w:rFonts w:hint="eastAsia"/>
          <w:color w:val="000000" w:themeColor="text1"/>
          <w:spacing w:val="-24"/>
          <w14:textFill>
            <w14:solidFill>
              <w14:schemeClr w14:val="tx1"/>
            </w14:solidFill>
          </w14:textFill>
        </w:rPr>
        <w:t>，</w:t>
      </w:r>
      <w:r>
        <w:rPr>
          <w:rFonts w:hint="eastAsia"/>
          <w:color w:val="000000" w:themeColor="text1"/>
          <w14:textFill>
            <w14:solidFill>
              <w14:schemeClr w14:val="tx1"/>
            </w14:solidFill>
          </w14:textFill>
        </w:rPr>
        <w:t>实现溢油控制在围油栏内</w:t>
      </w:r>
      <w:r>
        <w:rPr>
          <w:rFonts w:hint="eastAsia"/>
          <w:color w:val="000000" w:themeColor="text1"/>
          <w:spacing w:val="-24"/>
          <w14:textFill>
            <w14:solidFill>
              <w14:schemeClr w14:val="tx1"/>
            </w14:solidFill>
          </w14:textFill>
        </w:rPr>
        <w:t>，再</w:t>
      </w:r>
      <w:r>
        <w:rPr>
          <w:rFonts w:hint="eastAsia"/>
          <w:color w:val="000000" w:themeColor="text1"/>
          <w14:textFill>
            <w14:solidFill>
              <w14:schemeClr w14:val="tx1"/>
            </w14:solidFill>
          </w14:textFill>
        </w:rPr>
        <w:t>利用吊机将收油机放入围油栏，配以适用动力和储油设备，将溢油回收起来。</w:t>
      </w:r>
    </w:p>
    <w:p w14:paraId="155145E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如发生中等规模以上溢油事故，应采取主动围控措施。调用港区所有围油栏设备，采取主动围控同时</w:t>
      </w:r>
      <w:r>
        <w:rPr>
          <w:rFonts w:hint="eastAsia"/>
          <w:color w:val="000000" w:themeColor="text1"/>
          <w:spacing w:val="-29"/>
          <w14:textFill>
            <w14:solidFill>
              <w14:schemeClr w14:val="tx1"/>
            </w14:solidFill>
          </w14:textFill>
        </w:rPr>
        <w:t>，</w:t>
      </w:r>
      <w:r>
        <w:rPr>
          <w:rFonts w:hint="eastAsia"/>
          <w:color w:val="000000" w:themeColor="text1"/>
          <w14:textFill>
            <w14:solidFill>
              <w14:schemeClr w14:val="tx1"/>
            </w14:solidFill>
          </w14:textFill>
        </w:rPr>
        <w:t>在易受到污染威胁的敏感资源外围布置</w:t>
      </w:r>
      <w:r>
        <w:rPr>
          <w:color w:val="000000" w:themeColor="text1"/>
          <w14:textFill>
            <w14:solidFill>
              <w14:schemeClr w14:val="tx1"/>
            </w14:solidFill>
          </w14:textFill>
        </w:rPr>
        <w:t>2~3</w:t>
      </w:r>
      <w:r>
        <w:rPr>
          <w:rFonts w:hint="eastAsia"/>
          <w:color w:val="000000" w:themeColor="text1"/>
          <w14:textFill>
            <w14:solidFill>
              <w14:schemeClr w14:val="tx1"/>
            </w14:solidFill>
          </w14:textFill>
        </w:rPr>
        <w:t>道封堵围油栏</w:t>
      </w:r>
      <w:r>
        <w:rPr>
          <w:rFonts w:hint="eastAsia"/>
          <w:color w:val="000000" w:themeColor="text1"/>
          <w:spacing w:val="-29"/>
          <w14:textFill>
            <w14:solidFill>
              <w14:schemeClr w14:val="tx1"/>
            </w14:solidFill>
          </w14:textFill>
        </w:rPr>
        <w:t>，</w:t>
      </w:r>
      <w:r>
        <w:rPr>
          <w:rFonts w:hint="eastAsia"/>
          <w:color w:val="000000" w:themeColor="text1"/>
          <w14:textFill>
            <w14:solidFill>
              <w14:schemeClr w14:val="tx1"/>
            </w14:solidFill>
          </w14:textFill>
        </w:rPr>
        <w:t>确保溢油可控在港池水域，再利用收油设备，开展溢油回收工作。</w:t>
      </w:r>
    </w:p>
    <w:p w14:paraId="0FBCE7AB">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（3）航道、锚地溢油污染的围控和清除</w:t>
      </w:r>
    </w:p>
    <w:p w14:paraId="6E959AA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航道、锚地处溢油由于水流速度大于</w:t>
      </w:r>
      <w:r>
        <w:rPr>
          <w:color w:val="000000" w:themeColor="text1"/>
          <w:spacing w:val="-55"/>
          <w14:textFill>
            <w14:solidFill>
              <w14:schemeClr w14:val="tx1"/>
            </w14:solidFill>
          </w14:textFill>
        </w:rPr>
        <w:t xml:space="preserve"> </w:t>
      </w:r>
      <w:r>
        <w:rPr>
          <w:color w:val="000000" w:themeColor="text1"/>
          <w14:textFill>
            <w14:solidFill>
              <w14:schemeClr w14:val="tx1"/>
            </w14:solidFill>
          </w14:textFill>
        </w:rPr>
        <w:t>0.7</w:t>
      </w:r>
      <w:r>
        <w:rPr>
          <w:rFonts w:hint="eastAsia"/>
          <w:color w:val="000000" w:themeColor="text1"/>
          <w14:textFill>
            <w14:solidFill>
              <w14:schemeClr w14:val="tx1"/>
            </w14:solidFill>
          </w14:textFill>
        </w:rPr>
        <w:t>节</w:t>
      </w:r>
      <w:r>
        <w:rPr>
          <w:rFonts w:hint="eastAsia"/>
          <w:color w:val="000000" w:themeColor="text1"/>
          <w:spacing w:val="2"/>
          <w14:textFill>
            <w14:solidFill>
              <w14:schemeClr w14:val="tx1"/>
            </w14:solidFill>
          </w14:textFill>
        </w:rPr>
        <w:t>，</w:t>
      </w:r>
      <w:r>
        <w:rPr>
          <w:rFonts w:hint="eastAsia"/>
          <w:color w:val="000000" w:themeColor="text1"/>
          <w14:textFill>
            <w14:solidFill>
              <w14:schemeClr w14:val="tx1"/>
            </w14:solidFill>
          </w14:textFill>
        </w:rPr>
        <w:t>溢油除平潮期间可以短时间围住溢油</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外</w:t>
      </w:r>
      <w:r>
        <w:rPr>
          <w:rFonts w:hint="eastAsia"/>
          <w:color w:val="000000" w:themeColor="text1"/>
          <w:spacing w:val="-12"/>
          <w14:textFill>
            <w14:solidFill>
              <w14:schemeClr w14:val="tx1"/>
            </w14:solidFill>
          </w14:textFill>
        </w:rPr>
        <w:t>，</w:t>
      </w:r>
      <w:r>
        <w:rPr>
          <w:rFonts w:hint="eastAsia"/>
          <w:color w:val="000000" w:themeColor="text1"/>
          <w14:textFill>
            <w14:solidFill>
              <w14:schemeClr w14:val="tx1"/>
            </w14:solidFill>
          </w14:textFill>
        </w:rPr>
        <w:t>公认多数时间是围不住的</w:t>
      </w:r>
      <w:r>
        <w:rPr>
          <w:rFonts w:hint="eastAsia"/>
          <w:color w:val="000000" w:themeColor="text1"/>
          <w:spacing w:val="-12"/>
          <w14:textFill>
            <w14:solidFill>
              <w14:schemeClr w14:val="tx1"/>
            </w14:solidFill>
          </w14:textFill>
        </w:rPr>
        <w:t>。</w:t>
      </w:r>
      <w:r>
        <w:rPr>
          <w:rFonts w:hint="eastAsia"/>
          <w:color w:val="000000" w:themeColor="text1"/>
          <w14:textFill>
            <w14:solidFill>
              <w14:schemeClr w14:val="tx1"/>
            </w14:solidFill>
          </w14:textFill>
        </w:rPr>
        <w:t>多数</w:t>
      </w:r>
      <w:r>
        <w:rPr>
          <w:rFonts w:hint="eastAsia"/>
          <w:color w:val="000000" w:themeColor="text1"/>
          <w:spacing w:val="1"/>
          <w14:textFill>
            <w14:solidFill>
              <w14:schemeClr w14:val="tx1"/>
            </w14:solidFill>
          </w14:textFill>
        </w:rPr>
        <w:t>溢</w:t>
      </w:r>
      <w:r>
        <w:rPr>
          <w:rFonts w:hint="eastAsia"/>
          <w:color w:val="000000" w:themeColor="text1"/>
          <w14:textFill>
            <w14:solidFill>
              <w14:schemeClr w14:val="tx1"/>
            </w14:solidFill>
          </w14:textFill>
        </w:rPr>
        <w:t>油会从围油栏下部流走</w:t>
      </w:r>
      <w:r>
        <w:rPr>
          <w:rFonts w:hint="eastAsia"/>
          <w:color w:val="000000" w:themeColor="text1"/>
          <w:spacing w:val="-12"/>
          <w14:textFill>
            <w14:solidFill>
              <w14:schemeClr w14:val="tx1"/>
            </w14:solidFill>
          </w14:textFill>
        </w:rPr>
        <w:t>，</w:t>
      </w:r>
      <w:r>
        <w:rPr>
          <w:rFonts w:hint="eastAsia"/>
          <w:color w:val="000000" w:themeColor="text1"/>
          <w14:textFill>
            <w14:solidFill>
              <w14:schemeClr w14:val="tx1"/>
            </w14:solidFill>
          </w14:textFill>
        </w:rPr>
        <w:t>如果风力稍大</w:t>
      </w:r>
      <w:r>
        <w:rPr>
          <w:rFonts w:hint="eastAsia"/>
          <w:color w:val="000000" w:themeColor="text1"/>
          <w:spacing w:val="-12"/>
          <w14:textFill>
            <w14:solidFill>
              <w14:schemeClr w14:val="tx1"/>
            </w14:solidFill>
          </w14:textFill>
        </w:rPr>
        <w:t>，</w:t>
      </w:r>
      <w:r>
        <w:rPr>
          <w:rFonts w:hint="eastAsia"/>
          <w:color w:val="000000" w:themeColor="text1"/>
          <w14:textFill>
            <w14:solidFill>
              <w14:schemeClr w14:val="tx1"/>
            </w14:solidFill>
          </w14:textFill>
        </w:rPr>
        <w:t>也可能</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从倾斜的围油栏上部翻过流散。为此，采取下列处理方法：</w:t>
      </w:r>
    </w:p>
    <w:p w14:paraId="5F5E641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一旦在航道、锚地海域发生溢油事故，围控设备、清污设备要尽快到达溢油现场。</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视风和流速情况，能围则围，否则溢油扩散，给后续工作造成更大困难。</w:t>
      </w:r>
    </w:p>
    <w:p w14:paraId="1858BE19">
      <w:pPr>
        <w:ind w:firstLine="488"/>
        <w:rPr>
          <w:color w:val="000000" w:themeColor="text1"/>
          <w14:textFill>
            <w14:solidFill>
              <w14:schemeClr w14:val="tx1"/>
            </w14:solidFill>
          </w14:textFill>
        </w:rPr>
      </w:pPr>
      <w:r>
        <w:rPr>
          <w:rFonts w:hint="eastAsia"/>
          <w:color w:val="000000" w:themeColor="text1"/>
          <w:spacing w:val="2"/>
          <w14:textFill>
            <w14:solidFill>
              <w14:schemeClr w14:val="tx1"/>
            </w14:solidFill>
          </w14:textFill>
        </w:rPr>
        <w:t>用浮</w:t>
      </w:r>
      <w:r>
        <w:rPr>
          <w:rFonts w:hint="eastAsia"/>
          <w:color w:val="000000" w:themeColor="text1"/>
          <w14:textFill>
            <w14:solidFill>
              <w14:schemeClr w14:val="tx1"/>
            </w14:solidFill>
          </w14:textFill>
        </w:rPr>
        <w:t>油</w:t>
      </w:r>
      <w:r>
        <w:rPr>
          <w:rFonts w:hint="eastAsia"/>
          <w:color w:val="000000" w:themeColor="text1"/>
          <w:spacing w:val="2"/>
          <w14:textFill>
            <w14:solidFill>
              <w14:schemeClr w14:val="tx1"/>
            </w14:solidFill>
          </w14:textFill>
        </w:rPr>
        <w:t>回</w:t>
      </w:r>
      <w:r>
        <w:rPr>
          <w:rFonts w:hint="eastAsia"/>
          <w:color w:val="000000" w:themeColor="text1"/>
          <w14:textFill>
            <w14:solidFill>
              <w14:schemeClr w14:val="tx1"/>
            </w14:solidFill>
          </w14:textFill>
        </w:rPr>
        <w:t>收</w:t>
      </w:r>
      <w:r>
        <w:rPr>
          <w:rFonts w:hint="eastAsia"/>
          <w:color w:val="000000" w:themeColor="text1"/>
          <w:spacing w:val="2"/>
          <w14:textFill>
            <w14:solidFill>
              <w14:schemeClr w14:val="tx1"/>
            </w14:solidFill>
          </w14:textFill>
        </w:rPr>
        <w:t>船</w:t>
      </w:r>
      <w:r>
        <w:rPr>
          <w:rFonts w:hint="eastAsia"/>
          <w:color w:val="000000" w:themeColor="text1"/>
          <w14:textFill>
            <w14:solidFill>
              <w14:schemeClr w14:val="tx1"/>
            </w14:solidFill>
          </w14:textFill>
        </w:rPr>
        <w:t>、</w:t>
      </w:r>
      <w:r>
        <w:rPr>
          <w:rFonts w:hint="eastAsia"/>
          <w:color w:val="000000" w:themeColor="text1"/>
          <w:spacing w:val="2"/>
          <w14:textFill>
            <w14:solidFill>
              <w14:schemeClr w14:val="tx1"/>
            </w14:solidFill>
          </w14:textFill>
        </w:rPr>
        <w:t>围油</w:t>
      </w:r>
      <w:r>
        <w:rPr>
          <w:rFonts w:hint="eastAsia"/>
          <w:color w:val="000000" w:themeColor="text1"/>
          <w14:textFill>
            <w14:solidFill>
              <w14:schemeClr w14:val="tx1"/>
            </w14:solidFill>
          </w14:textFill>
        </w:rPr>
        <w:t>栏</w:t>
      </w:r>
      <w:r>
        <w:rPr>
          <w:rFonts w:hint="eastAsia"/>
          <w:color w:val="000000" w:themeColor="text1"/>
          <w:spacing w:val="2"/>
          <w14:textFill>
            <w14:solidFill>
              <w14:schemeClr w14:val="tx1"/>
            </w14:solidFill>
          </w14:textFill>
        </w:rPr>
        <w:t>布放</w:t>
      </w:r>
      <w:r>
        <w:rPr>
          <w:rFonts w:hint="eastAsia"/>
          <w:color w:val="000000" w:themeColor="text1"/>
          <w14:textFill>
            <w14:solidFill>
              <w14:schemeClr w14:val="tx1"/>
            </w14:solidFill>
          </w14:textFill>
        </w:rPr>
        <w:t>艇</w:t>
      </w:r>
      <w:r>
        <w:rPr>
          <w:rFonts w:hint="eastAsia"/>
          <w:color w:val="000000" w:themeColor="text1"/>
          <w:spacing w:val="2"/>
          <w14:textFill>
            <w14:solidFill>
              <w14:schemeClr w14:val="tx1"/>
            </w14:solidFill>
          </w14:textFill>
        </w:rPr>
        <w:t>拖</w:t>
      </w:r>
      <w:r>
        <w:rPr>
          <w:rFonts w:hint="eastAsia"/>
          <w:color w:val="000000" w:themeColor="text1"/>
          <w14:textFill>
            <w14:solidFill>
              <w14:schemeClr w14:val="tx1"/>
            </w14:solidFill>
          </w14:textFill>
        </w:rPr>
        <w:t>带</w:t>
      </w:r>
      <w:r>
        <w:rPr>
          <w:rFonts w:hint="eastAsia"/>
          <w:color w:val="000000" w:themeColor="text1"/>
          <w:spacing w:val="2"/>
          <w14:textFill>
            <w14:solidFill>
              <w14:schemeClr w14:val="tx1"/>
            </w14:solidFill>
          </w14:textFill>
        </w:rPr>
        <w:t>导</w:t>
      </w:r>
      <w:r>
        <w:rPr>
          <w:rFonts w:hint="eastAsia"/>
          <w:color w:val="000000" w:themeColor="text1"/>
          <w14:textFill>
            <w14:solidFill>
              <w14:schemeClr w14:val="tx1"/>
            </w14:solidFill>
          </w14:textFill>
        </w:rPr>
        <w:t>流</w:t>
      </w:r>
      <w:r>
        <w:rPr>
          <w:rFonts w:hint="eastAsia"/>
          <w:color w:val="000000" w:themeColor="text1"/>
          <w:spacing w:val="2"/>
          <w14:textFill>
            <w14:solidFill>
              <w14:schemeClr w14:val="tx1"/>
            </w14:solidFill>
          </w14:textFill>
        </w:rPr>
        <w:t>型围</w:t>
      </w:r>
      <w:r>
        <w:rPr>
          <w:rFonts w:hint="eastAsia"/>
          <w:color w:val="000000" w:themeColor="text1"/>
          <w14:textFill>
            <w14:solidFill>
              <w14:schemeClr w14:val="tx1"/>
            </w14:solidFill>
          </w14:textFill>
        </w:rPr>
        <w:t>油</w:t>
      </w:r>
      <w:r>
        <w:rPr>
          <w:rFonts w:hint="eastAsia"/>
          <w:color w:val="000000" w:themeColor="text1"/>
          <w:spacing w:val="2"/>
          <w14:textFill>
            <w14:solidFill>
              <w14:schemeClr w14:val="tx1"/>
            </w14:solidFill>
          </w14:textFill>
        </w:rPr>
        <w:t>栏组</w:t>
      </w:r>
      <w:r>
        <w:rPr>
          <w:rFonts w:hint="eastAsia"/>
          <w:color w:val="000000" w:themeColor="text1"/>
          <w:spacing w:val="7"/>
          <w14:textFill>
            <w14:solidFill>
              <w14:schemeClr w14:val="tx1"/>
            </w14:solidFill>
          </w14:textFill>
        </w:rPr>
        <w:t>成</w:t>
      </w:r>
      <w:r>
        <w:rPr>
          <w:color w:val="000000" w:themeColor="text1"/>
          <w:spacing w:val="-1"/>
          <w14:textFill>
            <w14:solidFill>
              <w14:schemeClr w14:val="tx1"/>
            </w14:solidFill>
          </w14:textFill>
        </w:rPr>
        <w:t>“</w:t>
      </w:r>
      <w:r>
        <w:rPr>
          <w:color w:val="000000" w:themeColor="text1"/>
          <w14:textFill>
            <w14:solidFill>
              <w14:schemeClr w14:val="tx1"/>
            </w14:solidFill>
          </w14:textFill>
        </w:rPr>
        <w:t>V</w:t>
      </w:r>
      <w:r>
        <w:rPr>
          <w:color w:val="000000" w:themeColor="text1"/>
          <w:spacing w:val="1"/>
          <w14:textFill>
            <w14:solidFill>
              <w14:schemeClr w14:val="tx1"/>
            </w14:solidFill>
          </w14:textFill>
        </w:rPr>
        <w:t>”</w:t>
      </w:r>
      <w:r>
        <w:rPr>
          <w:rFonts w:hint="eastAsia"/>
          <w:color w:val="000000" w:themeColor="text1"/>
          <w14:textFill>
            <w14:solidFill>
              <w14:schemeClr w14:val="tx1"/>
            </w14:solidFill>
          </w14:textFill>
        </w:rPr>
        <w:t>字</w:t>
      </w:r>
      <w:r>
        <w:rPr>
          <w:rFonts w:hint="eastAsia"/>
          <w:color w:val="000000" w:themeColor="text1"/>
          <w:spacing w:val="2"/>
          <w14:textFill>
            <w14:solidFill>
              <w14:schemeClr w14:val="tx1"/>
            </w14:solidFill>
          </w14:textFill>
        </w:rPr>
        <w:t>型</w:t>
      </w:r>
      <w:r>
        <w:rPr>
          <w:rFonts w:hint="eastAsia"/>
          <w:color w:val="000000" w:themeColor="text1"/>
          <w14:textFill>
            <w14:solidFill>
              <w14:schemeClr w14:val="tx1"/>
            </w14:solidFill>
          </w14:textFill>
        </w:rPr>
        <w:t>高</w:t>
      </w:r>
      <w:r>
        <w:rPr>
          <w:rFonts w:hint="eastAsia"/>
          <w:color w:val="000000" w:themeColor="text1"/>
          <w:spacing w:val="2"/>
          <w14:textFill>
            <w14:solidFill>
              <w14:schemeClr w14:val="tx1"/>
            </w14:solidFill>
          </w14:textFill>
        </w:rPr>
        <w:t>效</w:t>
      </w:r>
      <w:r>
        <w:rPr>
          <w:rFonts w:hint="eastAsia"/>
          <w:color w:val="000000" w:themeColor="text1"/>
          <w14:textFill>
            <w14:solidFill>
              <w14:schemeClr w14:val="tx1"/>
            </w14:solidFill>
          </w14:textFill>
        </w:rPr>
        <w:t>应</w:t>
      </w:r>
      <w:r>
        <w:rPr>
          <w:rFonts w:hint="eastAsia"/>
          <w:color w:val="000000" w:themeColor="text1"/>
          <w:spacing w:val="2"/>
          <w14:textFill>
            <w14:solidFill>
              <w14:schemeClr w14:val="tx1"/>
            </w14:solidFill>
          </w14:textFill>
        </w:rPr>
        <w:t>急组</w:t>
      </w:r>
      <w:r>
        <w:rPr>
          <w:rFonts w:hint="eastAsia"/>
          <w:color w:val="000000" w:themeColor="text1"/>
          <w14:textFill>
            <w14:solidFill>
              <w14:schemeClr w14:val="tx1"/>
            </w14:solidFill>
          </w14:textFill>
        </w:rPr>
        <w:t>合</w:t>
      </w:r>
      <w:r>
        <w:rPr>
          <w:rFonts w:hint="eastAsia"/>
          <w:color w:val="000000" w:themeColor="text1"/>
          <w:spacing w:val="2"/>
          <w14:textFill>
            <w14:solidFill>
              <w14:schemeClr w14:val="tx1"/>
            </w14:solidFill>
          </w14:textFill>
        </w:rPr>
        <w:t>，在</w:t>
      </w:r>
      <w:r>
        <w:rPr>
          <w:rFonts w:hint="eastAsia"/>
          <w:color w:val="000000" w:themeColor="text1"/>
          <w14:textFill>
            <w14:solidFill>
              <w14:schemeClr w14:val="tx1"/>
            </w14:solidFill>
          </w14:textFill>
        </w:rPr>
        <w:t>溢</w:t>
      </w:r>
      <w:r>
        <w:rPr>
          <w:color w:val="000000" w:themeColor="text1"/>
          <w14:textFill>
            <w14:solidFill>
              <w14:schemeClr w14:val="tx1"/>
            </w14:solidFill>
          </w14:textFill>
        </w:rPr>
        <w:t xml:space="preserve"> </w:t>
      </w:r>
      <w:r>
        <w:rPr>
          <w:rFonts w:hint="eastAsia"/>
          <w:color w:val="000000" w:themeColor="text1"/>
          <w:spacing w:val="2"/>
          <w14:textFill>
            <w14:solidFill>
              <w14:schemeClr w14:val="tx1"/>
            </w14:solidFill>
          </w14:textFill>
        </w:rPr>
        <w:t>油流</w:t>
      </w:r>
      <w:r>
        <w:rPr>
          <w:rFonts w:hint="eastAsia"/>
          <w:color w:val="000000" w:themeColor="text1"/>
          <w14:textFill>
            <w14:solidFill>
              <w14:schemeClr w14:val="tx1"/>
            </w14:solidFill>
          </w14:textFill>
        </w:rPr>
        <w:t>向</w:t>
      </w:r>
      <w:r>
        <w:rPr>
          <w:rFonts w:hint="eastAsia"/>
          <w:color w:val="000000" w:themeColor="text1"/>
          <w:spacing w:val="2"/>
          <w14:textFill>
            <w14:solidFill>
              <w14:schemeClr w14:val="tx1"/>
            </w14:solidFill>
          </w14:textFill>
        </w:rPr>
        <w:t>的</w:t>
      </w:r>
      <w:r>
        <w:rPr>
          <w:rFonts w:hint="eastAsia"/>
          <w:color w:val="000000" w:themeColor="text1"/>
          <w14:textFill>
            <w14:solidFill>
              <w14:schemeClr w14:val="tx1"/>
            </w14:solidFill>
          </w14:textFill>
        </w:rPr>
        <w:t>下</w:t>
      </w:r>
      <w:r>
        <w:rPr>
          <w:rFonts w:hint="eastAsia"/>
          <w:color w:val="000000" w:themeColor="text1"/>
          <w:spacing w:val="2"/>
          <w14:textFill>
            <w14:solidFill>
              <w14:schemeClr w14:val="tx1"/>
            </w14:solidFill>
          </w14:textFill>
        </w:rPr>
        <w:t>风</w:t>
      </w:r>
      <w:r>
        <w:rPr>
          <w:rFonts w:hint="eastAsia"/>
          <w:color w:val="000000" w:themeColor="text1"/>
          <w14:textFill>
            <w14:solidFill>
              <w14:schemeClr w14:val="tx1"/>
            </w14:solidFill>
          </w14:textFill>
        </w:rPr>
        <w:t>向</w:t>
      </w:r>
      <w:r>
        <w:rPr>
          <w:rFonts w:hint="eastAsia"/>
          <w:color w:val="000000" w:themeColor="text1"/>
          <w:spacing w:val="2"/>
          <w14:textFill>
            <w14:solidFill>
              <w14:schemeClr w14:val="tx1"/>
            </w14:solidFill>
          </w14:textFill>
        </w:rPr>
        <w:t>，</w:t>
      </w:r>
      <w:r>
        <w:rPr>
          <w:rFonts w:hint="eastAsia"/>
          <w:color w:val="000000" w:themeColor="text1"/>
          <w14:textFill>
            <w14:solidFill>
              <w14:schemeClr w14:val="tx1"/>
            </w14:solidFill>
          </w14:textFill>
        </w:rPr>
        <w:t>迎着</w:t>
      </w:r>
      <w:r>
        <w:rPr>
          <w:rFonts w:hint="eastAsia"/>
          <w:color w:val="000000" w:themeColor="text1"/>
          <w:spacing w:val="2"/>
          <w14:textFill>
            <w14:solidFill>
              <w14:schemeClr w14:val="tx1"/>
            </w14:solidFill>
          </w14:textFill>
        </w:rPr>
        <w:t>回收</w:t>
      </w:r>
      <w:r>
        <w:rPr>
          <w:rFonts w:hint="eastAsia"/>
          <w:color w:val="000000" w:themeColor="text1"/>
          <w14:textFill>
            <w14:solidFill>
              <w14:schemeClr w14:val="tx1"/>
            </w14:solidFill>
          </w14:textFill>
        </w:rPr>
        <w:t>。</w:t>
      </w:r>
      <w:r>
        <w:rPr>
          <w:rFonts w:hint="eastAsia"/>
          <w:color w:val="000000" w:themeColor="text1"/>
          <w:spacing w:val="2"/>
          <w14:textFill>
            <w14:solidFill>
              <w14:schemeClr w14:val="tx1"/>
            </w14:solidFill>
          </w14:textFill>
        </w:rPr>
        <w:t>并</w:t>
      </w:r>
      <w:r>
        <w:rPr>
          <w:rFonts w:hint="eastAsia"/>
          <w:color w:val="000000" w:themeColor="text1"/>
          <w14:textFill>
            <w14:solidFill>
              <w14:schemeClr w14:val="tx1"/>
            </w14:solidFill>
          </w14:textFill>
        </w:rPr>
        <w:t>随</w:t>
      </w:r>
      <w:r>
        <w:rPr>
          <w:rFonts w:hint="eastAsia"/>
          <w:color w:val="000000" w:themeColor="text1"/>
          <w:spacing w:val="2"/>
          <w14:textFill>
            <w14:solidFill>
              <w14:schemeClr w14:val="tx1"/>
            </w14:solidFill>
          </w14:textFill>
        </w:rPr>
        <w:t>时</w:t>
      </w:r>
      <w:r>
        <w:rPr>
          <w:rFonts w:hint="eastAsia"/>
          <w:color w:val="000000" w:themeColor="text1"/>
          <w14:textFill>
            <w14:solidFill>
              <w14:schemeClr w14:val="tx1"/>
            </w14:solidFill>
          </w14:textFill>
        </w:rPr>
        <w:t>调</w:t>
      </w:r>
      <w:r>
        <w:rPr>
          <w:rFonts w:hint="eastAsia"/>
          <w:color w:val="000000" w:themeColor="text1"/>
          <w:spacing w:val="5"/>
          <w14:textFill>
            <w14:solidFill>
              <w14:schemeClr w14:val="tx1"/>
            </w14:solidFill>
          </w14:textFill>
        </w:rPr>
        <w:t>整</w:t>
      </w:r>
      <w:r>
        <w:rPr>
          <w:color w:val="000000" w:themeColor="text1"/>
          <w:spacing w:val="-1"/>
          <w14:textFill>
            <w14:solidFill>
              <w14:schemeClr w14:val="tx1"/>
            </w14:solidFill>
          </w14:textFill>
        </w:rPr>
        <w:t>“</w:t>
      </w:r>
      <w:r>
        <w:rPr>
          <w:color w:val="000000" w:themeColor="text1"/>
          <w14:textFill>
            <w14:solidFill>
              <w14:schemeClr w14:val="tx1"/>
            </w14:solidFill>
          </w14:textFill>
        </w:rPr>
        <w:t>V</w:t>
      </w:r>
      <w:r>
        <w:rPr>
          <w:color w:val="000000" w:themeColor="text1"/>
          <w:spacing w:val="1"/>
          <w14:textFill>
            <w14:solidFill>
              <w14:schemeClr w14:val="tx1"/>
            </w14:solidFill>
          </w14:textFill>
        </w:rPr>
        <w:t>”</w:t>
      </w:r>
      <w:r>
        <w:rPr>
          <w:rFonts w:hint="eastAsia"/>
          <w:color w:val="000000" w:themeColor="text1"/>
          <w:spacing w:val="2"/>
          <w14:textFill>
            <w14:solidFill>
              <w14:schemeClr w14:val="tx1"/>
            </w14:solidFill>
          </w14:textFill>
        </w:rPr>
        <w:t>的张</w:t>
      </w:r>
      <w:r>
        <w:rPr>
          <w:rFonts w:hint="eastAsia"/>
          <w:color w:val="000000" w:themeColor="text1"/>
          <w14:textFill>
            <w14:solidFill>
              <w14:schemeClr w14:val="tx1"/>
            </w14:solidFill>
          </w14:textFill>
        </w:rPr>
        <w:t>口</w:t>
      </w:r>
      <w:r>
        <w:rPr>
          <w:rFonts w:hint="eastAsia"/>
          <w:color w:val="000000" w:themeColor="text1"/>
          <w:spacing w:val="2"/>
          <w14:textFill>
            <w14:solidFill>
              <w14:schemeClr w14:val="tx1"/>
            </w14:solidFill>
          </w14:textFill>
        </w:rPr>
        <w:t>或</w:t>
      </w:r>
      <w:r>
        <w:rPr>
          <w:rFonts w:hint="eastAsia"/>
          <w:color w:val="000000" w:themeColor="text1"/>
          <w14:textFill>
            <w14:solidFill>
              <w14:schemeClr w14:val="tx1"/>
            </w14:solidFill>
          </w14:textFill>
        </w:rPr>
        <w:t>进</w:t>
      </w:r>
      <w:r>
        <w:rPr>
          <w:rFonts w:hint="eastAsia"/>
          <w:color w:val="000000" w:themeColor="text1"/>
          <w:spacing w:val="2"/>
          <w14:textFill>
            <w14:solidFill>
              <w14:schemeClr w14:val="tx1"/>
            </w14:solidFill>
          </w14:textFill>
        </w:rPr>
        <w:t>行</w:t>
      </w:r>
      <w:r>
        <w:rPr>
          <w:rFonts w:hint="eastAsia"/>
          <w:color w:val="000000" w:themeColor="text1"/>
          <w14:textFill>
            <w14:solidFill>
              <w14:schemeClr w14:val="tx1"/>
            </w14:solidFill>
          </w14:textFill>
        </w:rPr>
        <w:t>流</w:t>
      </w:r>
      <w:r>
        <w:rPr>
          <w:rFonts w:hint="eastAsia"/>
          <w:color w:val="000000" w:themeColor="text1"/>
          <w:spacing w:val="2"/>
          <w14:textFill>
            <w14:solidFill>
              <w14:schemeClr w14:val="tx1"/>
            </w14:solidFill>
          </w14:textFill>
        </w:rPr>
        <w:t>动</w:t>
      </w:r>
      <w:r>
        <w:rPr>
          <w:rFonts w:hint="eastAsia"/>
          <w:color w:val="000000" w:themeColor="text1"/>
          <w14:textFill>
            <w14:solidFill>
              <w14:schemeClr w14:val="tx1"/>
            </w14:solidFill>
          </w14:textFill>
        </w:rPr>
        <w:t>回收</w:t>
      </w:r>
      <w:r>
        <w:rPr>
          <w:rFonts w:hint="eastAsia"/>
          <w:color w:val="000000" w:themeColor="text1"/>
          <w:spacing w:val="2"/>
          <w14:textFill>
            <w14:solidFill>
              <w14:schemeClr w14:val="tx1"/>
            </w14:solidFill>
          </w14:textFill>
        </w:rPr>
        <w:t>，哪</w:t>
      </w:r>
      <w:r>
        <w:rPr>
          <w:rFonts w:hint="eastAsia"/>
          <w:color w:val="000000" w:themeColor="text1"/>
          <w14:textFill>
            <w14:solidFill>
              <w14:schemeClr w14:val="tx1"/>
            </w14:solidFill>
          </w14:textFill>
        </w:rPr>
        <w:t>里</w:t>
      </w:r>
      <w:r>
        <w:rPr>
          <w:rFonts w:hint="eastAsia"/>
          <w:color w:val="000000" w:themeColor="text1"/>
          <w:spacing w:val="2"/>
          <w14:textFill>
            <w14:solidFill>
              <w14:schemeClr w14:val="tx1"/>
            </w14:solidFill>
          </w14:textFill>
        </w:rPr>
        <w:t>有</w:t>
      </w:r>
      <w:r>
        <w:rPr>
          <w:rFonts w:hint="eastAsia"/>
          <w:color w:val="000000" w:themeColor="text1"/>
          <w14:textFill>
            <w14:solidFill>
              <w14:schemeClr w14:val="tx1"/>
            </w14:solidFill>
          </w14:textFill>
        </w:rPr>
        <w:t>油</w:t>
      </w:r>
      <w:r>
        <w:rPr>
          <w:rFonts w:hint="eastAsia"/>
          <w:color w:val="000000" w:themeColor="text1"/>
          <w:spacing w:val="2"/>
          <w14:textFill>
            <w14:solidFill>
              <w14:schemeClr w14:val="tx1"/>
            </w14:solidFill>
          </w14:textFill>
        </w:rPr>
        <w:t>污带</w:t>
      </w:r>
      <w:r>
        <w:rPr>
          <w:rFonts w:hint="eastAsia"/>
          <w:color w:val="000000" w:themeColor="text1"/>
          <w14:textFill>
            <w14:solidFill>
              <w14:schemeClr w14:val="tx1"/>
            </w14:solidFill>
          </w14:textFill>
        </w:rPr>
        <w:t>就</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在哪里回收。</w:t>
      </w:r>
    </w:p>
    <w:p w14:paraId="54AB4BC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迅速调动其他或社会清污能力予以支援</w:t>
      </w:r>
      <w:r>
        <w:rPr>
          <w:rFonts w:hint="eastAsia"/>
          <w:color w:val="000000" w:themeColor="text1"/>
          <w:spacing w:val="-22"/>
          <w14:textFill>
            <w14:solidFill>
              <w14:schemeClr w14:val="tx1"/>
            </w14:solidFill>
          </w14:textFill>
        </w:rPr>
        <w:t>，</w:t>
      </w:r>
      <w:r>
        <w:rPr>
          <w:rFonts w:hint="eastAsia"/>
          <w:color w:val="000000" w:themeColor="text1"/>
          <w14:textFill>
            <w14:solidFill>
              <w14:schemeClr w14:val="tx1"/>
            </w14:solidFill>
          </w14:textFill>
        </w:rPr>
        <w:t>组织另一</w:t>
      </w:r>
      <w:r>
        <w:rPr>
          <w:rFonts w:hint="eastAsia"/>
          <w:color w:val="000000" w:themeColor="text1"/>
          <w:spacing w:val="1"/>
          <w14:textFill>
            <w14:solidFill>
              <w14:schemeClr w14:val="tx1"/>
            </w14:solidFill>
          </w14:textFill>
        </w:rPr>
        <w:t>组</w:t>
      </w:r>
      <w:r>
        <w:rPr>
          <w:color w:val="000000" w:themeColor="text1"/>
          <w:spacing w:val="-1"/>
          <w14:textFill>
            <w14:solidFill>
              <w14:schemeClr w14:val="tx1"/>
            </w14:solidFill>
          </w14:textFill>
        </w:rPr>
        <w:t>“</w:t>
      </w:r>
      <w:r>
        <w:rPr>
          <w:rFonts w:hint="eastAsia"/>
          <w:color w:val="000000" w:themeColor="text1"/>
          <w14:textFill>
            <w14:solidFill>
              <w14:schemeClr w14:val="tx1"/>
            </w14:solidFill>
          </w14:textFill>
        </w:rPr>
        <w:t>高效应急组合</w:t>
      </w:r>
      <w:r>
        <w:rPr>
          <w:color w:val="000000" w:themeColor="text1"/>
          <w:spacing w:val="1"/>
          <w14:textFill>
            <w14:solidFill>
              <w14:schemeClr w14:val="tx1"/>
            </w14:solidFill>
          </w14:textFill>
        </w:rPr>
        <w:t>”</w:t>
      </w:r>
      <w:r>
        <w:rPr>
          <w:rFonts w:hint="eastAsia"/>
          <w:color w:val="000000" w:themeColor="text1"/>
          <w14:textFill>
            <w14:solidFill>
              <w14:schemeClr w14:val="tx1"/>
            </w14:solidFill>
          </w14:textFill>
        </w:rPr>
        <w:t>第二防线的回</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收作业，而后才组织其他清污处置。</w:t>
      </w:r>
    </w:p>
    <w:p w14:paraId="5E62174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吸油材料进行吸附回收，慎用分散剂</w:t>
      </w:r>
      <w:r>
        <w:rPr>
          <w:rFonts w:hint="eastAsia"/>
          <w:color w:val="000000" w:themeColor="text1"/>
          <w:spacing w:val="1"/>
          <w14:textFill>
            <w14:solidFill>
              <w14:schemeClr w14:val="tx1"/>
            </w14:solidFill>
          </w14:textFill>
        </w:rPr>
        <w:t>，</w:t>
      </w:r>
      <w:r>
        <w:rPr>
          <w:rFonts w:hint="eastAsia"/>
          <w:color w:val="000000" w:themeColor="text1"/>
          <w14:textFill>
            <w14:solidFill>
              <w14:schemeClr w14:val="tx1"/>
            </w14:solidFill>
          </w14:textFill>
        </w:rPr>
        <w:t>确保周围保护区不受二次污染。</w:t>
      </w:r>
    </w:p>
    <w:p w14:paraId="71EA91D8">
      <w:pPr>
        <w:pStyle w:val="13"/>
        <w:rPr>
          <w:color w:val="000000" w:themeColor="text1"/>
          <w14:textFill>
            <w14:solidFill>
              <w14:schemeClr w14:val="tx1"/>
            </w14:solidFill>
          </w14:textFill>
        </w:rPr>
      </w:pPr>
    </w:p>
    <w:p w14:paraId="69A5A33C">
      <w:pPr>
        <w:ind w:firstLine="482"/>
        <w:rPr>
          <w:b/>
          <w:bCs/>
          <w:color w:val="000000" w:themeColor="text1"/>
          <w:u w:val="single"/>
          <w14:textFill>
            <w14:solidFill>
              <w14:schemeClr w14:val="tx1"/>
            </w14:solidFill>
          </w14:textFill>
        </w:rPr>
      </w:pPr>
      <w:r>
        <w:rPr>
          <w:rFonts w:hint="eastAsia"/>
          <w:b/>
          <w:bCs/>
          <w:color w:val="000000" w:themeColor="text1"/>
          <w:u w:val="single"/>
          <w14:textFill>
            <w14:solidFill>
              <w14:schemeClr w14:val="tx1"/>
            </w14:solidFill>
          </w14:textFill>
        </w:rPr>
        <w:t>（4）上述措施依托可行性</w:t>
      </w:r>
    </w:p>
    <w:p w14:paraId="2DA277B7">
      <w:pPr>
        <w:ind w:firstLine="480"/>
        <w:rPr>
          <w:color w:val="000000" w:themeColor="text1"/>
          <w:u w:val="single"/>
          <w14:textFill>
            <w14:solidFill>
              <w14:schemeClr w14:val="tx1"/>
            </w14:solidFill>
          </w14:textFill>
        </w:rPr>
      </w:pPr>
      <w:r>
        <w:rPr>
          <w:rFonts w:hint="eastAsia" w:cs="宋体"/>
          <w:color w:val="000000" w:themeColor="text1"/>
          <w:kern w:val="0"/>
          <w:u w:val="single"/>
          <w:lang w:bidi="ar"/>
          <w14:textFill>
            <w14:solidFill>
              <w14:schemeClr w14:val="tx1"/>
            </w14:solidFill>
          </w14:textFill>
        </w:rPr>
        <w:t>项目在现有码头上增加货种，每次作业时仅停靠一艘船，一个货种作业，完全与现状一样，现有陆域风险管理措施完全满足拟建项目运行时的需求。</w:t>
      </w:r>
    </w:p>
    <w:p w14:paraId="753E4CD0">
      <w:pPr>
        <w:pStyle w:val="4"/>
        <w:rPr>
          <w:color w:val="000000" w:themeColor="text1"/>
          <w:u w:val="single"/>
          <w14:textFill>
            <w14:solidFill>
              <w14:schemeClr w14:val="tx1"/>
            </w14:solidFill>
          </w14:textFill>
        </w:rPr>
      </w:pPr>
      <w:r>
        <w:rPr>
          <w:color w:val="000000" w:themeColor="text1"/>
          <w:u w:val="single"/>
          <w14:textFill>
            <w14:solidFill>
              <w14:schemeClr w14:val="tx1"/>
            </w14:solidFill>
          </w14:textFill>
        </w:rPr>
        <w:t>风险应急预案</w:t>
      </w:r>
    </w:p>
    <w:p w14:paraId="5736D7BC">
      <w:pPr>
        <w:pStyle w:val="13"/>
        <w:spacing w:line="360" w:lineRule="auto"/>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1）项目已编制了《广西自贸区逸海港务有限责任公司突发环境事件应急预案》并备案（备案编号：450702-2025-0036-H）；《钦州港金谷港区金鼓江作业区14号泊位工程船舶污染海洋环境风险评价报告》并获得审查意见（桂海危防函〔2025〕142号）。</w:t>
      </w:r>
      <w:r>
        <w:rPr>
          <w:rFonts w:hint="eastAsia"/>
          <w:color w:val="000000" w:themeColor="text1"/>
          <w:sz w:val="24"/>
          <w:u w:val="single"/>
          <w14:textFill>
            <w14:solidFill>
              <w14:schemeClr w14:val="tx1"/>
            </w14:solidFill>
          </w14:textFill>
        </w:rPr>
        <w:t>拟建项目后续需根据建设内容、建设单位内部管理规定等特征，</w:t>
      </w:r>
      <w:r>
        <w:rPr>
          <w:color w:val="000000" w:themeColor="text1"/>
          <w:sz w:val="24"/>
          <w:u w:val="single"/>
          <w14:textFill>
            <w14:solidFill>
              <w14:schemeClr w14:val="tx1"/>
            </w14:solidFill>
          </w14:textFill>
        </w:rPr>
        <w:t xml:space="preserve"> 在投入运营前，修订完善现有的环境风险应急预案并进行报备。</w:t>
      </w:r>
    </w:p>
    <w:p w14:paraId="484B1D2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（2）项目于陆域厂区东北侧设置初期雨水池、事故应急池各1座，有效容积分别为850m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、6400m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。同时，在码头作业平台装卸区设置围堰（长宽高：29.5m×13.3m×0.2m，有效容积78m3），围堰内设置集污池（有效容积2m3）；在液氨储罐区设置围堰，高0.4m，围堰区面积1736.55m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，有效容积（含与围堰连通的储液池）7072m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14:paraId="57688C3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（3）码头后方罐区、初期雨水池、事故应急池等重点防渗区域设置防渗涂层；在码头作业区设置围堰和导流设施；危废暂存间采用一体化设备房，设置防渗托盘。</w:t>
      </w:r>
    </w:p>
    <w:p w14:paraId="08167D8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项目于陆域厂区南部、引桥旁设置应急物资库1座。应急物资库按照《钦州港金谷港区金鼓江作业区14号泊位工程船舶污染海洋环境风险评价报告》（广西海事局出具审查意见，桂海危防函〔2025〕142号）中的规定进行环境风险应急物资储备。</w:t>
      </w:r>
    </w:p>
    <w:p w14:paraId="7A3F32F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项目在码头操作区域设置有毒及可燃气体监测仪、紧急阀门，每隔一定距离设置火灾报警按钮。码头前方装卸平台上设置一体化防爆摄像机，在陆域消防控制室设置监视器。同时，在码头外侧设置溢油报警、检测器，并在水域设置1段640m长度的永久布放型围油栏，作为防溢油设施将码头区域包围，有效减少事故状态下的污染物外溢。</w:t>
      </w:r>
    </w:p>
    <w:p w14:paraId="147432E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（6）项目在现场设置警示牌及操作流程告示牌，制定相关巡检制度定期对储罐进行检查。</w:t>
      </w:r>
    </w:p>
    <w:p w14:paraId="6FD8DAB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（7）项目在现有码头上新增货种，每次仅停靠一条船，进行单一货种装卸，现有的风险措施及预案，完全满足项目要求。</w:t>
      </w:r>
    </w:p>
    <w:p w14:paraId="3CC24BE1">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区域应急设施</w:t>
      </w:r>
    </w:p>
    <w:p w14:paraId="269A4C90">
      <w:pPr>
        <w:pStyle w:val="4"/>
        <w:rPr>
          <w:rFonts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 xml:space="preserve"> </w:t>
      </w:r>
      <w:r>
        <w:rPr>
          <w:rFonts w:eastAsia="宋体"/>
          <w:color w:val="000000" w:themeColor="text1"/>
          <w14:textFill>
            <w14:solidFill>
              <w14:schemeClr w14:val="tx1"/>
            </w14:solidFill>
          </w14:textFill>
        </w:rPr>
        <w:t>船舶污染应急资源</w:t>
      </w:r>
    </w:p>
    <w:p w14:paraId="2DF4B7C7">
      <w:pPr>
        <w:ind w:firstLine="480"/>
        <w:rPr>
          <w:color w:val="000000" w:themeColor="text1"/>
          <w14:textFill>
            <w14:solidFill>
              <w14:schemeClr w14:val="tx1"/>
            </w14:solidFill>
          </w14:textFill>
        </w:rPr>
      </w:pPr>
      <w:r>
        <w:rPr>
          <w:color w:val="000000" w:themeColor="text1"/>
          <w14:textFill>
            <w14:solidFill>
              <w14:schemeClr w14:val="tx1"/>
            </w14:solidFill>
          </w14:textFill>
        </w:rPr>
        <w:t>钦州市现有船舶污染应急资源主要由钦州溢油应急设备库、船舶污染清除作业单位和港口企业建设的应急设备库组成。根据广西海事局统计资料，钦州市现有应急资源主要包括浮油回收船6艘、辅助船舶18艘、围油栏28250</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、收油机21台、清洗机12台、喷洒装置29台、应急卸载泵5台、临时储存装置4603</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、吸油毡53</w:t>
      </w:r>
      <w:r>
        <w:rPr>
          <w:rFonts w:hint="eastAsia"/>
          <w:color w:val="000000" w:themeColor="text1"/>
          <w14:textFill>
            <w14:solidFill>
              <w14:schemeClr w14:val="tx1"/>
            </w14:solidFill>
          </w14:textFill>
        </w:rPr>
        <w:t>t</w:t>
      </w:r>
      <w:r>
        <w:rPr>
          <w:color w:val="000000" w:themeColor="text1"/>
          <w14:textFill>
            <w14:solidFill>
              <w14:schemeClr w14:val="tx1"/>
            </w14:solidFill>
          </w14:textFill>
        </w:rPr>
        <w:t>、吸油拖栏12200</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和消油剂55</w:t>
      </w:r>
      <w:r>
        <w:rPr>
          <w:rFonts w:hint="eastAsia"/>
          <w:color w:val="000000" w:themeColor="text1"/>
          <w14:textFill>
            <w14:solidFill>
              <w14:schemeClr w14:val="tx1"/>
            </w14:solidFill>
          </w14:textFill>
        </w:rPr>
        <w:t>t。</w:t>
      </w:r>
    </w:p>
    <w:p w14:paraId="709A8D3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（1）钦州溢油应急设备库</w:t>
      </w:r>
    </w:p>
    <w:p w14:paraId="1F1D2F2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钦州溢油应急设备库是由交通运输部投资建设的国家中型应急设备库，按照一次综合溢油清除控制能力500t标准建设。</w:t>
      </w:r>
    </w:p>
    <w:p w14:paraId="5B898472">
      <w:pPr>
        <w:ind w:firstLine="480"/>
        <w:rPr>
          <w:color w:val="000000" w:themeColor="text1"/>
          <w14:textFill>
            <w14:solidFill>
              <w14:schemeClr w14:val="tx1"/>
            </w14:solidFill>
          </w14:textFill>
        </w:rPr>
      </w:pPr>
      <w:r>
        <w:rPr>
          <w:color w:val="000000" w:themeColor="text1"/>
          <w14:textFill>
            <w14:solidFill>
              <w14:schemeClr w14:val="tx1"/>
            </w14:solidFill>
          </w14:textFill>
        </w:rPr>
        <w:t>根据交通运输部《关于广西海事局钦州溢油应急设备库工程可行性研究报告的批复》（交规划发</w:t>
      </w:r>
      <w:r>
        <w:rPr>
          <w:rFonts w:hint="eastAsia"/>
          <w:color w:val="000000" w:themeColor="text1"/>
          <w14:textFill>
            <w14:solidFill>
              <w14:schemeClr w14:val="tx1"/>
            </w14:solidFill>
          </w14:textFill>
        </w:rPr>
        <w:t>〔2009〕507号</w:t>
      </w:r>
      <w:r>
        <w:rPr>
          <w:color w:val="000000" w:themeColor="text1"/>
          <w14:textFill>
            <w14:solidFill>
              <w14:schemeClr w14:val="tx1"/>
            </w14:solidFill>
          </w14:textFill>
        </w:rPr>
        <w:t>），设备库建设面积1000m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，设备操作训练场所2592m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，配备应急卸载、围控、回收、储运等应急设备（表</w:t>
      </w:r>
      <w:r>
        <w:rPr>
          <w:rFonts w:hint="eastAsia"/>
          <w:color w:val="000000" w:themeColor="text1"/>
          <w14:textFill>
            <w14:solidFill>
              <w14:schemeClr w14:val="tx1"/>
            </w14:solidFill>
          </w14:textFill>
        </w:rPr>
        <w:t>5.8-1</w:t>
      </w:r>
      <w:r>
        <w:rPr>
          <w:color w:val="000000" w:themeColor="text1"/>
          <w14:textFill>
            <w14:solidFill>
              <w14:schemeClr w14:val="tx1"/>
            </w14:solidFill>
          </w14:textFill>
        </w:rPr>
        <w:t>）总投资3300万元。该设备库位于钦州海巡基地（钦州港金谷港区勒沟作业区），地理位置有利于应急出海作业，相关设备设施已完成采购。</w:t>
      </w:r>
    </w:p>
    <w:p w14:paraId="55A6AA56">
      <w:pPr>
        <w:ind w:firstLine="480"/>
        <w:rPr>
          <w:color w:val="000000" w:themeColor="text1"/>
          <w14:textFill>
            <w14:solidFill>
              <w14:schemeClr w14:val="tx1"/>
            </w14:solidFill>
          </w14:textFill>
        </w:rPr>
      </w:pPr>
      <w:r>
        <w:rPr>
          <w:color w:val="000000" w:themeColor="text1"/>
          <w14:textFill>
            <w14:solidFill>
              <w14:schemeClr w14:val="tx1"/>
            </w14:solidFill>
          </w14:textFill>
        </w:rPr>
        <w:t>2012年4月，交通运输部投资6500万元建造的</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海巡1002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在钦州应急反应基地列编。</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海巡1002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主要用于广西沿海近岸海域船舶溢油事故的应急处置，包括溢油回收（回收舱舱容639</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，回收能力200</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h</w:t>
      </w:r>
      <w:r>
        <w:rPr>
          <w:color w:val="000000" w:themeColor="text1"/>
          <w14:textFill>
            <w14:solidFill>
              <w14:schemeClr w14:val="tx1"/>
            </w14:solidFill>
          </w14:textFill>
        </w:rPr>
        <w:t>）、临时储存、处理等，并兼顾溢油围控、消油剂喷洒、应急辅助卸载、溢油监视和重点污染源监护等功能。</w:t>
      </w:r>
    </w:p>
    <w:p w14:paraId="5F997B14">
      <w:pPr>
        <w:ind w:firstLine="480"/>
        <w:rPr>
          <w:color w:val="000000" w:themeColor="text1"/>
          <w14:textFill>
            <w14:solidFill>
              <w14:schemeClr w14:val="tx1"/>
            </w14:solidFill>
          </w14:textFill>
        </w:rPr>
      </w:pPr>
      <w:r>
        <w:rPr>
          <w:color w:val="000000" w:themeColor="text1"/>
          <w14:textFill>
            <w14:solidFill>
              <w14:schemeClr w14:val="tx1"/>
            </w14:solidFill>
          </w14:textFill>
        </w:rPr>
        <w:t>钦州市海事局已配备围油栏2600</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、收油机3台、吸油毡19</w:t>
      </w:r>
      <w:r>
        <w:rPr>
          <w:rFonts w:hint="eastAsia"/>
          <w:color w:val="000000" w:themeColor="text1"/>
          <w14:textFill>
            <w14:solidFill>
              <w14:schemeClr w14:val="tx1"/>
            </w14:solidFill>
          </w14:textFill>
        </w:rPr>
        <w:t>t</w:t>
      </w:r>
      <w:r>
        <w:rPr>
          <w:color w:val="000000" w:themeColor="text1"/>
          <w14:textFill>
            <w14:solidFill>
              <w14:schemeClr w14:val="tx1"/>
            </w14:solidFill>
          </w14:textFill>
        </w:rPr>
        <w:t>、吸油拖栏5600</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等应急设备</w:t>
      </w:r>
      <w:r>
        <w:rPr>
          <w:rFonts w:hint="eastAsia"/>
          <w:color w:val="000000" w:themeColor="text1"/>
          <w14:textFill>
            <w14:solidFill>
              <w14:schemeClr w14:val="tx1"/>
            </w14:solidFill>
          </w14:textFill>
        </w:rPr>
        <w:t>。</w:t>
      </w:r>
    </w:p>
    <w:p w14:paraId="15B7B106">
      <w:pPr>
        <w:pStyle w:val="13"/>
        <w:rPr>
          <w:color w:val="000000" w:themeColor="text1"/>
          <w14:textFill>
            <w14:solidFill>
              <w14:schemeClr w14:val="tx1"/>
            </w14:solidFill>
          </w14:textFill>
        </w:rPr>
      </w:pPr>
    </w:p>
    <w:p w14:paraId="59D16B58">
      <w:pPr>
        <w:ind w:firstLine="480"/>
        <w:rPr>
          <w:color w:val="000000" w:themeColor="text1"/>
          <w14:textFill>
            <w14:solidFill>
              <w14:schemeClr w14:val="tx1"/>
            </w14:solidFill>
          </w14:textFill>
        </w:rPr>
      </w:pPr>
    </w:p>
    <w:p w14:paraId="1E1CF8E0">
      <w:pPr>
        <w:pStyle w:val="13"/>
        <w:rPr>
          <w:color w:val="000000" w:themeColor="text1"/>
          <w14:textFill>
            <w14:solidFill>
              <w14:schemeClr w14:val="tx1"/>
            </w14:solidFill>
          </w14:textFill>
        </w:rPr>
      </w:pPr>
    </w:p>
    <w:p w14:paraId="454ED1D7">
      <w:pPr>
        <w:pStyle w:val="7"/>
        <w:rPr>
          <w:color w:val="000000" w:themeColor="text1"/>
          <w14:textFill>
            <w14:solidFill>
              <w14:schemeClr w14:val="tx1"/>
            </w14:solidFill>
          </w14:textFill>
        </w:rPr>
      </w:pPr>
      <w:r>
        <w:rPr>
          <w:color w:val="000000" w:themeColor="text1"/>
          <w14:textFill>
            <w14:solidFill>
              <w14:schemeClr w14:val="tx1"/>
            </w14:solidFill>
          </w14:textFill>
        </w:rPr>
        <w:t>广西海事局钦州溢油应急设备库设备配备情况</w:t>
      </w:r>
    </w:p>
    <w:tbl>
      <w:tblPr>
        <w:tblStyle w:val="43"/>
        <w:tblW w:w="4951"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7" w:type="dxa"/>
          <w:bottom w:w="0" w:type="dxa"/>
          <w:right w:w="57" w:type="dxa"/>
        </w:tblCellMar>
      </w:tblPr>
      <w:tblGrid>
        <w:gridCol w:w="897"/>
        <w:gridCol w:w="4347"/>
        <w:gridCol w:w="1144"/>
        <w:gridCol w:w="1949"/>
      </w:tblGrid>
      <w:tr w14:paraId="3C78C8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blHeader/>
          <w:jc w:val="center"/>
        </w:trPr>
        <w:tc>
          <w:tcPr>
            <w:tcW w:w="3145" w:type="pct"/>
            <w:gridSpan w:val="2"/>
            <w:vAlign w:val="center"/>
          </w:tcPr>
          <w:p w14:paraId="58BDA316">
            <w:pPr>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应急设备名称</w:t>
            </w:r>
          </w:p>
        </w:tc>
        <w:tc>
          <w:tcPr>
            <w:tcW w:w="686" w:type="pct"/>
            <w:vAlign w:val="center"/>
          </w:tcPr>
          <w:p w14:paraId="29AC4F1B">
            <w:pPr>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单位</w:t>
            </w:r>
          </w:p>
        </w:tc>
        <w:tc>
          <w:tcPr>
            <w:tcW w:w="1168" w:type="pct"/>
            <w:vAlign w:val="center"/>
          </w:tcPr>
          <w:p w14:paraId="77677D35">
            <w:pPr>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数量</w:t>
            </w:r>
          </w:p>
        </w:tc>
      </w:tr>
      <w:tr w14:paraId="2789F6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000" w:type="pct"/>
            <w:gridSpan w:val="4"/>
            <w:vAlign w:val="center"/>
          </w:tcPr>
          <w:p w14:paraId="0566CF89">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一、应急卸载设备</w:t>
            </w:r>
          </w:p>
        </w:tc>
      </w:tr>
      <w:tr w14:paraId="43FBAB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05CA4F6D">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w:t>
            </w:r>
          </w:p>
        </w:tc>
        <w:tc>
          <w:tcPr>
            <w:tcW w:w="2607" w:type="pct"/>
            <w:vAlign w:val="center"/>
          </w:tcPr>
          <w:p w14:paraId="5C55AE1A">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大型防腐蚀离心泵</w:t>
            </w:r>
          </w:p>
        </w:tc>
        <w:tc>
          <w:tcPr>
            <w:tcW w:w="686" w:type="pct"/>
            <w:vAlign w:val="center"/>
          </w:tcPr>
          <w:p w14:paraId="22DBEBFA">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381D536B">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r w14:paraId="1BD554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28098D6D">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w:t>
            </w:r>
          </w:p>
        </w:tc>
        <w:tc>
          <w:tcPr>
            <w:tcW w:w="2607" w:type="pct"/>
            <w:vAlign w:val="center"/>
          </w:tcPr>
          <w:p w14:paraId="2307370C">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大型螺杆卸载泵</w:t>
            </w:r>
          </w:p>
        </w:tc>
        <w:tc>
          <w:tcPr>
            <w:tcW w:w="686" w:type="pct"/>
            <w:vAlign w:val="center"/>
          </w:tcPr>
          <w:p w14:paraId="65758FD1">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55D3D815">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r w14:paraId="7A21B3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76973CE3">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1.3</w:t>
            </w:r>
          </w:p>
        </w:tc>
        <w:tc>
          <w:tcPr>
            <w:tcW w:w="2607" w:type="pct"/>
            <w:vAlign w:val="center"/>
          </w:tcPr>
          <w:p w14:paraId="70E46BB7">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中型螺杆卸载泵</w:t>
            </w:r>
          </w:p>
        </w:tc>
        <w:tc>
          <w:tcPr>
            <w:tcW w:w="686" w:type="pct"/>
            <w:vAlign w:val="center"/>
          </w:tcPr>
          <w:p w14:paraId="6A2FB63B">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0E2FADC1">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r w14:paraId="07C7CB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7376434E">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w:t>
            </w:r>
          </w:p>
        </w:tc>
        <w:tc>
          <w:tcPr>
            <w:tcW w:w="2607" w:type="pct"/>
            <w:vAlign w:val="center"/>
          </w:tcPr>
          <w:p w14:paraId="764E0789">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小型螺杆卸载泵</w:t>
            </w:r>
          </w:p>
        </w:tc>
        <w:tc>
          <w:tcPr>
            <w:tcW w:w="686" w:type="pct"/>
            <w:vAlign w:val="center"/>
          </w:tcPr>
          <w:p w14:paraId="4CB9EA7B">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2AB13479">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r w14:paraId="11B65C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000" w:type="pct"/>
            <w:gridSpan w:val="4"/>
            <w:vAlign w:val="center"/>
          </w:tcPr>
          <w:p w14:paraId="457BE586">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二、溢油围控设备</w:t>
            </w:r>
          </w:p>
        </w:tc>
      </w:tr>
      <w:tr w14:paraId="3D91D2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31A2DCCC">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2.1</w:t>
            </w:r>
          </w:p>
        </w:tc>
        <w:tc>
          <w:tcPr>
            <w:tcW w:w="2607" w:type="pct"/>
            <w:vAlign w:val="center"/>
          </w:tcPr>
          <w:p w14:paraId="5F384C96">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海洋型充气式围油栏</w:t>
            </w:r>
          </w:p>
        </w:tc>
        <w:tc>
          <w:tcPr>
            <w:tcW w:w="686" w:type="pct"/>
            <w:vAlign w:val="center"/>
          </w:tcPr>
          <w:p w14:paraId="09F59D35">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m</w:t>
            </w:r>
          </w:p>
        </w:tc>
        <w:tc>
          <w:tcPr>
            <w:tcW w:w="1168" w:type="pct"/>
            <w:vAlign w:val="center"/>
          </w:tcPr>
          <w:p w14:paraId="18576CBB">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800</w:t>
            </w:r>
          </w:p>
        </w:tc>
      </w:tr>
      <w:tr w14:paraId="56B99A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6A6530EF">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2.2</w:t>
            </w:r>
          </w:p>
        </w:tc>
        <w:tc>
          <w:tcPr>
            <w:tcW w:w="2607" w:type="pct"/>
            <w:vAlign w:val="center"/>
          </w:tcPr>
          <w:p w14:paraId="77FACBFC">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防火围油栏</w:t>
            </w:r>
          </w:p>
        </w:tc>
        <w:tc>
          <w:tcPr>
            <w:tcW w:w="686" w:type="pct"/>
            <w:vAlign w:val="center"/>
          </w:tcPr>
          <w:p w14:paraId="3D056898">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m</w:t>
            </w:r>
          </w:p>
        </w:tc>
        <w:tc>
          <w:tcPr>
            <w:tcW w:w="1168" w:type="pct"/>
            <w:vAlign w:val="center"/>
          </w:tcPr>
          <w:p w14:paraId="068D9303">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500</w:t>
            </w:r>
          </w:p>
        </w:tc>
      </w:tr>
      <w:tr w14:paraId="0558EE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000" w:type="pct"/>
            <w:gridSpan w:val="4"/>
            <w:vAlign w:val="center"/>
          </w:tcPr>
          <w:p w14:paraId="6B7D03D6">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三、溢油回收设备</w:t>
            </w:r>
          </w:p>
        </w:tc>
      </w:tr>
      <w:tr w14:paraId="3E523B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09579023">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3.1</w:t>
            </w:r>
          </w:p>
        </w:tc>
        <w:tc>
          <w:tcPr>
            <w:tcW w:w="2607" w:type="pct"/>
            <w:vAlign w:val="center"/>
          </w:tcPr>
          <w:p w14:paraId="3EC6BD08">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大型收油机</w:t>
            </w:r>
          </w:p>
        </w:tc>
        <w:tc>
          <w:tcPr>
            <w:tcW w:w="686" w:type="pct"/>
            <w:vAlign w:val="center"/>
          </w:tcPr>
          <w:p w14:paraId="4EE19157">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5286E02A">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r w14:paraId="53053C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316A20DF">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3.2</w:t>
            </w:r>
          </w:p>
        </w:tc>
        <w:tc>
          <w:tcPr>
            <w:tcW w:w="2607" w:type="pct"/>
            <w:vAlign w:val="center"/>
          </w:tcPr>
          <w:p w14:paraId="0D5E68A0">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中型收油机</w:t>
            </w:r>
          </w:p>
        </w:tc>
        <w:tc>
          <w:tcPr>
            <w:tcW w:w="686" w:type="pct"/>
            <w:vAlign w:val="center"/>
          </w:tcPr>
          <w:p w14:paraId="5C05CFCF">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58EB9B5A">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r w14:paraId="0475D3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324A431D">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3.3</w:t>
            </w:r>
          </w:p>
        </w:tc>
        <w:tc>
          <w:tcPr>
            <w:tcW w:w="2607" w:type="pct"/>
            <w:vAlign w:val="center"/>
          </w:tcPr>
          <w:p w14:paraId="07F5C885">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小型收油机</w:t>
            </w:r>
          </w:p>
        </w:tc>
        <w:tc>
          <w:tcPr>
            <w:tcW w:w="686" w:type="pct"/>
            <w:vAlign w:val="center"/>
          </w:tcPr>
          <w:p w14:paraId="3FDD83ED">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4B768AE8">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r w14:paraId="0C6747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6E8A5922">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3.4</w:t>
            </w:r>
          </w:p>
        </w:tc>
        <w:tc>
          <w:tcPr>
            <w:tcW w:w="2607" w:type="pct"/>
            <w:vAlign w:val="center"/>
          </w:tcPr>
          <w:p w14:paraId="59276FBE">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自航式收油机</w:t>
            </w:r>
          </w:p>
        </w:tc>
        <w:tc>
          <w:tcPr>
            <w:tcW w:w="686" w:type="pct"/>
            <w:vAlign w:val="center"/>
          </w:tcPr>
          <w:p w14:paraId="4B4A8E93">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2771C155">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r w14:paraId="722433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000" w:type="pct"/>
            <w:gridSpan w:val="4"/>
            <w:vAlign w:val="center"/>
          </w:tcPr>
          <w:p w14:paraId="726B3DCB">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四、油污储运设备</w:t>
            </w:r>
          </w:p>
        </w:tc>
      </w:tr>
      <w:tr w14:paraId="24E396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3F3AC454">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4.1</w:t>
            </w:r>
          </w:p>
        </w:tc>
        <w:tc>
          <w:tcPr>
            <w:tcW w:w="2607" w:type="pct"/>
            <w:vAlign w:val="center"/>
          </w:tcPr>
          <w:p w14:paraId="3A0EE12A">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轻便储油囊</w:t>
            </w:r>
          </w:p>
        </w:tc>
        <w:tc>
          <w:tcPr>
            <w:tcW w:w="686" w:type="pct"/>
            <w:vAlign w:val="center"/>
          </w:tcPr>
          <w:p w14:paraId="72F7443D">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个</w:t>
            </w:r>
          </w:p>
        </w:tc>
        <w:tc>
          <w:tcPr>
            <w:tcW w:w="1168" w:type="pct"/>
            <w:vAlign w:val="center"/>
          </w:tcPr>
          <w:p w14:paraId="10D64032">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r>
      <w:tr w14:paraId="1064CF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000" w:type="pct"/>
            <w:gridSpan w:val="4"/>
            <w:vAlign w:val="center"/>
          </w:tcPr>
          <w:p w14:paraId="01ECCF2C">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五、溢油分散物质</w:t>
            </w:r>
          </w:p>
        </w:tc>
      </w:tr>
      <w:tr w14:paraId="2758AD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77E9127A">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5.1</w:t>
            </w:r>
          </w:p>
        </w:tc>
        <w:tc>
          <w:tcPr>
            <w:tcW w:w="2607" w:type="pct"/>
            <w:vAlign w:val="center"/>
          </w:tcPr>
          <w:p w14:paraId="06A9ECD3">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浓缩分散剂</w:t>
            </w:r>
          </w:p>
        </w:tc>
        <w:tc>
          <w:tcPr>
            <w:tcW w:w="686" w:type="pct"/>
            <w:vAlign w:val="center"/>
          </w:tcPr>
          <w:p w14:paraId="2121BF5E">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吨</w:t>
            </w:r>
          </w:p>
        </w:tc>
        <w:tc>
          <w:tcPr>
            <w:tcW w:w="1168" w:type="pct"/>
            <w:vAlign w:val="center"/>
          </w:tcPr>
          <w:p w14:paraId="3D5D1A83">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r>
      <w:tr w14:paraId="4A5335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36C9F4D2">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5.2</w:t>
            </w:r>
          </w:p>
        </w:tc>
        <w:tc>
          <w:tcPr>
            <w:tcW w:w="2607" w:type="pct"/>
            <w:vAlign w:val="center"/>
          </w:tcPr>
          <w:p w14:paraId="5FF3A0F3">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船用喷洒装置</w:t>
            </w:r>
          </w:p>
        </w:tc>
        <w:tc>
          <w:tcPr>
            <w:tcW w:w="686" w:type="pct"/>
            <w:vAlign w:val="center"/>
          </w:tcPr>
          <w:p w14:paraId="3EAE1031">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6AE80F2D">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r>
      <w:tr w14:paraId="17E944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000" w:type="pct"/>
            <w:gridSpan w:val="4"/>
            <w:vAlign w:val="center"/>
          </w:tcPr>
          <w:p w14:paraId="7597EBDB">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六、溢油吸附材料</w:t>
            </w:r>
          </w:p>
        </w:tc>
      </w:tr>
      <w:tr w14:paraId="2300E1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42C5BB69">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6.1</w:t>
            </w:r>
          </w:p>
        </w:tc>
        <w:tc>
          <w:tcPr>
            <w:tcW w:w="2607" w:type="pct"/>
            <w:vAlign w:val="center"/>
          </w:tcPr>
          <w:p w14:paraId="547221DD">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吸油毡</w:t>
            </w:r>
          </w:p>
        </w:tc>
        <w:tc>
          <w:tcPr>
            <w:tcW w:w="686" w:type="pct"/>
            <w:vAlign w:val="center"/>
          </w:tcPr>
          <w:p w14:paraId="71068186">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吨</w:t>
            </w:r>
          </w:p>
        </w:tc>
        <w:tc>
          <w:tcPr>
            <w:tcW w:w="1168" w:type="pct"/>
            <w:vAlign w:val="center"/>
          </w:tcPr>
          <w:p w14:paraId="479ED0A0">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p>
        </w:tc>
      </w:tr>
      <w:tr w14:paraId="67DF23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4CB3D029">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6.2</w:t>
            </w:r>
          </w:p>
        </w:tc>
        <w:tc>
          <w:tcPr>
            <w:tcW w:w="2607" w:type="pct"/>
            <w:vAlign w:val="center"/>
          </w:tcPr>
          <w:p w14:paraId="1F015215">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吸油拖栏</w:t>
            </w:r>
          </w:p>
        </w:tc>
        <w:tc>
          <w:tcPr>
            <w:tcW w:w="686" w:type="pct"/>
            <w:vAlign w:val="center"/>
          </w:tcPr>
          <w:p w14:paraId="1938E995">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47B552A9">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400</w:t>
            </w:r>
          </w:p>
        </w:tc>
      </w:tr>
      <w:tr w14:paraId="7770B5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000" w:type="pct"/>
            <w:gridSpan w:val="4"/>
            <w:vAlign w:val="center"/>
          </w:tcPr>
          <w:p w14:paraId="29597D8A">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七、配套设备</w:t>
            </w:r>
          </w:p>
        </w:tc>
      </w:tr>
      <w:tr w14:paraId="6FFD1C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24AA3C30">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7.1</w:t>
            </w:r>
          </w:p>
        </w:tc>
        <w:tc>
          <w:tcPr>
            <w:tcW w:w="2607" w:type="pct"/>
            <w:vAlign w:val="center"/>
          </w:tcPr>
          <w:p w14:paraId="0DF93192">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高压热水清洗机</w:t>
            </w:r>
          </w:p>
        </w:tc>
        <w:tc>
          <w:tcPr>
            <w:tcW w:w="686" w:type="pct"/>
            <w:vAlign w:val="center"/>
          </w:tcPr>
          <w:p w14:paraId="7D67FF32">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台</w:t>
            </w:r>
          </w:p>
        </w:tc>
        <w:tc>
          <w:tcPr>
            <w:tcW w:w="1168" w:type="pct"/>
            <w:vAlign w:val="center"/>
          </w:tcPr>
          <w:p w14:paraId="52A57DEB">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r>
      <w:tr w14:paraId="260E9E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4475D079">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7.2</w:t>
            </w:r>
          </w:p>
        </w:tc>
        <w:tc>
          <w:tcPr>
            <w:tcW w:w="2607" w:type="pct"/>
            <w:vAlign w:val="center"/>
          </w:tcPr>
          <w:p w14:paraId="0ABA27B5">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防护用品1</w:t>
            </w:r>
          </w:p>
        </w:tc>
        <w:tc>
          <w:tcPr>
            <w:tcW w:w="686" w:type="pct"/>
            <w:vAlign w:val="center"/>
          </w:tcPr>
          <w:p w14:paraId="29CD8C0C">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5409C138">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w:t>
            </w:r>
          </w:p>
        </w:tc>
      </w:tr>
      <w:tr w14:paraId="6C5132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1F1ED964">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7.3</w:t>
            </w:r>
          </w:p>
        </w:tc>
        <w:tc>
          <w:tcPr>
            <w:tcW w:w="2607" w:type="pct"/>
            <w:vAlign w:val="center"/>
          </w:tcPr>
          <w:p w14:paraId="0B7C368C">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防护用品2</w:t>
            </w:r>
          </w:p>
        </w:tc>
        <w:tc>
          <w:tcPr>
            <w:tcW w:w="686" w:type="pct"/>
            <w:vAlign w:val="center"/>
          </w:tcPr>
          <w:p w14:paraId="67B0716A">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3F40BEE3">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r>
      <w:tr w14:paraId="23B9BC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14B70C78">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7.4</w:t>
            </w:r>
          </w:p>
        </w:tc>
        <w:tc>
          <w:tcPr>
            <w:tcW w:w="2607" w:type="pct"/>
            <w:vAlign w:val="center"/>
          </w:tcPr>
          <w:p w14:paraId="336A58C6">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后勤保障用品</w:t>
            </w:r>
          </w:p>
        </w:tc>
        <w:tc>
          <w:tcPr>
            <w:tcW w:w="686" w:type="pct"/>
            <w:vAlign w:val="center"/>
          </w:tcPr>
          <w:p w14:paraId="4CB69C5D">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02065CDA">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bl>
    <w:p w14:paraId="3F946C0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（2）船舶污染清除单位</w:t>
      </w:r>
    </w:p>
    <w:p w14:paraId="4993C7E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钦州辖区现有钦州市桂通船舶服务有限公司、广西鑫丰海洋科技环保有限公司、钦州市苏南船舶服务有限公司3家专业船舶污染清除单位，共配备应急处置船6艘、辅助船舶18艘、围油栏18800m、收油机12台、喷洒装置24台、应急卸载泵5台、临时储存装置4602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、吸油毡24t、高压清洗机12台、吸油拖栏6000m、消油剂44t。</w:t>
      </w:r>
    </w:p>
    <w:p w14:paraId="1B6D908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综上，本项目所在钦州港域社会力量和港口码头企业应急资源较丰富，应急能力较强，而且距离本项目较近，可以及时为本项目提供有效应急支持，减轻溢油进入海域。</w:t>
      </w:r>
    </w:p>
    <w:p w14:paraId="7187D70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）完善应急设备和物资的相关建议</w:t>
      </w:r>
    </w:p>
    <w:p w14:paraId="23771B5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北部湾港总体规划（2035年）环境影响报告书》，目前北部湾配备的应急设备和物资，主要是针对油品或类油类物质的应急，针对化学品应急的设备较少。根据航道交汇处最大化学品船可能最大泄漏量，化学品应急目标为6800t，港区化学品应急物资配备应为区域应急目标的5~10%，考虑未来北部湾港化学品吞吐量迅速增长，建议按高值配备，取值10%，则北部湾港化学品清污能力应达到680t。</w:t>
      </w:r>
    </w:p>
    <w:p w14:paraId="2B411C1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议北海市、钦州市、防城港市加快辖区的化学品应急反应能力的建设。政府设备库、船舶污染企业对危化品应急物资进行适当补充。应急物资针对主要危险品货种配备相应的大气、水质监测设备、防治化学品在水中扩散和蒸发设备等，防治化学品如针对</w:t>
      </w:r>
      <w:r>
        <w:rPr>
          <w:color w:val="000000" w:themeColor="text1"/>
          <w14:textFill>
            <w14:solidFill>
              <w14:schemeClr w14:val="tx1"/>
            </w14:solidFill>
          </w14:textFill>
        </w:rPr>
        <w:t>水溶性化学品</w:t>
      </w:r>
      <w:r>
        <w:rPr>
          <w:rFonts w:hint="eastAsia"/>
          <w:color w:val="000000" w:themeColor="text1"/>
          <w14:textFill>
            <w14:solidFill>
              <w14:schemeClr w14:val="tx1"/>
            </w14:solidFill>
          </w14:textFill>
        </w:rPr>
        <w:t>泄漏入海的氧化还原剂、中和剂、絮凝剂、多孔性活性炭等。此外，为了有效防范危险化学品在运输、装卸、停泊中发生的泄漏事故，保障港区内危险化学品码头作业、危险化学品船舶运输以及人民群众生命、财产安全，建议港区也应进一步加强危化品应急设备及物资的储备。</w:t>
      </w:r>
    </w:p>
    <w:p w14:paraId="12F163EF">
      <w:pPr>
        <w:pStyle w:val="4"/>
        <w:rPr>
          <w:rFonts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可协调的外部应急救援资源</w:t>
      </w:r>
    </w:p>
    <w:p w14:paraId="6FBDBD8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周边可协调的外部应急救援资源主要有中国石油广西石化公司码头库区、广西广明码头仓储有限公司、广西华谊能源化工有限公司、广西华临码头有限公司等单位。</w:t>
      </w:r>
    </w:p>
    <w:p w14:paraId="096870F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（1）中国石油广西石化公司</w:t>
      </w:r>
    </w:p>
    <w:p w14:paraId="53FD4F30">
      <w:pPr>
        <w:ind w:firstLine="480"/>
        <w:rPr>
          <w:b/>
          <w:bCs/>
          <w:color w:val="000000" w:themeColor="text1"/>
          <w14:textFill>
            <w14:solidFill>
              <w14:schemeClr w14:val="tx1"/>
            </w14:solidFill>
          </w14:textFill>
        </w:rPr>
      </w:pPr>
      <w:r>
        <w:rPr>
          <w:rFonts w:hint="eastAsia"/>
          <w:color w:val="000000" w:themeColor="text1"/>
          <w14:textFill>
            <w14:solidFill>
              <w14:schemeClr w14:val="tx1"/>
            </w14:solidFill>
          </w14:textFill>
        </w:rPr>
        <w:t>中国石油广西石化公司码头库区应急资源情况详见表5.7-4、表5.8-3所示。</w:t>
      </w:r>
    </w:p>
    <w:p w14:paraId="6E6FB715">
      <w:pPr>
        <w:pStyle w:val="7"/>
        <w:rPr>
          <w:color w:val="000000" w:themeColor="text1"/>
          <w14:textFill>
            <w14:solidFill>
              <w14:schemeClr w14:val="tx1"/>
            </w14:solidFill>
          </w14:textFill>
        </w:rPr>
      </w:pPr>
      <w:r>
        <w:rPr>
          <w:color w:val="000000" w:themeColor="text1"/>
          <w14:textFill>
            <w14:solidFill>
              <w14:schemeClr w14:val="tx1"/>
            </w14:solidFill>
          </w14:textFill>
        </w:rPr>
        <w:t>中国石油广西石化公司码头溢油应急物资清单</w:t>
      </w:r>
    </w:p>
    <w:tbl>
      <w:tblPr>
        <w:tblStyle w:val="43"/>
        <w:tblW w:w="4889" w:type="pct"/>
        <w:tblInd w:w="101"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50"/>
        <w:gridCol w:w="2332"/>
        <w:gridCol w:w="2314"/>
        <w:gridCol w:w="1619"/>
        <w:gridCol w:w="1118"/>
      </w:tblGrid>
      <w:tr w14:paraId="214FFD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570" w:type="pct"/>
            <w:vAlign w:val="center"/>
          </w:tcPr>
          <w:p w14:paraId="57AAABD6">
            <w:pPr>
              <w:adjustRightInd w:val="0"/>
              <w:snapToGrid w:val="0"/>
              <w:spacing w:line="240" w:lineRule="auto"/>
              <w:ind w:firstLine="0" w:firstLineChars="0"/>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序号</w:t>
            </w:r>
          </w:p>
        </w:tc>
        <w:tc>
          <w:tcPr>
            <w:tcW w:w="1399" w:type="pct"/>
            <w:vAlign w:val="center"/>
          </w:tcPr>
          <w:p w14:paraId="6FBB321D">
            <w:pPr>
              <w:adjustRightInd w:val="0"/>
              <w:snapToGrid w:val="0"/>
              <w:spacing w:line="240" w:lineRule="auto"/>
              <w:ind w:firstLine="0" w:firstLineChars="0"/>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应急物资名称</w:t>
            </w:r>
          </w:p>
        </w:tc>
        <w:tc>
          <w:tcPr>
            <w:tcW w:w="1388" w:type="pct"/>
            <w:vAlign w:val="center"/>
          </w:tcPr>
          <w:p w14:paraId="3630D115">
            <w:pPr>
              <w:adjustRightInd w:val="0"/>
              <w:snapToGrid w:val="0"/>
              <w:spacing w:line="240" w:lineRule="auto"/>
              <w:ind w:firstLine="0" w:firstLineChars="0"/>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规格（型号）/主要参数</w:t>
            </w:r>
          </w:p>
        </w:tc>
        <w:tc>
          <w:tcPr>
            <w:tcW w:w="971" w:type="pct"/>
            <w:vAlign w:val="center"/>
          </w:tcPr>
          <w:p w14:paraId="65D87978">
            <w:pPr>
              <w:adjustRightInd w:val="0"/>
              <w:snapToGrid w:val="0"/>
              <w:spacing w:line="240" w:lineRule="auto"/>
              <w:ind w:firstLine="0" w:firstLineChars="0"/>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存放地点</w:t>
            </w:r>
          </w:p>
        </w:tc>
        <w:tc>
          <w:tcPr>
            <w:tcW w:w="670" w:type="pct"/>
            <w:vAlign w:val="center"/>
          </w:tcPr>
          <w:p w14:paraId="493C0A79">
            <w:pPr>
              <w:adjustRightInd w:val="0"/>
              <w:snapToGrid w:val="0"/>
              <w:spacing w:line="240" w:lineRule="auto"/>
              <w:ind w:firstLine="0" w:firstLineChars="0"/>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数量</w:t>
            </w:r>
          </w:p>
        </w:tc>
      </w:tr>
      <w:tr w14:paraId="22BECE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0814F54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w:t>
            </w:r>
          </w:p>
        </w:tc>
        <w:tc>
          <w:tcPr>
            <w:tcW w:w="1399" w:type="pct"/>
            <w:vAlign w:val="center"/>
          </w:tcPr>
          <w:p w14:paraId="12670603">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叉车</w:t>
            </w:r>
          </w:p>
        </w:tc>
        <w:tc>
          <w:tcPr>
            <w:tcW w:w="1388" w:type="pct"/>
            <w:vAlign w:val="center"/>
          </w:tcPr>
          <w:p w14:paraId="76446AD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8吨</w:t>
            </w:r>
          </w:p>
        </w:tc>
        <w:tc>
          <w:tcPr>
            <w:tcW w:w="971" w:type="pct"/>
            <w:vAlign w:val="center"/>
          </w:tcPr>
          <w:p w14:paraId="12935375">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库区门口</w:t>
            </w:r>
          </w:p>
        </w:tc>
        <w:tc>
          <w:tcPr>
            <w:tcW w:w="670" w:type="pct"/>
            <w:vAlign w:val="center"/>
          </w:tcPr>
          <w:p w14:paraId="2A48E21A">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1辆</w:t>
            </w:r>
          </w:p>
        </w:tc>
      </w:tr>
      <w:tr w14:paraId="3EB65D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1AB1136D">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w:t>
            </w:r>
          </w:p>
        </w:tc>
        <w:tc>
          <w:tcPr>
            <w:tcW w:w="1399" w:type="pct"/>
            <w:vAlign w:val="center"/>
          </w:tcPr>
          <w:p w14:paraId="04DBFEF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吸油毡</w:t>
            </w:r>
          </w:p>
        </w:tc>
        <w:tc>
          <w:tcPr>
            <w:tcW w:w="1388" w:type="pct"/>
            <w:vAlign w:val="center"/>
          </w:tcPr>
          <w:p w14:paraId="2AA4795D">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pp-1、pp-2</w:t>
            </w:r>
          </w:p>
        </w:tc>
        <w:tc>
          <w:tcPr>
            <w:tcW w:w="971" w:type="pct"/>
            <w:vAlign w:val="center"/>
          </w:tcPr>
          <w:p w14:paraId="6495B1E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4330C80F">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4吨</w:t>
            </w:r>
          </w:p>
        </w:tc>
      </w:tr>
      <w:tr w14:paraId="37738D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3AC7B76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3</w:t>
            </w:r>
          </w:p>
        </w:tc>
        <w:tc>
          <w:tcPr>
            <w:tcW w:w="1399" w:type="pct"/>
            <w:vAlign w:val="center"/>
          </w:tcPr>
          <w:p w14:paraId="6B4A1FF2">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石棉布</w:t>
            </w:r>
          </w:p>
        </w:tc>
        <w:tc>
          <w:tcPr>
            <w:tcW w:w="1388" w:type="pct"/>
            <w:vAlign w:val="center"/>
          </w:tcPr>
          <w:p w14:paraId="0E05CC3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JC210-2000</w:t>
            </w:r>
          </w:p>
        </w:tc>
        <w:tc>
          <w:tcPr>
            <w:tcW w:w="971" w:type="pct"/>
            <w:vAlign w:val="center"/>
          </w:tcPr>
          <w:p w14:paraId="57AA553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56EEFEF7">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3包</w:t>
            </w:r>
          </w:p>
        </w:tc>
      </w:tr>
      <w:tr w14:paraId="147B98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560E790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4</w:t>
            </w:r>
          </w:p>
        </w:tc>
        <w:tc>
          <w:tcPr>
            <w:tcW w:w="1399" w:type="pct"/>
            <w:vAlign w:val="center"/>
          </w:tcPr>
          <w:p w14:paraId="6A58E6F5">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充气式围油栏</w:t>
            </w:r>
          </w:p>
        </w:tc>
        <w:tc>
          <w:tcPr>
            <w:tcW w:w="1388" w:type="pct"/>
            <w:vAlign w:val="center"/>
          </w:tcPr>
          <w:p w14:paraId="47580BD2">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XPW-1100</w:t>
            </w:r>
          </w:p>
        </w:tc>
        <w:tc>
          <w:tcPr>
            <w:tcW w:w="971" w:type="pct"/>
            <w:vAlign w:val="center"/>
          </w:tcPr>
          <w:p w14:paraId="20E1978D">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60E33359">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800m</w:t>
            </w:r>
          </w:p>
        </w:tc>
      </w:tr>
      <w:tr w14:paraId="6E2B79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7F2BB50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5</w:t>
            </w:r>
          </w:p>
        </w:tc>
        <w:tc>
          <w:tcPr>
            <w:tcW w:w="1399" w:type="pct"/>
            <w:vAlign w:val="center"/>
          </w:tcPr>
          <w:p w14:paraId="5B1A839D">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溢油分散剂</w:t>
            </w:r>
          </w:p>
        </w:tc>
        <w:tc>
          <w:tcPr>
            <w:tcW w:w="1388" w:type="pct"/>
            <w:vAlign w:val="center"/>
          </w:tcPr>
          <w:p w14:paraId="63411446">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浓缩型</w:t>
            </w:r>
          </w:p>
        </w:tc>
        <w:tc>
          <w:tcPr>
            <w:tcW w:w="971" w:type="pct"/>
            <w:vAlign w:val="center"/>
          </w:tcPr>
          <w:p w14:paraId="0E8B3E6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547FF4B7">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5吨</w:t>
            </w:r>
          </w:p>
        </w:tc>
      </w:tr>
      <w:tr w14:paraId="4CB994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2B8BB3B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6</w:t>
            </w:r>
          </w:p>
        </w:tc>
        <w:tc>
          <w:tcPr>
            <w:tcW w:w="1399" w:type="pct"/>
            <w:vAlign w:val="center"/>
          </w:tcPr>
          <w:p w14:paraId="28830C54">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快速布防围油栏</w:t>
            </w:r>
          </w:p>
        </w:tc>
        <w:tc>
          <w:tcPr>
            <w:tcW w:w="1388" w:type="pct"/>
            <w:vAlign w:val="center"/>
          </w:tcPr>
          <w:p w14:paraId="77825AA1">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WGV1200R</w:t>
            </w:r>
          </w:p>
        </w:tc>
        <w:tc>
          <w:tcPr>
            <w:tcW w:w="971" w:type="pct"/>
            <w:vAlign w:val="center"/>
          </w:tcPr>
          <w:p w14:paraId="50F14E42">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2482331C">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600m</w:t>
            </w:r>
          </w:p>
        </w:tc>
      </w:tr>
      <w:tr w14:paraId="6674CD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4A075A8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7</w:t>
            </w:r>
          </w:p>
        </w:tc>
        <w:tc>
          <w:tcPr>
            <w:tcW w:w="1399" w:type="pct"/>
            <w:vAlign w:val="center"/>
          </w:tcPr>
          <w:p w14:paraId="1754C40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防火围油栏</w:t>
            </w:r>
          </w:p>
        </w:tc>
        <w:tc>
          <w:tcPr>
            <w:tcW w:w="1388" w:type="pct"/>
            <w:vAlign w:val="center"/>
          </w:tcPr>
          <w:p w14:paraId="298E0F5C">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FW1100</w:t>
            </w:r>
          </w:p>
        </w:tc>
        <w:tc>
          <w:tcPr>
            <w:tcW w:w="971" w:type="pct"/>
            <w:vAlign w:val="center"/>
          </w:tcPr>
          <w:p w14:paraId="1A1EA2D2">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39658D27">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200m</w:t>
            </w:r>
          </w:p>
        </w:tc>
      </w:tr>
      <w:tr w14:paraId="0831A0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457F270F">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8</w:t>
            </w:r>
          </w:p>
        </w:tc>
        <w:tc>
          <w:tcPr>
            <w:tcW w:w="1399" w:type="pct"/>
            <w:vAlign w:val="center"/>
          </w:tcPr>
          <w:p w14:paraId="496163E3">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手持溢油分散剂喷洒装置</w:t>
            </w:r>
          </w:p>
        </w:tc>
        <w:tc>
          <w:tcPr>
            <w:tcW w:w="1388" w:type="pct"/>
            <w:vAlign w:val="center"/>
          </w:tcPr>
          <w:p w14:paraId="5A138EC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PS40</w:t>
            </w:r>
          </w:p>
        </w:tc>
        <w:tc>
          <w:tcPr>
            <w:tcW w:w="971" w:type="pct"/>
            <w:vAlign w:val="center"/>
          </w:tcPr>
          <w:p w14:paraId="17C0E11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34333439">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4套</w:t>
            </w:r>
          </w:p>
        </w:tc>
      </w:tr>
      <w:tr w14:paraId="7E5633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24B45B2D">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9</w:t>
            </w:r>
          </w:p>
        </w:tc>
        <w:tc>
          <w:tcPr>
            <w:tcW w:w="1399" w:type="pct"/>
            <w:vAlign w:val="center"/>
          </w:tcPr>
          <w:p w14:paraId="45D6C8AD">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轻便储油罐</w:t>
            </w:r>
          </w:p>
        </w:tc>
        <w:tc>
          <w:tcPr>
            <w:tcW w:w="1388" w:type="pct"/>
            <w:vAlign w:val="center"/>
          </w:tcPr>
          <w:p w14:paraId="0276A71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QG-V10</w:t>
            </w:r>
          </w:p>
        </w:tc>
        <w:tc>
          <w:tcPr>
            <w:tcW w:w="971" w:type="pct"/>
            <w:vAlign w:val="center"/>
          </w:tcPr>
          <w:p w14:paraId="484D3C6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106991FF">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7台</w:t>
            </w:r>
          </w:p>
        </w:tc>
      </w:tr>
      <w:tr w14:paraId="380307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0CBC7C36">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10</w:t>
            </w:r>
          </w:p>
        </w:tc>
        <w:tc>
          <w:tcPr>
            <w:tcW w:w="1399" w:type="pct"/>
            <w:vAlign w:val="center"/>
          </w:tcPr>
          <w:p w14:paraId="3481473C">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收油机</w:t>
            </w:r>
          </w:p>
        </w:tc>
        <w:tc>
          <w:tcPr>
            <w:tcW w:w="1388" w:type="pct"/>
            <w:vAlign w:val="center"/>
          </w:tcPr>
          <w:p w14:paraId="1693864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DXS40</w:t>
            </w:r>
          </w:p>
        </w:tc>
        <w:tc>
          <w:tcPr>
            <w:tcW w:w="971" w:type="pct"/>
            <w:vAlign w:val="center"/>
          </w:tcPr>
          <w:p w14:paraId="5809B51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664F3FBC">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3台</w:t>
            </w:r>
          </w:p>
        </w:tc>
      </w:tr>
      <w:tr w14:paraId="204175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28377D44">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11</w:t>
            </w:r>
          </w:p>
        </w:tc>
        <w:tc>
          <w:tcPr>
            <w:tcW w:w="1399" w:type="pct"/>
            <w:vAlign w:val="center"/>
          </w:tcPr>
          <w:p w14:paraId="498541D7">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环保作业回收船</w:t>
            </w:r>
          </w:p>
        </w:tc>
        <w:tc>
          <w:tcPr>
            <w:tcW w:w="1388" w:type="pct"/>
            <w:vAlign w:val="center"/>
          </w:tcPr>
          <w:p w14:paraId="474C8FE4">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p>
        </w:tc>
        <w:tc>
          <w:tcPr>
            <w:tcW w:w="971" w:type="pct"/>
            <w:vAlign w:val="center"/>
          </w:tcPr>
          <w:p w14:paraId="667E9384">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轮驳公司</w:t>
            </w:r>
          </w:p>
        </w:tc>
        <w:tc>
          <w:tcPr>
            <w:tcW w:w="670" w:type="pct"/>
            <w:vAlign w:val="center"/>
          </w:tcPr>
          <w:p w14:paraId="53B5731C">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1艘</w:t>
            </w:r>
          </w:p>
        </w:tc>
      </w:tr>
      <w:tr w14:paraId="2DC1EB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7AF1D90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12</w:t>
            </w:r>
          </w:p>
        </w:tc>
        <w:tc>
          <w:tcPr>
            <w:tcW w:w="1399" w:type="pct"/>
            <w:vAlign w:val="center"/>
          </w:tcPr>
          <w:p w14:paraId="1DF396D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围油栏布放艇</w:t>
            </w:r>
          </w:p>
        </w:tc>
        <w:tc>
          <w:tcPr>
            <w:tcW w:w="1388" w:type="pct"/>
            <w:vAlign w:val="center"/>
          </w:tcPr>
          <w:p w14:paraId="7E8849D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p>
        </w:tc>
        <w:tc>
          <w:tcPr>
            <w:tcW w:w="971" w:type="pct"/>
            <w:vAlign w:val="center"/>
          </w:tcPr>
          <w:p w14:paraId="328A7E8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轮驳公司</w:t>
            </w:r>
          </w:p>
        </w:tc>
        <w:tc>
          <w:tcPr>
            <w:tcW w:w="670" w:type="pct"/>
            <w:vAlign w:val="center"/>
          </w:tcPr>
          <w:p w14:paraId="7D23A11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1艘</w:t>
            </w:r>
          </w:p>
        </w:tc>
      </w:tr>
      <w:tr w14:paraId="588D68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44E8F5CD">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13</w:t>
            </w:r>
          </w:p>
        </w:tc>
        <w:tc>
          <w:tcPr>
            <w:tcW w:w="1399" w:type="pct"/>
            <w:vAlign w:val="center"/>
          </w:tcPr>
          <w:p w14:paraId="59AAD59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油拖网</w:t>
            </w:r>
          </w:p>
        </w:tc>
        <w:tc>
          <w:tcPr>
            <w:tcW w:w="1388" w:type="pct"/>
            <w:vAlign w:val="center"/>
          </w:tcPr>
          <w:p w14:paraId="03CE71F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TYT-3m</w:t>
            </w:r>
            <w:r>
              <w:rPr>
                <w:bCs/>
                <w:color w:val="000000" w:themeColor="text1"/>
                <w:kern w:val="0"/>
                <w:sz w:val="21"/>
                <w:szCs w:val="21"/>
                <w:vertAlign w:val="superscript"/>
                <w14:textFill>
                  <w14:solidFill>
                    <w14:schemeClr w14:val="tx1"/>
                  </w14:solidFill>
                </w14:textFill>
              </w:rPr>
              <w:t>3</w:t>
            </w:r>
          </w:p>
        </w:tc>
        <w:tc>
          <w:tcPr>
            <w:tcW w:w="971" w:type="pct"/>
            <w:vAlign w:val="center"/>
          </w:tcPr>
          <w:p w14:paraId="54BC6925">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033F3C5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4套</w:t>
            </w:r>
          </w:p>
        </w:tc>
      </w:tr>
      <w:tr w14:paraId="5ACE68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1CB8CA96">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14</w:t>
            </w:r>
          </w:p>
        </w:tc>
        <w:tc>
          <w:tcPr>
            <w:tcW w:w="1399" w:type="pct"/>
            <w:vAlign w:val="center"/>
          </w:tcPr>
          <w:p w14:paraId="2AF0164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固体橡胶围油栏</w:t>
            </w:r>
          </w:p>
        </w:tc>
        <w:tc>
          <w:tcPr>
            <w:tcW w:w="1388" w:type="pct"/>
            <w:vAlign w:val="center"/>
          </w:tcPr>
          <w:p w14:paraId="6D784773">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CWJ1100</w:t>
            </w:r>
          </w:p>
        </w:tc>
        <w:tc>
          <w:tcPr>
            <w:tcW w:w="971" w:type="pct"/>
            <w:vAlign w:val="center"/>
          </w:tcPr>
          <w:p w14:paraId="6E6EF899">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3D8D6B02">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4145m</w:t>
            </w:r>
          </w:p>
        </w:tc>
      </w:tr>
      <w:tr w14:paraId="376188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4516B8F7">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15</w:t>
            </w:r>
          </w:p>
        </w:tc>
        <w:tc>
          <w:tcPr>
            <w:tcW w:w="1399" w:type="pct"/>
            <w:vAlign w:val="center"/>
          </w:tcPr>
          <w:p w14:paraId="70BDDC99">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液压动力站及充气机</w:t>
            </w:r>
          </w:p>
        </w:tc>
        <w:tc>
          <w:tcPr>
            <w:tcW w:w="1388" w:type="pct"/>
            <w:vAlign w:val="center"/>
          </w:tcPr>
          <w:p w14:paraId="72630827">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p>
        </w:tc>
        <w:tc>
          <w:tcPr>
            <w:tcW w:w="971" w:type="pct"/>
            <w:vAlign w:val="center"/>
          </w:tcPr>
          <w:p w14:paraId="607AECB2">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617E2E7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2套</w:t>
            </w:r>
          </w:p>
        </w:tc>
      </w:tr>
      <w:tr w14:paraId="7D84A3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2C94B0C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16</w:t>
            </w:r>
          </w:p>
        </w:tc>
        <w:tc>
          <w:tcPr>
            <w:tcW w:w="1399" w:type="pct"/>
            <w:vAlign w:val="center"/>
          </w:tcPr>
          <w:p w14:paraId="24C2DFAF">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吸油索</w:t>
            </w:r>
          </w:p>
        </w:tc>
        <w:tc>
          <w:tcPr>
            <w:tcW w:w="1388" w:type="pct"/>
            <w:vAlign w:val="center"/>
          </w:tcPr>
          <w:p w14:paraId="56E27EC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76mm*1200mm</w:t>
            </w:r>
          </w:p>
        </w:tc>
        <w:tc>
          <w:tcPr>
            <w:tcW w:w="971" w:type="pct"/>
            <w:vAlign w:val="center"/>
          </w:tcPr>
          <w:p w14:paraId="40DE98B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2A0C09A2">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660m</w:t>
            </w:r>
          </w:p>
        </w:tc>
      </w:tr>
      <w:tr w14:paraId="5537B2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44E74AA7">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17</w:t>
            </w:r>
          </w:p>
        </w:tc>
        <w:tc>
          <w:tcPr>
            <w:tcW w:w="1399" w:type="pct"/>
            <w:vAlign w:val="center"/>
          </w:tcPr>
          <w:p w14:paraId="7E9E318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溢油回收装置</w:t>
            </w:r>
          </w:p>
        </w:tc>
        <w:tc>
          <w:tcPr>
            <w:tcW w:w="1388" w:type="pct"/>
            <w:vAlign w:val="center"/>
          </w:tcPr>
          <w:p w14:paraId="0FF2DEF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10 m</w:t>
            </w:r>
            <w:r>
              <w:rPr>
                <w:bCs/>
                <w:color w:val="000000" w:themeColor="text1"/>
                <w:kern w:val="0"/>
                <w:sz w:val="21"/>
                <w:szCs w:val="21"/>
                <w:vertAlign w:val="superscript"/>
                <w14:textFill>
                  <w14:solidFill>
                    <w14:schemeClr w14:val="tx1"/>
                  </w14:solidFill>
                </w14:textFill>
              </w:rPr>
              <w:t>3</w:t>
            </w:r>
          </w:p>
        </w:tc>
        <w:tc>
          <w:tcPr>
            <w:tcW w:w="971" w:type="pct"/>
            <w:vAlign w:val="center"/>
          </w:tcPr>
          <w:p w14:paraId="4ED49697">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7871FA0A">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7个</w:t>
            </w:r>
          </w:p>
        </w:tc>
      </w:tr>
      <w:tr w14:paraId="18BE46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728D814A">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18</w:t>
            </w:r>
          </w:p>
        </w:tc>
        <w:tc>
          <w:tcPr>
            <w:tcW w:w="1399" w:type="pct"/>
            <w:vAlign w:val="center"/>
          </w:tcPr>
          <w:p w14:paraId="6C3AF224">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长管呼吸器</w:t>
            </w:r>
          </w:p>
        </w:tc>
        <w:tc>
          <w:tcPr>
            <w:tcW w:w="1388" w:type="pct"/>
            <w:vAlign w:val="center"/>
          </w:tcPr>
          <w:p w14:paraId="70FE8F23">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正压式</w:t>
            </w:r>
          </w:p>
        </w:tc>
        <w:tc>
          <w:tcPr>
            <w:tcW w:w="971" w:type="pct"/>
            <w:vAlign w:val="center"/>
          </w:tcPr>
          <w:p w14:paraId="6873C2E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68F87D9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2个</w:t>
            </w:r>
          </w:p>
        </w:tc>
      </w:tr>
      <w:tr w14:paraId="269A41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38E9557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19</w:t>
            </w:r>
          </w:p>
        </w:tc>
        <w:tc>
          <w:tcPr>
            <w:tcW w:w="1399" w:type="pct"/>
            <w:vAlign w:val="center"/>
          </w:tcPr>
          <w:p w14:paraId="7B5C7B26">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收油机</w:t>
            </w:r>
          </w:p>
        </w:tc>
        <w:tc>
          <w:tcPr>
            <w:tcW w:w="1388" w:type="pct"/>
            <w:vAlign w:val="center"/>
          </w:tcPr>
          <w:p w14:paraId="1DD04405">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多功能收油机，收油速率不小于20-50 m</w:t>
            </w:r>
            <w:r>
              <w:rPr>
                <w:bCs/>
                <w:color w:val="000000" w:themeColor="text1"/>
                <w:kern w:val="0"/>
                <w:sz w:val="21"/>
                <w:szCs w:val="21"/>
                <w:vertAlign w:val="superscript"/>
                <w14:textFill>
                  <w14:solidFill>
                    <w14:schemeClr w14:val="tx1"/>
                  </w14:solidFill>
                </w14:textFill>
              </w:rPr>
              <w:t>3</w:t>
            </w:r>
            <w:r>
              <w:rPr>
                <w:bCs/>
                <w:color w:val="000000" w:themeColor="text1"/>
                <w:kern w:val="0"/>
                <w:sz w:val="21"/>
                <w:szCs w:val="21"/>
                <w14:textFill>
                  <w14:solidFill>
                    <w14:schemeClr w14:val="tx1"/>
                  </w14:solidFill>
                </w14:textFill>
              </w:rPr>
              <w:t>/h。</w:t>
            </w:r>
          </w:p>
        </w:tc>
        <w:tc>
          <w:tcPr>
            <w:tcW w:w="971" w:type="pct"/>
            <w:vAlign w:val="center"/>
          </w:tcPr>
          <w:p w14:paraId="4552153D">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1B54D531">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2个</w:t>
            </w:r>
          </w:p>
        </w:tc>
      </w:tr>
      <w:tr w14:paraId="4F1B6F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2F209572">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20</w:t>
            </w:r>
          </w:p>
        </w:tc>
        <w:tc>
          <w:tcPr>
            <w:tcW w:w="1399" w:type="pct"/>
            <w:vAlign w:val="center"/>
          </w:tcPr>
          <w:p w14:paraId="2DADE7CA">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围油栏</w:t>
            </w:r>
          </w:p>
        </w:tc>
        <w:tc>
          <w:tcPr>
            <w:tcW w:w="1388" w:type="pct"/>
            <w:vAlign w:val="center"/>
          </w:tcPr>
          <w:p w14:paraId="5C363177">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高度600-1200。</w:t>
            </w:r>
          </w:p>
        </w:tc>
        <w:tc>
          <w:tcPr>
            <w:tcW w:w="971" w:type="pct"/>
            <w:vAlign w:val="center"/>
          </w:tcPr>
          <w:p w14:paraId="16B19C63">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19157E27">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2000米</w:t>
            </w:r>
          </w:p>
        </w:tc>
      </w:tr>
      <w:tr w14:paraId="33D553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02E6BEB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21</w:t>
            </w:r>
          </w:p>
        </w:tc>
        <w:tc>
          <w:tcPr>
            <w:tcW w:w="1399" w:type="pct"/>
            <w:vAlign w:val="center"/>
          </w:tcPr>
          <w:p w14:paraId="7376B7CF">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小型履带吊</w:t>
            </w:r>
          </w:p>
        </w:tc>
        <w:tc>
          <w:tcPr>
            <w:tcW w:w="1388" w:type="pct"/>
            <w:vAlign w:val="center"/>
          </w:tcPr>
          <w:p w14:paraId="76D337C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额定起重能力小于3-6吨。</w:t>
            </w:r>
          </w:p>
        </w:tc>
        <w:tc>
          <w:tcPr>
            <w:tcW w:w="971" w:type="pct"/>
            <w:vAlign w:val="center"/>
          </w:tcPr>
          <w:p w14:paraId="49E2169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03891F9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一辆</w:t>
            </w:r>
          </w:p>
        </w:tc>
      </w:tr>
      <w:tr w14:paraId="556A6B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6E56CF4F">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22</w:t>
            </w:r>
          </w:p>
        </w:tc>
        <w:tc>
          <w:tcPr>
            <w:tcW w:w="1399" w:type="pct"/>
            <w:vAlign w:val="center"/>
          </w:tcPr>
          <w:p w14:paraId="6858A1E7">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多功能组合艇</w:t>
            </w:r>
          </w:p>
        </w:tc>
        <w:tc>
          <w:tcPr>
            <w:tcW w:w="1388" w:type="pct"/>
            <w:vAlign w:val="center"/>
          </w:tcPr>
          <w:p w14:paraId="7FCE6F1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p>
        </w:tc>
        <w:tc>
          <w:tcPr>
            <w:tcW w:w="971" w:type="pct"/>
            <w:vAlign w:val="center"/>
          </w:tcPr>
          <w:p w14:paraId="6AFCC9A9">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2A56B8DD">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一套</w:t>
            </w:r>
          </w:p>
        </w:tc>
      </w:tr>
      <w:tr w14:paraId="0452B0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182A1B2C">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23</w:t>
            </w:r>
          </w:p>
        </w:tc>
        <w:tc>
          <w:tcPr>
            <w:tcW w:w="1399" w:type="pct"/>
            <w:vAlign w:val="center"/>
          </w:tcPr>
          <w:p w14:paraId="1626D19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导油泵</w:t>
            </w:r>
          </w:p>
        </w:tc>
        <w:tc>
          <w:tcPr>
            <w:tcW w:w="1388" w:type="pct"/>
            <w:vAlign w:val="center"/>
          </w:tcPr>
          <w:p w14:paraId="0F24EC11">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p>
        </w:tc>
        <w:tc>
          <w:tcPr>
            <w:tcW w:w="971" w:type="pct"/>
            <w:vAlign w:val="center"/>
          </w:tcPr>
          <w:p w14:paraId="6DC841A4">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6910D091">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2台</w:t>
            </w:r>
          </w:p>
        </w:tc>
      </w:tr>
      <w:tr w14:paraId="100898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2F888EA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24</w:t>
            </w:r>
          </w:p>
        </w:tc>
        <w:tc>
          <w:tcPr>
            <w:tcW w:w="1399" w:type="pct"/>
            <w:vAlign w:val="center"/>
          </w:tcPr>
          <w:p w14:paraId="30F5EB7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照明设备</w:t>
            </w:r>
          </w:p>
        </w:tc>
        <w:tc>
          <w:tcPr>
            <w:tcW w:w="1388" w:type="pct"/>
            <w:vAlign w:val="center"/>
          </w:tcPr>
          <w:p w14:paraId="05A8E6E4">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p>
        </w:tc>
        <w:tc>
          <w:tcPr>
            <w:tcW w:w="971" w:type="pct"/>
            <w:vAlign w:val="center"/>
          </w:tcPr>
          <w:p w14:paraId="1336BCC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7761519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3台</w:t>
            </w:r>
          </w:p>
        </w:tc>
      </w:tr>
      <w:tr w14:paraId="43549A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60F8E691">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25</w:t>
            </w:r>
          </w:p>
        </w:tc>
        <w:tc>
          <w:tcPr>
            <w:tcW w:w="1399" w:type="pct"/>
            <w:vAlign w:val="center"/>
          </w:tcPr>
          <w:p w14:paraId="3852FDD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轻型储油槽</w:t>
            </w:r>
          </w:p>
        </w:tc>
        <w:tc>
          <w:tcPr>
            <w:tcW w:w="1388" w:type="pct"/>
            <w:vAlign w:val="center"/>
          </w:tcPr>
          <w:p w14:paraId="26A30DDD">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5m</w:t>
            </w:r>
            <w:r>
              <w:rPr>
                <w:bCs/>
                <w:color w:val="000000" w:themeColor="text1"/>
                <w:kern w:val="0"/>
                <w:sz w:val="21"/>
                <w:szCs w:val="21"/>
                <w:vertAlign w:val="superscript"/>
                <w14:textFill>
                  <w14:solidFill>
                    <w14:schemeClr w14:val="tx1"/>
                  </w14:solidFill>
                </w14:textFill>
              </w:rPr>
              <w:t>3</w:t>
            </w:r>
          </w:p>
        </w:tc>
        <w:tc>
          <w:tcPr>
            <w:tcW w:w="971" w:type="pct"/>
            <w:vAlign w:val="center"/>
          </w:tcPr>
          <w:p w14:paraId="521CBACC">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30C7EAB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10个</w:t>
            </w:r>
          </w:p>
        </w:tc>
      </w:tr>
      <w:tr w14:paraId="2AC476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1C3413FD">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26</w:t>
            </w:r>
          </w:p>
        </w:tc>
        <w:tc>
          <w:tcPr>
            <w:tcW w:w="1399" w:type="pct"/>
            <w:vAlign w:val="center"/>
          </w:tcPr>
          <w:p w14:paraId="51DD9524">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吸附材料</w:t>
            </w:r>
          </w:p>
        </w:tc>
        <w:tc>
          <w:tcPr>
            <w:tcW w:w="1388" w:type="pct"/>
            <w:vAlign w:val="center"/>
          </w:tcPr>
          <w:p w14:paraId="11D0122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p>
        </w:tc>
        <w:tc>
          <w:tcPr>
            <w:tcW w:w="971" w:type="pct"/>
            <w:vAlign w:val="center"/>
          </w:tcPr>
          <w:p w14:paraId="6FD473F3">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7AAAD265">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140箱</w:t>
            </w:r>
          </w:p>
        </w:tc>
      </w:tr>
      <w:tr w14:paraId="069F9E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5350064D">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27</w:t>
            </w:r>
          </w:p>
        </w:tc>
        <w:tc>
          <w:tcPr>
            <w:tcW w:w="1399" w:type="pct"/>
            <w:vAlign w:val="center"/>
          </w:tcPr>
          <w:p w14:paraId="22057C6A">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吸油棉</w:t>
            </w:r>
          </w:p>
        </w:tc>
        <w:tc>
          <w:tcPr>
            <w:tcW w:w="1388" w:type="pct"/>
            <w:vAlign w:val="center"/>
          </w:tcPr>
          <w:p w14:paraId="71713554">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ACF-TM-500</w:t>
            </w:r>
          </w:p>
        </w:tc>
        <w:tc>
          <w:tcPr>
            <w:tcW w:w="971" w:type="pct"/>
            <w:vAlign w:val="center"/>
          </w:tcPr>
          <w:p w14:paraId="2583857C">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5D3CE6FC">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70箱</w:t>
            </w:r>
          </w:p>
        </w:tc>
      </w:tr>
      <w:tr w14:paraId="44E636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4193B85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28</w:t>
            </w:r>
          </w:p>
        </w:tc>
        <w:tc>
          <w:tcPr>
            <w:tcW w:w="1399" w:type="pct"/>
            <w:vAlign w:val="center"/>
          </w:tcPr>
          <w:p w14:paraId="3662A114">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吸附剂</w:t>
            </w:r>
          </w:p>
        </w:tc>
        <w:tc>
          <w:tcPr>
            <w:tcW w:w="1388" w:type="pct"/>
            <w:vAlign w:val="center"/>
          </w:tcPr>
          <w:p w14:paraId="00C612B3">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CF33</w:t>
            </w:r>
          </w:p>
        </w:tc>
        <w:tc>
          <w:tcPr>
            <w:tcW w:w="971" w:type="pct"/>
            <w:vAlign w:val="center"/>
          </w:tcPr>
          <w:p w14:paraId="587A3F5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0847FB3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80箱</w:t>
            </w:r>
          </w:p>
        </w:tc>
      </w:tr>
      <w:tr w14:paraId="2E24C4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672ECE9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29</w:t>
            </w:r>
          </w:p>
        </w:tc>
        <w:tc>
          <w:tcPr>
            <w:tcW w:w="1399" w:type="pct"/>
            <w:vAlign w:val="center"/>
          </w:tcPr>
          <w:p w14:paraId="78BD949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环保回收船</w:t>
            </w:r>
          </w:p>
        </w:tc>
        <w:tc>
          <w:tcPr>
            <w:tcW w:w="1388" w:type="pct"/>
            <w:vAlign w:val="center"/>
          </w:tcPr>
          <w:p w14:paraId="7DF03B5C">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3000P</w:t>
            </w:r>
          </w:p>
        </w:tc>
        <w:tc>
          <w:tcPr>
            <w:tcW w:w="971" w:type="pct"/>
            <w:vAlign w:val="center"/>
          </w:tcPr>
          <w:p w14:paraId="60367945">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轮驳公司码头</w:t>
            </w:r>
          </w:p>
        </w:tc>
        <w:tc>
          <w:tcPr>
            <w:tcW w:w="670" w:type="pct"/>
            <w:vAlign w:val="center"/>
          </w:tcPr>
          <w:p w14:paraId="00D71DD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1艘</w:t>
            </w:r>
          </w:p>
        </w:tc>
      </w:tr>
      <w:tr w14:paraId="2D05DE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18CD9321">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30</w:t>
            </w:r>
          </w:p>
        </w:tc>
        <w:tc>
          <w:tcPr>
            <w:tcW w:w="1399" w:type="pct"/>
            <w:vAlign w:val="center"/>
          </w:tcPr>
          <w:p w14:paraId="38E0432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消拖两用船</w:t>
            </w:r>
          </w:p>
        </w:tc>
        <w:tc>
          <w:tcPr>
            <w:tcW w:w="1388" w:type="pct"/>
            <w:vAlign w:val="center"/>
          </w:tcPr>
          <w:p w14:paraId="4A1BD4E1">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4000P</w:t>
            </w:r>
          </w:p>
        </w:tc>
        <w:tc>
          <w:tcPr>
            <w:tcW w:w="971" w:type="pct"/>
            <w:vAlign w:val="center"/>
          </w:tcPr>
          <w:p w14:paraId="551579D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轮驳公司码头</w:t>
            </w:r>
          </w:p>
        </w:tc>
        <w:tc>
          <w:tcPr>
            <w:tcW w:w="670" w:type="pct"/>
            <w:vAlign w:val="center"/>
          </w:tcPr>
          <w:p w14:paraId="0C7383CF">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2艘</w:t>
            </w:r>
          </w:p>
        </w:tc>
      </w:tr>
    </w:tbl>
    <w:p w14:paraId="647DA0A3">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中国石油广西石化公司消防队车辆配备一览表</w:t>
      </w:r>
    </w:p>
    <w:tbl>
      <w:tblPr>
        <w:tblStyle w:val="43"/>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39"/>
        <w:gridCol w:w="3825"/>
        <w:gridCol w:w="1059"/>
        <w:gridCol w:w="1004"/>
        <w:gridCol w:w="2344"/>
      </w:tblGrid>
      <w:tr w14:paraId="3C2453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711" w:type="dxa"/>
            <w:tcMar>
              <w:top w:w="17" w:type="dxa"/>
              <w:bottom w:w="17" w:type="dxa"/>
            </w:tcMar>
            <w:vAlign w:val="center"/>
          </w:tcPr>
          <w:p w14:paraId="381D7097">
            <w:pPr>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序号</w:t>
            </w:r>
          </w:p>
        </w:tc>
        <w:tc>
          <w:tcPr>
            <w:tcW w:w="3240" w:type="dxa"/>
            <w:tcMar>
              <w:top w:w="17" w:type="dxa"/>
              <w:bottom w:w="17" w:type="dxa"/>
            </w:tcMar>
            <w:vAlign w:val="center"/>
          </w:tcPr>
          <w:p w14:paraId="634F430D">
            <w:pPr>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车辆名称</w:t>
            </w:r>
          </w:p>
        </w:tc>
        <w:tc>
          <w:tcPr>
            <w:tcW w:w="897" w:type="dxa"/>
            <w:tcMar>
              <w:top w:w="17" w:type="dxa"/>
              <w:bottom w:w="17" w:type="dxa"/>
            </w:tcMar>
            <w:vAlign w:val="center"/>
          </w:tcPr>
          <w:p w14:paraId="03F5B48B">
            <w:pPr>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产地</w:t>
            </w:r>
          </w:p>
        </w:tc>
        <w:tc>
          <w:tcPr>
            <w:tcW w:w="850" w:type="dxa"/>
            <w:tcMar>
              <w:top w:w="17" w:type="dxa"/>
              <w:bottom w:w="17" w:type="dxa"/>
            </w:tcMar>
            <w:vAlign w:val="center"/>
          </w:tcPr>
          <w:p w14:paraId="252A9A8E">
            <w:pPr>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数量</w:t>
            </w:r>
          </w:p>
        </w:tc>
        <w:tc>
          <w:tcPr>
            <w:tcW w:w="1985" w:type="dxa"/>
            <w:tcMar>
              <w:top w:w="17" w:type="dxa"/>
              <w:bottom w:w="17" w:type="dxa"/>
            </w:tcMar>
            <w:vAlign w:val="center"/>
          </w:tcPr>
          <w:p w14:paraId="34A18D3C">
            <w:pPr>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灭火剂</w:t>
            </w:r>
          </w:p>
        </w:tc>
      </w:tr>
      <w:tr w14:paraId="36BDE3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00A34197">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3240" w:type="dxa"/>
            <w:tcMar>
              <w:top w:w="17" w:type="dxa"/>
              <w:bottom w:w="17" w:type="dxa"/>
            </w:tcMar>
            <w:vAlign w:val="center"/>
          </w:tcPr>
          <w:p w14:paraId="7EBADCA9">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42</w:t>
            </w:r>
            <w:r>
              <w:rPr>
                <w:rFonts w:hint="eastAsia"/>
                <w:color w:val="000000" w:themeColor="text1"/>
                <w:kern w:val="0"/>
                <w:sz w:val="21"/>
                <w:szCs w:val="21"/>
                <w14:textFill>
                  <w14:solidFill>
                    <w14:schemeClr w14:val="tx1"/>
                  </w14:solidFill>
                </w14:textFill>
              </w:rPr>
              <w:t>米曲直臂举高喷射消防车</w:t>
            </w:r>
          </w:p>
        </w:tc>
        <w:tc>
          <w:tcPr>
            <w:tcW w:w="897" w:type="dxa"/>
            <w:tcMar>
              <w:top w:w="17" w:type="dxa"/>
              <w:bottom w:w="17" w:type="dxa"/>
            </w:tcMar>
            <w:vAlign w:val="center"/>
          </w:tcPr>
          <w:p w14:paraId="0D27E457">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进口</w:t>
            </w:r>
          </w:p>
        </w:tc>
        <w:tc>
          <w:tcPr>
            <w:tcW w:w="850" w:type="dxa"/>
            <w:tcMar>
              <w:top w:w="17" w:type="dxa"/>
              <w:bottom w:w="17" w:type="dxa"/>
            </w:tcMar>
            <w:vAlign w:val="center"/>
          </w:tcPr>
          <w:p w14:paraId="676B3D56">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top w:w="17" w:type="dxa"/>
              <w:bottom w:w="17" w:type="dxa"/>
            </w:tcMar>
            <w:vAlign w:val="center"/>
          </w:tcPr>
          <w:p w14:paraId="1C7CE877">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泡沫和水各</w:t>
            </w:r>
            <w:r>
              <w:rPr>
                <w:color w:val="000000" w:themeColor="text1"/>
                <w:kern w:val="0"/>
                <w:sz w:val="21"/>
                <w:szCs w:val="21"/>
                <w14:textFill>
                  <w14:solidFill>
                    <w14:schemeClr w14:val="tx1"/>
                  </w14:solidFill>
                </w14:textFill>
              </w:rPr>
              <w:t>3</w:t>
            </w:r>
            <w:r>
              <w:rPr>
                <w:rFonts w:hint="eastAsia"/>
                <w:color w:val="000000" w:themeColor="text1"/>
                <w:kern w:val="0"/>
                <w:sz w:val="21"/>
                <w:szCs w:val="21"/>
                <w14:textFill>
                  <w14:solidFill>
                    <w14:schemeClr w14:val="tx1"/>
                  </w14:solidFill>
                </w14:textFill>
              </w:rPr>
              <w:t>吨</w:t>
            </w:r>
          </w:p>
        </w:tc>
      </w:tr>
      <w:tr w14:paraId="1326FB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2463F73C">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c>
          <w:tcPr>
            <w:tcW w:w="3240" w:type="dxa"/>
            <w:tcMar>
              <w:top w:w="17" w:type="dxa"/>
              <w:bottom w:w="17" w:type="dxa"/>
            </w:tcMar>
            <w:vAlign w:val="center"/>
          </w:tcPr>
          <w:p w14:paraId="73DB9B29">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重型泡沫消防车</w:t>
            </w:r>
          </w:p>
        </w:tc>
        <w:tc>
          <w:tcPr>
            <w:tcW w:w="897" w:type="dxa"/>
            <w:tcMar>
              <w:top w:w="17" w:type="dxa"/>
              <w:bottom w:w="17" w:type="dxa"/>
            </w:tcMar>
            <w:vAlign w:val="center"/>
          </w:tcPr>
          <w:p w14:paraId="4C7BC566">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进口</w:t>
            </w:r>
          </w:p>
        </w:tc>
        <w:tc>
          <w:tcPr>
            <w:tcW w:w="850" w:type="dxa"/>
            <w:tcMar>
              <w:top w:w="17" w:type="dxa"/>
              <w:bottom w:w="17" w:type="dxa"/>
            </w:tcMar>
            <w:vAlign w:val="center"/>
          </w:tcPr>
          <w:p w14:paraId="48A3B9FB">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c>
          <w:tcPr>
            <w:tcW w:w="1985" w:type="dxa"/>
            <w:tcMar>
              <w:top w:w="17" w:type="dxa"/>
              <w:bottom w:w="17" w:type="dxa"/>
            </w:tcMar>
            <w:vAlign w:val="center"/>
          </w:tcPr>
          <w:p w14:paraId="239171E8">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泡沫和水各</w:t>
            </w:r>
            <w:r>
              <w:rPr>
                <w:color w:val="000000" w:themeColor="text1"/>
                <w:kern w:val="0"/>
                <w:sz w:val="21"/>
                <w:szCs w:val="21"/>
                <w14:textFill>
                  <w14:solidFill>
                    <w14:schemeClr w14:val="tx1"/>
                  </w14:solidFill>
                </w14:textFill>
              </w:rPr>
              <w:t>6</w:t>
            </w:r>
            <w:r>
              <w:rPr>
                <w:rFonts w:hint="eastAsia"/>
                <w:color w:val="000000" w:themeColor="text1"/>
                <w:kern w:val="0"/>
                <w:sz w:val="21"/>
                <w:szCs w:val="21"/>
                <w14:textFill>
                  <w14:solidFill>
                    <w14:schemeClr w14:val="tx1"/>
                  </w14:solidFill>
                </w14:textFill>
              </w:rPr>
              <w:t>吨</w:t>
            </w:r>
          </w:p>
        </w:tc>
      </w:tr>
      <w:tr w14:paraId="387089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7983B122">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3240" w:type="dxa"/>
            <w:tcMar>
              <w:top w:w="17" w:type="dxa"/>
              <w:bottom w:w="17" w:type="dxa"/>
            </w:tcMar>
            <w:vAlign w:val="center"/>
          </w:tcPr>
          <w:p w14:paraId="79FAC8EE">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干粉车</w:t>
            </w:r>
          </w:p>
        </w:tc>
        <w:tc>
          <w:tcPr>
            <w:tcW w:w="897" w:type="dxa"/>
            <w:tcMar>
              <w:top w:w="17" w:type="dxa"/>
              <w:bottom w:w="17" w:type="dxa"/>
            </w:tcMar>
            <w:vAlign w:val="center"/>
          </w:tcPr>
          <w:p w14:paraId="44591749">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进口</w:t>
            </w:r>
          </w:p>
        </w:tc>
        <w:tc>
          <w:tcPr>
            <w:tcW w:w="850" w:type="dxa"/>
            <w:tcMar>
              <w:top w:w="17" w:type="dxa"/>
              <w:bottom w:w="17" w:type="dxa"/>
            </w:tcMar>
            <w:vAlign w:val="center"/>
          </w:tcPr>
          <w:p w14:paraId="7029F58C">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top w:w="17" w:type="dxa"/>
              <w:bottom w:w="17" w:type="dxa"/>
            </w:tcMar>
            <w:vAlign w:val="center"/>
          </w:tcPr>
          <w:p w14:paraId="4E89507D">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w:t>
            </w:r>
            <w:r>
              <w:rPr>
                <w:rFonts w:hint="eastAsia"/>
                <w:color w:val="000000" w:themeColor="text1"/>
                <w:kern w:val="0"/>
                <w:sz w:val="21"/>
                <w:szCs w:val="21"/>
                <w14:textFill>
                  <w14:solidFill>
                    <w14:schemeClr w14:val="tx1"/>
                  </w14:solidFill>
                </w14:textFill>
              </w:rPr>
              <w:t>吨干粉</w:t>
            </w:r>
          </w:p>
        </w:tc>
      </w:tr>
      <w:tr w14:paraId="4FD9D0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vAlign w:val="center"/>
          </w:tcPr>
          <w:p w14:paraId="5FA405F8">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w:t>
            </w:r>
          </w:p>
        </w:tc>
        <w:tc>
          <w:tcPr>
            <w:tcW w:w="3240" w:type="dxa"/>
            <w:tcMar>
              <w:left w:w="51" w:type="dxa"/>
              <w:right w:w="51" w:type="dxa"/>
            </w:tcMar>
            <w:vAlign w:val="center"/>
          </w:tcPr>
          <w:p w14:paraId="32102312">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32</w:t>
            </w:r>
            <w:r>
              <w:rPr>
                <w:rFonts w:hint="eastAsia"/>
                <w:color w:val="000000" w:themeColor="text1"/>
                <w:kern w:val="0"/>
                <w:sz w:val="21"/>
                <w:szCs w:val="21"/>
                <w14:textFill>
                  <w14:solidFill>
                    <w14:schemeClr w14:val="tx1"/>
                  </w14:solidFill>
                </w14:textFill>
              </w:rPr>
              <w:t>米举高喷射消防车</w:t>
            </w:r>
          </w:p>
        </w:tc>
        <w:tc>
          <w:tcPr>
            <w:tcW w:w="897" w:type="dxa"/>
            <w:tcMar>
              <w:left w:w="51" w:type="dxa"/>
              <w:right w:w="51" w:type="dxa"/>
            </w:tcMar>
            <w:vAlign w:val="center"/>
          </w:tcPr>
          <w:p w14:paraId="5C129063">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国产</w:t>
            </w:r>
          </w:p>
        </w:tc>
        <w:tc>
          <w:tcPr>
            <w:tcW w:w="850" w:type="dxa"/>
            <w:tcMar>
              <w:left w:w="51" w:type="dxa"/>
              <w:right w:w="51" w:type="dxa"/>
            </w:tcMar>
            <w:vAlign w:val="center"/>
          </w:tcPr>
          <w:p w14:paraId="727FB7AE">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left w:w="51" w:type="dxa"/>
              <w:right w:w="51" w:type="dxa"/>
            </w:tcMar>
            <w:vAlign w:val="center"/>
          </w:tcPr>
          <w:p w14:paraId="01301691">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泡沫和水各</w:t>
            </w:r>
            <w:r>
              <w:rPr>
                <w:color w:val="000000" w:themeColor="text1"/>
                <w:kern w:val="0"/>
                <w:sz w:val="21"/>
                <w:szCs w:val="21"/>
                <w14:textFill>
                  <w14:solidFill>
                    <w14:schemeClr w14:val="tx1"/>
                  </w14:solidFill>
                </w14:textFill>
              </w:rPr>
              <w:t>3</w:t>
            </w:r>
            <w:r>
              <w:rPr>
                <w:rFonts w:hint="eastAsia"/>
                <w:color w:val="000000" w:themeColor="text1"/>
                <w:kern w:val="0"/>
                <w:sz w:val="21"/>
                <w:szCs w:val="21"/>
                <w14:textFill>
                  <w14:solidFill>
                    <w14:schemeClr w14:val="tx1"/>
                  </w14:solidFill>
                </w14:textFill>
              </w:rPr>
              <w:t>吨</w:t>
            </w:r>
          </w:p>
        </w:tc>
      </w:tr>
      <w:tr w14:paraId="01E916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39ED5A29">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w:t>
            </w:r>
          </w:p>
        </w:tc>
        <w:tc>
          <w:tcPr>
            <w:tcW w:w="3240" w:type="dxa"/>
            <w:tcMar>
              <w:top w:w="17" w:type="dxa"/>
              <w:bottom w:w="17" w:type="dxa"/>
            </w:tcMar>
            <w:vAlign w:val="center"/>
          </w:tcPr>
          <w:p w14:paraId="1D32038A">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重型泡沫消防车</w:t>
            </w:r>
          </w:p>
        </w:tc>
        <w:tc>
          <w:tcPr>
            <w:tcW w:w="897" w:type="dxa"/>
            <w:tcMar>
              <w:top w:w="17" w:type="dxa"/>
              <w:bottom w:w="17" w:type="dxa"/>
            </w:tcMar>
            <w:vAlign w:val="center"/>
          </w:tcPr>
          <w:p w14:paraId="48518FA1">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国产</w:t>
            </w:r>
          </w:p>
        </w:tc>
        <w:tc>
          <w:tcPr>
            <w:tcW w:w="850" w:type="dxa"/>
            <w:tcMar>
              <w:top w:w="17" w:type="dxa"/>
              <w:bottom w:w="17" w:type="dxa"/>
            </w:tcMar>
            <w:vAlign w:val="center"/>
          </w:tcPr>
          <w:p w14:paraId="0BCFD039">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c>
          <w:tcPr>
            <w:tcW w:w="1985" w:type="dxa"/>
            <w:tcMar>
              <w:top w:w="17" w:type="dxa"/>
              <w:left w:w="45" w:type="dxa"/>
              <w:bottom w:w="17" w:type="dxa"/>
              <w:right w:w="45" w:type="dxa"/>
            </w:tcMar>
            <w:vAlign w:val="center"/>
          </w:tcPr>
          <w:p w14:paraId="06E27444">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泡沫和水各</w:t>
            </w:r>
            <w:r>
              <w:rPr>
                <w:color w:val="000000" w:themeColor="text1"/>
                <w:kern w:val="0"/>
                <w:sz w:val="21"/>
                <w:szCs w:val="21"/>
                <w14:textFill>
                  <w14:solidFill>
                    <w14:schemeClr w14:val="tx1"/>
                  </w14:solidFill>
                </w14:textFill>
              </w:rPr>
              <w:t>6</w:t>
            </w:r>
            <w:r>
              <w:rPr>
                <w:rFonts w:hint="eastAsia"/>
                <w:color w:val="000000" w:themeColor="text1"/>
                <w:kern w:val="0"/>
                <w:sz w:val="21"/>
                <w:szCs w:val="21"/>
                <w14:textFill>
                  <w14:solidFill>
                    <w14:schemeClr w14:val="tx1"/>
                  </w14:solidFill>
                </w14:textFill>
              </w:rPr>
              <w:t>吨</w:t>
            </w:r>
          </w:p>
        </w:tc>
      </w:tr>
      <w:tr w14:paraId="66C5B3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466DDF11">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w:t>
            </w:r>
          </w:p>
        </w:tc>
        <w:tc>
          <w:tcPr>
            <w:tcW w:w="3240" w:type="dxa"/>
            <w:tcMar>
              <w:top w:w="17" w:type="dxa"/>
              <w:bottom w:w="17" w:type="dxa"/>
            </w:tcMar>
            <w:vAlign w:val="center"/>
          </w:tcPr>
          <w:p w14:paraId="6DE81EE1">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干粉</w:t>
            </w:r>
            <w:r>
              <w:rPr>
                <w:color w:val="000000" w:themeColor="text1"/>
                <w:kern w:val="0"/>
                <w:sz w:val="21"/>
                <w:szCs w:val="21"/>
                <w14:textFill>
                  <w14:solidFill>
                    <w14:schemeClr w14:val="tx1"/>
                  </w14:solidFill>
                </w14:textFill>
              </w:rPr>
              <w:t>/</w:t>
            </w:r>
            <w:r>
              <w:rPr>
                <w:rFonts w:hint="eastAsia"/>
                <w:color w:val="000000" w:themeColor="text1"/>
                <w:kern w:val="0"/>
                <w:sz w:val="21"/>
                <w:szCs w:val="21"/>
                <w14:textFill>
                  <w14:solidFill>
                    <w14:schemeClr w14:val="tx1"/>
                  </w14:solidFill>
                </w14:textFill>
              </w:rPr>
              <w:t>泡沫联用车</w:t>
            </w:r>
          </w:p>
        </w:tc>
        <w:tc>
          <w:tcPr>
            <w:tcW w:w="897" w:type="dxa"/>
            <w:tcMar>
              <w:top w:w="17" w:type="dxa"/>
              <w:bottom w:w="17" w:type="dxa"/>
            </w:tcMar>
            <w:vAlign w:val="center"/>
          </w:tcPr>
          <w:p w14:paraId="2288C841">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国产</w:t>
            </w:r>
          </w:p>
        </w:tc>
        <w:tc>
          <w:tcPr>
            <w:tcW w:w="850" w:type="dxa"/>
            <w:tcMar>
              <w:top w:w="17" w:type="dxa"/>
              <w:bottom w:w="17" w:type="dxa"/>
            </w:tcMar>
            <w:vAlign w:val="center"/>
          </w:tcPr>
          <w:p w14:paraId="10994933">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top w:w="17" w:type="dxa"/>
              <w:bottom w:w="17" w:type="dxa"/>
            </w:tcMar>
            <w:vAlign w:val="center"/>
          </w:tcPr>
          <w:p w14:paraId="2C9692C0">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干粉、泡沫和水各</w:t>
            </w:r>
            <w:r>
              <w:rPr>
                <w:color w:val="000000" w:themeColor="text1"/>
                <w:kern w:val="0"/>
                <w:sz w:val="21"/>
                <w:szCs w:val="21"/>
                <w14:textFill>
                  <w14:solidFill>
                    <w14:schemeClr w14:val="tx1"/>
                  </w14:solidFill>
                </w14:textFill>
              </w:rPr>
              <w:t>3</w:t>
            </w:r>
            <w:r>
              <w:rPr>
                <w:rFonts w:hint="eastAsia"/>
                <w:color w:val="000000" w:themeColor="text1"/>
                <w:kern w:val="0"/>
                <w:sz w:val="21"/>
                <w:szCs w:val="21"/>
                <w14:textFill>
                  <w14:solidFill>
                    <w14:schemeClr w14:val="tx1"/>
                  </w14:solidFill>
                </w14:textFill>
              </w:rPr>
              <w:t>吨</w:t>
            </w:r>
          </w:p>
        </w:tc>
      </w:tr>
      <w:tr w14:paraId="167A4E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0D96CCDC">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w:t>
            </w:r>
          </w:p>
        </w:tc>
        <w:tc>
          <w:tcPr>
            <w:tcW w:w="3240" w:type="dxa"/>
            <w:tcMar>
              <w:top w:w="17" w:type="dxa"/>
              <w:bottom w:w="17" w:type="dxa"/>
            </w:tcMar>
            <w:vAlign w:val="center"/>
          </w:tcPr>
          <w:p w14:paraId="79C004AC">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抢险救援车</w:t>
            </w:r>
          </w:p>
        </w:tc>
        <w:tc>
          <w:tcPr>
            <w:tcW w:w="897" w:type="dxa"/>
            <w:tcMar>
              <w:top w:w="17" w:type="dxa"/>
              <w:bottom w:w="17" w:type="dxa"/>
            </w:tcMar>
            <w:vAlign w:val="center"/>
          </w:tcPr>
          <w:p w14:paraId="771C3FBD">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国产</w:t>
            </w:r>
          </w:p>
        </w:tc>
        <w:tc>
          <w:tcPr>
            <w:tcW w:w="850" w:type="dxa"/>
            <w:tcMar>
              <w:top w:w="17" w:type="dxa"/>
              <w:bottom w:w="17" w:type="dxa"/>
            </w:tcMar>
            <w:vAlign w:val="center"/>
          </w:tcPr>
          <w:p w14:paraId="50782AB6">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top w:w="17" w:type="dxa"/>
              <w:bottom w:w="17" w:type="dxa"/>
            </w:tcMar>
            <w:vAlign w:val="center"/>
          </w:tcPr>
          <w:p w14:paraId="213F9566">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p>
        </w:tc>
      </w:tr>
      <w:tr w14:paraId="702A90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02622F01">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w:t>
            </w:r>
          </w:p>
        </w:tc>
        <w:tc>
          <w:tcPr>
            <w:tcW w:w="3240" w:type="dxa"/>
            <w:tcMar>
              <w:top w:w="17" w:type="dxa"/>
              <w:bottom w:w="17" w:type="dxa"/>
            </w:tcMar>
            <w:vAlign w:val="center"/>
          </w:tcPr>
          <w:p w14:paraId="7CF0FED9">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大型通信指挥车</w:t>
            </w:r>
          </w:p>
        </w:tc>
        <w:tc>
          <w:tcPr>
            <w:tcW w:w="897" w:type="dxa"/>
            <w:tcMar>
              <w:top w:w="17" w:type="dxa"/>
              <w:bottom w:w="17" w:type="dxa"/>
            </w:tcMar>
            <w:vAlign w:val="center"/>
          </w:tcPr>
          <w:p w14:paraId="56D2CA15">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国产</w:t>
            </w:r>
          </w:p>
        </w:tc>
        <w:tc>
          <w:tcPr>
            <w:tcW w:w="850" w:type="dxa"/>
            <w:tcMar>
              <w:top w:w="17" w:type="dxa"/>
              <w:bottom w:w="17" w:type="dxa"/>
            </w:tcMar>
            <w:vAlign w:val="center"/>
          </w:tcPr>
          <w:p w14:paraId="07D6D077">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top w:w="17" w:type="dxa"/>
              <w:bottom w:w="17" w:type="dxa"/>
            </w:tcMar>
            <w:vAlign w:val="center"/>
          </w:tcPr>
          <w:p w14:paraId="14532751">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p>
        </w:tc>
      </w:tr>
      <w:tr w14:paraId="74D7D5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30C8A718">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w:t>
            </w:r>
          </w:p>
        </w:tc>
        <w:tc>
          <w:tcPr>
            <w:tcW w:w="3240" w:type="dxa"/>
            <w:tcMar>
              <w:top w:w="17" w:type="dxa"/>
              <w:bottom w:w="17" w:type="dxa"/>
            </w:tcMar>
            <w:vAlign w:val="center"/>
          </w:tcPr>
          <w:p w14:paraId="5B36E345">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气防车</w:t>
            </w:r>
          </w:p>
        </w:tc>
        <w:tc>
          <w:tcPr>
            <w:tcW w:w="897" w:type="dxa"/>
            <w:tcMar>
              <w:top w:w="17" w:type="dxa"/>
              <w:bottom w:w="17" w:type="dxa"/>
            </w:tcMar>
            <w:vAlign w:val="center"/>
          </w:tcPr>
          <w:p w14:paraId="30FDA3DC">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国产</w:t>
            </w:r>
          </w:p>
        </w:tc>
        <w:tc>
          <w:tcPr>
            <w:tcW w:w="850" w:type="dxa"/>
            <w:tcMar>
              <w:top w:w="17" w:type="dxa"/>
              <w:bottom w:w="17" w:type="dxa"/>
            </w:tcMar>
            <w:vAlign w:val="center"/>
          </w:tcPr>
          <w:p w14:paraId="45A154D1">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top w:w="17" w:type="dxa"/>
              <w:bottom w:w="17" w:type="dxa"/>
            </w:tcMar>
            <w:vAlign w:val="center"/>
          </w:tcPr>
          <w:p w14:paraId="5A9BF054">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p>
        </w:tc>
      </w:tr>
      <w:tr w14:paraId="21026A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761B4A93">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3240" w:type="dxa"/>
            <w:tcMar>
              <w:top w:w="17" w:type="dxa"/>
              <w:bottom w:w="17" w:type="dxa"/>
            </w:tcMar>
            <w:vAlign w:val="center"/>
          </w:tcPr>
          <w:p w14:paraId="3260BADE">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w:t>
            </w:r>
            <w:r>
              <w:rPr>
                <w:rFonts w:hint="eastAsia"/>
                <w:color w:val="000000" w:themeColor="text1"/>
                <w:kern w:val="0"/>
                <w:sz w:val="21"/>
                <w:szCs w:val="21"/>
                <w14:textFill>
                  <w14:solidFill>
                    <w14:schemeClr w14:val="tx1"/>
                  </w14:solidFill>
                </w14:textFill>
              </w:rPr>
              <w:t>米举高喷射消防车</w:t>
            </w:r>
          </w:p>
        </w:tc>
        <w:tc>
          <w:tcPr>
            <w:tcW w:w="897" w:type="dxa"/>
            <w:tcMar>
              <w:top w:w="17" w:type="dxa"/>
              <w:bottom w:w="17" w:type="dxa"/>
            </w:tcMar>
            <w:vAlign w:val="center"/>
          </w:tcPr>
          <w:p w14:paraId="25707198">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国产</w:t>
            </w:r>
          </w:p>
        </w:tc>
        <w:tc>
          <w:tcPr>
            <w:tcW w:w="850" w:type="dxa"/>
            <w:tcMar>
              <w:top w:w="17" w:type="dxa"/>
              <w:bottom w:w="17" w:type="dxa"/>
            </w:tcMar>
            <w:vAlign w:val="center"/>
          </w:tcPr>
          <w:p w14:paraId="5D94AE3A">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top w:w="17" w:type="dxa"/>
              <w:bottom w:w="17" w:type="dxa"/>
            </w:tcMar>
            <w:vAlign w:val="center"/>
          </w:tcPr>
          <w:p w14:paraId="7644398D">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p>
        </w:tc>
      </w:tr>
      <w:tr w14:paraId="51030A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3BC2EAA8">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w:t>
            </w:r>
          </w:p>
        </w:tc>
        <w:tc>
          <w:tcPr>
            <w:tcW w:w="3240" w:type="dxa"/>
            <w:tcMar>
              <w:top w:w="17" w:type="dxa"/>
              <w:bottom w:w="17" w:type="dxa"/>
            </w:tcMar>
            <w:vAlign w:val="center"/>
          </w:tcPr>
          <w:p w14:paraId="74B46BCC">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56</w:t>
            </w:r>
            <w:r>
              <w:rPr>
                <w:rFonts w:hint="eastAsia"/>
                <w:color w:val="000000" w:themeColor="text1"/>
                <w:kern w:val="0"/>
                <w:sz w:val="21"/>
                <w:szCs w:val="21"/>
                <w14:textFill>
                  <w14:solidFill>
                    <w14:schemeClr w14:val="tx1"/>
                  </w14:solidFill>
                </w14:textFill>
              </w:rPr>
              <w:t>米举高喷射消防车</w:t>
            </w:r>
          </w:p>
        </w:tc>
        <w:tc>
          <w:tcPr>
            <w:tcW w:w="897" w:type="dxa"/>
            <w:tcMar>
              <w:top w:w="17" w:type="dxa"/>
              <w:bottom w:w="17" w:type="dxa"/>
            </w:tcMar>
            <w:vAlign w:val="center"/>
          </w:tcPr>
          <w:p w14:paraId="5F61BBFD">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国产</w:t>
            </w:r>
          </w:p>
        </w:tc>
        <w:tc>
          <w:tcPr>
            <w:tcW w:w="850" w:type="dxa"/>
            <w:tcMar>
              <w:top w:w="17" w:type="dxa"/>
              <w:bottom w:w="17" w:type="dxa"/>
            </w:tcMar>
            <w:vAlign w:val="center"/>
          </w:tcPr>
          <w:p w14:paraId="051D97FF">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top w:w="17" w:type="dxa"/>
              <w:bottom w:w="17" w:type="dxa"/>
            </w:tcMar>
            <w:vAlign w:val="center"/>
          </w:tcPr>
          <w:p w14:paraId="13547180">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p>
        </w:tc>
      </w:tr>
      <w:tr w14:paraId="66C45B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1B53B6B7">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w:t>
            </w:r>
          </w:p>
        </w:tc>
        <w:tc>
          <w:tcPr>
            <w:tcW w:w="3240" w:type="dxa"/>
            <w:tcMar>
              <w:top w:w="17" w:type="dxa"/>
              <w:bottom w:w="17" w:type="dxa"/>
            </w:tcMar>
            <w:vAlign w:val="center"/>
          </w:tcPr>
          <w:p w14:paraId="3321F5F2">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JP18</w:t>
            </w:r>
            <w:r>
              <w:rPr>
                <w:rFonts w:hint="eastAsia"/>
                <w:color w:val="000000" w:themeColor="text1"/>
                <w:kern w:val="0"/>
                <w:sz w:val="21"/>
                <w:szCs w:val="21"/>
                <w14:textFill>
                  <w14:solidFill>
                    <w14:schemeClr w14:val="tx1"/>
                  </w14:solidFill>
                </w14:textFill>
              </w:rPr>
              <w:t>高喷消防车</w:t>
            </w:r>
          </w:p>
        </w:tc>
        <w:tc>
          <w:tcPr>
            <w:tcW w:w="897" w:type="dxa"/>
            <w:tcMar>
              <w:top w:w="17" w:type="dxa"/>
              <w:bottom w:w="17" w:type="dxa"/>
            </w:tcMar>
            <w:vAlign w:val="center"/>
          </w:tcPr>
          <w:p w14:paraId="35F9A8FA">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国产</w:t>
            </w:r>
          </w:p>
        </w:tc>
        <w:tc>
          <w:tcPr>
            <w:tcW w:w="850" w:type="dxa"/>
            <w:tcMar>
              <w:top w:w="17" w:type="dxa"/>
              <w:bottom w:w="17" w:type="dxa"/>
            </w:tcMar>
            <w:vAlign w:val="center"/>
          </w:tcPr>
          <w:p w14:paraId="389B05ED">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top w:w="17" w:type="dxa"/>
              <w:bottom w:w="17" w:type="dxa"/>
            </w:tcMar>
            <w:vAlign w:val="center"/>
          </w:tcPr>
          <w:p w14:paraId="0215E9A6">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p>
        </w:tc>
      </w:tr>
      <w:tr w14:paraId="2C5E1B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0CDD3AA9">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w:t>
            </w:r>
          </w:p>
        </w:tc>
        <w:tc>
          <w:tcPr>
            <w:tcW w:w="3240" w:type="dxa"/>
            <w:tcMar>
              <w:top w:w="17" w:type="dxa"/>
              <w:bottom w:w="17" w:type="dxa"/>
            </w:tcMar>
            <w:vAlign w:val="center"/>
          </w:tcPr>
          <w:p w14:paraId="2AC81F3B">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雷达通讯车</w:t>
            </w:r>
          </w:p>
        </w:tc>
        <w:tc>
          <w:tcPr>
            <w:tcW w:w="897" w:type="dxa"/>
            <w:tcMar>
              <w:top w:w="17" w:type="dxa"/>
              <w:bottom w:w="17" w:type="dxa"/>
            </w:tcMar>
            <w:vAlign w:val="center"/>
          </w:tcPr>
          <w:p w14:paraId="5AF0C0D8">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国产</w:t>
            </w:r>
          </w:p>
        </w:tc>
        <w:tc>
          <w:tcPr>
            <w:tcW w:w="850" w:type="dxa"/>
            <w:tcMar>
              <w:top w:w="17" w:type="dxa"/>
              <w:bottom w:w="17" w:type="dxa"/>
            </w:tcMar>
            <w:vAlign w:val="center"/>
          </w:tcPr>
          <w:p w14:paraId="2D98ED94">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top w:w="17" w:type="dxa"/>
              <w:bottom w:w="17" w:type="dxa"/>
            </w:tcMar>
            <w:vAlign w:val="center"/>
          </w:tcPr>
          <w:p w14:paraId="286D5476">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p>
        </w:tc>
      </w:tr>
      <w:tr w14:paraId="37192A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49CFE730">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w:t>
            </w:r>
          </w:p>
        </w:tc>
        <w:tc>
          <w:tcPr>
            <w:tcW w:w="3240" w:type="dxa"/>
            <w:tcMar>
              <w:top w:w="17" w:type="dxa"/>
              <w:bottom w:w="17" w:type="dxa"/>
            </w:tcMar>
            <w:vAlign w:val="center"/>
          </w:tcPr>
          <w:p w14:paraId="10389470">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涡喷消防车</w:t>
            </w:r>
          </w:p>
        </w:tc>
        <w:tc>
          <w:tcPr>
            <w:tcW w:w="897" w:type="dxa"/>
            <w:tcMar>
              <w:top w:w="17" w:type="dxa"/>
              <w:bottom w:w="17" w:type="dxa"/>
            </w:tcMar>
            <w:vAlign w:val="center"/>
          </w:tcPr>
          <w:p w14:paraId="1FC76D90">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国产</w:t>
            </w:r>
          </w:p>
        </w:tc>
        <w:tc>
          <w:tcPr>
            <w:tcW w:w="850" w:type="dxa"/>
            <w:tcMar>
              <w:top w:w="17" w:type="dxa"/>
              <w:bottom w:w="17" w:type="dxa"/>
            </w:tcMar>
            <w:vAlign w:val="center"/>
          </w:tcPr>
          <w:p w14:paraId="028CFEAA">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top w:w="17" w:type="dxa"/>
              <w:bottom w:w="17" w:type="dxa"/>
            </w:tcMar>
            <w:vAlign w:val="center"/>
          </w:tcPr>
          <w:p w14:paraId="44D1CED7">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p>
        </w:tc>
      </w:tr>
      <w:tr w14:paraId="2FED0C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664013CD">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w:t>
            </w:r>
          </w:p>
        </w:tc>
        <w:tc>
          <w:tcPr>
            <w:tcW w:w="3240" w:type="dxa"/>
            <w:tcMar>
              <w:top w:w="17" w:type="dxa"/>
              <w:bottom w:w="17" w:type="dxa"/>
            </w:tcMar>
            <w:vAlign w:val="center"/>
          </w:tcPr>
          <w:p w14:paraId="60D32A6C">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移动供气消防车</w:t>
            </w:r>
          </w:p>
        </w:tc>
        <w:tc>
          <w:tcPr>
            <w:tcW w:w="897" w:type="dxa"/>
            <w:tcMar>
              <w:top w:w="17" w:type="dxa"/>
              <w:bottom w:w="17" w:type="dxa"/>
            </w:tcMar>
            <w:vAlign w:val="center"/>
          </w:tcPr>
          <w:p w14:paraId="65B334D1">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国产</w:t>
            </w:r>
          </w:p>
        </w:tc>
        <w:tc>
          <w:tcPr>
            <w:tcW w:w="850" w:type="dxa"/>
            <w:tcMar>
              <w:top w:w="17" w:type="dxa"/>
              <w:bottom w:w="17" w:type="dxa"/>
            </w:tcMar>
            <w:vAlign w:val="center"/>
          </w:tcPr>
          <w:p w14:paraId="38271704">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top w:w="17" w:type="dxa"/>
              <w:bottom w:w="17" w:type="dxa"/>
            </w:tcMar>
            <w:vAlign w:val="center"/>
          </w:tcPr>
          <w:p w14:paraId="31FD74CA">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p>
        </w:tc>
      </w:tr>
    </w:tbl>
    <w:p w14:paraId="215428D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（2）广西广明码头仓储有限公司</w:t>
      </w:r>
    </w:p>
    <w:p w14:paraId="055E237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广西广明码头仓储有限公司应急资源情况详见表5.7-6所示。</w:t>
      </w:r>
    </w:p>
    <w:p w14:paraId="14C03DCA">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广西广明码头仓储有限公司应急资源表</w:t>
      </w:r>
    </w:p>
    <w:tbl>
      <w:tblPr>
        <w:tblStyle w:val="43"/>
        <w:tblW w:w="9074" w:type="dxa"/>
        <w:tblInd w:w="23"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3" w:type="dxa"/>
          <w:bottom w:w="0" w:type="dxa"/>
          <w:right w:w="23" w:type="dxa"/>
        </w:tblCellMar>
      </w:tblPr>
      <w:tblGrid>
        <w:gridCol w:w="770"/>
        <w:gridCol w:w="1548"/>
        <w:gridCol w:w="1475"/>
        <w:gridCol w:w="701"/>
        <w:gridCol w:w="755"/>
        <w:gridCol w:w="1586"/>
        <w:gridCol w:w="1050"/>
        <w:gridCol w:w="1189"/>
      </w:tblGrid>
      <w:tr w14:paraId="56BBA6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584" w:hRule="atLeast"/>
          <w:tblHeader/>
        </w:trPr>
        <w:tc>
          <w:tcPr>
            <w:tcW w:w="770" w:type="dxa"/>
            <w:noWrap/>
            <w:vAlign w:val="center"/>
          </w:tcPr>
          <w:p w14:paraId="22E0AA59">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序号</w:t>
            </w:r>
          </w:p>
        </w:tc>
        <w:tc>
          <w:tcPr>
            <w:tcW w:w="1548" w:type="dxa"/>
            <w:noWrap/>
            <w:vAlign w:val="center"/>
          </w:tcPr>
          <w:p w14:paraId="4D7957FA">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设备或物质名称</w:t>
            </w:r>
          </w:p>
        </w:tc>
        <w:tc>
          <w:tcPr>
            <w:tcW w:w="1475" w:type="dxa"/>
            <w:noWrap/>
            <w:vAlign w:val="center"/>
          </w:tcPr>
          <w:p w14:paraId="5A22D231">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规格型号</w:t>
            </w:r>
          </w:p>
        </w:tc>
        <w:tc>
          <w:tcPr>
            <w:tcW w:w="701" w:type="dxa"/>
            <w:noWrap/>
            <w:vAlign w:val="center"/>
          </w:tcPr>
          <w:p w14:paraId="04A2CA4C">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单位</w:t>
            </w:r>
          </w:p>
        </w:tc>
        <w:tc>
          <w:tcPr>
            <w:tcW w:w="755" w:type="dxa"/>
            <w:noWrap/>
            <w:vAlign w:val="center"/>
          </w:tcPr>
          <w:p w14:paraId="0072527A">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数量</w:t>
            </w:r>
          </w:p>
        </w:tc>
        <w:tc>
          <w:tcPr>
            <w:tcW w:w="1586" w:type="dxa"/>
            <w:noWrap/>
            <w:vAlign w:val="center"/>
          </w:tcPr>
          <w:p w14:paraId="0FBAF03B">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用途</w:t>
            </w:r>
          </w:p>
        </w:tc>
        <w:tc>
          <w:tcPr>
            <w:tcW w:w="1050" w:type="dxa"/>
            <w:vAlign w:val="center"/>
          </w:tcPr>
          <w:p w14:paraId="34B6356E">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使用状况</w:t>
            </w:r>
          </w:p>
        </w:tc>
        <w:tc>
          <w:tcPr>
            <w:tcW w:w="1189" w:type="dxa"/>
            <w:vAlign w:val="center"/>
          </w:tcPr>
          <w:p w14:paraId="2C03BFCB">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储备场所</w:t>
            </w:r>
          </w:p>
        </w:tc>
      </w:tr>
      <w:tr w14:paraId="277964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3D99D66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548" w:type="dxa"/>
            <w:noWrap/>
            <w:vAlign w:val="center"/>
          </w:tcPr>
          <w:p w14:paraId="4EAFD5A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水枪头</w:t>
            </w:r>
          </w:p>
        </w:tc>
        <w:tc>
          <w:tcPr>
            <w:tcW w:w="1475" w:type="dxa"/>
            <w:noWrap/>
            <w:vAlign w:val="center"/>
          </w:tcPr>
          <w:p w14:paraId="5F6129D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直流/喷雾两用</w:t>
            </w:r>
          </w:p>
        </w:tc>
        <w:tc>
          <w:tcPr>
            <w:tcW w:w="701" w:type="dxa"/>
            <w:noWrap/>
            <w:vAlign w:val="center"/>
          </w:tcPr>
          <w:p w14:paraId="79AD215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支</w:t>
            </w:r>
          </w:p>
        </w:tc>
        <w:tc>
          <w:tcPr>
            <w:tcW w:w="755" w:type="dxa"/>
            <w:noWrap/>
            <w:vAlign w:val="center"/>
          </w:tcPr>
          <w:p w14:paraId="3C0FE68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586" w:type="dxa"/>
            <w:noWrap/>
            <w:vAlign w:val="center"/>
          </w:tcPr>
          <w:p w14:paraId="2794D38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679D166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581BE80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01B644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612BAEA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548" w:type="dxa"/>
            <w:noWrap/>
            <w:vAlign w:val="center"/>
          </w:tcPr>
          <w:p w14:paraId="310A4BB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消防水带</w:t>
            </w:r>
          </w:p>
        </w:tc>
        <w:tc>
          <w:tcPr>
            <w:tcW w:w="1475" w:type="dxa"/>
            <w:noWrap/>
            <w:vAlign w:val="center"/>
          </w:tcPr>
          <w:p w14:paraId="55C113C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16型-DN65-20米</w:t>
            </w:r>
          </w:p>
        </w:tc>
        <w:tc>
          <w:tcPr>
            <w:tcW w:w="701" w:type="dxa"/>
            <w:noWrap/>
            <w:vAlign w:val="center"/>
          </w:tcPr>
          <w:p w14:paraId="57A9FA4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盘</w:t>
            </w:r>
          </w:p>
        </w:tc>
        <w:tc>
          <w:tcPr>
            <w:tcW w:w="755" w:type="dxa"/>
            <w:noWrap/>
            <w:vAlign w:val="center"/>
          </w:tcPr>
          <w:p w14:paraId="28AA63E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586" w:type="dxa"/>
            <w:noWrap/>
            <w:vAlign w:val="center"/>
          </w:tcPr>
          <w:p w14:paraId="25FFB62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3BF26FE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6D3E2BC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2D74AC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01E7377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1548" w:type="dxa"/>
            <w:noWrap/>
            <w:vAlign w:val="center"/>
          </w:tcPr>
          <w:p w14:paraId="30B7B67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外线电话</w:t>
            </w:r>
          </w:p>
        </w:tc>
        <w:tc>
          <w:tcPr>
            <w:tcW w:w="1475" w:type="dxa"/>
            <w:noWrap/>
            <w:vAlign w:val="center"/>
          </w:tcPr>
          <w:p w14:paraId="27368DA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录音功能</w:t>
            </w:r>
          </w:p>
        </w:tc>
        <w:tc>
          <w:tcPr>
            <w:tcW w:w="701" w:type="dxa"/>
            <w:noWrap/>
            <w:vAlign w:val="center"/>
          </w:tcPr>
          <w:p w14:paraId="249CDFA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755" w:type="dxa"/>
            <w:noWrap/>
            <w:vAlign w:val="center"/>
          </w:tcPr>
          <w:p w14:paraId="44FFCC8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586" w:type="dxa"/>
            <w:noWrap/>
            <w:vAlign w:val="center"/>
          </w:tcPr>
          <w:p w14:paraId="1B51BDD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应急联络</w:t>
            </w:r>
          </w:p>
        </w:tc>
        <w:tc>
          <w:tcPr>
            <w:tcW w:w="1050" w:type="dxa"/>
            <w:noWrap/>
            <w:vAlign w:val="center"/>
          </w:tcPr>
          <w:p w14:paraId="026E373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16EEF3B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3121C3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4DB29CF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p>
        </w:tc>
        <w:tc>
          <w:tcPr>
            <w:tcW w:w="1548" w:type="dxa"/>
            <w:noWrap/>
            <w:vAlign w:val="center"/>
          </w:tcPr>
          <w:p w14:paraId="0DA2C36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手持对讲机</w:t>
            </w:r>
          </w:p>
        </w:tc>
        <w:tc>
          <w:tcPr>
            <w:tcW w:w="1475" w:type="dxa"/>
            <w:noWrap/>
            <w:vAlign w:val="center"/>
          </w:tcPr>
          <w:p w14:paraId="2C7A7E7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摩托罗拉GB328</w:t>
            </w:r>
          </w:p>
        </w:tc>
        <w:tc>
          <w:tcPr>
            <w:tcW w:w="701" w:type="dxa"/>
            <w:noWrap/>
            <w:vAlign w:val="center"/>
          </w:tcPr>
          <w:p w14:paraId="159C6BC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755" w:type="dxa"/>
            <w:noWrap/>
            <w:vAlign w:val="center"/>
          </w:tcPr>
          <w:p w14:paraId="20BF68E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586" w:type="dxa"/>
            <w:noWrap/>
            <w:vAlign w:val="center"/>
          </w:tcPr>
          <w:p w14:paraId="69D4AA2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应急联络</w:t>
            </w:r>
          </w:p>
        </w:tc>
        <w:tc>
          <w:tcPr>
            <w:tcW w:w="1050" w:type="dxa"/>
            <w:noWrap/>
            <w:vAlign w:val="center"/>
          </w:tcPr>
          <w:p w14:paraId="52E9F61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6D52B80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67F54D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244B51F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548" w:type="dxa"/>
            <w:noWrap/>
            <w:vAlign w:val="center"/>
          </w:tcPr>
          <w:p w14:paraId="3B296A8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防爆手电筒</w:t>
            </w:r>
          </w:p>
        </w:tc>
        <w:tc>
          <w:tcPr>
            <w:tcW w:w="1475" w:type="dxa"/>
            <w:noWrap/>
            <w:vAlign w:val="center"/>
          </w:tcPr>
          <w:p w14:paraId="344B285E">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73FE169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支</w:t>
            </w:r>
          </w:p>
        </w:tc>
        <w:tc>
          <w:tcPr>
            <w:tcW w:w="755" w:type="dxa"/>
            <w:noWrap/>
            <w:vAlign w:val="center"/>
          </w:tcPr>
          <w:p w14:paraId="1CE43BC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586" w:type="dxa"/>
            <w:noWrap/>
            <w:vAlign w:val="center"/>
          </w:tcPr>
          <w:p w14:paraId="716C619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应急照明</w:t>
            </w:r>
          </w:p>
        </w:tc>
        <w:tc>
          <w:tcPr>
            <w:tcW w:w="1050" w:type="dxa"/>
            <w:noWrap/>
            <w:vAlign w:val="center"/>
          </w:tcPr>
          <w:p w14:paraId="724DA2D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203E654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3D2D96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30A8709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548" w:type="dxa"/>
            <w:noWrap/>
            <w:vAlign w:val="center"/>
          </w:tcPr>
          <w:p w14:paraId="756FD7E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消防头盔</w:t>
            </w:r>
          </w:p>
        </w:tc>
        <w:tc>
          <w:tcPr>
            <w:tcW w:w="1475" w:type="dxa"/>
            <w:noWrap/>
            <w:vAlign w:val="center"/>
          </w:tcPr>
          <w:p w14:paraId="0CF3DCA7">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017D8E8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顶</w:t>
            </w:r>
          </w:p>
        </w:tc>
        <w:tc>
          <w:tcPr>
            <w:tcW w:w="755" w:type="dxa"/>
            <w:noWrap/>
            <w:vAlign w:val="center"/>
          </w:tcPr>
          <w:p w14:paraId="1679AD4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586" w:type="dxa"/>
            <w:noWrap/>
            <w:vAlign w:val="center"/>
          </w:tcPr>
          <w:p w14:paraId="332FE99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64F67FD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3EE13E7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0FCF08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09EBC2E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w:t>
            </w:r>
          </w:p>
        </w:tc>
        <w:tc>
          <w:tcPr>
            <w:tcW w:w="1548" w:type="dxa"/>
            <w:noWrap/>
            <w:vAlign w:val="center"/>
          </w:tcPr>
          <w:p w14:paraId="0A9787A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灭火防护服</w:t>
            </w:r>
          </w:p>
        </w:tc>
        <w:tc>
          <w:tcPr>
            <w:tcW w:w="1475" w:type="dxa"/>
            <w:noWrap/>
            <w:vAlign w:val="center"/>
          </w:tcPr>
          <w:p w14:paraId="1B1AB3D5">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299A829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755" w:type="dxa"/>
            <w:noWrap/>
            <w:vAlign w:val="center"/>
          </w:tcPr>
          <w:p w14:paraId="723CEE1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586" w:type="dxa"/>
            <w:noWrap/>
            <w:vAlign w:val="center"/>
          </w:tcPr>
          <w:p w14:paraId="099434E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648C985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2D4DCFA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3DC5EA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54D5051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1548" w:type="dxa"/>
            <w:noWrap/>
            <w:vAlign w:val="center"/>
          </w:tcPr>
          <w:p w14:paraId="7F536C8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防护靴</w:t>
            </w:r>
          </w:p>
        </w:tc>
        <w:tc>
          <w:tcPr>
            <w:tcW w:w="1475" w:type="dxa"/>
            <w:noWrap/>
            <w:vAlign w:val="center"/>
          </w:tcPr>
          <w:p w14:paraId="1CEBCABB">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6EA9322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双</w:t>
            </w:r>
          </w:p>
        </w:tc>
        <w:tc>
          <w:tcPr>
            <w:tcW w:w="755" w:type="dxa"/>
            <w:noWrap/>
            <w:vAlign w:val="center"/>
          </w:tcPr>
          <w:p w14:paraId="461A490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586" w:type="dxa"/>
            <w:noWrap/>
            <w:vAlign w:val="center"/>
          </w:tcPr>
          <w:p w14:paraId="6D7B751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73B85A0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68BA8A5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727B61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7FFE31C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w:t>
            </w:r>
          </w:p>
        </w:tc>
        <w:tc>
          <w:tcPr>
            <w:tcW w:w="1548" w:type="dxa"/>
            <w:noWrap/>
            <w:vAlign w:val="center"/>
          </w:tcPr>
          <w:p w14:paraId="54CB0EB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消防腰斧</w:t>
            </w:r>
          </w:p>
        </w:tc>
        <w:tc>
          <w:tcPr>
            <w:tcW w:w="1475" w:type="dxa"/>
            <w:noWrap/>
            <w:vAlign w:val="center"/>
          </w:tcPr>
          <w:p w14:paraId="19D29DB1">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1262136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把</w:t>
            </w:r>
          </w:p>
        </w:tc>
        <w:tc>
          <w:tcPr>
            <w:tcW w:w="755" w:type="dxa"/>
            <w:noWrap/>
            <w:vAlign w:val="center"/>
          </w:tcPr>
          <w:p w14:paraId="7628D9E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586" w:type="dxa"/>
            <w:noWrap/>
            <w:vAlign w:val="center"/>
          </w:tcPr>
          <w:p w14:paraId="5373D69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0C6E733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1692E52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25DA73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017F9E9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p>
        </w:tc>
        <w:tc>
          <w:tcPr>
            <w:tcW w:w="1548" w:type="dxa"/>
            <w:noWrap/>
            <w:vAlign w:val="center"/>
          </w:tcPr>
          <w:p w14:paraId="44CDDD7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隔热服</w:t>
            </w:r>
          </w:p>
        </w:tc>
        <w:tc>
          <w:tcPr>
            <w:tcW w:w="1475" w:type="dxa"/>
            <w:noWrap/>
            <w:vAlign w:val="center"/>
          </w:tcPr>
          <w:p w14:paraId="060B1169">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4A3D801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755" w:type="dxa"/>
            <w:noWrap/>
            <w:vAlign w:val="center"/>
          </w:tcPr>
          <w:p w14:paraId="4223696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586" w:type="dxa"/>
            <w:noWrap/>
            <w:vAlign w:val="center"/>
          </w:tcPr>
          <w:p w14:paraId="55839FF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65DB10A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25C33BC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7B6BEE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3D72FAD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w:t>
            </w:r>
          </w:p>
        </w:tc>
        <w:tc>
          <w:tcPr>
            <w:tcW w:w="1548" w:type="dxa"/>
            <w:noWrap/>
            <w:vAlign w:val="center"/>
          </w:tcPr>
          <w:p w14:paraId="350C781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水带快接</w:t>
            </w:r>
          </w:p>
        </w:tc>
        <w:tc>
          <w:tcPr>
            <w:tcW w:w="1475" w:type="dxa"/>
            <w:noWrap/>
            <w:vAlign w:val="center"/>
          </w:tcPr>
          <w:p w14:paraId="2DE5997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DN65快速接头</w:t>
            </w:r>
          </w:p>
        </w:tc>
        <w:tc>
          <w:tcPr>
            <w:tcW w:w="701" w:type="dxa"/>
            <w:noWrap/>
            <w:vAlign w:val="center"/>
          </w:tcPr>
          <w:p w14:paraId="324EF61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对</w:t>
            </w:r>
          </w:p>
        </w:tc>
        <w:tc>
          <w:tcPr>
            <w:tcW w:w="755" w:type="dxa"/>
            <w:noWrap/>
            <w:vAlign w:val="center"/>
          </w:tcPr>
          <w:p w14:paraId="67E1793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586" w:type="dxa"/>
            <w:noWrap/>
            <w:vAlign w:val="center"/>
          </w:tcPr>
          <w:p w14:paraId="062EF1B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076EFC6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0D6142E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2C8E0F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0076D67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p>
        </w:tc>
        <w:tc>
          <w:tcPr>
            <w:tcW w:w="1548" w:type="dxa"/>
            <w:noWrap/>
            <w:vAlign w:val="center"/>
          </w:tcPr>
          <w:p w14:paraId="0B6B905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泡沫枪头</w:t>
            </w:r>
          </w:p>
        </w:tc>
        <w:tc>
          <w:tcPr>
            <w:tcW w:w="1475" w:type="dxa"/>
            <w:noWrap/>
            <w:vAlign w:val="center"/>
          </w:tcPr>
          <w:p w14:paraId="3AF0E96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PQ8</w:t>
            </w:r>
          </w:p>
        </w:tc>
        <w:tc>
          <w:tcPr>
            <w:tcW w:w="701" w:type="dxa"/>
            <w:noWrap/>
            <w:vAlign w:val="center"/>
          </w:tcPr>
          <w:p w14:paraId="4CE511C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支</w:t>
            </w:r>
          </w:p>
        </w:tc>
        <w:tc>
          <w:tcPr>
            <w:tcW w:w="755" w:type="dxa"/>
            <w:noWrap/>
            <w:vAlign w:val="center"/>
          </w:tcPr>
          <w:p w14:paraId="4384164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586" w:type="dxa"/>
            <w:noWrap/>
            <w:vAlign w:val="center"/>
          </w:tcPr>
          <w:p w14:paraId="7A3BD51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1533205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4A770A6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6C0B6D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2323CC7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13</w:t>
            </w:r>
          </w:p>
        </w:tc>
        <w:tc>
          <w:tcPr>
            <w:tcW w:w="1548" w:type="dxa"/>
            <w:noWrap/>
            <w:vAlign w:val="center"/>
          </w:tcPr>
          <w:p w14:paraId="4F250CA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防毒面具</w:t>
            </w:r>
          </w:p>
        </w:tc>
        <w:tc>
          <w:tcPr>
            <w:tcW w:w="1475" w:type="dxa"/>
            <w:noWrap/>
            <w:vAlign w:val="center"/>
          </w:tcPr>
          <w:p w14:paraId="48A0C43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TF-A型P-B-3</w:t>
            </w:r>
          </w:p>
        </w:tc>
        <w:tc>
          <w:tcPr>
            <w:tcW w:w="701" w:type="dxa"/>
            <w:noWrap/>
            <w:vAlign w:val="center"/>
          </w:tcPr>
          <w:p w14:paraId="197E5FD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755" w:type="dxa"/>
            <w:noWrap/>
            <w:vAlign w:val="center"/>
          </w:tcPr>
          <w:p w14:paraId="3BB94D7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586" w:type="dxa"/>
            <w:noWrap/>
            <w:vAlign w:val="center"/>
          </w:tcPr>
          <w:p w14:paraId="6942C63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个人防护</w:t>
            </w:r>
          </w:p>
        </w:tc>
        <w:tc>
          <w:tcPr>
            <w:tcW w:w="1050" w:type="dxa"/>
            <w:noWrap/>
            <w:vAlign w:val="center"/>
          </w:tcPr>
          <w:p w14:paraId="5D71200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1F20A16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55E44C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677A78F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14</w:t>
            </w:r>
          </w:p>
        </w:tc>
        <w:tc>
          <w:tcPr>
            <w:tcW w:w="1548" w:type="dxa"/>
            <w:noWrap/>
            <w:vAlign w:val="center"/>
          </w:tcPr>
          <w:p w14:paraId="489D5FC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灭火毯</w:t>
            </w:r>
          </w:p>
        </w:tc>
        <w:tc>
          <w:tcPr>
            <w:tcW w:w="1475" w:type="dxa"/>
            <w:noWrap/>
            <w:vAlign w:val="center"/>
          </w:tcPr>
          <w:p w14:paraId="28B79AD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1×1米</w:t>
            </w:r>
          </w:p>
        </w:tc>
        <w:tc>
          <w:tcPr>
            <w:tcW w:w="701" w:type="dxa"/>
            <w:noWrap/>
            <w:vAlign w:val="center"/>
          </w:tcPr>
          <w:p w14:paraId="1E3082B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张</w:t>
            </w:r>
          </w:p>
        </w:tc>
        <w:tc>
          <w:tcPr>
            <w:tcW w:w="755" w:type="dxa"/>
            <w:noWrap/>
            <w:vAlign w:val="center"/>
          </w:tcPr>
          <w:p w14:paraId="13B5776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586" w:type="dxa"/>
            <w:noWrap/>
            <w:vAlign w:val="center"/>
          </w:tcPr>
          <w:p w14:paraId="27B4CD5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2649A3D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0E0AC19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424845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6CDC3A5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w:t>
            </w:r>
          </w:p>
        </w:tc>
        <w:tc>
          <w:tcPr>
            <w:tcW w:w="1548" w:type="dxa"/>
            <w:noWrap/>
            <w:vAlign w:val="center"/>
          </w:tcPr>
          <w:p w14:paraId="794A83F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救生绳</w:t>
            </w:r>
          </w:p>
        </w:tc>
        <w:tc>
          <w:tcPr>
            <w:tcW w:w="1475" w:type="dxa"/>
            <w:noWrap/>
            <w:vAlign w:val="center"/>
          </w:tcPr>
          <w:p w14:paraId="063514E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R16mm</w:t>
            </w:r>
          </w:p>
        </w:tc>
        <w:tc>
          <w:tcPr>
            <w:tcW w:w="701" w:type="dxa"/>
            <w:noWrap/>
            <w:vAlign w:val="center"/>
          </w:tcPr>
          <w:p w14:paraId="5279C8E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米</w:t>
            </w:r>
          </w:p>
        </w:tc>
        <w:tc>
          <w:tcPr>
            <w:tcW w:w="755" w:type="dxa"/>
            <w:noWrap/>
            <w:vAlign w:val="center"/>
          </w:tcPr>
          <w:p w14:paraId="2FD509E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w:t>
            </w:r>
          </w:p>
        </w:tc>
        <w:tc>
          <w:tcPr>
            <w:tcW w:w="1586" w:type="dxa"/>
            <w:noWrap/>
            <w:vAlign w:val="center"/>
          </w:tcPr>
          <w:p w14:paraId="6491E91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应急救援</w:t>
            </w:r>
          </w:p>
        </w:tc>
        <w:tc>
          <w:tcPr>
            <w:tcW w:w="1050" w:type="dxa"/>
            <w:noWrap/>
            <w:vAlign w:val="center"/>
          </w:tcPr>
          <w:p w14:paraId="6B07C90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47C30FF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21430C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3A6C5CA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16</w:t>
            </w:r>
          </w:p>
        </w:tc>
        <w:tc>
          <w:tcPr>
            <w:tcW w:w="1548" w:type="dxa"/>
            <w:noWrap/>
            <w:vAlign w:val="center"/>
          </w:tcPr>
          <w:p w14:paraId="051105D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正压式空气呼吸器</w:t>
            </w:r>
          </w:p>
        </w:tc>
        <w:tc>
          <w:tcPr>
            <w:tcW w:w="1475" w:type="dxa"/>
            <w:noWrap/>
            <w:vAlign w:val="center"/>
          </w:tcPr>
          <w:p w14:paraId="6F70F02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RHZK系列</w:t>
            </w:r>
          </w:p>
        </w:tc>
        <w:tc>
          <w:tcPr>
            <w:tcW w:w="701" w:type="dxa"/>
            <w:noWrap/>
            <w:vAlign w:val="center"/>
          </w:tcPr>
          <w:p w14:paraId="2139648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755" w:type="dxa"/>
            <w:noWrap/>
            <w:vAlign w:val="center"/>
          </w:tcPr>
          <w:p w14:paraId="6CDD0D0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586" w:type="dxa"/>
            <w:noWrap/>
            <w:vAlign w:val="center"/>
          </w:tcPr>
          <w:p w14:paraId="6F18298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个人防护</w:t>
            </w:r>
          </w:p>
        </w:tc>
        <w:tc>
          <w:tcPr>
            <w:tcW w:w="1050" w:type="dxa"/>
            <w:noWrap/>
            <w:vAlign w:val="center"/>
          </w:tcPr>
          <w:p w14:paraId="1070C25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53E7DDF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4603FB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1267F16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17</w:t>
            </w:r>
          </w:p>
        </w:tc>
        <w:tc>
          <w:tcPr>
            <w:tcW w:w="1548" w:type="dxa"/>
            <w:noWrap/>
            <w:vAlign w:val="center"/>
          </w:tcPr>
          <w:p w14:paraId="0DDE0BC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正压式空气呼吸器</w:t>
            </w:r>
          </w:p>
        </w:tc>
        <w:tc>
          <w:tcPr>
            <w:tcW w:w="1475" w:type="dxa"/>
            <w:noWrap/>
            <w:vAlign w:val="center"/>
          </w:tcPr>
          <w:p w14:paraId="0B1FD3D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RHZK系列</w:t>
            </w:r>
          </w:p>
        </w:tc>
        <w:tc>
          <w:tcPr>
            <w:tcW w:w="701" w:type="dxa"/>
            <w:noWrap/>
            <w:vAlign w:val="center"/>
          </w:tcPr>
          <w:p w14:paraId="1AA7296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755" w:type="dxa"/>
            <w:noWrap/>
            <w:vAlign w:val="center"/>
          </w:tcPr>
          <w:p w14:paraId="7482A12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1586" w:type="dxa"/>
            <w:noWrap/>
            <w:vAlign w:val="center"/>
          </w:tcPr>
          <w:p w14:paraId="4A9A4E4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个人防护</w:t>
            </w:r>
          </w:p>
        </w:tc>
        <w:tc>
          <w:tcPr>
            <w:tcW w:w="1050" w:type="dxa"/>
            <w:noWrap/>
            <w:vAlign w:val="center"/>
          </w:tcPr>
          <w:p w14:paraId="1376B08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6A7303F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34A5CD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345341C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18</w:t>
            </w:r>
          </w:p>
        </w:tc>
        <w:tc>
          <w:tcPr>
            <w:tcW w:w="1548" w:type="dxa"/>
            <w:noWrap/>
            <w:vAlign w:val="center"/>
          </w:tcPr>
          <w:p w14:paraId="5790455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防毒面具</w:t>
            </w:r>
          </w:p>
        </w:tc>
        <w:tc>
          <w:tcPr>
            <w:tcW w:w="1475" w:type="dxa"/>
            <w:noWrap/>
            <w:vAlign w:val="center"/>
          </w:tcPr>
          <w:p w14:paraId="679BBF2B">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42AA89E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755" w:type="dxa"/>
            <w:noWrap/>
            <w:vAlign w:val="center"/>
          </w:tcPr>
          <w:p w14:paraId="5FA95A7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p>
        </w:tc>
        <w:tc>
          <w:tcPr>
            <w:tcW w:w="1586" w:type="dxa"/>
            <w:noWrap/>
            <w:vAlign w:val="center"/>
          </w:tcPr>
          <w:p w14:paraId="76FA49F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个人防护</w:t>
            </w:r>
          </w:p>
        </w:tc>
        <w:tc>
          <w:tcPr>
            <w:tcW w:w="1050" w:type="dxa"/>
            <w:noWrap/>
            <w:vAlign w:val="center"/>
          </w:tcPr>
          <w:p w14:paraId="7B5A912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198B176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53DAF6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464B5FF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19</w:t>
            </w:r>
          </w:p>
        </w:tc>
        <w:tc>
          <w:tcPr>
            <w:tcW w:w="1548" w:type="dxa"/>
            <w:noWrap/>
            <w:vAlign w:val="center"/>
          </w:tcPr>
          <w:p w14:paraId="471C0BD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护目镜</w:t>
            </w:r>
          </w:p>
        </w:tc>
        <w:tc>
          <w:tcPr>
            <w:tcW w:w="1475" w:type="dxa"/>
            <w:noWrap/>
            <w:vAlign w:val="center"/>
          </w:tcPr>
          <w:p w14:paraId="1E4D5122">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0AC8266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w:t>
            </w:r>
          </w:p>
        </w:tc>
        <w:tc>
          <w:tcPr>
            <w:tcW w:w="755" w:type="dxa"/>
            <w:noWrap/>
            <w:vAlign w:val="center"/>
          </w:tcPr>
          <w:p w14:paraId="53CBB61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p>
        </w:tc>
        <w:tc>
          <w:tcPr>
            <w:tcW w:w="1586" w:type="dxa"/>
            <w:noWrap/>
            <w:vAlign w:val="center"/>
          </w:tcPr>
          <w:p w14:paraId="34E2D7F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个人防护</w:t>
            </w:r>
          </w:p>
        </w:tc>
        <w:tc>
          <w:tcPr>
            <w:tcW w:w="1050" w:type="dxa"/>
            <w:noWrap/>
            <w:vAlign w:val="center"/>
          </w:tcPr>
          <w:p w14:paraId="4E86A87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412C49E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6ACB4B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629B331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w:t>
            </w:r>
          </w:p>
        </w:tc>
        <w:tc>
          <w:tcPr>
            <w:tcW w:w="1548" w:type="dxa"/>
            <w:noWrap/>
            <w:vAlign w:val="center"/>
          </w:tcPr>
          <w:p w14:paraId="5CEC42D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防护衣</w:t>
            </w:r>
          </w:p>
        </w:tc>
        <w:tc>
          <w:tcPr>
            <w:tcW w:w="1475" w:type="dxa"/>
            <w:noWrap/>
            <w:vAlign w:val="center"/>
          </w:tcPr>
          <w:p w14:paraId="35A8B25A">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6BFDC2F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755" w:type="dxa"/>
            <w:noWrap/>
            <w:vAlign w:val="center"/>
          </w:tcPr>
          <w:p w14:paraId="3DB5408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w:t>
            </w:r>
          </w:p>
        </w:tc>
        <w:tc>
          <w:tcPr>
            <w:tcW w:w="1586" w:type="dxa"/>
            <w:noWrap/>
            <w:vAlign w:val="center"/>
          </w:tcPr>
          <w:p w14:paraId="184EF50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个人防护</w:t>
            </w:r>
          </w:p>
        </w:tc>
        <w:tc>
          <w:tcPr>
            <w:tcW w:w="1050" w:type="dxa"/>
            <w:noWrap/>
            <w:vAlign w:val="center"/>
          </w:tcPr>
          <w:p w14:paraId="2689A8C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4B6D328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1CBD7F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7FDDA3C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21</w:t>
            </w:r>
          </w:p>
        </w:tc>
        <w:tc>
          <w:tcPr>
            <w:tcW w:w="1548" w:type="dxa"/>
            <w:noWrap/>
            <w:vAlign w:val="center"/>
          </w:tcPr>
          <w:p w14:paraId="713C834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防护鞋</w:t>
            </w:r>
          </w:p>
        </w:tc>
        <w:tc>
          <w:tcPr>
            <w:tcW w:w="1475" w:type="dxa"/>
            <w:noWrap/>
            <w:vAlign w:val="center"/>
          </w:tcPr>
          <w:p w14:paraId="66F2AFC9">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0C78A41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双</w:t>
            </w:r>
          </w:p>
        </w:tc>
        <w:tc>
          <w:tcPr>
            <w:tcW w:w="755" w:type="dxa"/>
            <w:noWrap/>
            <w:vAlign w:val="center"/>
          </w:tcPr>
          <w:p w14:paraId="0662258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p>
        </w:tc>
        <w:tc>
          <w:tcPr>
            <w:tcW w:w="1586" w:type="dxa"/>
            <w:noWrap/>
            <w:vAlign w:val="center"/>
          </w:tcPr>
          <w:p w14:paraId="47A4A4B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个人防护</w:t>
            </w:r>
          </w:p>
        </w:tc>
        <w:tc>
          <w:tcPr>
            <w:tcW w:w="1050" w:type="dxa"/>
            <w:noWrap/>
            <w:vAlign w:val="center"/>
          </w:tcPr>
          <w:p w14:paraId="18D1F09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4A66FEF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685505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63A83BA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22</w:t>
            </w:r>
          </w:p>
        </w:tc>
        <w:tc>
          <w:tcPr>
            <w:tcW w:w="1548" w:type="dxa"/>
            <w:noWrap/>
            <w:vAlign w:val="center"/>
          </w:tcPr>
          <w:p w14:paraId="03F1624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泄漏处置桶</w:t>
            </w:r>
          </w:p>
        </w:tc>
        <w:tc>
          <w:tcPr>
            <w:tcW w:w="1475" w:type="dxa"/>
            <w:noWrap/>
            <w:vAlign w:val="center"/>
          </w:tcPr>
          <w:p w14:paraId="46F5CF89">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2D62A67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w:t>
            </w:r>
          </w:p>
        </w:tc>
        <w:tc>
          <w:tcPr>
            <w:tcW w:w="755" w:type="dxa"/>
            <w:noWrap/>
            <w:vAlign w:val="center"/>
          </w:tcPr>
          <w:p w14:paraId="38A99F5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586" w:type="dxa"/>
            <w:noWrap/>
            <w:vAlign w:val="center"/>
          </w:tcPr>
          <w:p w14:paraId="5A00E44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68EE51C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6FF2BA8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23A000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267DB19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23</w:t>
            </w:r>
          </w:p>
        </w:tc>
        <w:tc>
          <w:tcPr>
            <w:tcW w:w="1548" w:type="dxa"/>
            <w:noWrap/>
            <w:vAlign w:val="center"/>
          </w:tcPr>
          <w:p w14:paraId="7456914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塑料软刷</w:t>
            </w:r>
          </w:p>
        </w:tc>
        <w:tc>
          <w:tcPr>
            <w:tcW w:w="1475" w:type="dxa"/>
            <w:noWrap/>
            <w:vAlign w:val="center"/>
          </w:tcPr>
          <w:p w14:paraId="278BACA2">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5148E2F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把</w:t>
            </w:r>
          </w:p>
        </w:tc>
        <w:tc>
          <w:tcPr>
            <w:tcW w:w="755" w:type="dxa"/>
            <w:noWrap/>
            <w:vAlign w:val="center"/>
          </w:tcPr>
          <w:p w14:paraId="2E5F18C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586" w:type="dxa"/>
            <w:noWrap/>
            <w:vAlign w:val="center"/>
          </w:tcPr>
          <w:p w14:paraId="6578668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4B44814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08AAEE3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35C071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7D0C771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24</w:t>
            </w:r>
          </w:p>
        </w:tc>
        <w:tc>
          <w:tcPr>
            <w:tcW w:w="1548" w:type="dxa"/>
            <w:noWrap/>
            <w:vAlign w:val="center"/>
          </w:tcPr>
          <w:p w14:paraId="2F5B95B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塑料簸箕</w:t>
            </w:r>
          </w:p>
        </w:tc>
        <w:tc>
          <w:tcPr>
            <w:tcW w:w="1475" w:type="dxa"/>
            <w:noWrap/>
            <w:vAlign w:val="center"/>
          </w:tcPr>
          <w:p w14:paraId="5FB26B13">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7F981C1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w:t>
            </w:r>
          </w:p>
        </w:tc>
        <w:tc>
          <w:tcPr>
            <w:tcW w:w="755" w:type="dxa"/>
            <w:noWrap/>
            <w:vAlign w:val="center"/>
          </w:tcPr>
          <w:p w14:paraId="583C114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586" w:type="dxa"/>
            <w:noWrap/>
            <w:vAlign w:val="center"/>
          </w:tcPr>
          <w:p w14:paraId="49ED828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180D210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2C4E6CE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4286C5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4C0F3F2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w:t>
            </w:r>
          </w:p>
        </w:tc>
        <w:tc>
          <w:tcPr>
            <w:tcW w:w="1548" w:type="dxa"/>
            <w:noWrap/>
            <w:vAlign w:val="center"/>
          </w:tcPr>
          <w:p w14:paraId="77EDBF9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胶布</w:t>
            </w:r>
          </w:p>
        </w:tc>
        <w:tc>
          <w:tcPr>
            <w:tcW w:w="1475" w:type="dxa"/>
            <w:noWrap/>
            <w:vAlign w:val="center"/>
          </w:tcPr>
          <w:p w14:paraId="198DFB62">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2796F08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卷</w:t>
            </w:r>
          </w:p>
        </w:tc>
        <w:tc>
          <w:tcPr>
            <w:tcW w:w="755" w:type="dxa"/>
            <w:noWrap/>
            <w:vAlign w:val="center"/>
          </w:tcPr>
          <w:p w14:paraId="55ADA76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586" w:type="dxa"/>
            <w:noWrap/>
            <w:vAlign w:val="center"/>
          </w:tcPr>
          <w:p w14:paraId="13E801A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221FAA1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1EDDBF1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367676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269FC4A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26</w:t>
            </w:r>
          </w:p>
        </w:tc>
        <w:tc>
          <w:tcPr>
            <w:tcW w:w="1548" w:type="dxa"/>
            <w:noWrap/>
            <w:vAlign w:val="center"/>
          </w:tcPr>
          <w:p w14:paraId="30506BA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肥皂</w:t>
            </w:r>
          </w:p>
        </w:tc>
        <w:tc>
          <w:tcPr>
            <w:tcW w:w="1475" w:type="dxa"/>
            <w:noWrap/>
            <w:vAlign w:val="center"/>
          </w:tcPr>
          <w:p w14:paraId="36F441B3">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33FE893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w:t>
            </w:r>
          </w:p>
        </w:tc>
        <w:tc>
          <w:tcPr>
            <w:tcW w:w="755" w:type="dxa"/>
            <w:noWrap/>
            <w:vAlign w:val="center"/>
          </w:tcPr>
          <w:p w14:paraId="3D4F3D1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586" w:type="dxa"/>
            <w:noWrap/>
            <w:vAlign w:val="center"/>
          </w:tcPr>
          <w:p w14:paraId="6FBB196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30CB6F5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2CF0640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27BBFB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44A458C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27</w:t>
            </w:r>
          </w:p>
        </w:tc>
        <w:tc>
          <w:tcPr>
            <w:tcW w:w="1548" w:type="dxa"/>
            <w:noWrap/>
            <w:vAlign w:val="center"/>
          </w:tcPr>
          <w:p w14:paraId="062FB4F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耐酸碱手套</w:t>
            </w:r>
          </w:p>
        </w:tc>
        <w:tc>
          <w:tcPr>
            <w:tcW w:w="1475" w:type="dxa"/>
            <w:noWrap/>
            <w:vAlign w:val="center"/>
          </w:tcPr>
          <w:p w14:paraId="6EE67018">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2076221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双</w:t>
            </w:r>
          </w:p>
        </w:tc>
        <w:tc>
          <w:tcPr>
            <w:tcW w:w="755" w:type="dxa"/>
            <w:noWrap/>
            <w:vAlign w:val="center"/>
          </w:tcPr>
          <w:p w14:paraId="5F62A5E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p>
        </w:tc>
        <w:tc>
          <w:tcPr>
            <w:tcW w:w="1586" w:type="dxa"/>
            <w:noWrap/>
            <w:vAlign w:val="center"/>
          </w:tcPr>
          <w:p w14:paraId="51BDA95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个人防护</w:t>
            </w:r>
          </w:p>
        </w:tc>
        <w:tc>
          <w:tcPr>
            <w:tcW w:w="1050" w:type="dxa"/>
            <w:noWrap/>
            <w:vAlign w:val="center"/>
          </w:tcPr>
          <w:p w14:paraId="5974D20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53DA034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4C2F93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0CFC968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28</w:t>
            </w:r>
          </w:p>
        </w:tc>
        <w:tc>
          <w:tcPr>
            <w:tcW w:w="1548" w:type="dxa"/>
            <w:noWrap/>
            <w:vAlign w:val="center"/>
          </w:tcPr>
          <w:p w14:paraId="5073AE2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堵漏工具</w:t>
            </w:r>
          </w:p>
        </w:tc>
        <w:tc>
          <w:tcPr>
            <w:tcW w:w="1475" w:type="dxa"/>
            <w:noWrap/>
            <w:vAlign w:val="center"/>
          </w:tcPr>
          <w:p w14:paraId="571E5DDC">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2208974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755" w:type="dxa"/>
            <w:noWrap/>
            <w:vAlign w:val="center"/>
          </w:tcPr>
          <w:p w14:paraId="1C4E0A9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586" w:type="dxa"/>
            <w:noWrap/>
            <w:vAlign w:val="center"/>
          </w:tcPr>
          <w:p w14:paraId="7451AFC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4C8CF28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0037273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发车值班室</w:t>
            </w:r>
          </w:p>
        </w:tc>
      </w:tr>
      <w:tr w14:paraId="1F5B20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5BAF49A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29</w:t>
            </w:r>
          </w:p>
        </w:tc>
        <w:tc>
          <w:tcPr>
            <w:tcW w:w="1548" w:type="dxa"/>
            <w:noWrap/>
            <w:vAlign w:val="center"/>
          </w:tcPr>
          <w:p w14:paraId="0376215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油罐车</w:t>
            </w:r>
          </w:p>
        </w:tc>
        <w:tc>
          <w:tcPr>
            <w:tcW w:w="1475" w:type="dxa"/>
            <w:noWrap/>
            <w:vAlign w:val="center"/>
          </w:tcPr>
          <w:p w14:paraId="45AA797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11m</w:t>
            </w:r>
            <w:r>
              <w:rPr>
                <w:rFonts w:hint="eastAsia"/>
                <w:color w:val="000000" w:themeColor="text1"/>
                <w:sz w:val="21"/>
                <w:szCs w:val="21"/>
                <w:vertAlign w:val="superscript"/>
                <w14:textFill>
                  <w14:solidFill>
                    <w14:schemeClr w14:val="tx1"/>
                  </w14:solidFill>
                </w14:textFill>
              </w:rPr>
              <w:t>3</w:t>
            </w:r>
          </w:p>
        </w:tc>
        <w:tc>
          <w:tcPr>
            <w:tcW w:w="701" w:type="dxa"/>
            <w:noWrap/>
            <w:vAlign w:val="center"/>
          </w:tcPr>
          <w:p w14:paraId="1EEC034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辆</w:t>
            </w:r>
          </w:p>
        </w:tc>
        <w:tc>
          <w:tcPr>
            <w:tcW w:w="755" w:type="dxa"/>
            <w:noWrap/>
            <w:vAlign w:val="center"/>
          </w:tcPr>
          <w:p w14:paraId="4345576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586" w:type="dxa"/>
            <w:noWrap/>
            <w:vAlign w:val="center"/>
          </w:tcPr>
          <w:p w14:paraId="065F3E5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2D6896A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36DBE8E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库区</w:t>
            </w:r>
          </w:p>
        </w:tc>
      </w:tr>
      <w:tr w14:paraId="32918F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0D8559B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w:t>
            </w:r>
          </w:p>
        </w:tc>
        <w:tc>
          <w:tcPr>
            <w:tcW w:w="1548" w:type="dxa"/>
            <w:noWrap/>
            <w:vAlign w:val="center"/>
          </w:tcPr>
          <w:p w14:paraId="6856336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固体浮子式PVC围油栏</w:t>
            </w:r>
          </w:p>
        </w:tc>
        <w:tc>
          <w:tcPr>
            <w:tcW w:w="1475" w:type="dxa"/>
            <w:noWrap/>
            <w:vAlign w:val="center"/>
          </w:tcPr>
          <w:p w14:paraId="60604CA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GW1000</w:t>
            </w:r>
          </w:p>
        </w:tc>
        <w:tc>
          <w:tcPr>
            <w:tcW w:w="701" w:type="dxa"/>
            <w:noWrap/>
            <w:vAlign w:val="center"/>
          </w:tcPr>
          <w:p w14:paraId="259E220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米</w:t>
            </w:r>
          </w:p>
        </w:tc>
        <w:tc>
          <w:tcPr>
            <w:tcW w:w="755" w:type="dxa"/>
            <w:noWrap/>
            <w:vAlign w:val="center"/>
          </w:tcPr>
          <w:p w14:paraId="0271DDA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1200</w:t>
            </w:r>
          </w:p>
        </w:tc>
        <w:tc>
          <w:tcPr>
            <w:tcW w:w="1586" w:type="dxa"/>
            <w:noWrap/>
            <w:vAlign w:val="center"/>
          </w:tcPr>
          <w:p w14:paraId="1584A8F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67827A1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4389D3B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3AF294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1647AE0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31</w:t>
            </w:r>
          </w:p>
        </w:tc>
        <w:tc>
          <w:tcPr>
            <w:tcW w:w="1548" w:type="dxa"/>
            <w:noWrap/>
            <w:vAlign w:val="center"/>
          </w:tcPr>
          <w:p w14:paraId="659BB6C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固体浮子式PVC围油栏</w:t>
            </w:r>
          </w:p>
        </w:tc>
        <w:tc>
          <w:tcPr>
            <w:tcW w:w="1475" w:type="dxa"/>
            <w:noWrap/>
            <w:vAlign w:val="center"/>
          </w:tcPr>
          <w:p w14:paraId="2438EFD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GW1100</w:t>
            </w:r>
          </w:p>
        </w:tc>
        <w:tc>
          <w:tcPr>
            <w:tcW w:w="701" w:type="dxa"/>
            <w:noWrap/>
            <w:vAlign w:val="center"/>
          </w:tcPr>
          <w:p w14:paraId="3520CE1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米</w:t>
            </w:r>
          </w:p>
        </w:tc>
        <w:tc>
          <w:tcPr>
            <w:tcW w:w="755" w:type="dxa"/>
            <w:noWrap/>
            <w:vAlign w:val="center"/>
          </w:tcPr>
          <w:p w14:paraId="44A1B0A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660</w:t>
            </w:r>
          </w:p>
        </w:tc>
        <w:tc>
          <w:tcPr>
            <w:tcW w:w="1586" w:type="dxa"/>
            <w:noWrap/>
            <w:vAlign w:val="center"/>
          </w:tcPr>
          <w:p w14:paraId="59DBC00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0F52768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28E78FA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3C7835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751ACBC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32</w:t>
            </w:r>
          </w:p>
        </w:tc>
        <w:tc>
          <w:tcPr>
            <w:tcW w:w="1548" w:type="dxa"/>
            <w:noWrap/>
            <w:vAlign w:val="center"/>
          </w:tcPr>
          <w:p w14:paraId="11C7304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浮子式橡胶围油栏</w:t>
            </w:r>
          </w:p>
        </w:tc>
        <w:tc>
          <w:tcPr>
            <w:tcW w:w="1475" w:type="dxa"/>
            <w:noWrap/>
            <w:vAlign w:val="center"/>
          </w:tcPr>
          <w:p w14:paraId="3A5FF7E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WGT1100</w:t>
            </w:r>
          </w:p>
        </w:tc>
        <w:tc>
          <w:tcPr>
            <w:tcW w:w="701" w:type="dxa"/>
            <w:noWrap/>
            <w:vAlign w:val="center"/>
          </w:tcPr>
          <w:p w14:paraId="4CDB99C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米</w:t>
            </w:r>
          </w:p>
        </w:tc>
        <w:tc>
          <w:tcPr>
            <w:tcW w:w="755" w:type="dxa"/>
            <w:noWrap/>
            <w:vAlign w:val="center"/>
          </w:tcPr>
          <w:p w14:paraId="342E5A1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740</w:t>
            </w:r>
          </w:p>
        </w:tc>
        <w:tc>
          <w:tcPr>
            <w:tcW w:w="1586" w:type="dxa"/>
            <w:noWrap/>
            <w:vAlign w:val="center"/>
          </w:tcPr>
          <w:p w14:paraId="1C25D31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17BC6AD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1056456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568A8F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317FC3F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33</w:t>
            </w:r>
          </w:p>
        </w:tc>
        <w:tc>
          <w:tcPr>
            <w:tcW w:w="1548" w:type="dxa"/>
            <w:noWrap/>
            <w:vAlign w:val="center"/>
          </w:tcPr>
          <w:p w14:paraId="2C2763F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应急型围油栏</w:t>
            </w:r>
          </w:p>
        </w:tc>
        <w:tc>
          <w:tcPr>
            <w:tcW w:w="1475" w:type="dxa"/>
            <w:noWrap/>
            <w:vAlign w:val="center"/>
          </w:tcPr>
          <w:p w14:paraId="0685CA8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WGTU1300</w:t>
            </w:r>
          </w:p>
        </w:tc>
        <w:tc>
          <w:tcPr>
            <w:tcW w:w="701" w:type="dxa"/>
            <w:noWrap/>
            <w:vAlign w:val="center"/>
          </w:tcPr>
          <w:p w14:paraId="233BBF2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米</w:t>
            </w:r>
          </w:p>
        </w:tc>
        <w:tc>
          <w:tcPr>
            <w:tcW w:w="755" w:type="dxa"/>
            <w:noWrap/>
            <w:vAlign w:val="center"/>
          </w:tcPr>
          <w:p w14:paraId="4BD1772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200</w:t>
            </w:r>
          </w:p>
        </w:tc>
        <w:tc>
          <w:tcPr>
            <w:tcW w:w="1586" w:type="dxa"/>
            <w:noWrap/>
            <w:vAlign w:val="center"/>
          </w:tcPr>
          <w:p w14:paraId="06E33ED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5A64128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52467B4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6FF8A4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62A1D79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34</w:t>
            </w:r>
          </w:p>
        </w:tc>
        <w:tc>
          <w:tcPr>
            <w:tcW w:w="1548" w:type="dxa"/>
            <w:noWrap/>
            <w:vAlign w:val="center"/>
          </w:tcPr>
          <w:p w14:paraId="4DFDAD1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防火型围油栏</w:t>
            </w:r>
          </w:p>
        </w:tc>
        <w:tc>
          <w:tcPr>
            <w:tcW w:w="1475" w:type="dxa"/>
            <w:noWrap/>
            <w:vAlign w:val="center"/>
          </w:tcPr>
          <w:p w14:paraId="2B7284D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WGF1300</w:t>
            </w:r>
          </w:p>
        </w:tc>
        <w:tc>
          <w:tcPr>
            <w:tcW w:w="701" w:type="dxa"/>
            <w:noWrap/>
            <w:vAlign w:val="center"/>
          </w:tcPr>
          <w:p w14:paraId="5278553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米</w:t>
            </w:r>
          </w:p>
        </w:tc>
        <w:tc>
          <w:tcPr>
            <w:tcW w:w="755" w:type="dxa"/>
            <w:noWrap/>
            <w:vAlign w:val="center"/>
          </w:tcPr>
          <w:p w14:paraId="4C74081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200</w:t>
            </w:r>
          </w:p>
        </w:tc>
        <w:tc>
          <w:tcPr>
            <w:tcW w:w="1586" w:type="dxa"/>
            <w:noWrap/>
            <w:vAlign w:val="center"/>
          </w:tcPr>
          <w:p w14:paraId="0C87658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4D1C2F7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756D777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2BEDD8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3AC6CB1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35</w:t>
            </w:r>
          </w:p>
        </w:tc>
        <w:tc>
          <w:tcPr>
            <w:tcW w:w="1548" w:type="dxa"/>
            <w:noWrap/>
            <w:vAlign w:val="center"/>
          </w:tcPr>
          <w:p w14:paraId="091E59A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吸油毡</w:t>
            </w:r>
          </w:p>
        </w:tc>
        <w:tc>
          <w:tcPr>
            <w:tcW w:w="1475" w:type="dxa"/>
            <w:noWrap/>
            <w:vAlign w:val="center"/>
          </w:tcPr>
          <w:p w14:paraId="0E9C014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PP-2纤维类</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XTL-170</w:t>
            </w:r>
          </w:p>
        </w:tc>
        <w:tc>
          <w:tcPr>
            <w:tcW w:w="701" w:type="dxa"/>
            <w:noWrap/>
            <w:vAlign w:val="center"/>
          </w:tcPr>
          <w:p w14:paraId="0D1C4F9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吨</w:t>
            </w:r>
          </w:p>
        </w:tc>
        <w:tc>
          <w:tcPr>
            <w:tcW w:w="755" w:type="dxa"/>
            <w:noWrap/>
            <w:vAlign w:val="center"/>
          </w:tcPr>
          <w:p w14:paraId="77D00AA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586" w:type="dxa"/>
            <w:noWrap/>
            <w:vAlign w:val="center"/>
          </w:tcPr>
          <w:p w14:paraId="14CA287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5031422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12BD5A7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24920D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6A2F457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36</w:t>
            </w:r>
          </w:p>
        </w:tc>
        <w:tc>
          <w:tcPr>
            <w:tcW w:w="1548" w:type="dxa"/>
            <w:noWrap/>
            <w:vAlign w:val="center"/>
          </w:tcPr>
          <w:p w14:paraId="4DC10A1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溢油分散剂</w:t>
            </w:r>
          </w:p>
        </w:tc>
        <w:tc>
          <w:tcPr>
            <w:tcW w:w="1475" w:type="dxa"/>
            <w:noWrap/>
            <w:vAlign w:val="center"/>
          </w:tcPr>
          <w:p w14:paraId="370657E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富肯5号浓缩型</w:t>
            </w:r>
          </w:p>
        </w:tc>
        <w:tc>
          <w:tcPr>
            <w:tcW w:w="701" w:type="dxa"/>
            <w:noWrap/>
            <w:vAlign w:val="center"/>
          </w:tcPr>
          <w:p w14:paraId="1241A0C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吨</w:t>
            </w:r>
          </w:p>
        </w:tc>
        <w:tc>
          <w:tcPr>
            <w:tcW w:w="755" w:type="dxa"/>
            <w:noWrap/>
            <w:vAlign w:val="center"/>
          </w:tcPr>
          <w:p w14:paraId="08F125C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3.5</w:t>
            </w:r>
          </w:p>
        </w:tc>
        <w:tc>
          <w:tcPr>
            <w:tcW w:w="1586" w:type="dxa"/>
            <w:noWrap/>
            <w:vAlign w:val="center"/>
          </w:tcPr>
          <w:p w14:paraId="0B75701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洗消</w:t>
            </w:r>
          </w:p>
        </w:tc>
        <w:tc>
          <w:tcPr>
            <w:tcW w:w="1050" w:type="dxa"/>
            <w:noWrap/>
            <w:vAlign w:val="center"/>
          </w:tcPr>
          <w:p w14:paraId="1439981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46CF2B3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4D9B30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vMerge w:val="restart"/>
            <w:noWrap/>
            <w:vAlign w:val="center"/>
          </w:tcPr>
          <w:p w14:paraId="7D7711D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37</w:t>
            </w:r>
          </w:p>
        </w:tc>
        <w:tc>
          <w:tcPr>
            <w:tcW w:w="1548" w:type="dxa"/>
            <w:vMerge w:val="restart"/>
            <w:noWrap/>
            <w:vAlign w:val="center"/>
          </w:tcPr>
          <w:p w14:paraId="5FAFC9D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轻便储油罐</w:t>
            </w:r>
          </w:p>
        </w:tc>
        <w:tc>
          <w:tcPr>
            <w:tcW w:w="1475" w:type="dxa"/>
            <w:noWrap/>
            <w:vAlign w:val="center"/>
          </w:tcPr>
          <w:p w14:paraId="2C685AB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4立方米</w:t>
            </w:r>
          </w:p>
        </w:tc>
        <w:tc>
          <w:tcPr>
            <w:tcW w:w="701" w:type="dxa"/>
            <w:noWrap/>
            <w:vAlign w:val="center"/>
          </w:tcPr>
          <w:p w14:paraId="04164A1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w:t>
            </w:r>
          </w:p>
        </w:tc>
        <w:tc>
          <w:tcPr>
            <w:tcW w:w="755" w:type="dxa"/>
            <w:noWrap/>
            <w:vAlign w:val="center"/>
          </w:tcPr>
          <w:p w14:paraId="7C05388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1586" w:type="dxa"/>
            <w:noWrap/>
            <w:vAlign w:val="center"/>
          </w:tcPr>
          <w:p w14:paraId="5186035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0CE4399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6A57CBA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2C7CF9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vMerge w:val="continue"/>
            <w:noWrap/>
            <w:vAlign w:val="center"/>
          </w:tcPr>
          <w:p w14:paraId="4F9ED21B">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1548" w:type="dxa"/>
            <w:vMerge w:val="continue"/>
            <w:noWrap/>
            <w:vAlign w:val="center"/>
          </w:tcPr>
          <w:p w14:paraId="50FFD31D">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1475" w:type="dxa"/>
            <w:noWrap/>
            <w:vAlign w:val="center"/>
          </w:tcPr>
          <w:p w14:paraId="6478DC7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10立方米</w:t>
            </w:r>
          </w:p>
        </w:tc>
        <w:tc>
          <w:tcPr>
            <w:tcW w:w="701" w:type="dxa"/>
            <w:noWrap/>
            <w:vAlign w:val="center"/>
          </w:tcPr>
          <w:p w14:paraId="02AB6CD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w:t>
            </w:r>
          </w:p>
        </w:tc>
        <w:tc>
          <w:tcPr>
            <w:tcW w:w="755" w:type="dxa"/>
            <w:noWrap/>
            <w:vAlign w:val="center"/>
          </w:tcPr>
          <w:p w14:paraId="17D31AC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586" w:type="dxa"/>
            <w:noWrap/>
            <w:vAlign w:val="center"/>
          </w:tcPr>
          <w:p w14:paraId="5B0A616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041FDBD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3D89C89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472569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016D338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38</w:t>
            </w:r>
          </w:p>
        </w:tc>
        <w:tc>
          <w:tcPr>
            <w:tcW w:w="1548" w:type="dxa"/>
            <w:noWrap/>
            <w:vAlign w:val="center"/>
          </w:tcPr>
          <w:p w14:paraId="1081F75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油拖网</w:t>
            </w:r>
          </w:p>
        </w:tc>
        <w:tc>
          <w:tcPr>
            <w:tcW w:w="1475" w:type="dxa"/>
            <w:noWrap/>
            <w:vAlign w:val="center"/>
          </w:tcPr>
          <w:p w14:paraId="7E5146F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6立方</w:t>
            </w:r>
          </w:p>
        </w:tc>
        <w:tc>
          <w:tcPr>
            <w:tcW w:w="701" w:type="dxa"/>
            <w:noWrap/>
            <w:vAlign w:val="center"/>
          </w:tcPr>
          <w:p w14:paraId="30DF698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w:t>
            </w:r>
          </w:p>
        </w:tc>
        <w:tc>
          <w:tcPr>
            <w:tcW w:w="755" w:type="dxa"/>
            <w:noWrap/>
            <w:vAlign w:val="center"/>
          </w:tcPr>
          <w:p w14:paraId="1EED8CD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p>
        </w:tc>
        <w:tc>
          <w:tcPr>
            <w:tcW w:w="1586" w:type="dxa"/>
            <w:noWrap/>
            <w:vAlign w:val="center"/>
          </w:tcPr>
          <w:p w14:paraId="489E838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5D22E89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2B8EA44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2EFE78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4E96D14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39</w:t>
            </w:r>
          </w:p>
        </w:tc>
        <w:tc>
          <w:tcPr>
            <w:tcW w:w="1548" w:type="dxa"/>
            <w:noWrap/>
            <w:vAlign w:val="center"/>
          </w:tcPr>
          <w:p w14:paraId="5C32630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吸油拖栏</w:t>
            </w:r>
          </w:p>
        </w:tc>
        <w:tc>
          <w:tcPr>
            <w:tcW w:w="1475" w:type="dxa"/>
            <w:noWrap/>
            <w:vAlign w:val="center"/>
          </w:tcPr>
          <w:p w14:paraId="11C88A6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XTL200</w:t>
            </w:r>
          </w:p>
        </w:tc>
        <w:tc>
          <w:tcPr>
            <w:tcW w:w="701" w:type="dxa"/>
            <w:noWrap/>
            <w:vAlign w:val="center"/>
          </w:tcPr>
          <w:p w14:paraId="79E5FB2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米</w:t>
            </w:r>
          </w:p>
        </w:tc>
        <w:tc>
          <w:tcPr>
            <w:tcW w:w="755" w:type="dxa"/>
            <w:noWrap/>
            <w:vAlign w:val="center"/>
          </w:tcPr>
          <w:p w14:paraId="5257B6B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400</w:t>
            </w:r>
          </w:p>
        </w:tc>
        <w:tc>
          <w:tcPr>
            <w:tcW w:w="1586" w:type="dxa"/>
            <w:noWrap/>
            <w:vAlign w:val="center"/>
          </w:tcPr>
          <w:p w14:paraId="706C143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7C4CCB2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5F16685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538F83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38B9CFC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40</w:t>
            </w:r>
          </w:p>
        </w:tc>
        <w:tc>
          <w:tcPr>
            <w:tcW w:w="1548" w:type="dxa"/>
            <w:noWrap/>
            <w:vAlign w:val="center"/>
          </w:tcPr>
          <w:p w14:paraId="4084B06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自吸式收油机</w:t>
            </w:r>
          </w:p>
        </w:tc>
        <w:tc>
          <w:tcPr>
            <w:tcW w:w="1475" w:type="dxa"/>
            <w:noWrap/>
            <w:vAlign w:val="center"/>
          </w:tcPr>
          <w:p w14:paraId="78D51E8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10立方米/小时</w:t>
            </w:r>
          </w:p>
        </w:tc>
        <w:tc>
          <w:tcPr>
            <w:tcW w:w="701" w:type="dxa"/>
            <w:noWrap/>
            <w:vAlign w:val="center"/>
          </w:tcPr>
          <w:p w14:paraId="0C339A3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755" w:type="dxa"/>
            <w:noWrap/>
            <w:vAlign w:val="center"/>
          </w:tcPr>
          <w:p w14:paraId="209CCBB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586" w:type="dxa"/>
            <w:noWrap/>
            <w:vAlign w:val="center"/>
          </w:tcPr>
          <w:p w14:paraId="517619C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4902980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34598CC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655AF7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54709C8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41</w:t>
            </w:r>
          </w:p>
        </w:tc>
        <w:tc>
          <w:tcPr>
            <w:tcW w:w="1548" w:type="dxa"/>
            <w:noWrap/>
            <w:vAlign w:val="center"/>
          </w:tcPr>
          <w:p w14:paraId="4A81080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动态斜面式收油机</w:t>
            </w:r>
          </w:p>
        </w:tc>
        <w:tc>
          <w:tcPr>
            <w:tcW w:w="1475" w:type="dxa"/>
            <w:noWrap/>
            <w:vAlign w:val="center"/>
          </w:tcPr>
          <w:p w14:paraId="7AD4750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30立方米/小时</w:t>
            </w:r>
          </w:p>
        </w:tc>
        <w:tc>
          <w:tcPr>
            <w:tcW w:w="701" w:type="dxa"/>
            <w:noWrap/>
            <w:vAlign w:val="center"/>
          </w:tcPr>
          <w:p w14:paraId="08FDEAC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755" w:type="dxa"/>
            <w:noWrap/>
            <w:vAlign w:val="center"/>
          </w:tcPr>
          <w:p w14:paraId="3C5E07C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586" w:type="dxa"/>
            <w:noWrap/>
            <w:vAlign w:val="center"/>
          </w:tcPr>
          <w:p w14:paraId="77E30BD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5AA3199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4EC8D92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3846FE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766572B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42</w:t>
            </w:r>
          </w:p>
        </w:tc>
        <w:tc>
          <w:tcPr>
            <w:tcW w:w="1548" w:type="dxa"/>
            <w:noWrap/>
            <w:vAlign w:val="center"/>
          </w:tcPr>
          <w:p w14:paraId="2A226B0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溢油分散剂喷洒装置</w:t>
            </w:r>
          </w:p>
        </w:tc>
        <w:tc>
          <w:tcPr>
            <w:tcW w:w="1475" w:type="dxa"/>
            <w:noWrap/>
            <w:vAlign w:val="center"/>
          </w:tcPr>
          <w:p w14:paraId="286F523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40L/min</w:t>
            </w:r>
          </w:p>
        </w:tc>
        <w:tc>
          <w:tcPr>
            <w:tcW w:w="701" w:type="dxa"/>
            <w:noWrap/>
            <w:vAlign w:val="center"/>
          </w:tcPr>
          <w:p w14:paraId="68F3F72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755" w:type="dxa"/>
            <w:noWrap/>
            <w:vAlign w:val="center"/>
          </w:tcPr>
          <w:p w14:paraId="242B6FB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586" w:type="dxa"/>
            <w:noWrap/>
            <w:vAlign w:val="center"/>
          </w:tcPr>
          <w:p w14:paraId="3CE5AD3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洗消</w:t>
            </w:r>
          </w:p>
        </w:tc>
        <w:tc>
          <w:tcPr>
            <w:tcW w:w="1050" w:type="dxa"/>
            <w:noWrap/>
            <w:vAlign w:val="center"/>
          </w:tcPr>
          <w:p w14:paraId="721D5D6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704182E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13C8C8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6E0BA18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43</w:t>
            </w:r>
          </w:p>
        </w:tc>
        <w:tc>
          <w:tcPr>
            <w:tcW w:w="1548" w:type="dxa"/>
            <w:noWrap/>
            <w:vAlign w:val="center"/>
          </w:tcPr>
          <w:p w14:paraId="6C3C838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清洁装置</w:t>
            </w:r>
          </w:p>
        </w:tc>
        <w:tc>
          <w:tcPr>
            <w:tcW w:w="1475" w:type="dxa"/>
            <w:noWrap/>
            <w:vAlign w:val="center"/>
          </w:tcPr>
          <w:p w14:paraId="0DE38D8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12Mpa</w:t>
            </w:r>
          </w:p>
        </w:tc>
        <w:tc>
          <w:tcPr>
            <w:tcW w:w="701" w:type="dxa"/>
            <w:noWrap/>
            <w:vAlign w:val="center"/>
          </w:tcPr>
          <w:p w14:paraId="5576F76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755" w:type="dxa"/>
            <w:noWrap/>
            <w:vAlign w:val="center"/>
          </w:tcPr>
          <w:p w14:paraId="48EDFAA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586" w:type="dxa"/>
            <w:noWrap/>
            <w:vAlign w:val="center"/>
          </w:tcPr>
          <w:p w14:paraId="6BB90FC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洗消</w:t>
            </w:r>
          </w:p>
        </w:tc>
        <w:tc>
          <w:tcPr>
            <w:tcW w:w="1050" w:type="dxa"/>
            <w:noWrap/>
            <w:vAlign w:val="center"/>
          </w:tcPr>
          <w:p w14:paraId="4829493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77BE438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0FFD02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04EDD01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44</w:t>
            </w:r>
          </w:p>
        </w:tc>
        <w:tc>
          <w:tcPr>
            <w:tcW w:w="1548" w:type="dxa"/>
            <w:noWrap/>
            <w:vAlign w:val="center"/>
          </w:tcPr>
          <w:p w14:paraId="6835EF5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防火作战服</w:t>
            </w:r>
          </w:p>
        </w:tc>
        <w:tc>
          <w:tcPr>
            <w:tcW w:w="1475" w:type="dxa"/>
            <w:noWrap/>
            <w:vAlign w:val="center"/>
          </w:tcPr>
          <w:p w14:paraId="6761AB98">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63DB1C2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755" w:type="dxa"/>
            <w:noWrap/>
            <w:vAlign w:val="center"/>
          </w:tcPr>
          <w:p w14:paraId="33AD6AB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586" w:type="dxa"/>
            <w:noWrap/>
            <w:vAlign w:val="center"/>
          </w:tcPr>
          <w:p w14:paraId="0866537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34FE4C1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7A28261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铁路值班室</w:t>
            </w:r>
          </w:p>
        </w:tc>
      </w:tr>
      <w:tr w14:paraId="6B6013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56CD298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45</w:t>
            </w:r>
          </w:p>
        </w:tc>
        <w:tc>
          <w:tcPr>
            <w:tcW w:w="1548" w:type="dxa"/>
            <w:noWrap/>
            <w:vAlign w:val="center"/>
          </w:tcPr>
          <w:p w14:paraId="12635AE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耐油靴</w:t>
            </w:r>
          </w:p>
        </w:tc>
        <w:tc>
          <w:tcPr>
            <w:tcW w:w="1475" w:type="dxa"/>
            <w:noWrap/>
            <w:vAlign w:val="center"/>
          </w:tcPr>
          <w:p w14:paraId="3DE7693A">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02DD303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双</w:t>
            </w:r>
          </w:p>
        </w:tc>
        <w:tc>
          <w:tcPr>
            <w:tcW w:w="755" w:type="dxa"/>
            <w:noWrap/>
            <w:vAlign w:val="center"/>
          </w:tcPr>
          <w:p w14:paraId="17D9F4D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586" w:type="dxa"/>
            <w:noWrap/>
            <w:vAlign w:val="center"/>
          </w:tcPr>
          <w:p w14:paraId="05E3190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702EECF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34B1814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铁路值班室</w:t>
            </w:r>
          </w:p>
        </w:tc>
      </w:tr>
      <w:tr w14:paraId="70C626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577B9A7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46</w:t>
            </w:r>
          </w:p>
        </w:tc>
        <w:tc>
          <w:tcPr>
            <w:tcW w:w="1548" w:type="dxa"/>
            <w:noWrap/>
            <w:vAlign w:val="center"/>
          </w:tcPr>
          <w:p w14:paraId="2C5EB59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防毒面具</w:t>
            </w:r>
          </w:p>
        </w:tc>
        <w:tc>
          <w:tcPr>
            <w:tcW w:w="1475" w:type="dxa"/>
            <w:noWrap/>
            <w:vAlign w:val="center"/>
          </w:tcPr>
          <w:p w14:paraId="75B4CE73">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7B71EEC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755" w:type="dxa"/>
            <w:noWrap/>
            <w:vAlign w:val="center"/>
          </w:tcPr>
          <w:p w14:paraId="34765D7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586" w:type="dxa"/>
            <w:noWrap/>
            <w:vAlign w:val="center"/>
          </w:tcPr>
          <w:p w14:paraId="2010E1C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个人防护</w:t>
            </w:r>
          </w:p>
        </w:tc>
        <w:tc>
          <w:tcPr>
            <w:tcW w:w="1050" w:type="dxa"/>
            <w:noWrap/>
            <w:vAlign w:val="center"/>
          </w:tcPr>
          <w:p w14:paraId="12C2514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2CAD490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铁路值班室</w:t>
            </w:r>
          </w:p>
        </w:tc>
      </w:tr>
      <w:tr w14:paraId="1DA983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15176C3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47</w:t>
            </w:r>
          </w:p>
        </w:tc>
        <w:tc>
          <w:tcPr>
            <w:tcW w:w="1548" w:type="dxa"/>
            <w:noWrap/>
            <w:vAlign w:val="center"/>
          </w:tcPr>
          <w:p w14:paraId="7B615C5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护目镜</w:t>
            </w:r>
          </w:p>
        </w:tc>
        <w:tc>
          <w:tcPr>
            <w:tcW w:w="1475" w:type="dxa"/>
            <w:noWrap/>
            <w:vAlign w:val="center"/>
          </w:tcPr>
          <w:p w14:paraId="7C01FEC8">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11ECDFA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副</w:t>
            </w:r>
          </w:p>
        </w:tc>
        <w:tc>
          <w:tcPr>
            <w:tcW w:w="755" w:type="dxa"/>
            <w:noWrap/>
            <w:vAlign w:val="center"/>
          </w:tcPr>
          <w:p w14:paraId="1A34B11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586" w:type="dxa"/>
            <w:noWrap/>
            <w:vAlign w:val="center"/>
          </w:tcPr>
          <w:p w14:paraId="2BFCC8E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个人防护</w:t>
            </w:r>
          </w:p>
        </w:tc>
        <w:tc>
          <w:tcPr>
            <w:tcW w:w="1050" w:type="dxa"/>
            <w:noWrap/>
            <w:vAlign w:val="center"/>
          </w:tcPr>
          <w:p w14:paraId="4A37BF6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62DDA08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铁路值班室</w:t>
            </w:r>
          </w:p>
        </w:tc>
      </w:tr>
      <w:tr w14:paraId="309F7B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3BEED29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48</w:t>
            </w:r>
          </w:p>
        </w:tc>
        <w:tc>
          <w:tcPr>
            <w:tcW w:w="1548" w:type="dxa"/>
            <w:noWrap/>
            <w:vAlign w:val="center"/>
          </w:tcPr>
          <w:p w14:paraId="76EBE94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正压式空气呼吸器</w:t>
            </w:r>
          </w:p>
        </w:tc>
        <w:tc>
          <w:tcPr>
            <w:tcW w:w="1475" w:type="dxa"/>
            <w:noWrap/>
            <w:vAlign w:val="center"/>
          </w:tcPr>
          <w:p w14:paraId="3707328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凯瑞达RHZK系列</w:t>
            </w:r>
          </w:p>
        </w:tc>
        <w:tc>
          <w:tcPr>
            <w:tcW w:w="701" w:type="dxa"/>
            <w:noWrap/>
            <w:vAlign w:val="center"/>
          </w:tcPr>
          <w:p w14:paraId="54D7CE9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755" w:type="dxa"/>
            <w:noWrap/>
            <w:vAlign w:val="center"/>
          </w:tcPr>
          <w:p w14:paraId="34A5BDC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586" w:type="dxa"/>
            <w:noWrap/>
            <w:vAlign w:val="center"/>
          </w:tcPr>
          <w:p w14:paraId="1209132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个人防护</w:t>
            </w:r>
          </w:p>
        </w:tc>
        <w:tc>
          <w:tcPr>
            <w:tcW w:w="1050" w:type="dxa"/>
            <w:noWrap/>
            <w:vAlign w:val="center"/>
          </w:tcPr>
          <w:p w14:paraId="18BABE0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49BC3C5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铁路值班室</w:t>
            </w:r>
          </w:p>
        </w:tc>
      </w:tr>
      <w:tr w14:paraId="3322A5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0DDBE4B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49</w:t>
            </w:r>
          </w:p>
        </w:tc>
        <w:tc>
          <w:tcPr>
            <w:tcW w:w="1548" w:type="dxa"/>
            <w:noWrap/>
            <w:vAlign w:val="center"/>
          </w:tcPr>
          <w:p w14:paraId="63B0CC6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消防水带</w:t>
            </w:r>
          </w:p>
        </w:tc>
        <w:tc>
          <w:tcPr>
            <w:tcW w:w="1475" w:type="dxa"/>
            <w:noWrap/>
            <w:vAlign w:val="center"/>
          </w:tcPr>
          <w:p w14:paraId="54BAEC8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DN65-PN16-20M</w:t>
            </w:r>
          </w:p>
        </w:tc>
        <w:tc>
          <w:tcPr>
            <w:tcW w:w="701" w:type="dxa"/>
            <w:noWrap/>
            <w:vAlign w:val="center"/>
          </w:tcPr>
          <w:p w14:paraId="32D0475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条</w:t>
            </w:r>
          </w:p>
        </w:tc>
        <w:tc>
          <w:tcPr>
            <w:tcW w:w="755" w:type="dxa"/>
            <w:noWrap/>
            <w:vAlign w:val="center"/>
          </w:tcPr>
          <w:p w14:paraId="0E4EA56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1586" w:type="dxa"/>
            <w:noWrap/>
            <w:vAlign w:val="center"/>
          </w:tcPr>
          <w:p w14:paraId="7C283FF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5A98698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32F584E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铁路值班室</w:t>
            </w:r>
          </w:p>
        </w:tc>
      </w:tr>
      <w:tr w14:paraId="73DFE4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7029AC6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w:t>
            </w:r>
          </w:p>
        </w:tc>
        <w:tc>
          <w:tcPr>
            <w:tcW w:w="1548" w:type="dxa"/>
            <w:noWrap/>
            <w:vAlign w:val="center"/>
          </w:tcPr>
          <w:p w14:paraId="4CF15B2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消防枪头</w:t>
            </w:r>
          </w:p>
        </w:tc>
        <w:tc>
          <w:tcPr>
            <w:tcW w:w="1475" w:type="dxa"/>
            <w:noWrap/>
            <w:vAlign w:val="center"/>
          </w:tcPr>
          <w:p w14:paraId="3E6CA30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直流/喷雾两用</w:t>
            </w:r>
          </w:p>
        </w:tc>
        <w:tc>
          <w:tcPr>
            <w:tcW w:w="701" w:type="dxa"/>
            <w:noWrap/>
            <w:vAlign w:val="center"/>
          </w:tcPr>
          <w:p w14:paraId="4EDDF19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支</w:t>
            </w:r>
          </w:p>
        </w:tc>
        <w:tc>
          <w:tcPr>
            <w:tcW w:w="755" w:type="dxa"/>
            <w:noWrap/>
            <w:vAlign w:val="center"/>
          </w:tcPr>
          <w:p w14:paraId="431BE1F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1586" w:type="dxa"/>
            <w:noWrap/>
            <w:vAlign w:val="center"/>
          </w:tcPr>
          <w:p w14:paraId="2566313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47E8401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388463D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铁路值班室</w:t>
            </w:r>
          </w:p>
        </w:tc>
      </w:tr>
      <w:tr w14:paraId="725654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6C3023B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51</w:t>
            </w:r>
          </w:p>
        </w:tc>
        <w:tc>
          <w:tcPr>
            <w:tcW w:w="1548" w:type="dxa"/>
            <w:noWrap/>
            <w:vAlign w:val="center"/>
          </w:tcPr>
          <w:p w14:paraId="3E2F7F8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灭火毯</w:t>
            </w:r>
          </w:p>
        </w:tc>
        <w:tc>
          <w:tcPr>
            <w:tcW w:w="1475" w:type="dxa"/>
            <w:noWrap/>
            <w:vAlign w:val="center"/>
          </w:tcPr>
          <w:p w14:paraId="739BF5B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1*1米</w:t>
            </w:r>
          </w:p>
        </w:tc>
        <w:tc>
          <w:tcPr>
            <w:tcW w:w="701" w:type="dxa"/>
            <w:noWrap/>
            <w:vAlign w:val="center"/>
          </w:tcPr>
          <w:p w14:paraId="575B39E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张</w:t>
            </w:r>
          </w:p>
        </w:tc>
        <w:tc>
          <w:tcPr>
            <w:tcW w:w="755" w:type="dxa"/>
            <w:noWrap/>
            <w:vAlign w:val="center"/>
          </w:tcPr>
          <w:p w14:paraId="61526AF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586" w:type="dxa"/>
            <w:noWrap/>
            <w:vAlign w:val="center"/>
          </w:tcPr>
          <w:p w14:paraId="5B6A7FA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1C754E5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4E9E981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铁路值班室</w:t>
            </w:r>
          </w:p>
        </w:tc>
      </w:tr>
      <w:tr w14:paraId="2B7545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7A1BA60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52</w:t>
            </w:r>
          </w:p>
        </w:tc>
        <w:tc>
          <w:tcPr>
            <w:tcW w:w="1548" w:type="dxa"/>
            <w:noWrap/>
            <w:vAlign w:val="center"/>
          </w:tcPr>
          <w:p w14:paraId="1A7A13A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吸油毡</w:t>
            </w:r>
          </w:p>
        </w:tc>
        <w:tc>
          <w:tcPr>
            <w:tcW w:w="1475" w:type="dxa"/>
            <w:noWrap/>
            <w:vAlign w:val="center"/>
          </w:tcPr>
          <w:p w14:paraId="65F1BAF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PP-2纤维类</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XTL-170</w:t>
            </w:r>
          </w:p>
        </w:tc>
        <w:tc>
          <w:tcPr>
            <w:tcW w:w="701" w:type="dxa"/>
            <w:noWrap/>
            <w:vAlign w:val="center"/>
          </w:tcPr>
          <w:p w14:paraId="158EAE8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KG</w:t>
            </w:r>
          </w:p>
        </w:tc>
        <w:tc>
          <w:tcPr>
            <w:tcW w:w="755" w:type="dxa"/>
            <w:noWrap/>
            <w:vAlign w:val="center"/>
          </w:tcPr>
          <w:p w14:paraId="791C045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w:t>
            </w:r>
          </w:p>
        </w:tc>
        <w:tc>
          <w:tcPr>
            <w:tcW w:w="1586" w:type="dxa"/>
            <w:noWrap/>
            <w:vAlign w:val="center"/>
          </w:tcPr>
          <w:p w14:paraId="3378044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28F433D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637A82D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铁路值班室</w:t>
            </w:r>
          </w:p>
        </w:tc>
      </w:tr>
      <w:tr w14:paraId="27FE65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1E58CF9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53</w:t>
            </w:r>
          </w:p>
        </w:tc>
        <w:tc>
          <w:tcPr>
            <w:tcW w:w="1548" w:type="dxa"/>
            <w:noWrap/>
            <w:vAlign w:val="center"/>
          </w:tcPr>
          <w:p w14:paraId="1630E45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应急铲</w:t>
            </w:r>
          </w:p>
        </w:tc>
        <w:tc>
          <w:tcPr>
            <w:tcW w:w="1475" w:type="dxa"/>
            <w:noWrap/>
            <w:vAlign w:val="center"/>
          </w:tcPr>
          <w:p w14:paraId="17E7E2EF">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35060B9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把</w:t>
            </w:r>
          </w:p>
        </w:tc>
        <w:tc>
          <w:tcPr>
            <w:tcW w:w="755" w:type="dxa"/>
            <w:noWrap/>
            <w:vAlign w:val="center"/>
          </w:tcPr>
          <w:p w14:paraId="5CA4718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586" w:type="dxa"/>
            <w:noWrap/>
            <w:vAlign w:val="center"/>
          </w:tcPr>
          <w:p w14:paraId="6CD32BA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33D87D1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3185A97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铁路值班室</w:t>
            </w:r>
          </w:p>
        </w:tc>
      </w:tr>
      <w:tr w14:paraId="2ADCDF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18BE1F0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54</w:t>
            </w:r>
          </w:p>
        </w:tc>
        <w:tc>
          <w:tcPr>
            <w:tcW w:w="1548" w:type="dxa"/>
            <w:noWrap/>
            <w:vAlign w:val="center"/>
          </w:tcPr>
          <w:p w14:paraId="6791525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应急桶</w:t>
            </w:r>
          </w:p>
        </w:tc>
        <w:tc>
          <w:tcPr>
            <w:tcW w:w="1475" w:type="dxa"/>
            <w:noWrap/>
            <w:vAlign w:val="center"/>
          </w:tcPr>
          <w:p w14:paraId="731AA430">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656E473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w:t>
            </w:r>
          </w:p>
        </w:tc>
        <w:tc>
          <w:tcPr>
            <w:tcW w:w="755" w:type="dxa"/>
            <w:noWrap/>
            <w:vAlign w:val="center"/>
          </w:tcPr>
          <w:p w14:paraId="3682DB8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586" w:type="dxa"/>
            <w:noWrap/>
            <w:vAlign w:val="center"/>
          </w:tcPr>
          <w:p w14:paraId="514BE70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38DE646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1351513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铁路值班室</w:t>
            </w:r>
          </w:p>
        </w:tc>
      </w:tr>
      <w:tr w14:paraId="7847BF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00B8E37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55</w:t>
            </w:r>
          </w:p>
        </w:tc>
        <w:tc>
          <w:tcPr>
            <w:tcW w:w="1548" w:type="dxa"/>
            <w:noWrap/>
            <w:vAlign w:val="center"/>
          </w:tcPr>
          <w:p w14:paraId="6E14309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铜制防爆工具</w:t>
            </w:r>
          </w:p>
        </w:tc>
        <w:tc>
          <w:tcPr>
            <w:tcW w:w="1475" w:type="dxa"/>
            <w:noWrap/>
            <w:vAlign w:val="center"/>
          </w:tcPr>
          <w:p w14:paraId="54AFD86C">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18412DA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755" w:type="dxa"/>
            <w:noWrap/>
            <w:vAlign w:val="center"/>
          </w:tcPr>
          <w:p w14:paraId="35EE5B7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586" w:type="dxa"/>
            <w:noWrap/>
            <w:vAlign w:val="center"/>
          </w:tcPr>
          <w:p w14:paraId="65CA7D7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49A0D4E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305DB56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铁路值班室</w:t>
            </w:r>
          </w:p>
        </w:tc>
      </w:tr>
    </w:tbl>
    <w:p w14:paraId="0B84CD3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（3）广西华谊能源化工有限公司</w:t>
      </w:r>
    </w:p>
    <w:p w14:paraId="5A55B6C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广西华临码头有限公司消防安全主要依托华谊消防站，华谊消防站消防车辆具体</w:t>
      </w:r>
      <w:r>
        <w:rPr>
          <w:color w:val="000000" w:themeColor="text1"/>
          <w14:textFill>
            <w14:solidFill>
              <w14:schemeClr w14:val="tx1"/>
            </w14:solidFill>
          </w14:textFill>
        </w:rPr>
        <w:t>参数如</w:t>
      </w:r>
      <w:r>
        <w:rPr>
          <w:rFonts w:hint="eastAsia"/>
          <w:color w:val="000000" w:themeColor="text1"/>
          <w14:textFill>
            <w14:solidFill>
              <w14:schemeClr w14:val="tx1"/>
            </w14:solidFill>
          </w14:textFill>
        </w:rPr>
        <w:t>表5.7-7所示。</w:t>
      </w:r>
    </w:p>
    <w:p w14:paraId="420E796F">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华谊消防站消防车辆具体</w:t>
      </w:r>
      <w:r>
        <w:rPr>
          <w:color w:val="000000" w:themeColor="text1"/>
          <w14:textFill>
            <w14:solidFill>
              <w14:schemeClr w14:val="tx1"/>
            </w14:solidFill>
          </w14:textFill>
        </w:rPr>
        <w:t>参数</w:t>
      </w:r>
      <w:r>
        <w:rPr>
          <w:rFonts w:hint="eastAsia"/>
          <w:color w:val="000000" w:themeColor="text1"/>
          <w14:textFill>
            <w14:solidFill>
              <w14:schemeClr w14:val="tx1"/>
            </w14:solidFill>
          </w14:textFill>
        </w:rPr>
        <w:t>表</w:t>
      </w:r>
    </w:p>
    <w:tbl>
      <w:tblPr>
        <w:tblStyle w:val="43"/>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440"/>
        <w:gridCol w:w="724"/>
        <w:gridCol w:w="540"/>
        <w:gridCol w:w="1514"/>
        <w:gridCol w:w="612"/>
        <w:gridCol w:w="635"/>
        <w:gridCol w:w="783"/>
        <w:gridCol w:w="710"/>
        <w:gridCol w:w="683"/>
        <w:gridCol w:w="482"/>
        <w:gridCol w:w="785"/>
        <w:gridCol w:w="611"/>
        <w:gridCol w:w="552"/>
      </w:tblGrid>
      <w:tr w14:paraId="19E522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440" w:type="dxa"/>
            <w:vMerge w:val="restart"/>
            <w:vAlign w:val="center"/>
          </w:tcPr>
          <w:p w14:paraId="7DCEED93">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序号</w:t>
            </w:r>
          </w:p>
        </w:tc>
        <w:tc>
          <w:tcPr>
            <w:tcW w:w="724" w:type="dxa"/>
            <w:vMerge w:val="restart"/>
            <w:vAlign w:val="center"/>
          </w:tcPr>
          <w:p w14:paraId="139CFF8D">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名称</w:t>
            </w:r>
          </w:p>
        </w:tc>
        <w:tc>
          <w:tcPr>
            <w:tcW w:w="540" w:type="dxa"/>
            <w:vMerge w:val="restart"/>
            <w:vAlign w:val="center"/>
          </w:tcPr>
          <w:p w14:paraId="0EABEABC">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数量</w:t>
            </w:r>
          </w:p>
        </w:tc>
        <w:tc>
          <w:tcPr>
            <w:tcW w:w="1514" w:type="dxa"/>
            <w:vMerge w:val="restart"/>
            <w:vAlign w:val="center"/>
          </w:tcPr>
          <w:p w14:paraId="272A62B0">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底盘</w:t>
            </w:r>
          </w:p>
        </w:tc>
        <w:tc>
          <w:tcPr>
            <w:tcW w:w="612" w:type="dxa"/>
            <w:vMerge w:val="restart"/>
            <w:vAlign w:val="center"/>
          </w:tcPr>
          <w:p w14:paraId="6928724D">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配备时间</w:t>
            </w:r>
          </w:p>
        </w:tc>
        <w:tc>
          <w:tcPr>
            <w:tcW w:w="1418" w:type="dxa"/>
            <w:gridSpan w:val="2"/>
            <w:vAlign w:val="center"/>
          </w:tcPr>
          <w:p w14:paraId="2FC2265D">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载液量（T）</w:t>
            </w:r>
          </w:p>
        </w:tc>
        <w:tc>
          <w:tcPr>
            <w:tcW w:w="1393" w:type="dxa"/>
            <w:gridSpan w:val="2"/>
            <w:vAlign w:val="center"/>
          </w:tcPr>
          <w:p w14:paraId="395B94A5">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水泵</w:t>
            </w:r>
          </w:p>
        </w:tc>
        <w:tc>
          <w:tcPr>
            <w:tcW w:w="2430" w:type="dxa"/>
            <w:gridSpan w:val="4"/>
            <w:vAlign w:val="center"/>
          </w:tcPr>
          <w:p w14:paraId="51559A9A">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消防炮</w:t>
            </w:r>
          </w:p>
        </w:tc>
      </w:tr>
      <w:tr w14:paraId="5EA764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440" w:type="dxa"/>
            <w:vMerge w:val="continue"/>
            <w:vAlign w:val="center"/>
          </w:tcPr>
          <w:p w14:paraId="40BDD5B4">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724" w:type="dxa"/>
            <w:vMerge w:val="continue"/>
            <w:vAlign w:val="center"/>
          </w:tcPr>
          <w:p w14:paraId="39522A39">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540" w:type="dxa"/>
            <w:vMerge w:val="continue"/>
            <w:vAlign w:val="center"/>
          </w:tcPr>
          <w:p w14:paraId="56E657D7">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1514" w:type="dxa"/>
            <w:vMerge w:val="continue"/>
            <w:vAlign w:val="center"/>
          </w:tcPr>
          <w:p w14:paraId="5A9A55F5">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612" w:type="dxa"/>
            <w:vMerge w:val="continue"/>
            <w:vAlign w:val="center"/>
          </w:tcPr>
          <w:p w14:paraId="2003A2B8">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635" w:type="dxa"/>
            <w:vMerge w:val="restart"/>
            <w:vAlign w:val="center"/>
          </w:tcPr>
          <w:p w14:paraId="7EA37259">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水</w:t>
            </w:r>
          </w:p>
        </w:tc>
        <w:tc>
          <w:tcPr>
            <w:tcW w:w="783" w:type="dxa"/>
            <w:vMerge w:val="restart"/>
            <w:vAlign w:val="center"/>
          </w:tcPr>
          <w:p w14:paraId="62BD6EF8">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泡沫干粉</w:t>
            </w:r>
          </w:p>
        </w:tc>
        <w:tc>
          <w:tcPr>
            <w:tcW w:w="710" w:type="dxa"/>
            <w:vMerge w:val="restart"/>
            <w:vAlign w:val="center"/>
          </w:tcPr>
          <w:p w14:paraId="523DB36F">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定压力MPa</w:t>
            </w:r>
          </w:p>
        </w:tc>
        <w:tc>
          <w:tcPr>
            <w:tcW w:w="683" w:type="dxa"/>
            <w:vMerge w:val="restart"/>
            <w:vAlign w:val="center"/>
          </w:tcPr>
          <w:p w14:paraId="55A731D0">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额定流量</w:t>
            </w:r>
          </w:p>
          <w:p w14:paraId="204F9DE0">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L/s</w:t>
            </w:r>
          </w:p>
        </w:tc>
        <w:tc>
          <w:tcPr>
            <w:tcW w:w="482" w:type="dxa"/>
            <w:vMerge w:val="restart"/>
            <w:vAlign w:val="center"/>
          </w:tcPr>
          <w:p w14:paraId="10A30776">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定压力</w:t>
            </w:r>
          </w:p>
          <w:p w14:paraId="056F68C8">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MPa</w:t>
            </w:r>
          </w:p>
        </w:tc>
        <w:tc>
          <w:tcPr>
            <w:tcW w:w="785" w:type="dxa"/>
            <w:vMerge w:val="restart"/>
            <w:vAlign w:val="center"/>
          </w:tcPr>
          <w:p w14:paraId="4C68B86E">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额定流量</w:t>
            </w:r>
          </w:p>
          <w:p w14:paraId="5E38BC6F">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L/s</w:t>
            </w:r>
          </w:p>
        </w:tc>
        <w:tc>
          <w:tcPr>
            <w:tcW w:w="1163" w:type="dxa"/>
            <w:gridSpan w:val="2"/>
            <w:vAlign w:val="center"/>
          </w:tcPr>
          <w:p w14:paraId="400E4571">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射程（m）</w:t>
            </w:r>
          </w:p>
        </w:tc>
      </w:tr>
      <w:tr w14:paraId="5174EF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440" w:type="dxa"/>
            <w:vMerge w:val="continue"/>
            <w:vAlign w:val="center"/>
          </w:tcPr>
          <w:p w14:paraId="69EDC29C">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724" w:type="dxa"/>
            <w:vMerge w:val="continue"/>
            <w:vAlign w:val="center"/>
          </w:tcPr>
          <w:p w14:paraId="326D6823">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540" w:type="dxa"/>
            <w:vMerge w:val="continue"/>
            <w:vAlign w:val="center"/>
          </w:tcPr>
          <w:p w14:paraId="1EFFACD5">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1514" w:type="dxa"/>
            <w:vMerge w:val="continue"/>
            <w:vAlign w:val="center"/>
          </w:tcPr>
          <w:p w14:paraId="26AA0119">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612" w:type="dxa"/>
            <w:vMerge w:val="continue"/>
            <w:vAlign w:val="center"/>
          </w:tcPr>
          <w:p w14:paraId="591C5E76">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635" w:type="dxa"/>
            <w:vMerge w:val="continue"/>
            <w:vAlign w:val="center"/>
          </w:tcPr>
          <w:p w14:paraId="638E1223">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783" w:type="dxa"/>
            <w:vMerge w:val="continue"/>
            <w:vAlign w:val="center"/>
          </w:tcPr>
          <w:p w14:paraId="426E83C3">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710" w:type="dxa"/>
            <w:vMerge w:val="continue"/>
            <w:vAlign w:val="center"/>
          </w:tcPr>
          <w:p w14:paraId="4531F32F">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683" w:type="dxa"/>
            <w:vMerge w:val="continue"/>
            <w:vAlign w:val="center"/>
          </w:tcPr>
          <w:p w14:paraId="792FF592">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482" w:type="dxa"/>
            <w:vMerge w:val="continue"/>
            <w:vAlign w:val="center"/>
          </w:tcPr>
          <w:p w14:paraId="422264F3">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785" w:type="dxa"/>
            <w:vMerge w:val="continue"/>
            <w:vAlign w:val="center"/>
          </w:tcPr>
          <w:p w14:paraId="2471E023">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611" w:type="dxa"/>
            <w:vAlign w:val="center"/>
          </w:tcPr>
          <w:p w14:paraId="35E30ED5">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水</w:t>
            </w:r>
          </w:p>
        </w:tc>
        <w:tc>
          <w:tcPr>
            <w:tcW w:w="552" w:type="dxa"/>
            <w:vAlign w:val="center"/>
          </w:tcPr>
          <w:p w14:paraId="04EB56DB">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泡沫</w:t>
            </w:r>
          </w:p>
        </w:tc>
      </w:tr>
      <w:tr w14:paraId="1C3549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0" w:type="dxa"/>
            <w:vAlign w:val="center"/>
          </w:tcPr>
          <w:p w14:paraId="4AA2280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724" w:type="dxa"/>
            <w:vAlign w:val="center"/>
          </w:tcPr>
          <w:p w14:paraId="6AE9CD0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16泡沫消防车</w:t>
            </w:r>
          </w:p>
        </w:tc>
        <w:tc>
          <w:tcPr>
            <w:tcW w:w="540" w:type="dxa"/>
            <w:vAlign w:val="center"/>
          </w:tcPr>
          <w:p w14:paraId="35376E2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514" w:type="dxa"/>
            <w:vAlign w:val="center"/>
          </w:tcPr>
          <w:p w14:paraId="2A7D288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中国重汽豪沃</w:t>
            </w:r>
          </w:p>
          <w:p w14:paraId="45F98A9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ZZ5347V4647E5型</w:t>
            </w:r>
          </w:p>
          <w:p w14:paraId="7FD1181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二类底盘</w:t>
            </w:r>
          </w:p>
        </w:tc>
        <w:tc>
          <w:tcPr>
            <w:tcW w:w="612" w:type="dxa"/>
            <w:vAlign w:val="center"/>
          </w:tcPr>
          <w:p w14:paraId="0F08AE4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2021.1</w:t>
            </w:r>
          </w:p>
        </w:tc>
        <w:tc>
          <w:tcPr>
            <w:tcW w:w="635" w:type="dxa"/>
            <w:vAlign w:val="center"/>
          </w:tcPr>
          <w:p w14:paraId="2A17FA6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12T</w:t>
            </w:r>
          </w:p>
        </w:tc>
        <w:tc>
          <w:tcPr>
            <w:tcW w:w="783" w:type="dxa"/>
            <w:vAlign w:val="center"/>
          </w:tcPr>
          <w:p w14:paraId="5A6DB48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泡沫4T</w:t>
            </w:r>
          </w:p>
        </w:tc>
        <w:tc>
          <w:tcPr>
            <w:tcW w:w="710" w:type="dxa"/>
            <w:vAlign w:val="center"/>
          </w:tcPr>
          <w:p w14:paraId="6AA5494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1.03</w:t>
            </w:r>
          </w:p>
        </w:tc>
        <w:tc>
          <w:tcPr>
            <w:tcW w:w="683" w:type="dxa"/>
            <w:vAlign w:val="center"/>
          </w:tcPr>
          <w:p w14:paraId="02DF13A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w:t>
            </w:r>
          </w:p>
        </w:tc>
        <w:tc>
          <w:tcPr>
            <w:tcW w:w="482" w:type="dxa"/>
            <w:vAlign w:val="center"/>
          </w:tcPr>
          <w:p w14:paraId="5C7E7FC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785" w:type="dxa"/>
            <w:vAlign w:val="center"/>
          </w:tcPr>
          <w:p w14:paraId="0ACAFA1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80L/S</w:t>
            </w:r>
          </w:p>
        </w:tc>
        <w:tc>
          <w:tcPr>
            <w:tcW w:w="611" w:type="dxa"/>
            <w:vAlign w:val="center"/>
          </w:tcPr>
          <w:p w14:paraId="1D7B2F2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75</w:t>
            </w:r>
          </w:p>
        </w:tc>
        <w:tc>
          <w:tcPr>
            <w:tcW w:w="552" w:type="dxa"/>
            <w:vAlign w:val="center"/>
          </w:tcPr>
          <w:p w14:paraId="25FB99B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w:t>
            </w:r>
          </w:p>
        </w:tc>
      </w:tr>
      <w:tr w14:paraId="263682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0" w:type="dxa"/>
            <w:vAlign w:val="center"/>
          </w:tcPr>
          <w:p w14:paraId="74AB078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724" w:type="dxa"/>
            <w:vAlign w:val="center"/>
          </w:tcPr>
          <w:p w14:paraId="30D7D80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18吨泡沫车</w:t>
            </w:r>
          </w:p>
        </w:tc>
        <w:tc>
          <w:tcPr>
            <w:tcW w:w="540" w:type="dxa"/>
            <w:vAlign w:val="center"/>
          </w:tcPr>
          <w:p w14:paraId="3D85F60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514" w:type="dxa"/>
            <w:vAlign w:val="center"/>
          </w:tcPr>
          <w:p w14:paraId="21DE6AA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中国重汽豪沃</w:t>
            </w:r>
          </w:p>
          <w:p w14:paraId="3E4939A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ZZ5447TXFV466MF5</w:t>
            </w:r>
          </w:p>
        </w:tc>
        <w:tc>
          <w:tcPr>
            <w:tcW w:w="612" w:type="dxa"/>
            <w:vAlign w:val="center"/>
          </w:tcPr>
          <w:p w14:paraId="77127E1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2022.10</w:t>
            </w:r>
          </w:p>
        </w:tc>
        <w:tc>
          <w:tcPr>
            <w:tcW w:w="635" w:type="dxa"/>
            <w:vAlign w:val="center"/>
          </w:tcPr>
          <w:p w14:paraId="1043C72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3T</w:t>
            </w:r>
          </w:p>
        </w:tc>
        <w:tc>
          <w:tcPr>
            <w:tcW w:w="783" w:type="dxa"/>
            <w:vAlign w:val="center"/>
          </w:tcPr>
          <w:p w14:paraId="27A0EDF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泡沫15T</w:t>
            </w:r>
          </w:p>
        </w:tc>
        <w:tc>
          <w:tcPr>
            <w:tcW w:w="710" w:type="dxa"/>
            <w:vAlign w:val="center"/>
          </w:tcPr>
          <w:p w14:paraId="7DAAE21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1.03</w:t>
            </w:r>
          </w:p>
        </w:tc>
        <w:tc>
          <w:tcPr>
            <w:tcW w:w="683" w:type="dxa"/>
            <w:vAlign w:val="center"/>
          </w:tcPr>
          <w:p w14:paraId="10BF19F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170L/S</w:t>
            </w:r>
          </w:p>
        </w:tc>
        <w:tc>
          <w:tcPr>
            <w:tcW w:w="482" w:type="dxa"/>
            <w:vAlign w:val="center"/>
          </w:tcPr>
          <w:p w14:paraId="1572740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785" w:type="dxa"/>
            <w:vAlign w:val="center"/>
          </w:tcPr>
          <w:p w14:paraId="56DB49E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150L/S</w:t>
            </w:r>
          </w:p>
        </w:tc>
        <w:tc>
          <w:tcPr>
            <w:tcW w:w="611" w:type="dxa"/>
            <w:vAlign w:val="center"/>
          </w:tcPr>
          <w:p w14:paraId="567D0F1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w:t>
            </w:r>
          </w:p>
        </w:tc>
        <w:tc>
          <w:tcPr>
            <w:tcW w:w="552" w:type="dxa"/>
            <w:vAlign w:val="center"/>
          </w:tcPr>
          <w:p w14:paraId="7CC2E77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≥75</w:t>
            </w:r>
          </w:p>
        </w:tc>
      </w:tr>
      <w:tr w14:paraId="153758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0" w:type="dxa"/>
            <w:vAlign w:val="center"/>
          </w:tcPr>
          <w:p w14:paraId="12691DF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724" w:type="dxa"/>
            <w:vAlign w:val="center"/>
          </w:tcPr>
          <w:p w14:paraId="5F29792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21吨泡沫车</w:t>
            </w:r>
          </w:p>
        </w:tc>
        <w:tc>
          <w:tcPr>
            <w:tcW w:w="540" w:type="dxa"/>
            <w:vAlign w:val="center"/>
          </w:tcPr>
          <w:p w14:paraId="1284DD2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514" w:type="dxa"/>
            <w:vAlign w:val="center"/>
          </w:tcPr>
          <w:p w14:paraId="098D4A3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中国重汽豪沃</w:t>
            </w:r>
          </w:p>
          <w:p w14:paraId="423DD7D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ZZ5447TXFV466MF5</w:t>
            </w:r>
          </w:p>
          <w:p w14:paraId="0C411E0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二类底盘</w:t>
            </w:r>
          </w:p>
        </w:tc>
        <w:tc>
          <w:tcPr>
            <w:tcW w:w="612" w:type="dxa"/>
            <w:vAlign w:val="center"/>
          </w:tcPr>
          <w:p w14:paraId="668B7CC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2022.7</w:t>
            </w:r>
          </w:p>
        </w:tc>
        <w:tc>
          <w:tcPr>
            <w:tcW w:w="635" w:type="dxa"/>
            <w:vAlign w:val="center"/>
          </w:tcPr>
          <w:p w14:paraId="6B89B67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12T</w:t>
            </w:r>
          </w:p>
        </w:tc>
        <w:tc>
          <w:tcPr>
            <w:tcW w:w="783" w:type="dxa"/>
            <w:vAlign w:val="center"/>
          </w:tcPr>
          <w:p w14:paraId="74EC9B0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泡沫9T</w:t>
            </w:r>
          </w:p>
        </w:tc>
        <w:tc>
          <w:tcPr>
            <w:tcW w:w="710" w:type="dxa"/>
            <w:vAlign w:val="center"/>
          </w:tcPr>
          <w:p w14:paraId="4C3D293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1.03</w:t>
            </w:r>
          </w:p>
        </w:tc>
        <w:tc>
          <w:tcPr>
            <w:tcW w:w="683" w:type="dxa"/>
            <w:vAlign w:val="center"/>
          </w:tcPr>
          <w:p w14:paraId="4D70CB0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w:t>
            </w:r>
          </w:p>
        </w:tc>
        <w:tc>
          <w:tcPr>
            <w:tcW w:w="482" w:type="dxa"/>
            <w:vAlign w:val="center"/>
          </w:tcPr>
          <w:p w14:paraId="3660CDB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785" w:type="dxa"/>
            <w:vAlign w:val="center"/>
          </w:tcPr>
          <w:p w14:paraId="4B528E0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80L/S</w:t>
            </w:r>
          </w:p>
        </w:tc>
        <w:tc>
          <w:tcPr>
            <w:tcW w:w="611" w:type="dxa"/>
            <w:vAlign w:val="center"/>
          </w:tcPr>
          <w:p w14:paraId="57602D5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≥75</w:t>
            </w:r>
          </w:p>
        </w:tc>
        <w:tc>
          <w:tcPr>
            <w:tcW w:w="552" w:type="dxa"/>
            <w:vAlign w:val="center"/>
          </w:tcPr>
          <w:p w14:paraId="4334309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w:t>
            </w:r>
          </w:p>
        </w:tc>
      </w:tr>
      <w:tr w14:paraId="6AFF31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0" w:type="dxa"/>
            <w:vAlign w:val="center"/>
          </w:tcPr>
          <w:p w14:paraId="6FCFDEC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724" w:type="dxa"/>
            <w:vAlign w:val="center"/>
          </w:tcPr>
          <w:p w14:paraId="4F1B27C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干粉水联消防车</w:t>
            </w:r>
          </w:p>
        </w:tc>
        <w:tc>
          <w:tcPr>
            <w:tcW w:w="540" w:type="dxa"/>
            <w:vAlign w:val="center"/>
          </w:tcPr>
          <w:p w14:paraId="63A5100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514" w:type="dxa"/>
            <w:vAlign w:val="center"/>
          </w:tcPr>
          <w:p w14:paraId="105A5DF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中国重汽豪沃</w:t>
            </w:r>
          </w:p>
          <w:p w14:paraId="42102B3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ZZ5347V4647E5型</w:t>
            </w:r>
          </w:p>
          <w:p w14:paraId="686F448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二类底盘</w:t>
            </w:r>
          </w:p>
        </w:tc>
        <w:tc>
          <w:tcPr>
            <w:tcW w:w="612" w:type="dxa"/>
            <w:vAlign w:val="center"/>
          </w:tcPr>
          <w:p w14:paraId="5380F28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2021.1</w:t>
            </w:r>
          </w:p>
        </w:tc>
        <w:tc>
          <w:tcPr>
            <w:tcW w:w="635" w:type="dxa"/>
            <w:vAlign w:val="center"/>
          </w:tcPr>
          <w:p w14:paraId="26A6C3E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8T</w:t>
            </w:r>
          </w:p>
        </w:tc>
        <w:tc>
          <w:tcPr>
            <w:tcW w:w="783" w:type="dxa"/>
            <w:vAlign w:val="center"/>
          </w:tcPr>
          <w:p w14:paraId="13C681D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干粉3T</w:t>
            </w:r>
          </w:p>
        </w:tc>
        <w:tc>
          <w:tcPr>
            <w:tcW w:w="710" w:type="dxa"/>
            <w:vAlign w:val="center"/>
          </w:tcPr>
          <w:p w14:paraId="5EB5582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1.03</w:t>
            </w:r>
          </w:p>
        </w:tc>
        <w:tc>
          <w:tcPr>
            <w:tcW w:w="683" w:type="dxa"/>
            <w:vAlign w:val="center"/>
          </w:tcPr>
          <w:p w14:paraId="7F6C1E6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w:t>
            </w:r>
          </w:p>
        </w:tc>
        <w:tc>
          <w:tcPr>
            <w:tcW w:w="482" w:type="dxa"/>
            <w:vAlign w:val="center"/>
          </w:tcPr>
          <w:p w14:paraId="3B5C26B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785" w:type="dxa"/>
            <w:vAlign w:val="center"/>
          </w:tcPr>
          <w:p w14:paraId="39E6F94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60L/S</w:t>
            </w:r>
          </w:p>
        </w:tc>
        <w:tc>
          <w:tcPr>
            <w:tcW w:w="611" w:type="dxa"/>
            <w:vAlign w:val="center"/>
          </w:tcPr>
          <w:p w14:paraId="616E77F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w:t>
            </w:r>
          </w:p>
        </w:tc>
        <w:tc>
          <w:tcPr>
            <w:tcW w:w="552" w:type="dxa"/>
            <w:vAlign w:val="center"/>
          </w:tcPr>
          <w:p w14:paraId="458CCE9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干粉</w:t>
            </w:r>
          </w:p>
          <w:p w14:paraId="1B97332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40m</w:t>
            </w:r>
          </w:p>
        </w:tc>
      </w:tr>
      <w:tr w14:paraId="133DBA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0" w:type="dxa"/>
            <w:vAlign w:val="center"/>
          </w:tcPr>
          <w:p w14:paraId="5044762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p>
        </w:tc>
        <w:tc>
          <w:tcPr>
            <w:tcW w:w="724" w:type="dxa"/>
            <w:vAlign w:val="center"/>
          </w:tcPr>
          <w:p w14:paraId="5C70FF5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干粉泡沫车</w:t>
            </w:r>
          </w:p>
        </w:tc>
        <w:tc>
          <w:tcPr>
            <w:tcW w:w="540" w:type="dxa"/>
            <w:vAlign w:val="center"/>
          </w:tcPr>
          <w:p w14:paraId="40CB1A8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514" w:type="dxa"/>
            <w:vAlign w:val="center"/>
          </w:tcPr>
          <w:p w14:paraId="0D20445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中国重汽豪沃</w:t>
            </w:r>
          </w:p>
          <w:p w14:paraId="2A73ACC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LZZWBMSH6LN761492</w:t>
            </w:r>
          </w:p>
          <w:p w14:paraId="106535E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二类底盘</w:t>
            </w:r>
          </w:p>
        </w:tc>
        <w:tc>
          <w:tcPr>
            <w:tcW w:w="612" w:type="dxa"/>
            <w:vAlign w:val="center"/>
          </w:tcPr>
          <w:p w14:paraId="1418414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2022.10</w:t>
            </w:r>
          </w:p>
        </w:tc>
        <w:tc>
          <w:tcPr>
            <w:tcW w:w="635" w:type="dxa"/>
            <w:vAlign w:val="center"/>
          </w:tcPr>
          <w:p w14:paraId="0631004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7T</w:t>
            </w:r>
          </w:p>
        </w:tc>
        <w:tc>
          <w:tcPr>
            <w:tcW w:w="783" w:type="dxa"/>
            <w:vAlign w:val="center"/>
          </w:tcPr>
          <w:p w14:paraId="5FC2BCB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泡沫2T干粉3T</w:t>
            </w:r>
          </w:p>
        </w:tc>
        <w:tc>
          <w:tcPr>
            <w:tcW w:w="710" w:type="dxa"/>
            <w:vAlign w:val="center"/>
          </w:tcPr>
          <w:p w14:paraId="1806B73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1.03</w:t>
            </w:r>
          </w:p>
        </w:tc>
        <w:tc>
          <w:tcPr>
            <w:tcW w:w="683" w:type="dxa"/>
            <w:vAlign w:val="center"/>
          </w:tcPr>
          <w:p w14:paraId="4E7BB60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w:t>
            </w:r>
          </w:p>
        </w:tc>
        <w:tc>
          <w:tcPr>
            <w:tcW w:w="482" w:type="dxa"/>
            <w:vAlign w:val="center"/>
          </w:tcPr>
          <w:p w14:paraId="616A338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785" w:type="dxa"/>
            <w:vAlign w:val="center"/>
          </w:tcPr>
          <w:p w14:paraId="6CD3FE4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64L/S</w:t>
            </w:r>
          </w:p>
        </w:tc>
        <w:tc>
          <w:tcPr>
            <w:tcW w:w="611" w:type="dxa"/>
            <w:vAlign w:val="center"/>
          </w:tcPr>
          <w:p w14:paraId="3EE0A0A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w:t>
            </w:r>
          </w:p>
        </w:tc>
        <w:tc>
          <w:tcPr>
            <w:tcW w:w="552" w:type="dxa"/>
            <w:vAlign w:val="center"/>
          </w:tcPr>
          <w:p w14:paraId="2263B49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≥65</w:t>
            </w:r>
          </w:p>
        </w:tc>
      </w:tr>
      <w:tr w14:paraId="3BC949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0" w:type="dxa"/>
            <w:vAlign w:val="center"/>
          </w:tcPr>
          <w:p w14:paraId="35E48EC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w:t>
            </w:r>
          </w:p>
        </w:tc>
        <w:tc>
          <w:tcPr>
            <w:tcW w:w="724" w:type="dxa"/>
            <w:vAlign w:val="center"/>
          </w:tcPr>
          <w:p w14:paraId="4774D6B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25米高喷消防车</w:t>
            </w:r>
          </w:p>
        </w:tc>
        <w:tc>
          <w:tcPr>
            <w:tcW w:w="540" w:type="dxa"/>
            <w:vAlign w:val="center"/>
          </w:tcPr>
          <w:p w14:paraId="5E4AC5B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514" w:type="dxa"/>
            <w:vAlign w:val="center"/>
          </w:tcPr>
          <w:p w14:paraId="54B6615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中国重汽汕德卡</w:t>
            </w:r>
          </w:p>
          <w:p w14:paraId="6392AC6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ZZ5356V524MF1</w:t>
            </w:r>
          </w:p>
          <w:p w14:paraId="0BAB3B2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二类底盘</w:t>
            </w:r>
          </w:p>
        </w:tc>
        <w:tc>
          <w:tcPr>
            <w:tcW w:w="612" w:type="dxa"/>
            <w:vAlign w:val="center"/>
          </w:tcPr>
          <w:p w14:paraId="69C161D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2021.1</w:t>
            </w:r>
          </w:p>
        </w:tc>
        <w:tc>
          <w:tcPr>
            <w:tcW w:w="635" w:type="dxa"/>
            <w:vAlign w:val="center"/>
          </w:tcPr>
          <w:p w14:paraId="59F693F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8T</w:t>
            </w:r>
          </w:p>
        </w:tc>
        <w:tc>
          <w:tcPr>
            <w:tcW w:w="783" w:type="dxa"/>
            <w:vAlign w:val="center"/>
          </w:tcPr>
          <w:p w14:paraId="2B31466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泡沫2T</w:t>
            </w:r>
          </w:p>
        </w:tc>
        <w:tc>
          <w:tcPr>
            <w:tcW w:w="710" w:type="dxa"/>
            <w:vAlign w:val="center"/>
          </w:tcPr>
          <w:p w14:paraId="43A1F96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1.03</w:t>
            </w:r>
          </w:p>
        </w:tc>
        <w:tc>
          <w:tcPr>
            <w:tcW w:w="683" w:type="dxa"/>
            <w:vAlign w:val="center"/>
          </w:tcPr>
          <w:p w14:paraId="07CFB64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w:t>
            </w:r>
          </w:p>
        </w:tc>
        <w:tc>
          <w:tcPr>
            <w:tcW w:w="482" w:type="dxa"/>
            <w:vAlign w:val="center"/>
          </w:tcPr>
          <w:p w14:paraId="12300B6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785" w:type="dxa"/>
            <w:vAlign w:val="center"/>
          </w:tcPr>
          <w:p w14:paraId="0EFE669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4800L/min</w:t>
            </w:r>
          </w:p>
        </w:tc>
        <w:tc>
          <w:tcPr>
            <w:tcW w:w="611" w:type="dxa"/>
            <w:vAlign w:val="center"/>
          </w:tcPr>
          <w:p w14:paraId="01AFE21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≥75</w:t>
            </w:r>
          </w:p>
        </w:tc>
        <w:tc>
          <w:tcPr>
            <w:tcW w:w="552" w:type="dxa"/>
            <w:vAlign w:val="center"/>
          </w:tcPr>
          <w:p w14:paraId="53CCE23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w:t>
            </w:r>
          </w:p>
        </w:tc>
      </w:tr>
      <w:tr w14:paraId="1A0543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0" w:type="dxa"/>
            <w:vAlign w:val="center"/>
          </w:tcPr>
          <w:p w14:paraId="18C233D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w:t>
            </w:r>
          </w:p>
        </w:tc>
        <w:tc>
          <w:tcPr>
            <w:tcW w:w="724" w:type="dxa"/>
            <w:vAlign w:val="center"/>
          </w:tcPr>
          <w:p w14:paraId="58B7D6E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42/42米高喷车</w:t>
            </w:r>
          </w:p>
        </w:tc>
        <w:tc>
          <w:tcPr>
            <w:tcW w:w="540" w:type="dxa"/>
            <w:vAlign w:val="center"/>
          </w:tcPr>
          <w:p w14:paraId="10DCB54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514" w:type="dxa"/>
            <w:vAlign w:val="center"/>
          </w:tcPr>
          <w:p w14:paraId="5186E6D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沃尔沃FM460</w:t>
            </w:r>
          </w:p>
          <w:p w14:paraId="6B8CC98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二类底盘</w:t>
            </w:r>
          </w:p>
        </w:tc>
        <w:tc>
          <w:tcPr>
            <w:tcW w:w="612" w:type="dxa"/>
            <w:vAlign w:val="center"/>
          </w:tcPr>
          <w:p w14:paraId="665445E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2022.9</w:t>
            </w:r>
          </w:p>
        </w:tc>
        <w:tc>
          <w:tcPr>
            <w:tcW w:w="635" w:type="dxa"/>
            <w:vAlign w:val="center"/>
          </w:tcPr>
          <w:p w14:paraId="6033CB3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3.5T</w:t>
            </w:r>
          </w:p>
        </w:tc>
        <w:tc>
          <w:tcPr>
            <w:tcW w:w="783" w:type="dxa"/>
            <w:vAlign w:val="center"/>
          </w:tcPr>
          <w:p w14:paraId="7B67F9D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泡沫1.5T</w:t>
            </w:r>
          </w:p>
        </w:tc>
        <w:tc>
          <w:tcPr>
            <w:tcW w:w="710" w:type="dxa"/>
            <w:vAlign w:val="center"/>
          </w:tcPr>
          <w:p w14:paraId="40780B8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1.03</w:t>
            </w:r>
          </w:p>
        </w:tc>
        <w:tc>
          <w:tcPr>
            <w:tcW w:w="683" w:type="dxa"/>
            <w:vAlign w:val="center"/>
          </w:tcPr>
          <w:p w14:paraId="0DEBBD3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w:t>
            </w:r>
          </w:p>
        </w:tc>
        <w:tc>
          <w:tcPr>
            <w:tcW w:w="482" w:type="dxa"/>
            <w:vAlign w:val="center"/>
          </w:tcPr>
          <w:p w14:paraId="72CCEC5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785" w:type="dxa"/>
            <w:vAlign w:val="center"/>
          </w:tcPr>
          <w:p w14:paraId="2842EBA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4800L/min</w:t>
            </w:r>
          </w:p>
        </w:tc>
        <w:tc>
          <w:tcPr>
            <w:tcW w:w="611" w:type="dxa"/>
            <w:vAlign w:val="center"/>
          </w:tcPr>
          <w:p w14:paraId="5483F1C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≥75</w:t>
            </w:r>
          </w:p>
        </w:tc>
        <w:tc>
          <w:tcPr>
            <w:tcW w:w="552" w:type="dxa"/>
            <w:vAlign w:val="center"/>
          </w:tcPr>
          <w:p w14:paraId="7B7BE9F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w:t>
            </w:r>
          </w:p>
        </w:tc>
      </w:tr>
      <w:tr w14:paraId="5797D6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0" w:type="dxa"/>
            <w:vAlign w:val="center"/>
          </w:tcPr>
          <w:p w14:paraId="29832C6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w:t>
            </w:r>
          </w:p>
        </w:tc>
        <w:tc>
          <w:tcPr>
            <w:tcW w:w="724" w:type="dxa"/>
            <w:vAlign w:val="center"/>
          </w:tcPr>
          <w:p w14:paraId="70C5C3B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63/43米高喷车</w:t>
            </w:r>
          </w:p>
        </w:tc>
        <w:tc>
          <w:tcPr>
            <w:tcW w:w="540" w:type="dxa"/>
            <w:vAlign w:val="center"/>
          </w:tcPr>
          <w:p w14:paraId="5FA86F8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514" w:type="dxa"/>
            <w:vAlign w:val="center"/>
          </w:tcPr>
          <w:p w14:paraId="5684A28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沃尔沃FM540二类底盘</w:t>
            </w:r>
          </w:p>
        </w:tc>
        <w:tc>
          <w:tcPr>
            <w:tcW w:w="612" w:type="dxa"/>
            <w:vAlign w:val="center"/>
          </w:tcPr>
          <w:p w14:paraId="6AC7B3B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2022.9</w:t>
            </w:r>
          </w:p>
        </w:tc>
        <w:tc>
          <w:tcPr>
            <w:tcW w:w="635" w:type="dxa"/>
            <w:vAlign w:val="center"/>
          </w:tcPr>
          <w:p w14:paraId="6DD164C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5T</w:t>
            </w:r>
          </w:p>
        </w:tc>
        <w:tc>
          <w:tcPr>
            <w:tcW w:w="783" w:type="dxa"/>
            <w:vAlign w:val="center"/>
          </w:tcPr>
          <w:p w14:paraId="06DED20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泡沫1T</w:t>
            </w:r>
          </w:p>
        </w:tc>
        <w:tc>
          <w:tcPr>
            <w:tcW w:w="710" w:type="dxa"/>
            <w:vAlign w:val="center"/>
          </w:tcPr>
          <w:p w14:paraId="4C73A6A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1.03</w:t>
            </w:r>
          </w:p>
        </w:tc>
        <w:tc>
          <w:tcPr>
            <w:tcW w:w="683" w:type="dxa"/>
            <w:vAlign w:val="center"/>
          </w:tcPr>
          <w:p w14:paraId="04E350E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170L/S</w:t>
            </w:r>
          </w:p>
        </w:tc>
        <w:tc>
          <w:tcPr>
            <w:tcW w:w="482" w:type="dxa"/>
            <w:vAlign w:val="center"/>
          </w:tcPr>
          <w:p w14:paraId="20550D2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785" w:type="dxa"/>
            <w:vAlign w:val="center"/>
          </w:tcPr>
          <w:p w14:paraId="1567E7C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4800L/min</w:t>
            </w:r>
          </w:p>
        </w:tc>
        <w:tc>
          <w:tcPr>
            <w:tcW w:w="611" w:type="dxa"/>
            <w:vAlign w:val="center"/>
          </w:tcPr>
          <w:p w14:paraId="2E5D7C2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≥75</w:t>
            </w:r>
          </w:p>
        </w:tc>
        <w:tc>
          <w:tcPr>
            <w:tcW w:w="552" w:type="dxa"/>
            <w:vAlign w:val="center"/>
          </w:tcPr>
          <w:p w14:paraId="7F73E7A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w:t>
            </w:r>
          </w:p>
        </w:tc>
      </w:tr>
    </w:tbl>
    <w:p w14:paraId="1A1B1C1A">
      <w:pPr>
        <w:widowControl/>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注：华谊钦州化工新材料一体化基地依据有关规定建设一座特勤消防站。该消防站占地面积4000m</w:t>
      </w:r>
      <w:r>
        <w:rPr>
          <w:color w:val="000000" w:themeColor="text1"/>
          <w:sz w:val="18"/>
          <w:szCs w:val="18"/>
          <w:vertAlign w:val="superscript"/>
          <w14:textFill>
            <w14:solidFill>
              <w14:schemeClr w14:val="tx1"/>
            </w14:solidFill>
          </w14:textFill>
        </w:rPr>
        <w:t>2</w:t>
      </w:r>
      <w:r>
        <w:rPr>
          <w:color w:val="000000" w:themeColor="text1"/>
          <w:sz w:val="18"/>
          <w:szCs w:val="18"/>
          <w14:textFill>
            <w14:solidFill>
              <w14:schemeClr w14:val="tx1"/>
            </w14:solidFill>
          </w14:textFill>
        </w:rPr>
        <w:t>，建筑面积约2700m</w:t>
      </w:r>
      <w:r>
        <w:rPr>
          <w:color w:val="000000" w:themeColor="text1"/>
          <w:sz w:val="18"/>
          <w:szCs w:val="18"/>
          <w:vertAlign w:val="superscript"/>
          <w14:textFill>
            <w14:solidFill>
              <w14:schemeClr w14:val="tx1"/>
            </w14:solidFill>
          </w14:textFill>
        </w:rPr>
        <w:t>2</w:t>
      </w:r>
      <w:r>
        <w:rPr>
          <w:color w:val="000000" w:themeColor="text1"/>
          <w:sz w:val="18"/>
          <w:szCs w:val="18"/>
          <w14:textFill>
            <w14:solidFill>
              <w14:schemeClr w14:val="tx1"/>
            </w14:solidFill>
          </w14:textFill>
        </w:rPr>
        <w:t>，消防车库按12库设计，配备12辆消防车，以达到特勤消防站的要求。消防气防站总定员86人，同一个班次执勤人数为57人，实行上四休二上班模式，24小时在岗执勤。</w:t>
      </w:r>
    </w:p>
    <w:p w14:paraId="114598C2">
      <w:pPr>
        <w:pStyle w:val="120"/>
        <w:widowControl/>
        <w:numPr>
          <w:ilvl w:val="0"/>
          <w:numId w:val="6"/>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广西华临码头有限公司</w:t>
      </w:r>
      <w:r>
        <w:rPr>
          <w:color w:val="000000" w:themeColor="text1"/>
          <w14:textFill>
            <w14:solidFill>
              <w14:schemeClr w14:val="tx1"/>
            </w14:solidFill>
          </w14:textFill>
        </w:rPr>
        <w:t>配置了围油栏、收油机、溢油分散剂、消油剂喷洒装置、吸油拖栏等风险事故应急设施。各类应急设备堆存于</w:t>
      </w:r>
      <w:r>
        <w:rPr>
          <w:rFonts w:hint="eastAsia"/>
          <w:color w:val="000000" w:themeColor="text1"/>
          <w14:textFill>
            <w14:solidFill>
              <w14:schemeClr w14:val="tx1"/>
            </w14:solidFill>
          </w14:textFill>
        </w:rPr>
        <w:t>码头集装箱及综合用房内</w:t>
      </w:r>
      <w:r>
        <w:rPr>
          <w:color w:val="000000" w:themeColor="text1"/>
          <w14:textFill>
            <w14:solidFill>
              <w14:schemeClr w14:val="tx1"/>
            </w14:solidFill>
          </w14:textFill>
        </w:rPr>
        <w:t>，并配有</w:t>
      </w:r>
      <w:r>
        <w:rPr>
          <w:rFonts w:hint="eastAsia"/>
          <w:color w:val="000000" w:themeColor="text1"/>
          <w14:textFill>
            <w14:solidFill>
              <w14:schemeClr w14:val="tx1"/>
            </w14:solidFill>
          </w14:textFill>
        </w:rPr>
        <w:t>应急清污船、围油栏布放艇等，见表5.7-8</w:t>
      </w:r>
      <w:r>
        <w:rPr>
          <w:color w:val="000000" w:themeColor="text1"/>
          <w14:textFill>
            <w14:solidFill>
              <w14:schemeClr w14:val="tx1"/>
            </w14:solidFill>
          </w14:textFill>
        </w:rPr>
        <w:t>。</w:t>
      </w:r>
    </w:p>
    <w:p w14:paraId="32509302">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广西华临码头有限公司船舶污染事故应急设备配备情况表</w:t>
      </w:r>
    </w:p>
    <w:tbl>
      <w:tblPr>
        <w:tblStyle w:val="43"/>
        <w:tblW w:w="4884"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14"/>
        <w:gridCol w:w="2424"/>
        <w:gridCol w:w="3125"/>
        <w:gridCol w:w="1307"/>
        <w:gridCol w:w="854"/>
      </w:tblGrid>
      <w:tr w14:paraId="5B8AA3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69" w:type="pct"/>
            <w:noWrap/>
            <w:vAlign w:val="center"/>
          </w:tcPr>
          <w:p w14:paraId="13C22828">
            <w:pPr>
              <w:spacing w:line="240" w:lineRule="auto"/>
              <w:ind w:firstLine="0" w:firstLineChars="0"/>
              <w:contextualSpacing/>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序号</w:t>
            </w:r>
          </w:p>
        </w:tc>
        <w:tc>
          <w:tcPr>
            <w:tcW w:w="1455" w:type="pct"/>
            <w:noWrap/>
            <w:vAlign w:val="center"/>
          </w:tcPr>
          <w:p w14:paraId="386AA88C">
            <w:pPr>
              <w:spacing w:line="240" w:lineRule="auto"/>
              <w:ind w:firstLine="0" w:firstLineChars="0"/>
              <w:contextualSpacing/>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产品名称</w:t>
            </w:r>
          </w:p>
        </w:tc>
        <w:tc>
          <w:tcPr>
            <w:tcW w:w="1876" w:type="pct"/>
            <w:noWrap/>
            <w:vAlign w:val="center"/>
          </w:tcPr>
          <w:p w14:paraId="75582543">
            <w:pPr>
              <w:spacing w:line="240" w:lineRule="auto"/>
              <w:ind w:firstLine="0" w:firstLineChars="0"/>
              <w:contextualSpacing/>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规格型号</w:t>
            </w:r>
          </w:p>
        </w:tc>
        <w:tc>
          <w:tcPr>
            <w:tcW w:w="785" w:type="pct"/>
            <w:noWrap/>
            <w:vAlign w:val="center"/>
          </w:tcPr>
          <w:p w14:paraId="1DC45DE7">
            <w:pPr>
              <w:spacing w:line="240" w:lineRule="auto"/>
              <w:ind w:firstLine="0" w:firstLineChars="0"/>
              <w:contextualSpacing/>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存放位置</w:t>
            </w:r>
          </w:p>
        </w:tc>
        <w:tc>
          <w:tcPr>
            <w:tcW w:w="513" w:type="pct"/>
            <w:noWrap/>
            <w:vAlign w:val="center"/>
          </w:tcPr>
          <w:p w14:paraId="51B913B0">
            <w:pPr>
              <w:spacing w:line="240" w:lineRule="auto"/>
              <w:ind w:firstLine="0" w:firstLineChars="0"/>
              <w:contextualSpacing/>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数量</w:t>
            </w:r>
          </w:p>
        </w:tc>
      </w:tr>
      <w:tr w14:paraId="6E7760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vMerge w:val="restart"/>
            <w:noWrap/>
            <w:vAlign w:val="center"/>
          </w:tcPr>
          <w:p w14:paraId="2AE5A18E">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w:t>
            </w:r>
          </w:p>
        </w:tc>
        <w:tc>
          <w:tcPr>
            <w:tcW w:w="1455" w:type="pct"/>
            <w:vMerge w:val="restart"/>
            <w:vAlign w:val="center"/>
          </w:tcPr>
          <w:p w14:paraId="7E3A622E">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应急型围油栏</w:t>
            </w:r>
          </w:p>
        </w:tc>
        <w:tc>
          <w:tcPr>
            <w:tcW w:w="1876" w:type="pct"/>
            <w:noWrap/>
            <w:vAlign w:val="center"/>
          </w:tcPr>
          <w:p w14:paraId="44482DD8">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快速布放型</w:t>
            </w:r>
          </w:p>
        </w:tc>
        <w:tc>
          <w:tcPr>
            <w:tcW w:w="785" w:type="pct"/>
            <w:noWrap/>
            <w:vAlign w:val="center"/>
          </w:tcPr>
          <w:p w14:paraId="6A241874">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码头集装箱</w:t>
            </w:r>
          </w:p>
        </w:tc>
        <w:tc>
          <w:tcPr>
            <w:tcW w:w="513" w:type="pct"/>
            <w:noWrap/>
            <w:vAlign w:val="center"/>
          </w:tcPr>
          <w:p w14:paraId="6989300E">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700m</w:t>
            </w:r>
          </w:p>
        </w:tc>
      </w:tr>
      <w:tr w14:paraId="3AA5E5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vMerge w:val="continue"/>
            <w:noWrap/>
            <w:vAlign w:val="center"/>
          </w:tcPr>
          <w:p w14:paraId="079A0EE0">
            <w:pPr>
              <w:spacing w:line="240" w:lineRule="auto"/>
              <w:ind w:firstLine="0" w:firstLineChars="0"/>
              <w:contextualSpacing/>
              <w:jc w:val="center"/>
              <w:rPr>
                <w:bCs/>
                <w:color w:val="000000" w:themeColor="text1"/>
                <w:sz w:val="21"/>
                <w:szCs w:val="21"/>
                <w14:textFill>
                  <w14:solidFill>
                    <w14:schemeClr w14:val="tx1"/>
                  </w14:solidFill>
                </w14:textFill>
              </w:rPr>
            </w:pPr>
          </w:p>
        </w:tc>
        <w:tc>
          <w:tcPr>
            <w:tcW w:w="1455" w:type="pct"/>
            <w:vMerge w:val="continue"/>
            <w:vAlign w:val="center"/>
          </w:tcPr>
          <w:p w14:paraId="6375C7AD">
            <w:pPr>
              <w:spacing w:line="240" w:lineRule="auto"/>
              <w:ind w:firstLine="0" w:firstLineChars="0"/>
              <w:contextualSpacing/>
              <w:jc w:val="center"/>
              <w:rPr>
                <w:bCs/>
                <w:color w:val="000000" w:themeColor="text1"/>
                <w:sz w:val="21"/>
                <w:szCs w:val="21"/>
                <w14:textFill>
                  <w14:solidFill>
                    <w14:schemeClr w14:val="tx1"/>
                  </w14:solidFill>
                </w14:textFill>
              </w:rPr>
            </w:pPr>
          </w:p>
        </w:tc>
        <w:tc>
          <w:tcPr>
            <w:tcW w:w="1876" w:type="pct"/>
            <w:noWrap/>
            <w:vAlign w:val="center"/>
          </w:tcPr>
          <w:p w14:paraId="03744C22">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固体浮子式围油栏</w:t>
            </w:r>
          </w:p>
        </w:tc>
        <w:tc>
          <w:tcPr>
            <w:tcW w:w="785" w:type="pct"/>
            <w:noWrap/>
            <w:vAlign w:val="center"/>
          </w:tcPr>
          <w:p w14:paraId="65E261DF">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泊位</w:t>
            </w:r>
          </w:p>
        </w:tc>
        <w:tc>
          <w:tcPr>
            <w:tcW w:w="513" w:type="pct"/>
            <w:noWrap/>
            <w:vAlign w:val="center"/>
          </w:tcPr>
          <w:p w14:paraId="146A3736">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750m</w:t>
            </w:r>
          </w:p>
        </w:tc>
      </w:tr>
      <w:tr w14:paraId="5C2CAF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0579FF99">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w:t>
            </w:r>
          </w:p>
        </w:tc>
        <w:tc>
          <w:tcPr>
            <w:tcW w:w="1455" w:type="pct"/>
            <w:vAlign w:val="center"/>
          </w:tcPr>
          <w:p w14:paraId="5B104DE3">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依托应急卸载泵</w:t>
            </w:r>
          </w:p>
        </w:tc>
        <w:tc>
          <w:tcPr>
            <w:tcW w:w="1876" w:type="pct"/>
            <w:noWrap/>
            <w:vAlign w:val="center"/>
          </w:tcPr>
          <w:p w14:paraId="1D0E8559">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总卸载能力大于30t/h，T1级防爆型</w:t>
            </w:r>
          </w:p>
        </w:tc>
        <w:tc>
          <w:tcPr>
            <w:tcW w:w="785" w:type="pct"/>
            <w:noWrap/>
            <w:vAlign w:val="center"/>
          </w:tcPr>
          <w:p w14:paraId="63B81A86">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w:t>
            </w:r>
          </w:p>
        </w:tc>
        <w:tc>
          <w:tcPr>
            <w:tcW w:w="513" w:type="pct"/>
            <w:noWrap/>
            <w:vAlign w:val="center"/>
          </w:tcPr>
          <w:p w14:paraId="601B314F">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1台</w:t>
            </w:r>
          </w:p>
        </w:tc>
      </w:tr>
      <w:tr w14:paraId="0D544E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213B651F">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3</w:t>
            </w:r>
          </w:p>
        </w:tc>
        <w:tc>
          <w:tcPr>
            <w:tcW w:w="1455" w:type="pct"/>
            <w:vAlign w:val="center"/>
          </w:tcPr>
          <w:p w14:paraId="73FA3526">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收油机</w:t>
            </w:r>
          </w:p>
        </w:tc>
        <w:tc>
          <w:tcPr>
            <w:tcW w:w="1876" w:type="pct"/>
            <w:noWrap/>
            <w:vAlign w:val="center"/>
          </w:tcPr>
          <w:p w14:paraId="2D4615AA">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回收能力高于15m</w:t>
            </w:r>
            <w:r>
              <w:rPr>
                <w:bCs/>
                <w:color w:val="000000" w:themeColor="text1"/>
                <w:sz w:val="21"/>
                <w:szCs w:val="21"/>
                <w:vertAlign w:val="superscript"/>
                <w14:textFill>
                  <w14:solidFill>
                    <w14:schemeClr w14:val="tx1"/>
                  </w14:solidFill>
                </w14:textFill>
              </w:rPr>
              <w:t>3</w:t>
            </w:r>
            <w:r>
              <w:rPr>
                <w:bCs/>
                <w:color w:val="000000" w:themeColor="text1"/>
                <w:sz w:val="21"/>
                <w:szCs w:val="21"/>
                <w14:textFill>
                  <w14:solidFill>
                    <w14:schemeClr w14:val="tx1"/>
                  </w14:solidFill>
                </w14:textFill>
              </w:rPr>
              <w:t>/h</w:t>
            </w:r>
          </w:p>
        </w:tc>
        <w:tc>
          <w:tcPr>
            <w:tcW w:w="785" w:type="pct"/>
            <w:noWrap/>
            <w:vAlign w:val="center"/>
          </w:tcPr>
          <w:p w14:paraId="01A6A57F">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码头集装箱</w:t>
            </w:r>
          </w:p>
        </w:tc>
        <w:tc>
          <w:tcPr>
            <w:tcW w:w="513" w:type="pct"/>
            <w:noWrap/>
            <w:vAlign w:val="center"/>
          </w:tcPr>
          <w:p w14:paraId="12CECA30">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1台</w:t>
            </w:r>
          </w:p>
        </w:tc>
      </w:tr>
      <w:tr w14:paraId="0E9A8B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066DF213">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4</w:t>
            </w:r>
          </w:p>
        </w:tc>
        <w:tc>
          <w:tcPr>
            <w:tcW w:w="1455" w:type="pct"/>
            <w:noWrap/>
            <w:vAlign w:val="center"/>
          </w:tcPr>
          <w:p w14:paraId="129452E0">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吸油毡</w:t>
            </w:r>
          </w:p>
        </w:tc>
        <w:tc>
          <w:tcPr>
            <w:tcW w:w="1876" w:type="pct"/>
            <w:noWrap/>
            <w:vAlign w:val="center"/>
          </w:tcPr>
          <w:p w14:paraId="4246EE03">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吸油性达到本身重量10倍以上，吸水性为本身重量10%以下，持油性保持率80%以上</w:t>
            </w:r>
          </w:p>
        </w:tc>
        <w:tc>
          <w:tcPr>
            <w:tcW w:w="785" w:type="pct"/>
            <w:noWrap/>
            <w:vAlign w:val="center"/>
          </w:tcPr>
          <w:p w14:paraId="1B9E5D03">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码头集装箱</w:t>
            </w:r>
          </w:p>
        </w:tc>
        <w:tc>
          <w:tcPr>
            <w:tcW w:w="513" w:type="pct"/>
            <w:noWrap/>
            <w:vAlign w:val="center"/>
          </w:tcPr>
          <w:p w14:paraId="699B443D">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2.5t</w:t>
            </w:r>
          </w:p>
        </w:tc>
      </w:tr>
      <w:tr w14:paraId="70EEAD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4F78EE37">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5</w:t>
            </w:r>
          </w:p>
        </w:tc>
        <w:tc>
          <w:tcPr>
            <w:tcW w:w="1455" w:type="pct"/>
            <w:noWrap/>
            <w:vAlign w:val="center"/>
          </w:tcPr>
          <w:p w14:paraId="3DAA63A7">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吸油拖栏</w:t>
            </w:r>
          </w:p>
        </w:tc>
        <w:tc>
          <w:tcPr>
            <w:tcW w:w="1876" w:type="pct"/>
            <w:noWrap/>
            <w:vAlign w:val="center"/>
          </w:tcPr>
          <w:p w14:paraId="622849F1">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直径≥200mm</w:t>
            </w:r>
          </w:p>
        </w:tc>
        <w:tc>
          <w:tcPr>
            <w:tcW w:w="785" w:type="pct"/>
            <w:noWrap/>
            <w:vAlign w:val="center"/>
          </w:tcPr>
          <w:p w14:paraId="134ABF91">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码头集装箱</w:t>
            </w:r>
          </w:p>
        </w:tc>
        <w:tc>
          <w:tcPr>
            <w:tcW w:w="513" w:type="pct"/>
            <w:noWrap/>
            <w:vAlign w:val="center"/>
          </w:tcPr>
          <w:p w14:paraId="716E53E5">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300m</w:t>
            </w:r>
          </w:p>
        </w:tc>
      </w:tr>
      <w:tr w14:paraId="20003B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5BF5C775">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6</w:t>
            </w:r>
          </w:p>
        </w:tc>
        <w:tc>
          <w:tcPr>
            <w:tcW w:w="1455" w:type="pct"/>
            <w:noWrap/>
            <w:vAlign w:val="center"/>
          </w:tcPr>
          <w:p w14:paraId="3E1C7900">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临时储存设备</w:t>
            </w:r>
          </w:p>
        </w:tc>
        <w:tc>
          <w:tcPr>
            <w:tcW w:w="1876" w:type="pct"/>
            <w:noWrap/>
            <w:vAlign w:val="center"/>
          </w:tcPr>
          <w:p w14:paraId="0FE5B334">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总容量高于180m</w:t>
            </w:r>
            <w:r>
              <w:rPr>
                <w:rFonts w:hint="eastAsia"/>
                <w:bCs/>
                <w:color w:val="000000" w:themeColor="text1"/>
                <w:sz w:val="21"/>
                <w:szCs w:val="21"/>
                <w:vertAlign w:val="superscript"/>
                <w14:textFill>
                  <w14:solidFill>
                    <w14:schemeClr w14:val="tx1"/>
                  </w14:solidFill>
                </w14:textFill>
              </w:rPr>
              <w:t>3</w:t>
            </w:r>
            <w:r>
              <w:rPr>
                <w:bCs/>
                <w:color w:val="000000" w:themeColor="text1"/>
                <w:sz w:val="21"/>
                <w:szCs w:val="21"/>
                <w14:textFill>
                  <w14:solidFill>
                    <w14:schemeClr w14:val="tx1"/>
                  </w14:solidFill>
                </w14:textFill>
              </w:rPr>
              <w:t>，其中临时储罐形式大于36m</w:t>
            </w:r>
            <w:r>
              <w:rPr>
                <w:rFonts w:hint="eastAsia"/>
                <w:bCs/>
                <w:color w:val="000000" w:themeColor="text1"/>
                <w:sz w:val="21"/>
                <w:szCs w:val="21"/>
                <w:vertAlign w:val="superscript"/>
                <w14:textFill>
                  <w14:solidFill>
                    <w14:schemeClr w14:val="tx1"/>
                  </w14:solidFill>
                </w14:textFill>
              </w:rPr>
              <w:t>3</w:t>
            </w:r>
            <w:r>
              <w:rPr>
                <w:bCs/>
                <w:color w:val="000000" w:themeColor="text1"/>
                <w:sz w:val="21"/>
                <w:szCs w:val="21"/>
                <w14:textFill>
                  <w14:solidFill>
                    <w14:schemeClr w14:val="tx1"/>
                  </w14:solidFill>
                </w14:textFill>
              </w:rPr>
              <w:t>，不足部分由应急清污船舱补足</w:t>
            </w:r>
          </w:p>
        </w:tc>
        <w:tc>
          <w:tcPr>
            <w:tcW w:w="785" w:type="pct"/>
            <w:noWrap/>
            <w:vAlign w:val="center"/>
          </w:tcPr>
          <w:p w14:paraId="73AE8D33">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码头集装箱</w:t>
            </w:r>
          </w:p>
        </w:tc>
        <w:tc>
          <w:tcPr>
            <w:tcW w:w="513" w:type="pct"/>
            <w:noWrap/>
            <w:vAlign w:val="center"/>
          </w:tcPr>
          <w:p w14:paraId="0F3C45B5">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6套</w:t>
            </w:r>
          </w:p>
        </w:tc>
      </w:tr>
      <w:tr w14:paraId="4DD304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44D73F78">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7</w:t>
            </w:r>
          </w:p>
        </w:tc>
        <w:tc>
          <w:tcPr>
            <w:tcW w:w="1455" w:type="pct"/>
            <w:noWrap/>
            <w:vAlign w:val="center"/>
          </w:tcPr>
          <w:p w14:paraId="687BB96D">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溢油分散剂</w:t>
            </w:r>
          </w:p>
        </w:tc>
        <w:tc>
          <w:tcPr>
            <w:tcW w:w="1876" w:type="pct"/>
            <w:noWrap/>
            <w:vAlign w:val="center"/>
          </w:tcPr>
          <w:p w14:paraId="3FDC5576">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环保型分散剂，自购3t，另外由分散剂厂商协议配备3t</w:t>
            </w:r>
          </w:p>
        </w:tc>
        <w:tc>
          <w:tcPr>
            <w:tcW w:w="785" w:type="pct"/>
            <w:noWrap/>
            <w:vAlign w:val="center"/>
          </w:tcPr>
          <w:p w14:paraId="632A7138">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码头集装箱</w:t>
            </w:r>
          </w:p>
        </w:tc>
        <w:tc>
          <w:tcPr>
            <w:tcW w:w="513" w:type="pct"/>
            <w:noWrap/>
            <w:vAlign w:val="center"/>
          </w:tcPr>
          <w:p w14:paraId="3DFC8CFE">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3t</w:t>
            </w:r>
          </w:p>
        </w:tc>
      </w:tr>
      <w:tr w14:paraId="607549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6B326B60">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8</w:t>
            </w:r>
          </w:p>
        </w:tc>
        <w:tc>
          <w:tcPr>
            <w:tcW w:w="1455" w:type="pct"/>
            <w:noWrap/>
            <w:vAlign w:val="center"/>
          </w:tcPr>
          <w:p w14:paraId="670BD0A3">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溢油分散剂喷洒装置</w:t>
            </w:r>
          </w:p>
        </w:tc>
        <w:tc>
          <w:tcPr>
            <w:tcW w:w="1876" w:type="pct"/>
            <w:noWrap/>
            <w:vAlign w:val="center"/>
          </w:tcPr>
          <w:p w14:paraId="6862B183">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便携式，喷洒速率大于0.25t/h套</w:t>
            </w:r>
          </w:p>
        </w:tc>
        <w:tc>
          <w:tcPr>
            <w:tcW w:w="785" w:type="pct"/>
            <w:noWrap/>
            <w:vAlign w:val="center"/>
          </w:tcPr>
          <w:p w14:paraId="1CBD3873">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码头集装箱</w:t>
            </w:r>
          </w:p>
        </w:tc>
        <w:tc>
          <w:tcPr>
            <w:tcW w:w="513" w:type="pct"/>
            <w:noWrap/>
            <w:vAlign w:val="center"/>
          </w:tcPr>
          <w:p w14:paraId="2BE27A7D">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1套</w:t>
            </w:r>
          </w:p>
        </w:tc>
      </w:tr>
      <w:tr w14:paraId="0044DD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3EAE1893">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9</w:t>
            </w:r>
          </w:p>
        </w:tc>
        <w:tc>
          <w:tcPr>
            <w:tcW w:w="1455" w:type="pct"/>
            <w:noWrap/>
            <w:vAlign w:val="center"/>
          </w:tcPr>
          <w:p w14:paraId="1990777A">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油拖网</w:t>
            </w:r>
          </w:p>
        </w:tc>
        <w:tc>
          <w:tcPr>
            <w:tcW w:w="1876" w:type="pct"/>
            <w:noWrap/>
            <w:vAlign w:val="center"/>
          </w:tcPr>
          <w:p w14:paraId="6B42AA17">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容量大于6m</w:t>
            </w:r>
            <w:r>
              <w:rPr>
                <w:rFonts w:hint="eastAsia"/>
                <w:bCs/>
                <w:color w:val="000000" w:themeColor="text1"/>
                <w:sz w:val="21"/>
                <w:szCs w:val="21"/>
                <w:vertAlign w:val="superscript"/>
                <w14:textFill>
                  <w14:solidFill>
                    <w14:schemeClr w14:val="tx1"/>
                  </w14:solidFill>
                </w14:textFill>
              </w:rPr>
              <w:t>3</w:t>
            </w:r>
          </w:p>
        </w:tc>
        <w:tc>
          <w:tcPr>
            <w:tcW w:w="785" w:type="pct"/>
            <w:noWrap/>
            <w:vAlign w:val="center"/>
          </w:tcPr>
          <w:p w14:paraId="45F9B67E">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码头集装箱</w:t>
            </w:r>
          </w:p>
        </w:tc>
        <w:tc>
          <w:tcPr>
            <w:tcW w:w="513" w:type="pct"/>
            <w:noWrap/>
            <w:vAlign w:val="center"/>
          </w:tcPr>
          <w:p w14:paraId="22DA0DBE">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2套</w:t>
            </w:r>
          </w:p>
        </w:tc>
      </w:tr>
      <w:tr w14:paraId="0A2A90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72ECAF34">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10</w:t>
            </w:r>
          </w:p>
        </w:tc>
        <w:tc>
          <w:tcPr>
            <w:tcW w:w="1455" w:type="pct"/>
            <w:noWrap/>
            <w:vAlign w:val="center"/>
          </w:tcPr>
          <w:p w14:paraId="51D06E6C">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*应急清污船</w:t>
            </w:r>
          </w:p>
        </w:tc>
        <w:tc>
          <w:tcPr>
            <w:tcW w:w="1876" w:type="pct"/>
            <w:noWrap/>
            <w:vAlign w:val="center"/>
          </w:tcPr>
          <w:p w14:paraId="2BBEBA92">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643E1B9B">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泊位</w:t>
            </w:r>
          </w:p>
        </w:tc>
        <w:tc>
          <w:tcPr>
            <w:tcW w:w="513" w:type="pct"/>
            <w:noWrap/>
            <w:vAlign w:val="center"/>
          </w:tcPr>
          <w:p w14:paraId="087C3AA9">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1艘</w:t>
            </w:r>
          </w:p>
        </w:tc>
      </w:tr>
      <w:tr w14:paraId="04D565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12F73013">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11</w:t>
            </w:r>
          </w:p>
        </w:tc>
        <w:tc>
          <w:tcPr>
            <w:tcW w:w="1455" w:type="pct"/>
            <w:noWrap/>
            <w:vAlign w:val="center"/>
          </w:tcPr>
          <w:p w14:paraId="05A14535">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*围油栏布放艇</w:t>
            </w:r>
          </w:p>
        </w:tc>
        <w:tc>
          <w:tcPr>
            <w:tcW w:w="1876" w:type="pct"/>
            <w:noWrap/>
            <w:vAlign w:val="center"/>
          </w:tcPr>
          <w:p w14:paraId="41947705">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1FB6C3BD">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泊位</w:t>
            </w:r>
          </w:p>
        </w:tc>
        <w:tc>
          <w:tcPr>
            <w:tcW w:w="513" w:type="pct"/>
            <w:noWrap/>
            <w:vAlign w:val="center"/>
          </w:tcPr>
          <w:p w14:paraId="49377E29">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1艘</w:t>
            </w:r>
          </w:p>
        </w:tc>
      </w:tr>
      <w:tr w14:paraId="2B2862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1D37B687">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12</w:t>
            </w:r>
          </w:p>
        </w:tc>
        <w:tc>
          <w:tcPr>
            <w:tcW w:w="1455" w:type="pct"/>
            <w:noWrap/>
            <w:vAlign w:val="center"/>
          </w:tcPr>
          <w:p w14:paraId="623501FF">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应急物资集装箱</w:t>
            </w:r>
          </w:p>
        </w:tc>
        <w:tc>
          <w:tcPr>
            <w:tcW w:w="1876" w:type="pct"/>
            <w:noWrap/>
            <w:vAlign w:val="center"/>
          </w:tcPr>
          <w:p w14:paraId="07AEE11E">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5C381AC2">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码头面</w:t>
            </w:r>
          </w:p>
        </w:tc>
        <w:tc>
          <w:tcPr>
            <w:tcW w:w="513" w:type="pct"/>
            <w:noWrap/>
            <w:vAlign w:val="center"/>
          </w:tcPr>
          <w:p w14:paraId="7522EE4B">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2个</w:t>
            </w:r>
          </w:p>
        </w:tc>
      </w:tr>
      <w:tr w14:paraId="448499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76B20BB8">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13</w:t>
            </w:r>
          </w:p>
        </w:tc>
        <w:tc>
          <w:tcPr>
            <w:tcW w:w="1455" w:type="pct"/>
            <w:noWrap/>
            <w:vAlign w:val="center"/>
          </w:tcPr>
          <w:p w14:paraId="366BBB62">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防火隔热服</w:t>
            </w:r>
          </w:p>
        </w:tc>
        <w:tc>
          <w:tcPr>
            <w:tcW w:w="1876" w:type="pct"/>
            <w:noWrap/>
            <w:vAlign w:val="center"/>
          </w:tcPr>
          <w:p w14:paraId="1AF4F42A">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288770DF">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32DB8814">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4套</w:t>
            </w:r>
          </w:p>
        </w:tc>
      </w:tr>
      <w:tr w14:paraId="1DECBA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123BC04E">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14</w:t>
            </w:r>
          </w:p>
        </w:tc>
        <w:tc>
          <w:tcPr>
            <w:tcW w:w="1455" w:type="pct"/>
            <w:noWrap/>
            <w:vAlign w:val="center"/>
          </w:tcPr>
          <w:p w14:paraId="1DF7C696">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防冻服</w:t>
            </w:r>
          </w:p>
        </w:tc>
        <w:tc>
          <w:tcPr>
            <w:tcW w:w="1876" w:type="pct"/>
            <w:noWrap/>
            <w:vAlign w:val="center"/>
          </w:tcPr>
          <w:p w14:paraId="72744579">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1BD5FFD0">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5C15841B">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10套</w:t>
            </w:r>
          </w:p>
        </w:tc>
      </w:tr>
      <w:tr w14:paraId="6ABC21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08E8B12A">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15</w:t>
            </w:r>
          </w:p>
        </w:tc>
        <w:tc>
          <w:tcPr>
            <w:tcW w:w="1455" w:type="pct"/>
            <w:noWrap/>
            <w:vAlign w:val="center"/>
          </w:tcPr>
          <w:p w14:paraId="637900E8">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防护衣</w:t>
            </w:r>
          </w:p>
        </w:tc>
        <w:tc>
          <w:tcPr>
            <w:tcW w:w="1876" w:type="pct"/>
            <w:noWrap/>
            <w:vAlign w:val="center"/>
          </w:tcPr>
          <w:p w14:paraId="47A89CC1">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64EE16B9">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20EF24D1">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10套</w:t>
            </w:r>
          </w:p>
        </w:tc>
      </w:tr>
      <w:tr w14:paraId="210C71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0A3273AE">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16</w:t>
            </w:r>
          </w:p>
        </w:tc>
        <w:tc>
          <w:tcPr>
            <w:tcW w:w="1455" w:type="pct"/>
            <w:noWrap/>
            <w:vAlign w:val="center"/>
          </w:tcPr>
          <w:p w14:paraId="5814440F">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空气呼吸器</w:t>
            </w:r>
          </w:p>
        </w:tc>
        <w:tc>
          <w:tcPr>
            <w:tcW w:w="1876" w:type="pct"/>
            <w:noWrap/>
            <w:vAlign w:val="center"/>
          </w:tcPr>
          <w:p w14:paraId="0425CA56">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3D58E8EA">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1E0E70FB">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10套</w:t>
            </w:r>
          </w:p>
        </w:tc>
      </w:tr>
      <w:tr w14:paraId="7F02D1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3319AE8D">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17</w:t>
            </w:r>
          </w:p>
        </w:tc>
        <w:tc>
          <w:tcPr>
            <w:tcW w:w="1455" w:type="pct"/>
            <w:noWrap/>
            <w:vAlign w:val="center"/>
          </w:tcPr>
          <w:p w14:paraId="55B38D2A">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防毒面具</w:t>
            </w:r>
          </w:p>
        </w:tc>
        <w:tc>
          <w:tcPr>
            <w:tcW w:w="1876" w:type="pct"/>
            <w:noWrap/>
            <w:vAlign w:val="center"/>
          </w:tcPr>
          <w:p w14:paraId="0F9C65C8">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695ED649">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18A85C3F">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10个</w:t>
            </w:r>
          </w:p>
        </w:tc>
      </w:tr>
      <w:tr w14:paraId="7CD4A2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0F4FEB5C">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18</w:t>
            </w:r>
          </w:p>
        </w:tc>
        <w:tc>
          <w:tcPr>
            <w:tcW w:w="1455" w:type="pct"/>
            <w:noWrap/>
            <w:vAlign w:val="center"/>
          </w:tcPr>
          <w:p w14:paraId="29815A02">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护目罩</w:t>
            </w:r>
          </w:p>
        </w:tc>
        <w:tc>
          <w:tcPr>
            <w:tcW w:w="1876" w:type="pct"/>
            <w:noWrap/>
            <w:vAlign w:val="center"/>
          </w:tcPr>
          <w:p w14:paraId="08089192">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1B3BE176">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519BA1BA">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10个</w:t>
            </w:r>
          </w:p>
        </w:tc>
      </w:tr>
      <w:tr w14:paraId="39FF4E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220CB5BF">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19</w:t>
            </w:r>
          </w:p>
        </w:tc>
        <w:tc>
          <w:tcPr>
            <w:tcW w:w="1455" w:type="pct"/>
            <w:noWrap/>
            <w:vAlign w:val="center"/>
          </w:tcPr>
          <w:p w14:paraId="752A9243">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防尘口罩</w:t>
            </w:r>
          </w:p>
        </w:tc>
        <w:tc>
          <w:tcPr>
            <w:tcW w:w="1876" w:type="pct"/>
            <w:noWrap/>
            <w:vAlign w:val="center"/>
          </w:tcPr>
          <w:p w14:paraId="7FC14B6C">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797ECE0A">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0DA78EFC">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10个</w:t>
            </w:r>
          </w:p>
        </w:tc>
      </w:tr>
      <w:tr w14:paraId="464480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4467A75A">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20</w:t>
            </w:r>
          </w:p>
        </w:tc>
        <w:tc>
          <w:tcPr>
            <w:tcW w:w="1455" w:type="pct"/>
            <w:noWrap/>
            <w:vAlign w:val="center"/>
          </w:tcPr>
          <w:p w14:paraId="01DAE1B1">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耐酸碱手套</w:t>
            </w:r>
          </w:p>
        </w:tc>
        <w:tc>
          <w:tcPr>
            <w:tcW w:w="1876" w:type="pct"/>
            <w:noWrap/>
            <w:vAlign w:val="center"/>
          </w:tcPr>
          <w:p w14:paraId="301A77F2">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44C7514D">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58867668">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10双</w:t>
            </w:r>
          </w:p>
        </w:tc>
      </w:tr>
      <w:tr w14:paraId="60EE0E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2F3C8AFB">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21</w:t>
            </w:r>
          </w:p>
        </w:tc>
        <w:tc>
          <w:tcPr>
            <w:tcW w:w="1455" w:type="pct"/>
            <w:noWrap/>
            <w:vAlign w:val="center"/>
          </w:tcPr>
          <w:p w14:paraId="1E594F18">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防冻手套</w:t>
            </w:r>
          </w:p>
        </w:tc>
        <w:tc>
          <w:tcPr>
            <w:tcW w:w="1876" w:type="pct"/>
            <w:noWrap/>
            <w:vAlign w:val="center"/>
          </w:tcPr>
          <w:p w14:paraId="02C7C1B3">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4F6F68FC">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70968104">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10双</w:t>
            </w:r>
          </w:p>
        </w:tc>
      </w:tr>
      <w:tr w14:paraId="72F248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1E6BA355">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22</w:t>
            </w:r>
          </w:p>
        </w:tc>
        <w:tc>
          <w:tcPr>
            <w:tcW w:w="1455" w:type="pct"/>
            <w:noWrap/>
            <w:vAlign w:val="center"/>
          </w:tcPr>
          <w:p w14:paraId="5E1FDCC4">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安全鞋</w:t>
            </w:r>
          </w:p>
        </w:tc>
        <w:tc>
          <w:tcPr>
            <w:tcW w:w="1876" w:type="pct"/>
            <w:noWrap/>
            <w:vAlign w:val="center"/>
          </w:tcPr>
          <w:p w14:paraId="0A898ADB">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56F20809">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078B5679">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10双</w:t>
            </w:r>
          </w:p>
        </w:tc>
      </w:tr>
      <w:tr w14:paraId="41C257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6F9826E2">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23</w:t>
            </w:r>
          </w:p>
        </w:tc>
        <w:tc>
          <w:tcPr>
            <w:tcW w:w="1455" w:type="pct"/>
            <w:noWrap/>
            <w:vAlign w:val="center"/>
          </w:tcPr>
          <w:p w14:paraId="0D6136D1">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便携式可燃气体检测仪</w:t>
            </w:r>
          </w:p>
        </w:tc>
        <w:tc>
          <w:tcPr>
            <w:tcW w:w="1876" w:type="pct"/>
            <w:noWrap/>
            <w:vAlign w:val="center"/>
          </w:tcPr>
          <w:p w14:paraId="01AA28CB">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282B1C03">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1276B12F">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4台</w:t>
            </w:r>
          </w:p>
        </w:tc>
      </w:tr>
      <w:tr w14:paraId="59347C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4D39DFA5">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24</w:t>
            </w:r>
          </w:p>
        </w:tc>
        <w:tc>
          <w:tcPr>
            <w:tcW w:w="1455" w:type="pct"/>
            <w:noWrap/>
            <w:vAlign w:val="center"/>
          </w:tcPr>
          <w:p w14:paraId="146F49D5">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便携仪氧气浓度检测仪</w:t>
            </w:r>
          </w:p>
        </w:tc>
        <w:tc>
          <w:tcPr>
            <w:tcW w:w="1876" w:type="pct"/>
            <w:noWrap/>
            <w:vAlign w:val="center"/>
          </w:tcPr>
          <w:p w14:paraId="6D2860C4">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5B451750">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668F2BA9">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4台</w:t>
            </w:r>
          </w:p>
        </w:tc>
      </w:tr>
      <w:tr w14:paraId="18A8FF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18185A35">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25</w:t>
            </w:r>
          </w:p>
        </w:tc>
        <w:tc>
          <w:tcPr>
            <w:tcW w:w="1455" w:type="pct"/>
            <w:noWrap/>
            <w:vAlign w:val="center"/>
          </w:tcPr>
          <w:p w14:paraId="44851AC2">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有毒气体检测仪</w:t>
            </w:r>
          </w:p>
        </w:tc>
        <w:tc>
          <w:tcPr>
            <w:tcW w:w="1876" w:type="pct"/>
            <w:noWrap/>
            <w:vAlign w:val="center"/>
          </w:tcPr>
          <w:p w14:paraId="6A7792F2">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1AAF89C1">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0CB10A26">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4台</w:t>
            </w:r>
          </w:p>
        </w:tc>
      </w:tr>
      <w:tr w14:paraId="335875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72986120">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26</w:t>
            </w:r>
          </w:p>
        </w:tc>
        <w:tc>
          <w:tcPr>
            <w:tcW w:w="1455" w:type="pct"/>
            <w:noWrap/>
            <w:vAlign w:val="center"/>
          </w:tcPr>
          <w:p w14:paraId="363DCA87">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便携仪多功能水质检测仪</w:t>
            </w:r>
          </w:p>
        </w:tc>
        <w:tc>
          <w:tcPr>
            <w:tcW w:w="1876" w:type="pct"/>
            <w:noWrap/>
            <w:vAlign w:val="center"/>
          </w:tcPr>
          <w:p w14:paraId="68A245BF">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1687C2A8">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16E699A2">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4台</w:t>
            </w:r>
          </w:p>
        </w:tc>
      </w:tr>
    </w:tbl>
    <w:p w14:paraId="5A747FCB">
      <w:pPr>
        <w:pStyle w:val="5"/>
        <w:keepNext w:val="0"/>
        <w:keepLines w:val="0"/>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环境风险评价结论</w:t>
      </w:r>
    </w:p>
    <w:p w14:paraId="69F8DF4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（1）环境敏感性及事故环境影响</w:t>
      </w:r>
    </w:p>
    <w:p w14:paraId="4F6C741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厂址周边500m范围内</w:t>
      </w:r>
      <w:r>
        <w:rPr>
          <w:rFonts w:hint="eastAsia"/>
          <w:color w:val="000000" w:themeColor="text1"/>
          <w14:textFill>
            <w14:solidFill>
              <w14:schemeClr w14:val="tx1"/>
            </w14:solidFill>
          </w14:textFill>
        </w:rPr>
        <w:t>无居民区分布。</w:t>
      </w:r>
    </w:p>
    <w:p w14:paraId="2056F896">
      <w:pPr>
        <w:ind w:firstLine="480"/>
        <w:rPr>
          <w:rFonts w:cs="宋体"/>
          <w:color w:val="000000" w:themeColor="text1"/>
          <w:kern w:val="0"/>
          <w14:textFill>
            <w14:solidFill>
              <w14:schemeClr w14:val="tx1"/>
            </w14:solidFill>
          </w14:textFill>
        </w:rPr>
      </w:pPr>
      <w:r>
        <w:rPr>
          <w:rFonts w:hint="eastAsia" w:cs="宋体"/>
          <w:color w:val="000000" w:themeColor="text1"/>
          <w:kern w:val="0"/>
          <w14:textFill>
            <w14:solidFill>
              <w14:schemeClr w14:val="tx1"/>
            </w14:solidFill>
          </w14:textFill>
        </w:rPr>
        <w:t>（2）海域事故影响</w:t>
      </w:r>
    </w:p>
    <w:p w14:paraId="5C5D1ACE">
      <w:pPr>
        <w:ind w:firstLine="480"/>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根据预测结果：</w:t>
      </w:r>
    </w:p>
    <w:p w14:paraId="1948D765">
      <w:pPr>
        <w:ind w:firstLine="482"/>
        <w:rPr>
          <w:color w:val="000000" w:themeColor="text1"/>
          <w:kern w:val="0"/>
          <w14:textFill>
            <w14:solidFill>
              <w14:schemeClr w14:val="tx1"/>
            </w14:solidFill>
          </w14:textFill>
        </w:rPr>
      </w:pPr>
      <w:r>
        <w:rPr>
          <w:rFonts w:hint="eastAsia"/>
          <w:b/>
          <w:color w:val="000000" w:themeColor="text1"/>
          <w:kern w:val="0"/>
          <w14:textFill>
            <w14:solidFill>
              <w14:schemeClr w14:val="tx1"/>
            </w14:solidFill>
          </w14:textFill>
        </w:rPr>
        <w:t>溢油</w:t>
      </w:r>
      <w:r>
        <w:rPr>
          <w:rFonts w:hint="eastAsia"/>
          <w:color w:val="000000" w:themeColor="text1"/>
          <w:kern w:val="0"/>
          <w14:textFill>
            <w14:solidFill>
              <w14:schemeClr w14:val="tx1"/>
            </w14:solidFill>
          </w14:textFill>
        </w:rPr>
        <w:t>大潮落潮时，溢油油膜沿着西南向运动，12小时油膜主流达到钦州湾口三墩西南海域；12-24时在涨潮流及NE风作用下，油膜主流沿着西向运动再转为北向，油膜在钦州湾口海域徘徊（另一部油膜则向茅尾海运动，并逐渐污染龙门岛周边海域）；此后，在落潮流携带下，油膜重新转为偏南向运动，30时左右油膜主流进入北部湾二长棘鲷长毛对虾国家级种质资源保护区（实验区），并持续在该保护区的实验区运动。24-48时，油膜向南运动至距离计算区域外海开边界16km附近海域，48时后在落潮流作用下，油膜沿南向飘向外海，71时后油膜到达外海开边界附近并折向西运动，因溢油量较大，此时残油油膜平均厚度仍有25.36mm，此后在NE风及潮流的携带下继续向外海运动。</w:t>
      </w:r>
    </w:p>
    <w:p w14:paraId="40DFAB9E">
      <w:pPr>
        <w:ind w:firstLine="482"/>
        <w:rPr>
          <w:color w:val="000000" w:themeColor="text1"/>
          <w:kern w:val="0"/>
          <w14:textFill>
            <w14:solidFill>
              <w14:schemeClr w14:val="tx1"/>
            </w14:solidFill>
          </w14:textFill>
        </w:rPr>
      </w:pPr>
      <w:r>
        <w:rPr>
          <w:rFonts w:hint="eastAsia"/>
          <w:b/>
          <w:color w:val="000000" w:themeColor="text1"/>
          <w14:textFill>
            <w14:solidFill>
              <w14:schemeClr w14:val="tx1"/>
            </w14:solidFill>
          </w14:textFill>
        </w:rPr>
        <w:t>苯乙烯</w:t>
      </w:r>
      <w:r>
        <w:rPr>
          <w:rFonts w:hint="eastAsia"/>
          <w:color w:val="000000" w:themeColor="text1"/>
          <w14:textFill>
            <w14:solidFill>
              <w14:schemeClr w14:val="tx1"/>
            </w14:solidFill>
          </w14:textFill>
        </w:rPr>
        <w:t>大潮落潮时，当</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发生后，苯乙烯沿着西南向运动，12小时苯乙烯物质主流达到钦州湾口三墩西南海域；12-24时在涨潮流及NE风作用下，苯乙烯物质主流先沿着西向运动再转为北向，苯乙烯物质在钦州湾口海域徘徊（另一部苯乙烯则转向茅尾海运动逐渐污染龙门岛周边海域）；此后，在落潮流携带下，苯乙烯再次转为偏南向运动，</w:t>
      </w:r>
      <w:r>
        <w:rPr>
          <w:color w:val="000000" w:themeColor="text1"/>
          <w14:textFill>
            <w14:solidFill>
              <w14:schemeClr w14:val="tx1"/>
            </w14:solidFill>
          </w14:textFill>
        </w:rPr>
        <w:t>30</w:t>
      </w:r>
      <w:r>
        <w:rPr>
          <w:rFonts w:hint="eastAsia"/>
          <w:color w:val="000000" w:themeColor="text1"/>
          <w14:textFill>
            <w14:solidFill>
              <w14:schemeClr w14:val="tx1"/>
            </w14:solidFill>
          </w14:textFill>
        </w:rPr>
        <w:t>时左右苯乙烯主要部分进入北部湾二长棘鲷长毛对虾国家级种质资源保护区（实验区）。</w:t>
      </w:r>
      <w:r>
        <w:rPr>
          <w:color w:val="000000" w:themeColor="text1"/>
          <w14:textFill>
            <w14:solidFill>
              <w14:schemeClr w14:val="tx1"/>
            </w14:solidFill>
          </w14:textFill>
        </w:rPr>
        <w:t>24</w:t>
      </w:r>
      <w:r>
        <w:rPr>
          <w:rFonts w:hint="eastAsia"/>
          <w:color w:val="000000" w:themeColor="text1"/>
          <w14:textFill>
            <w14:solidFill>
              <w14:schemeClr w14:val="tx1"/>
            </w14:solidFill>
          </w14:textFill>
        </w:rPr>
        <w:t>-48时，苯乙烯向南运动至距离计算区域外海开边界</w:t>
      </w:r>
      <w:r>
        <w:rPr>
          <w:color w:val="000000" w:themeColor="text1"/>
          <w14:textFill>
            <w14:solidFill>
              <w14:schemeClr w14:val="tx1"/>
            </w14:solidFill>
          </w14:textFill>
        </w:rPr>
        <w:t>16</w:t>
      </w:r>
      <w:r>
        <w:rPr>
          <w:rFonts w:hint="eastAsia"/>
          <w:color w:val="000000" w:themeColor="text1"/>
          <w14:textFill>
            <w14:solidFill>
              <w14:schemeClr w14:val="tx1"/>
            </w14:solidFill>
          </w14:textFill>
        </w:rPr>
        <w:t>km附近海域，48时后在落潮流作用下，苯乙烯沿南向飘向外海，</w:t>
      </w:r>
      <w:r>
        <w:rPr>
          <w:color w:val="000000" w:themeColor="text1"/>
          <w14:textFill>
            <w14:solidFill>
              <w14:schemeClr w14:val="tx1"/>
            </w14:solidFill>
          </w14:textFill>
        </w:rPr>
        <w:t>71</w:t>
      </w:r>
      <w:r>
        <w:rPr>
          <w:rFonts w:hint="eastAsia"/>
          <w:color w:val="000000" w:themeColor="text1"/>
          <w14:textFill>
            <w14:solidFill>
              <w14:schemeClr w14:val="tx1"/>
            </w14:solidFill>
          </w14:textFill>
        </w:rPr>
        <w:t>时后到达外海开边界附近并折向西运动，此后在NE风及潮流的携带下继续向外海运动。</w:t>
      </w:r>
    </w:p>
    <w:p w14:paraId="046A8DFF">
      <w:pPr>
        <w:ind w:firstLine="482"/>
        <w:rPr>
          <w:color w:val="000000" w:themeColor="text1"/>
          <w:kern w:val="0"/>
          <w14:textFill>
            <w14:solidFill>
              <w14:schemeClr w14:val="tx1"/>
            </w14:solidFill>
          </w14:textFill>
        </w:rPr>
      </w:pPr>
      <w:r>
        <w:rPr>
          <w:rFonts w:hint="eastAsia" w:ascii="宋体" w:hAnsi="宋体"/>
          <w:b/>
          <w:color w:val="000000" w:themeColor="text1"/>
          <w14:textFill>
            <w14:solidFill>
              <w14:schemeClr w14:val="tx1"/>
            </w14:solidFill>
          </w14:textFill>
        </w:rPr>
        <w:t>液碱</w:t>
      </w:r>
      <w:r>
        <w:rPr>
          <w:rFonts w:hint="eastAsia"/>
          <w:color w:val="000000" w:themeColor="text1"/>
          <w14:textFill>
            <w14:solidFill>
              <w14:schemeClr w14:val="tx1"/>
            </w14:solidFill>
          </w14:textFill>
        </w:rPr>
        <w:t>涨潮阶段发生</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事故时，</w:t>
      </w:r>
      <w:r>
        <w:rPr>
          <w:rFonts w:hint="eastAsia" w:ascii="宋体" w:hAnsi="宋体"/>
          <w:color w:val="000000" w:themeColor="text1"/>
          <w14:textFill>
            <w14:solidFill>
              <w14:schemeClr w14:val="tx1"/>
            </w14:solidFill>
          </w14:textFill>
        </w:rPr>
        <w:t>液碱</w:t>
      </w:r>
      <w:r>
        <w:rPr>
          <w:rFonts w:hint="eastAsia"/>
          <w:color w:val="000000" w:themeColor="text1"/>
          <w14:textFill>
            <w14:solidFill>
              <w14:schemeClr w14:val="tx1"/>
            </w14:solidFill>
          </w14:textFill>
        </w:rPr>
        <w:t>浓度大于</w:t>
      </w:r>
      <w:r>
        <w:rPr>
          <w:color w:val="000000" w:themeColor="text1"/>
          <w14:textFill>
            <w14:solidFill>
              <w14:schemeClr w14:val="tx1"/>
            </w14:solidFill>
          </w14:textFill>
        </w:rPr>
        <w:t>1mg/L</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.001 mg/L</w:t>
      </w:r>
      <w:r>
        <w:rPr>
          <w:rFonts w:hint="eastAsia"/>
          <w:color w:val="000000" w:themeColor="text1"/>
          <w14:textFill>
            <w14:solidFill>
              <w14:schemeClr w14:val="tx1"/>
            </w14:solidFill>
          </w14:textFill>
        </w:rPr>
        <w:t>向北扩散的距离分别为</w:t>
      </w:r>
      <w:r>
        <w:rPr>
          <w:color w:val="000000" w:themeColor="text1"/>
          <w14:textFill>
            <w14:solidFill>
              <w14:schemeClr w14:val="tx1"/>
            </w14:solidFill>
          </w14:textFill>
        </w:rPr>
        <w:t>9.266</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16.748km</w:t>
      </w:r>
      <w:r>
        <w:rPr>
          <w:rFonts w:hint="eastAsia"/>
          <w:color w:val="000000" w:themeColor="text1"/>
          <w14:textFill>
            <w14:solidFill>
              <w14:schemeClr w14:val="tx1"/>
            </w14:solidFill>
          </w14:textFill>
        </w:rPr>
        <w:t>，向南扩散的距离分别为</w:t>
      </w:r>
      <w:r>
        <w:rPr>
          <w:color w:val="000000" w:themeColor="text1"/>
          <w14:textFill>
            <w14:solidFill>
              <w14:schemeClr w14:val="tx1"/>
            </w14:solidFill>
          </w14:textFill>
        </w:rPr>
        <w:t>9.424</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20.109</w:t>
      </w:r>
      <w:r>
        <w:rPr>
          <w:rFonts w:hint="eastAsia"/>
          <w:color w:val="000000" w:themeColor="text1"/>
          <w14:textFill>
            <w14:solidFill>
              <w14:schemeClr w14:val="tx1"/>
            </w14:solidFill>
          </w14:textFill>
        </w:rPr>
        <w:t xml:space="preserve"> 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，包络面积分别为</w:t>
      </w:r>
      <w:r>
        <w:rPr>
          <w:color w:val="000000" w:themeColor="text1"/>
          <w14:textFill>
            <w14:solidFill>
              <w14:schemeClr w14:val="tx1"/>
            </w14:solidFill>
          </w14:textFill>
        </w:rPr>
        <w:t>31.243km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283.352 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；落潮阶段</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w:t>
      </w:r>
      <w:r>
        <w:rPr>
          <w:rFonts w:hint="eastAsia" w:ascii="宋体" w:hAnsi="宋体"/>
          <w:color w:val="000000" w:themeColor="text1"/>
          <w14:textFill>
            <w14:solidFill>
              <w14:schemeClr w14:val="tx1"/>
            </w14:solidFill>
          </w14:textFill>
        </w:rPr>
        <w:t>液碱</w:t>
      </w:r>
      <w:r>
        <w:rPr>
          <w:rFonts w:hint="eastAsia"/>
          <w:color w:val="000000" w:themeColor="text1"/>
          <w14:textFill>
            <w14:solidFill>
              <w14:schemeClr w14:val="tx1"/>
            </w14:solidFill>
          </w14:textFill>
        </w:rPr>
        <w:t>浓度大于</w:t>
      </w:r>
      <w:r>
        <w:rPr>
          <w:color w:val="000000" w:themeColor="text1"/>
          <w14:textFill>
            <w14:solidFill>
              <w14:schemeClr w14:val="tx1"/>
            </w14:solidFill>
          </w14:textFill>
        </w:rPr>
        <w:t>1mg/L</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.001 mg/L</w:t>
      </w:r>
      <w:r>
        <w:rPr>
          <w:rFonts w:hint="eastAsia"/>
          <w:color w:val="000000" w:themeColor="text1"/>
          <w14:textFill>
            <w14:solidFill>
              <w14:schemeClr w14:val="tx1"/>
            </w14:solidFill>
          </w14:textFill>
        </w:rPr>
        <w:t>向北扩散的距离分别为</w:t>
      </w:r>
      <w:r>
        <w:rPr>
          <w:color w:val="000000" w:themeColor="text1"/>
          <w14:textFill>
            <w14:solidFill>
              <w14:schemeClr w14:val="tx1"/>
            </w14:solidFill>
          </w14:textFill>
        </w:rPr>
        <w:t>8.966</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16.136km</w:t>
      </w:r>
      <w:r>
        <w:rPr>
          <w:rFonts w:hint="eastAsia"/>
          <w:color w:val="000000" w:themeColor="text1"/>
          <w14:textFill>
            <w14:solidFill>
              <w14:schemeClr w14:val="tx1"/>
            </w14:solidFill>
          </w14:textFill>
        </w:rPr>
        <w:t>，向南扩散的距离分别为</w:t>
      </w:r>
      <w:r>
        <w:rPr>
          <w:color w:val="000000" w:themeColor="text1"/>
          <w14:textFill>
            <w14:solidFill>
              <w14:schemeClr w14:val="tx1"/>
            </w14:solidFill>
          </w14:textFill>
        </w:rPr>
        <w:t>17.331</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22.892</w:t>
      </w:r>
      <w:r>
        <w:rPr>
          <w:rFonts w:hint="eastAsia"/>
          <w:color w:val="000000" w:themeColor="text1"/>
          <w14:textFill>
            <w14:solidFill>
              <w14:schemeClr w14:val="tx1"/>
            </w14:solidFill>
          </w14:textFill>
        </w:rPr>
        <w:t xml:space="preserve"> 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，包络面积分别可达</w:t>
      </w:r>
      <w:r>
        <w:rPr>
          <w:color w:val="000000" w:themeColor="text1"/>
          <w14:textFill>
            <w14:solidFill>
              <w14:schemeClr w14:val="tx1"/>
            </w14:solidFill>
          </w14:textFill>
        </w:rPr>
        <w:t>94.381km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365.561 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，显然，落潮阶段泄露比涨潮阶段泄露扩散的影响范围大。</w:t>
      </w:r>
    </w:p>
    <w:p w14:paraId="21E65C1F">
      <w:pPr>
        <w:ind w:firstLine="482"/>
        <w:rPr>
          <w:color w:val="000000" w:themeColor="text1"/>
          <w:kern w:val="0"/>
          <w14:textFill>
            <w14:solidFill>
              <w14:schemeClr w14:val="tx1"/>
            </w14:solidFill>
          </w14:textFill>
        </w:rPr>
      </w:pPr>
      <w:r>
        <w:rPr>
          <w:rFonts w:hint="eastAsia"/>
          <w:b/>
          <w:color w:val="000000" w:themeColor="text1"/>
          <w:kern w:val="0"/>
          <w14:textFill>
            <w14:solidFill>
              <w14:schemeClr w14:val="tx1"/>
            </w14:solidFill>
          </w14:textFill>
        </w:rPr>
        <w:t>发烟硫酸</w:t>
      </w:r>
      <w:r>
        <w:rPr>
          <w:rFonts w:hint="eastAsia"/>
          <w:color w:val="000000" w:themeColor="text1"/>
          <w:kern w:val="0"/>
          <w14:textFill>
            <w14:solidFill>
              <w14:schemeClr w14:val="tx1"/>
            </w14:solidFill>
          </w14:textFill>
        </w:rPr>
        <w:t>涨潮阶段发生</w:t>
      </w:r>
      <w:r>
        <w:rPr>
          <w:rFonts w:hint="eastAsia"/>
          <w:color w:val="000000" w:themeColor="text1"/>
          <w:kern w:val="0"/>
          <w:lang w:eastAsia="zh-CN"/>
          <w14:textFill>
            <w14:solidFill>
              <w14:schemeClr w14:val="tx1"/>
            </w14:solidFill>
          </w14:textFill>
        </w:rPr>
        <w:t>泄漏</w:t>
      </w:r>
      <w:r>
        <w:rPr>
          <w:rFonts w:hint="eastAsia"/>
          <w:color w:val="000000" w:themeColor="text1"/>
          <w:kern w:val="0"/>
          <w14:textFill>
            <w14:solidFill>
              <w14:schemeClr w14:val="tx1"/>
            </w14:solidFill>
          </w14:textFill>
        </w:rPr>
        <w:t>事故时，发烟硫酸浓度大于</w:t>
      </w:r>
      <w:r>
        <w:rPr>
          <w:color w:val="000000" w:themeColor="text1"/>
          <w:kern w:val="0"/>
          <w14:textFill>
            <w14:solidFill>
              <w14:schemeClr w14:val="tx1"/>
            </w14:solidFill>
          </w14:textFill>
        </w:rPr>
        <w:t>1mg/L</w:t>
      </w:r>
      <w:r>
        <w:rPr>
          <w:rFonts w:hint="eastAsia"/>
          <w:color w:val="000000" w:themeColor="text1"/>
          <w:kern w:val="0"/>
          <w14:textFill>
            <w14:solidFill>
              <w14:schemeClr w14:val="tx1"/>
            </w14:solidFill>
          </w14:textFill>
        </w:rPr>
        <w:t>、0</w:t>
      </w:r>
      <w:r>
        <w:rPr>
          <w:color w:val="000000" w:themeColor="text1"/>
          <w:kern w:val="0"/>
          <w14:textFill>
            <w14:solidFill>
              <w14:schemeClr w14:val="tx1"/>
            </w14:solidFill>
          </w14:textFill>
        </w:rPr>
        <w:t>.001 mg/L</w:t>
      </w:r>
      <w:r>
        <w:rPr>
          <w:rFonts w:hint="eastAsia"/>
          <w:color w:val="000000" w:themeColor="text1"/>
          <w:kern w:val="0"/>
          <w14:textFill>
            <w14:solidFill>
              <w14:schemeClr w14:val="tx1"/>
            </w14:solidFill>
          </w14:textFill>
        </w:rPr>
        <w:t>向北扩散的距离分别为</w:t>
      </w:r>
      <w:r>
        <w:rPr>
          <w:color w:val="000000" w:themeColor="text1"/>
          <w:kern w:val="0"/>
          <w14:textFill>
            <w14:solidFill>
              <w14:schemeClr w14:val="tx1"/>
            </w14:solidFill>
          </w14:textFill>
        </w:rPr>
        <w:t>13.166</w:t>
      </w:r>
      <w:r>
        <w:rPr>
          <w:rFonts w:hint="eastAsia"/>
          <w:color w:val="000000" w:themeColor="text1"/>
          <w:kern w:val="0"/>
          <w14:textFill>
            <w14:solidFill>
              <w14:schemeClr w14:val="tx1"/>
            </w14:solidFill>
          </w14:textFill>
        </w:rPr>
        <w:t>k</w:t>
      </w:r>
      <w:r>
        <w:rPr>
          <w:color w:val="000000" w:themeColor="text1"/>
          <w:kern w:val="0"/>
          <w14:textFill>
            <w14:solidFill>
              <w14:schemeClr w14:val="tx1"/>
            </w14:solidFill>
          </w14:textFill>
        </w:rPr>
        <w:t>m</w:t>
      </w:r>
      <w:r>
        <w:rPr>
          <w:rFonts w:hint="eastAsia"/>
          <w:color w:val="000000" w:themeColor="text1"/>
          <w:kern w:val="0"/>
          <w14:textFill>
            <w14:solidFill>
              <w14:schemeClr w14:val="tx1"/>
            </w14:solidFill>
          </w14:textFill>
        </w:rPr>
        <w:t>、</w:t>
      </w:r>
      <w:r>
        <w:rPr>
          <w:color w:val="000000" w:themeColor="text1"/>
          <w:kern w:val="0"/>
          <w14:textFill>
            <w14:solidFill>
              <w14:schemeClr w14:val="tx1"/>
            </w14:solidFill>
          </w14:textFill>
        </w:rPr>
        <w:t>19.976km</w:t>
      </w:r>
      <w:r>
        <w:rPr>
          <w:rFonts w:hint="eastAsia"/>
          <w:color w:val="000000" w:themeColor="text1"/>
          <w:kern w:val="0"/>
          <w14:textFill>
            <w14:solidFill>
              <w14:schemeClr w14:val="tx1"/>
            </w14:solidFill>
          </w14:textFill>
        </w:rPr>
        <w:t>，向南扩散的距离分别为</w:t>
      </w:r>
      <w:r>
        <w:rPr>
          <w:color w:val="000000" w:themeColor="text1"/>
          <w:kern w:val="0"/>
          <w14:textFill>
            <w14:solidFill>
              <w14:schemeClr w14:val="tx1"/>
            </w14:solidFill>
          </w14:textFill>
        </w:rPr>
        <w:t>10.569</w:t>
      </w:r>
      <w:r>
        <w:rPr>
          <w:rFonts w:hint="eastAsia"/>
          <w:color w:val="000000" w:themeColor="text1"/>
          <w:kern w:val="0"/>
          <w14:textFill>
            <w14:solidFill>
              <w14:schemeClr w14:val="tx1"/>
            </w14:solidFill>
          </w14:textFill>
        </w:rPr>
        <w:t>k</w:t>
      </w:r>
      <w:r>
        <w:rPr>
          <w:color w:val="000000" w:themeColor="text1"/>
          <w:kern w:val="0"/>
          <w14:textFill>
            <w14:solidFill>
              <w14:schemeClr w14:val="tx1"/>
            </w14:solidFill>
          </w14:textFill>
        </w:rPr>
        <w:t>m</w:t>
      </w:r>
      <w:r>
        <w:rPr>
          <w:rFonts w:hint="eastAsia"/>
          <w:color w:val="000000" w:themeColor="text1"/>
          <w:kern w:val="0"/>
          <w14:textFill>
            <w14:solidFill>
              <w14:schemeClr w14:val="tx1"/>
            </w14:solidFill>
          </w14:textFill>
        </w:rPr>
        <w:t>、</w:t>
      </w:r>
      <w:r>
        <w:rPr>
          <w:color w:val="000000" w:themeColor="text1"/>
          <w:kern w:val="0"/>
          <w14:textFill>
            <w14:solidFill>
              <w14:schemeClr w14:val="tx1"/>
            </w14:solidFill>
          </w14:textFill>
        </w:rPr>
        <w:t>20.166</w:t>
      </w:r>
      <w:r>
        <w:rPr>
          <w:rFonts w:hint="eastAsia"/>
          <w:color w:val="000000" w:themeColor="text1"/>
          <w:kern w:val="0"/>
          <w14:textFill>
            <w14:solidFill>
              <w14:schemeClr w14:val="tx1"/>
            </w14:solidFill>
          </w14:textFill>
        </w:rPr>
        <w:t xml:space="preserve"> k</w:t>
      </w:r>
      <w:r>
        <w:rPr>
          <w:color w:val="000000" w:themeColor="text1"/>
          <w:kern w:val="0"/>
          <w14:textFill>
            <w14:solidFill>
              <w14:schemeClr w14:val="tx1"/>
            </w14:solidFill>
          </w14:textFill>
        </w:rPr>
        <w:t>m</w:t>
      </w:r>
      <w:r>
        <w:rPr>
          <w:rFonts w:hint="eastAsia"/>
          <w:color w:val="000000" w:themeColor="text1"/>
          <w:kern w:val="0"/>
          <w14:textFill>
            <w14:solidFill>
              <w14:schemeClr w14:val="tx1"/>
            </w14:solidFill>
          </w14:textFill>
        </w:rPr>
        <w:t>，包络面积分别可达</w:t>
      </w:r>
      <w:r>
        <w:rPr>
          <w:color w:val="000000" w:themeColor="text1"/>
          <w:kern w:val="0"/>
          <w14:textFill>
            <w14:solidFill>
              <w14:schemeClr w14:val="tx1"/>
            </w14:solidFill>
          </w14:textFill>
        </w:rPr>
        <w:t>44.696km</w:t>
      </w:r>
      <w:r>
        <w:rPr>
          <w:color w:val="000000" w:themeColor="text1"/>
          <w:kern w:val="0"/>
          <w:vertAlign w:val="superscript"/>
          <w14:textFill>
            <w14:solidFill>
              <w14:schemeClr w14:val="tx1"/>
            </w14:solidFill>
          </w14:textFill>
        </w:rPr>
        <w:t>2</w:t>
      </w:r>
      <w:r>
        <w:rPr>
          <w:rFonts w:hint="eastAsia"/>
          <w:color w:val="000000" w:themeColor="text1"/>
          <w:kern w:val="0"/>
          <w14:textFill>
            <w14:solidFill>
              <w14:schemeClr w14:val="tx1"/>
            </w14:solidFill>
          </w14:textFill>
        </w:rPr>
        <w:t>、</w:t>
      </w:r>
      <w:r>
        <w:rPr>
          <w:color w:val="000000" w:themeColor="text1"/>
          <w:kern w:val="0"/>
          <w14:textFill>
            <w14:solidFill>
              <w14:schemeClr w14:val="tx1"/>
            </w14:solidFill>
          </w14:textFill>
        </w:rPr>
        <w:t>288.712 km</w:t>
      </w:r>
      <w:r>
        <w:rPr>
          <w:color w:val="000000" w:themeColor="text1"/>
          <w:kern w:val="0"/>
          <w:vertAlign w:val="superscript"/>
          <w14:textFill>
            <w14:solidFill>
              <w14:schemeClr w14:val="tx1"/>
            </w14:solidFill>
          </w14:textFill>
        </w:rPr>
        <w:t>2</w:t>
      </w:r>
      <w:r>
        <w:rPr>
          <w:rFonts w:hint="eastAsia"/>
          <w:color w:val="000000" w:themeColor="text1"/>
          <w:kern w:val="0"/>
          <w14:textFill>
            <w14:solidFill>
              <w14:schemeClr w14:val="tx1"/>
            </w14:solidFill>
          </w14:textFill>
        </w:rPr>
        <w:t>；落潮阶段</w:t>
      </w:r>
      <w:r>
        <w:rPr>
          <w:rFonts w:hint="eastAsia"/>
          <w:color w:val="000000" w:themeColor="text1"/>
          <w:kern w:val="0"/>
          <w:lang w:eastAsia="zh-CN"/>
          <w14:textFill>
            <w14:solidFill>
              <w14:schemeClr w14:val="tx1"/>
            </w14:solidFill>
          </w14:textFill>
        </w:rPr>
        <w:t>泄漏</w:t>
      </w:r>
      <w:r>
        <w:rPr>
          <w:rFonts w:hint="eastAsia"/>
          <w:color w:val="000000" w:themeColor="text1"/>
          <w:kern w:val="0"/>
          <w14:textFill>
            <w14:solidFill>
              <w14:schemeClr w14:val="tx1"/>
            </w14:solidFill>
          </w14:textFill>
        </w:rPr>
        <w:t>，发烟硫酸浓度大于</w:t>
      </w:r>
      <w:r>
        <w:rPr>
          <w:color w:val="000000" w:themeColor="text1"/>
          <w:kern w:val="0"/>
          <w14:textFill>
            <w14:solidFill>
              <w14:schemeClr w14:val="tx1"/>
            </w14:solidFill>
          </w14:textFill>
        </w:rPr>
        <w:t>1mg/L</w:t>
      </w:r>
      <w:r>
        <w:rPr>
          <w:rFonts w:hint="eastAsia"/>
          <w:color w:val="000000" w:themeColor="text1"/>
          <w:kern w:val="0"/>
          <w14:textFill>
            <w14:solidFill>
              <w14:schemeClr w14:val="tx1"/>
            </w14:solidFill>
          </w14:textFill>
        </w:rPr>
        <w:t>、0</w:t>
      </w:r>
      <w:r>
        <w:rPr>
          <w:color w:val="000000" w:themeColor="text1"/>
          <w:kern w:val="0"/>
          <w14:textFill>
            <w14:solidFill>
              <w14:schemeClr w14:val="tx1"/>
            </w14:solidFill>
          </w14:textFill>
        </w:rPr>
        <w:t>.001 mg/L</w:t>
      </w:r>
      <w:r>
        <w:rPr>
          <w:rFonts w:hint="eastAsia"/>
          <w:color w:val="000000" w:themeColor="text1"/>
          <w:kern w:val="0"/>
          <w14:textFill>
            <w14:solidFill>
              <w14:schemeClr w14:val="tx1"/>
            </w14:solidFill>
          </w14:textFill>
        </w:rPr>
        <w:t>向北扩散的距离分别为</w:t>
      </w:r>
      <w:r>
        <w:rPr>
          <w:color w:val="000000" w:themeColor="text1"/>
          <w:kern w:val="0"/>
          <w14:textFill>
            <w14:solidFill>
              <w14:schemeClr w14:val="tx1"/>
            </w14:solidFill>
          </w14:textFill>
        </w:rPr>
        <w:t>9.468</w:t>
      </w:r>
      <w:r>
        <w:rPr>
          <w:rFonts w:hint="eastAsia"/>
          <w:color w:val="000000" w:themeColor="text1"/>
          <w:kern w:val="0"/>
          <w14:textFill>
            <w14:solidFill>
              <w14:schemeClr w14:val="tx1"/>
            </w14:solidFill>
          </w14:textFill>
        </w:rPr>
        <w:t>k</w:t>
      </w:r>
      <w:r>
        <w:rPr>
          <w:color w:val="000000" w:themeColor="text1"/>
          <w:kern w:val="0"/>
          <w14:textFill>
            <w14:solidFill>
              <w14:schemeClr w14:val="tx1"/>
            </w14:solidFill>
          </w14:textFill>
        </w:rPr>
        <w:t>m</w:t>
      </w:r>
      <w:r>
        <w:rPr>
          <w:rFonts w:hint="eastAsia"/>
          <w:color w:val="000000" w:themeColor="text1"/>
          <w:kern w:val="0"/>
          <w14:textFill>
            <w14:solidFill>
              <w14:schemeClr w14:val="tx1"/>
            </w14:solidFill>
          </w14:textFill>
        </w:rPr>
        <w:t>、</w:t>
      </w:r>
      <w:r>
        <w:rPr>
          <w:color w:val="000000" w:themeColor="text1"/>
          <w:kern w:val="0"/>
          <w14:textFill>
            <w14:solidFill>
              <w14:schemeClr w14:val="tx1"/>
            </w14:solidFill>
          </w14:textFill>
        </w:rPr>
        <w:t>16.423km</w:t>
      </w:r>
      <w:r>
        <w:rPr>
          <w:rFonts w:hint="eastAsia"/>
          <w:color w:val="000000" w:themeColor="text1"/>
          <w:kern w:val="0"/>
          <w14:textFill>
            <w14:solidFill>
              <w14:schemeClr w14:val="tx1"/>
            </w14:solidFill>
          </w14:textFill>
        </w:rPr>
        <w:t>，向南扩散的距离分别为</w:t>
      </w:r>
      <w:r>
        <w:rPr>
          <w:color w:val="000000" w:themeColor="text1"/>
          <w:kern w:val="0"/>
          <w14:textFill>
            <w14:solidFill>
              <w14:schemeClr w14:val="tx1"/>
            </w14:solidFill>
          </w14:textFill>
        </w:rPr>
        <w:t>17.377</w:t>
      </w:r>
      <w:r>
        <w:rPr>
          <w:rFonts w:hint="eastAsia"/>
          <w:color w:val="000000" w:themeColor="text1"/>
          <w:kern w:val="0"/>
          <w14:textFill>
            <w14:solidFill>
              <w14:schemeClr w14:val="tx1"/>
            </w14:solidFill>
          </w14:textFill>
        </w:rPr>
        <w:t>k</w:t>
      </w:r>
      <w:r>
        <w:rPr>
          <w:color w:val="000000" w:themeColor="text1"/>
          <w:kern w:val="0"/>
          <w14:textFill>
            <w14:solidFill>
              <w14:schemeClr w14:val="tx1"/>
            </w14:solidFill>
          </w14:textFill>
        </w:rPr>
        <w:t>m</w:t>
      </w:r>
      <w:r>
        <w:rPr>
          <w:rFonts w:hint="eastAsia"/>
          <w:color w:val="000000" w:themeColor="text1"/>
          <w:kern w:val="0"/>
          <w14:textFill>
            <w14:solidFill>
              <w14:schemeClr w14:val="tx1"/>
            </w14:solidFill>
          </w14:textFill>
        </w:rPr>
        <w:t>、</w:t>
      </w:r>
      <w:r>
        <w:rPr>
          <w:color w:val="000000" w:themeColor="text1"/>
          <w:kern w:val="0"/>
          <w14:textFill>
            <w14:solidFill>
              <w14:schemeClr w14:val="tx1"/>
            </w14:solidFill>
          </w14:textFill>
        </w:rPr>
        <w:t>23.128</w:t>
      </w:r>
      <w:r>
        <w:rPr>
          <w:rFonts w:hint="eastAsia"/>
          <w:color w:val="000000" w:themeColor="text1"/>
          <w:kern w:val="0"/>
          <w14:textFill>
            <w14:solidFill>
              <w14:schemeClr w14:val="tx1"/>
            </w14:solidFill>
          </w14:textFill>
        </w:rPr>
        <w:t xml:space="preserve"> k</w:t>
      </w:r>
      <w:r>
        <w:rPr>
          <w:color w:val="000000" w:themeColor="text1"/>
          <w:kern w:val="0"/>
          <w14:textFill>
            <w14:solidFill>
              <w14:schemeClr w14:val="tx1"/>
            </w14:solidFill>
          </w14:textFill>
        </w:rPr>
        <w:t>m</w:t>
      </w:r>
      <w:r>
        <w:rPr>
          <w:rFonts w:hint="eastAsia"/>
          <w:color w:val="000000" w:themeColor="text1"/>
          <w:kern w:val="0"/>
          <w14:textFill>
            <w14:solidFill>
              <w14:schemeClr w14:val="tx1"/>
            </w14:solidFill>
          </w14:textFill>
        </w:rPr>
        <w:t>，包络面积分别可达</w:t>
      </w:r>
      <w:r>
        <w:rPr>
          <w:color w:val="000000" w:themeColor="text1"/>
          <w:kern w:val="0"/>
          <w14:textFill>
            <w14:solidFill>
              <w14:schemeClr w14:val="tx1"/>
            </w14:solidFill>
          </w14:textFill>
        </w:rPr>
        <w:t>113.263km</w:t>
      </w:r>
      <w:r>
        <w:rPr>
          <w:color w:val="000000" w:themeColor="text1"/>
          <w:kern w:val="0"/>
          <w:vertAlign w:val="superscript"/>
          <w14:textFill>
            <w14:solidFill>
              <w14:schemeClr w14:val="tx1"/>
            </w14:solidFill>
          </w14:textFill>
        </w:rPr>
        <w:t>2</w:t>
      </w:r>
      <w:r>
        <w:rPr>
          <w:rFonts w:hint="eastAsia"/>
          <w:color w:val="000000" w:themeColor="text1"/>
          <w:kern w:val="0"/>
          <w14:textFill>
            <w14:solidFill>
              <w14:schemeClr w14:val="tx1"/>
            </w14:solidFill>
          </w14:textFill>
        </w:rPr>
        <w:t>、</w:t>
      </w:r>
      <w:r>
        <w:rPr>
          <w:color w:val="000000" w:themeColor="text1"/>
          <w:kern w:val="0"/>
          <w14:textFill>
            <w14:solidFill>
              <w14:schemeClr w14:val="tx1"/>
            </w14:solidFill>
          </w14:textFill>
        </w:rPr>
        <w:t>377.536 km</w:t>
      </w:r>
      <w:r>
        <w:rPr>
          <w:color w:val="000000" w:themeColor="text1"/>
          <w:kern w:val="0"/>
          <w:vertAlign w:val="superscript"/>
          <w14:textFill>
            <w14:solidFill>
              <w14:schemeClr w14:val="tx1"/>
            </w14:solidFill>
          </w14:textFill>
        </w:rPr>
        <w:t>2</w:t>
      </w:r>
      <w:r>
        <w:rPr>
          <w:rFonts w:hint="eastAsia"/>
          <w:color w:val="000000" w:themeColor="text1"/>
          <w:kern w:val="0"/>
          <w14:textFill>
            <w14:solidFill>
              <w14:schemeClr w14:val="tx1"/>
            </w14:solidFill>
          </w14:textFill>
        </w:rPr>
        <w:t>，落潮阶段</w:t>
      </w:r>
      <w:r>
        <w:rPr>
          <w:rFonts w:hint="eastAsia"/>
          <w:color w:val="000000" w:themeColor="text1"/>
          <w:kern w:val="0"/>
          <w:lang w:eastAsia="zh-CN"/>
          <w14:textFill>
            <w14:solidFill>
              <w14:schemeClr w14:val="tx1"/>
            </w14:solidFill>
          </w14:textFill>
        </w:rPr>
        <w:t>泄漏</w:t>
      </w:r>
      <w:r>
        <w:rPr>
          <w:rFonts w:hint="eastAsia"/>
          <w:color w:val="000000" w:themeColor="text1"/>
          <w:kern w:val="0"/>
          <w14:textFill>
            <w14:solidFill>
              <w14:schemeClr w14:val="tx1"/>
            </w14:solidFill>
          </w14:textFill>
        </w:rPr>
        <w:t>比涨潮阶段</w:t>
      </w:r>
      <w:r>
        <w:rPr>
          <w:rFonts w:hint="eastAsia"/>
          <w:color w:val="000000" w:themeColor="text1"/>
          <w:kern w:val="0"/>
          <w:lang w:eastAsia="zh-CN"/>
          <w14:textFill>
            <w14:solidFill>
              <w14:schemeClr w14:val="tx1"/>
            </w14:solidFill>
          </w14:textFill>
        </w:rPr>
        <w:t>泄漏</w:t>
      </w:r>
      <w:r>
        <w:rPr>
          <w:rFonts w:hint="eastAsia"/>
          <w:color w:val="000000" w:themeColor="text1"/>
          <w:kern w:val="0"/>
          <w14:textFill>
            <w14:solidFill>
              <w14:schemeClr w14:val="tx1"/>
            </w14:solidFill>
          </w14:textFill>
        </w:rPr>
        <w:t>扩散的影响范围大。</w:t>
      </w:r>
    </w:p>
    <w:p w14:paraId="04C00CD2">
      <w:pPr>
        <w:ind w:firstLine="480"/>
        <w:rPr>
          <w:color w:val="000000" w:themeColor="text1"/>
          <w:kern w:val="0"/>
          <w14:textFill>
            <w14:solidFill>
              <w14:schemeClr w14:val="tx1"/>
            </w14:solidFill>
          </w14:textFill>
        </w:rPr>
      </w:pPr>
      <w:r>
        <w:rPr>
          <w:color w:val="000000" w:themeColor="text1"/>
          <w:kern w:val="0"/>
          <w14:textFill>
            <w14:solidFill>
              <w14:schemeClr w14:val="tx1"/>
            </w14:solidFill>
          </w14:textFill>
        </w:rPr>
        <w:t>因此需要加强管理，强化风险应急设施，以杜绝该类事故的发生。</w:t>
      </w:r>
    </w:p>
    <w:p w14:paraId="167ADEF7">
      <w:pPr>
        <w:ind w:firstLine="480"/>
        <w:rPr>
          <w:color w:val="000000" w:themeColor="text1"/>
          <w:kern w:val="0"/>
          <w14:textFill>
            <w14:solidFill>
              <w14:schemeClr w14:val="tx1"/>
            </w14:solidFill>
          </w14:textFill>
        </w:rPr>
      </w:pPr>
      <w:r>
        <w:rPr>
          <w:color w:val="000000" w:themeColor="text1"/>
          <w:kern w:val="0"/>
          <w14:textFill>
            <w14:solidFill>
              <w14:schemeClr w14:val="tx1"/>
            </w14:solidFill>
          </w14:textFill>
        </w:rPr>
        <w:t>（</w:t>
      </w:r>
      <w:r>
        <w:rPr>
          <w:rFonts w:hint="eastAsia"/>
          <w:color w:val="000000" w:themeColor="text1"/>
          <w:kern w:val="0"/>
          <w14:textFill>
            <w14:solidFill>
              <w14:schemeClr w14:val="tx1"/>
            </w14:solidFill>
          </w14:textFill>
        </w:rPr>
        <w:t>3</w:t>
      </w:r>
      <w:r>
        <w:rPr>
          <w:color w:val="000000" w:themeColor="text1"/>
          <w:kern w:val="0"/>
          <w14:textFill>
            <w14:solidFill>
              <w14:schemeClr w14:val="tx1"/>
            </w14:solidFill>
          </w14:textFill>
        </w:rPr>
        <w:t>）陆域事故影响</w:t>
      </w:r>
    </w:p>
    <w:p w14:paraId="2158176D">
      <w:pPr>
        <w:ind w:firstLine="480"/>
        <w:rPr>
          <w:color w:val="000000" w:themeColor="text1"/>
          <w14:textFill>
            <w14:solidFill>
              <w14:schemeClr w14:val="tx1"/>
            </w14:solidFill>
          </w14:textFill>
        </w:rPr>
      </w:pPr>
      <w:r>
        <w:rPr>
          <w:color w:val="000000" w:themeColor="text1"/>
          <w14:textFill>
            <w14:solidFill>
              <w14:schemeClr w14:val="tx1"/>
            </w14:solidFill>
          </w14:textFill>
        </w:rPr>
        <w:t>针对</w:t>
      </w:r>
      <w:r>
        <w:rPr>
          <w:rFonts w:hint="eastAsia"/>
          <w:color w:val="000000" w:themeColor="text1"/>
          <w14:textFill>
            <w14:solidFill>
              <w14:schemeClr w14:val="tx1"/>
            </w14:solidFill>
          </w14:textFill>
        </w:rPr>
        <w:t>陆域化学品</w:t>
      </w:r>
      <w:r>
        <w:rPr>
          <w:color w:val="000000" w:themeColor="text1"/>
          <w14:textFill>
            <w14:solidFill>
              <w14:schemeClr w14:val="tx1"/>
            </w14:solidFill>
          </w14:textFill>
        </w:rPr>
        <w:t>泄漏事故影响预测结果可知，在最不利气象条件（F类稳定度，1.5m/s风速，温度25</w:t>
      </w:r>
      <w:r>
        <w:rPr>
          <w:rFonts w:hint="eastAsia" w:cs="宋体"/>
          <w:color w:val="000000" w:themeColor="text1"/>
          <w14:textFill>
            <w14:solidFill>
              <w14:schemeClr w14:val="tx1"/>
            </w14:solidFill>
          </w14:textFill>
        </w:rPr>
        <w:t>℃</w:t>
      </w:r>
      <w:r>
        <w:rPr>
          <w:color w:val="000000" w:themeColor="text1"/>
          <w14:textFill>
            <w14:solidFill>
              <w14:schemeClr w14:val="tx1"/>
            </w14:solidFill>
          </w14:textFill>
        </w:rPr>
        <w:t>，相对湿度50%）下，</w:t>
      </w:r>
      <w:r>
        <w:rPr>
          <w:rFonts w:hint="eastAsia"/>
          <w:color w:val="000000" w:themeColor="text1"/>
          <w14:textFill>
            <w14:solidFill>
              <w14:schemeClr w14:val="tx1"/>
            </w14:solidFill>
          </w14:textFill>
        </w:rPr>
        <w:t>苯乙烯</w:t>
      </w:r>
      <w:r>
        <w:rPr>
          <w:color w:val="000000" w:themeColor="text1"/>
          <w14:textFill>
            <w14:solidFill>
              <w14:schemeClr w14:val="tx1"/>
            </w14:solidFill>
          </w14:textFill>
        </w:rPr>
        <w:t>浓度</w:t>
      </w:r>
      <w:r>
        <w:rPr>
          <w:rFonts w:hint="eastAsia"/>
          <w:color w:val="000000" w:themeColor="text1"/>
          <w14:textFill>
            <w14:solidFill>
              <w14:schemeClr w14:val="tx1"/>
            </w14:solidFill>
          </w14:textFill>
        </w:rPr>
        <w:t>未超出</w:t>
      </w:r>
      <w:r>
        <w:rPr>
          <w:color w:val="000000" w:themeColor="text1"/>
          <w14:textFill>
            <w14:solidFill>
              <w14:schemeClr w14:val="tx1"/>
            </w14:solidFill>
          </w14:textFill>
        </w:rPr>
        <w:t>大气毒性终点浓度-1</w:t>
      </w:r>
      <w:r>
        <w:rPr>
          <w:rFonts w:hint="eastAsia"/>
          <w:color w:val="000000" w:themeColor="text1"/>
          <w14:textFill>
            <w14:solidFill>
              <w14:schemeClr w14:val="tx1"/>
            </w14:solidFill>
          </w14:textFill>
        </w:rPr>
        <w:t>及</w:t>
      </w:r>
      <w:r>
        <w:rPr>
          <w:color w:val="000000" w:themeColor="text1"/>
          <w14:textFill>
            <w14:solidFill>
              <w14:schemeClr w14:val="tx1"/>
            </w14:solidFill>
          </w14:textFill>
        </w:rPr>
        <w:t>大气毒性终点浓度-2，事故发生后，预测到达居民点的</w:t>
      </w:r>
      <w:r>
        <w:rPr>
          <w:rFonts w:hint="eastAsia"/>
          <w:color w:val="000000" w:themeColor="text1"/>
          <w14:textFill>
            <w14:solidFill>
              <w14:schemeClr w14:val="tx1"/>
            </w14:solidFill>
          </w14:textFill>
        </w:rPr>
        <w:t>苯乙烯</w:t>
      </w:r>
      <w:r>
        <w:rPr>
          <w:color w:val="000000" w:themeColor="text1"/>
          <w14:textFill>
            <w14:solidFill>
              <w14:schemeClr w14:val="tx1"/>
            </w14:solidFill>
          </w14:textFill>
        </w:rPr>
        <w:t>浓度贡献值为0，未达到大气毒性终点浓度-1和大气毒性终点浓度-2</w:t>
      </w:r>
      <w:r>
        <w:rPr>
          <w:rFonts w:hint="eastAsia"/>
          <w:color w:val="000000" w:themeColor="text1"/>
          <w14:textFill>
            <w14:solidFill>
              <w14:schemeClr w14:val="tx1"/>
            </w14:solidFill>
          </w14:textFill>
        </w:rPr>
        <w:t>。</w:t>
      </w:r>
      <w:r>
        <w:rPr>
          <w:bCs/>
          <w:color w:val="000000" w:themeColor="text1"/>
          <w14:textFill>
            <w14:solidFill>
              <w14:schemeClr w14:val="tx1"/>
            </w14:solidFill>
          </w14:textFill>
        </w:rPr>
        <w:t>项目</w:t>
      </w:r>
      <w:r>
        <w:rPr>
          <w:rFonts w:hint="eastAsia"/>
          <w:color w:val="000000" w:themeColor="text1"/>
          <w14:textFill>
            <w14:solidFill>
              <w14:schemeClr w14:val="tx1"/>
            </w14:solidFill>
          </w14:textFill>
        </w:rPr>
        <w:t>苯乙烯</w:t>
      </w:r>
      <w:r>
        <w:rPr>
          <w:rFonts w:hint="eastAsia"/>
          <w:bCs/>
          <w:color w:val="000000" w:themeColor="text1"/>
          <w14:textFill>
            <w14:solidFill>
              <w14:schemeClr w14:val="tx1"/>
            </w14:solidFill>
          </w14:textFill>
        </w:rPr>
        <w:t>泄漏</w:t>
      </w:r>
      <w:r>
        <w:rPr>
          <w:bCs/>
          <w:color w:val="000000" w:themeColor="text1"/>
          <w14:textFill>
            <w14:solidFill>
              <w14:schemeClr w14:val="tx1"/>
            </w14:solidFill>
          </w14:textFill>
        </w:rPr>
        <w:t>对项目周边环境影响较</w:t>
      </w:r>
      <w:r>
        <w:rPr>
          <w:rFonts w:hint="eastAsia"/>
          <w:bCs/>
          <w:color w:val="000000" w:themeColor="text1"/>
          <w14:textFill>
            <w14:solidFill>
              <w14:schemeClr w14:val="tx1"/>
            </w14:solidFill>
          </w14:textFill>
        </w:rPr>
        <w:t>小</w:t>
      </w:r>
      <w:r>
        <w:rPr>
          <w:color w:val="000000" w:themeColor="text1"/>
          <w14:textFill>
            <w14:solidFill>
              <w14:schemeClr w14:val="tx1"/>
            </w14:solidFill>
          </w14:textFill>
        </w:rPr>
        <w:t>。</w:t>
      </w:r>
    </w:p>
    <w:p w14:paraId="2055074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发烟硫酸达到大气毒性终点浓度-1（160mg/m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）的最大影响范围约为4m，达到大气毒性终点浓度-2（8.7mg/m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）的最大影响范围约为20m；</w:t>
      </w:r>
      <w:r>
        <w:rPr>
          <w:color w:val="000000" w:themeColor="text1"/>
          <w14:textFill>
            <w14:solidFill>
              <w14:schemeClr w14:val="tx1"/>
            </w14:solidFill>
          </w14:textFill>
        </w:rPr>
        <w:t>事故发生后，预测到达居民点的</w:t>
      </w:r>
      <w:r>
        <w:rPr>
          <w:rFonts w:hint="eastAsia"/>
          <w:color w:val="000000" w:themeColor="text1"/>
          <w14:textFill>
            <w14:solidFill>
              <w14:schemeClr w14:val="tx1"/>
            </w14:solidFill>
          </w14:textFill>
        </w:rPr>
        <w:t>发烟硫酸</w:t>
      </w:r>
      <w:r>
        <w:rPr>
          <w:color w:val="000000" w:themeColor="text1"/>
          <w14:textFill>
            <w14:solidFill>
              <w14:schemeClr w14:val="tx1"/>
            </w14:solidFill>
          </w14:textFill>
        </w:rPr>
        <w:t>浓度贡献值为0，未达到大气毒性终点浓度-1和大气毒性终点浓度-2</w:t>
      </w:r>
      <w:r>
        <w:rPr>
          <w:rFonts w:hint="eastAsia"/>
          <w:color w:val="000000" w:themeColor="text1"/>
          <w14:textFill>
            <w14:solidFill>
              <w14:schemeClr w14:val="tx1"/>
            </w14:solidFill>
          </w14:textFill>
        </w:rPr>
        <w:t>。</w:t>
      </w:r>
      <w:r>
        <w:rPr>
          <w:bCs/>
          <w:color w:val="000000" w:themeColor="text1"/>
          <w14:textFill>
            <w14:solidFill>
              <w14:schemeClr w14:val="tx1"/>
            </w14:solidFill>
          </w14:textFill>
        </w:rPr>
        <w:t>项目</w:t>
      </w:r>
      <w:r>
        <w:rPr>
          <w:rFonts w:hint="eastAsia"/>
          <w:color w:val="000000" w:themeColor="text1"/>
          <w14:textFill>
            <w14:solidFill>
              <w14:schemeClr w14:val="tx1"/>
            </w14:solidFill>
          </w14:textFill>
        </w:rPr>
        <w:t>发烟硫酸</w:t>
      </w:r>
      <w:r>
        <w:rPr>
          <w:rFonts w:hint="eastAsia"/>
          <w:bCs/>
          <w:color w:val="000000" w:themeColor="text1"/>
          <w14:textFill>
            <w14:solidFill>
              <w14:schemeClr w14:val="tx1"/>
            </w14:solidFill>
          </w14:textFill>
        </w:rPr>
        <w:t>泄漏</w:t>
      </w:r>
      <w:r>
        <w:rPr>
          <w:bCs/>
          <w:color w:val="000000" w:themeColor="text1"/>
          <w14:textFill>
            <w14:solidFill>
              <w14:schemeClr w14:val="tx1"/>
            </w14:solidFill>
          </w14:textFill>
        </w:rPr>
        <w:t>对项目周边环境影响较</w:t>
      </w:r>
      <w:r>
        <w:rPr>
          <w:rFonts w:hint="eastAsia"/>
          <w:bCs/>
          <w:color w:val="000000" w:themeColor="text1"/>
          <w14:textFill>
            <w14:solidFill>
              <w14:schemeClr w14:val="tx1"/>
            </w14:solidFill>
          </w14:textFill>
        </w:rPr>
        <w:t>小</w:t>
      </w:r>
      <w:r>
        <w:rPr>
          <w:color w:val="000000" w:themeColor="text1"/>
          <w14:textFill>
            <w14:solidFill>
              <w14:schemeClr w14:val="tx1"/>
            </w14:solidFill>
          </w14:textFill>
        </w:rPr>
        <w:t>。</w:t>
      </w:r>
    </w:p>
    <w:p w14:paraId="0A52FF4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苯乙烯泄漏并发生火灾伴生CO事故，CO浓度达到大气毒性终点浓度-1（380mg/m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）的最大影响范围约为32m，达到大气毒性终点浓度-2（95mg/m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）的最大影响范围约为12m；</w:t>
      </w:r>
      <w:r>
        <w:rPr>
          <w:color w:val="000000" w:themeColor="text1"/>
          <w14:textFill>
            <w14:solidFill>
              <w14:schemeClr w14:val="tx1"/>
            </w14:solidFill>
          </w14:textFill>
        </w:rPr>
        <w:t>预测到达</w:t>
      </w:r>
      <w:r>
        <w:rPr>
          <w:rFonts w:hint="eastAsia"/>
          <w:color w:val="000000" w:themeColor="text1"/>
          <w14:textFill>
            <w14:solidFill>
              <w14:schemeClr w14:val="tx1"/>
            </w14:solidFill>
          </w14:textFill>
        </w:rPr>
        <w:t>居民点</w:t>
      </w:r>
      <w:r>
        <w:rPr>
          <w:color w:val="000000" w:themeColor="text1"/>
          <w14:textFill>
            <w14:solidFill>
              <w14:schemeClr w14:val="tx1"/>
            </w14:solidFill>
          </w14:textFill>
        </w:rPr>
        <w:t>的</w:t>
      </w:r>
      <w:r>
        <w:rPr>
          <w:rFonts w:hint="eastAsia"/>
          <w:color w:val="000000" w:themeColor="text1"/>
          <w14:textFill>
            <w14:solidFill>
              <w14:schemeClr w14:val="tx1"/>
            </w14:solidFill>
          </w14:textFill>
        </w:rPr>
        <w:t>CO均未超出</w:t>
      </w:r>
      <w:r>
        <w:rPr>
          <w:color w:val="000000" w:themeColor="text1"/>
          <w14:textFill>
            <w14:solidFill>
              <w14:schemeClr w14:val="tx1"/>
            </w14:solidFill>
          </w14:textFill>
        </w:rPr>
        <w:t>大气毒性终点浓度-1</w:t>
      </w:r>
      <w:r>
        <w:rPr>
          <w:rFonts w:hint="eastAsia"/>
          <w:color w:val="000000" w:themeColor="text1"/>
          <w14:textFill>
            <w14:solidFill>
              <w14:schemeClr w14:val="tx1"/>
            </w14:solidFill>
          </w14:textFill>
        </w:rPr>
        <w:t>及</w:t>
      </w:r>
      <w:r>
        <w:rPr>
          <w:color w:val="000000" w:themeColor="text1"/>
          <w14:textFill>
            <w14:solidFill>
              <w14:schemeClr w14:val="tx1"/>
            </w14:solidFill>
          </w14:textFill>
        </w:rPr>
        <w:t>大气毒性终点浓度-</w:t>
      </w:r>
      <w:r>
        <w:rPr>
          <w:rFonts w:hint="eastAsia"/>
          <w:color w:val="000000" w:themeColor="text1"/>
          <w14:textFill>
            <w14:solidFill>
              <w14:schemeClr w14:val="tx1"/>
            </w14:solidFill>
          </w14:textFill>
        </w:rPr>
        <w:t>2范围。</w:t>
      </w:r>
      <w:r>
        <w:rPr>
          <w:bCs/>
          <w:color w:val="000000" w:themeColor="text1"/>
          <w14:textFill>
            <w14:solidFill>
              <w14:schemeClr w14:val="tx1"/>
            </w14:solidFill>
          </w14:textFill>
        </w:rPr>
        <w:t>项目</w:t>
      </w:r>
      <w:r>
        <w:rPr>
          <w:rFonts w:hint="eastAsia"/>
          <w:color w:val="000000" w:themeColor="text1"/>
          <w14:textFill>
            <w14:solidFill>
              <w14:schemeClr w14:val="tx1"/>
            </w14:solidFill>
          </w14:textFill>
        </w:rPr>
        <w:t>CO</w:t>
      </w:r>
      <w:r>
        <w:rPr>
          <w:rFonts w:hint="eastAsia"/>
          <w:bCs/>
          <w:color w:val="000000" w:themeColor="text1"/>
          <w14:textFill>
            <w14:solidFill>
              <w14:schemeClr w14:val="tx1"/>
            </w14:solidFill>
          </w14:textFill>
        </w:rPr>
        <w:t>泄漏</w:t>
      </w:r>
      <w:r>
        <w:rPr>
          <w:bCs/>
          <w:color w:val="000000" w:themeColor="text1"/>
          <w14:textFill>
            <w14:solidFill>
              <w14:schemeClr w14:val="tx1"/>
            </w14:solidFill>
          </w14:textFill>
        </w:rPr>
        <w:t>对项目周边环境影响较</w:t>
      </w:r>
      <w:r>
        <w:rPr>
          <w:rFonts w:hint="eastAsia"/>
          <w:bCs/>
          <w:color w:val="000000" w:themeColor="text1"/>
          <w14:textFill>
            <w14:solidFill>
              <w14:schemeClr w14:val="tx1"/>
            </w14:solidFill>
          </w14:textFill>
        </w:rPr>
        <w:t>小</w:t>
      </w:r>
      <w:r>
        <w:rPr>
          <w:bCs/>
          <w:color w:val="000000" w:themeColor="text1"/>
          <w14:textFill>
            <w14:solidFill>
              <w14:schemeClr w14:val="tx1"/>
            </w14:solidFill>
          </w14:textFill>
        </w:rPr>
        <w:t>。</w:t>
      </w:r>
    </w:p>
    <w:p w14:paraId="35728AFD">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（4）环境风险防范措施和应急预案</w:t>
      </w:r>
    </w:p>
    <w:p w14:paraId="5BA055EC">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本项目现有工程风险防范措施及应急预案合理、可行，应急预案应在企业现有应急预案的基础上，应急预案的重点关注内容应包括完整的环境风险应急体系、监控与预警、应急疏散救援以及应急监测等，纳入园区环境风险防控体系和管理的衔接要求，实现厂内与园区环境风险防控设施及管理的有效联动，有效防控环境风险。建设单位应及时修订环境风险应急预案，将本项目内容纳入企业现有整体环境风险应急预案体系中。</w:t>
      </w:r>
    </w:p>
    <w:p w14:paraId="70073851">
      <w:pPr>
        <w:pStyle w:val="13"/>
        <w:spacing w:line="360" w:lineRule="auto"/>
        <w:ind w:firstLine="480"/>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拟建项目后续需根据建设内容、建设单位内部管理规定等特征，</w:t>
      </w:r>
      <w:r>
        <w:rPr>
          <w:color w:val="000000" w:themeColor="text1"/>
          <w:sz w:val="24"/>
          <w:u w:val="single"/>
          <w14:textFill>
            <w14:solidFill>
              <w14:schemeClr w14:val="tx1"/>
            </w14:solidFill>
          </w14:textFill>
        </w:rPr>
        <w:t xml:space="preserve"> 在投入运营前，修订完善现有的环境风险应急预案并进行报备。</w:t>
      </w:r>
    </w:p>
    <w:p w14:paraId="54F96956">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（5）环境风险评价结论</w:t>
      </w:r>
    </w:p>
    <w:p w14:paraId="42DBEE3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在落实各项环保措施和本评价所列出的各项环境风险防范措施、有效的环境风险应急预案，加强风险管理的条件下，本项目的大气、地表水环境风险是可防可控的。</w:t>
      </w:r>
    </w:p>
    <w:p w14:paraId="21425C64">
      <w:pPr>
        <w:ind w:firstLine="480"/>
        <w:rPr>
          <w:color w:val="000000" w:themeColor="text1"/>
          <w14:textFill>
            <w14:solidFill>
              <w14:schemeClr w14:val="tx1"/>
            </w14:solidFill>
          </w14:textFill>
        </w:rPr>
      </w:pPr>
    </w:p>
    <w:p w14:paraId="201AF80E">
      <w:pPr>
        <w:ind w:firstLine="480"/>
        <w:rPr>
          <w:color w:val="000000" w:themeColor="text1"/>
          <w14:textFill>
            <w14:solidFill>
              <w14:schemeClr w14:val="tx1"/>
            </w14:solidFill>
          </w14:textFill>
        </w:rPr>
      </w:pPr>
    </w:p>
    <w:p w14:paraId="1007ACF2">
      <w:pPr>
        <w:ind w:firstLine="480"/>
        <w:rPr>
          <w:color w:val="000000" w:themeColor="text1"/>
          <w14:textFill>
            <w14:solidFill>
              <w14:schemeClr w14:val="tx1"/>
            </w14:solidFill>
          </w14:textFill>
        </w:rPr>
      </w:pPr>
    </w:p>
    <w:p w14:paraId="14DC73FA">
      <w:pPr>
        <w:ind w:firstLine="480"/>
        <w:rPr>
          <w:color w:val="000000" w:themeColor="text1"/>
          <w14:textFill>
            <w14:solidFill>
              <w14:schemeClr w14:val="tx1"/>
            </w14:solidFill>
          </w14:textFill>
        </w:rPr>
      </w:pPr>
      <w:bookmarkStart w:id="734" w:name="_Hlk130845577"/>
    </w:p>
    <w:p w14:paraId="53969B8D">
      <w:pPr>
        <w:ind w:firstLine="480"/>
        <w:rPr>
          <w:color w:val="000000" w:themeColor="text1"/>
          <w14:textFill>
            <w14:solidFill>
              <w14:schemeClr w14:val="tx1"/>
            </w14:solidFill>
          </w14:textFill>
        </w:rPr>
      </w:pPr>
    </w:p>
    <w:p w14:paraId="37338ECB">
      <w:pPr>
        <w:ind w:firstLine="480"/>
        <w:rPr>
          <w:color w:val="000000" w:themeColor="text1"/>
          <w14:textFill>
            <w14:solidFill>
              <w14:schemeClr w14:val="tx1"/>
            </w14:solidFill>
          </w14:textFill>
        </w:rPr>
        <w:sectPr>
          <w:headerReference r:id="rId32" w:type="default"/>
          <w:pgSz w:w="11906" w:h="16838"/>
          <w:pgMar w:top="1440" w:right="1800" w:bottom="1440" w:left="1800" w:header="851" w:footer="680" w:gutter="0"/>
          <w:pgBorders>
            <w:top w:val="none" w:sz="0" w:space="0"/>
            <w:left w:val="none" w:sz="0" w:space="0"/>
            <w:bottom w:val="none" w:sz="0" w:space="0"/>
            <w:right w:val="none" w:sz="0" w:space="0"/>
          </w:pgBorders>
          <w:pgNumType w:fmt="numberInDash"/>
          <w:cols w:space="720" w:num="1"/>
          <w:docGrid w:type="lines" w:linePitch="326" w:charSpace="0"/>
        </w:sectPr>
      </w:pPr>
    </w:p>
    <w:bookmarkEnd w:id="734"/>
    <w:p w14:paraId="0D27ECDF">
      <w:pPr>
        <w:pStyle w:val="3"/>
        <w:rPr>
          <w:color w:val="000000" w:themeColor="text1"/>
          <w14:textFill>
            <w14:solidFill>
              <w14:schemeClr w14:val="tx1"/>
            </w14:solidFill>
          </w14:textFill>
        </w:rPr>
      </w:pPr>
      <w:bookmarkStart w:id="735" w:name="_Toc216620622"/>
      <w:r>
        <w:rPr>
          <w:color w:val="000000" w:themeColor="text1"/>
          <w14:textFill>
            <w14:solidFill>
              <w14:schemeClr w14:val="tx1"/>
            </w14:solidFill>
          </w14:textFill>
        </w:rPr>
        <w:t>环境保护措施及其可行性论证</w:t>
      </w:r>
      <w:bookmarkEnd w:id="735"/>
    </w:p>
    <w:p w14:paraId="136DA4AB">
      <w:pPr>
        <w:pStyle w:val="5"/>
        <w:rPr>
          <w:color w:val="000000" w:themeColor="text1"/>
          <w14:textFill>
            <w14:solidFill>
              <w14:schemeClr w14:val="tx1"/>
            </w14:solidFill>
          </w14:textFill>
        </w:rPr>
      </w:pPr>
      <w:bookmarkStart w:id="736" w:name="_Toc216620623"/>
      <w:r>
        <w:rPr>
          <w:color w:val="000000" w:themeColor="text1"/>
          <w14:textFill>
            <w14:solidFill>
              <w14:schemeClr w14:val="tx1"/>
            </w14:solidFill>
          </w14:textFill>
        </w:rPr>
        <w:t>施工期环境保护措施及其可行性分析</w:t>
      </w:r>
      <w:bookmarkEnd w:id="736"/>
    </w:p>
    <w:p w14:paraId="0CCF01AE">
      <w:pPr>
        <w:pStyle w:val="4"/>
        <w:rPr>
          <w:color w:val="000000" w:themeColor="text1"/>
          <w14:textFill>
            <w14:solidFill>
              <w14:schemeClr w14:val="tx1"/>
            </w14:solidFill>
          </w14:textFill>
        </w:rPr>
      </w:pPr>
      <w:bookmarkStart w:id="737" w:name="_Toc26910074"/>
      <w:bookmarkStart w:id="738" w:name="_Toc25437028"/>
      <w:bookmarkStart w:id="739" w:name="_Toc136878554"/>
      <w:bookmarkStart w:id="740" w:name="_Toc216620624"/>
      <w:bookmarkStart w:id="741" w:name="_Toc29131887"/>
      <w:bookmarkStart w:id="742" w:name="_Toc135090287"/>
      <w:bookmarkStart w:id="743" w:name="_Toc216103465"/>
      <w:r>
        <w:rPr>
          <w:color w:val="000000" w:themeColor="text1"/>
          <w14:textFill>
            <w14:solidFill>
              <w14:schemeClr w14:val="tx1"/>
            </w14:solidFill>
          </w14:textFill>
        </w:rPr>
        <w:t>大气环境保护措施及其可行性分析</w:t>
      </w:r>
      <w:bookmarkEnd w:id="737"/>
      <w:bookmarkEnd w:id="738"/>
      <w:bookmarkEnd w:id="739"/>
      <w:bookmarkEnd w:id="740"/>
      <w:bookmarkEnd w:id="741"/>
      <w:bookmarkEnd w:id="742"/>
      <w:bookmarkEnd w:id="743"/>
    </w:p>
    <w:p w14:paraId="325C8FFC">
      <w:pPr>
        <w:ind w:firstLine="480"/>
        <w:rPr>
          <w:color w:val="000000" w:themeColor="text1"/>
          <w14:textFill>
            <w14:solidFill>
              <w14:schemeClr w14:val="tx1"/>
            </w14:solidFill>
          </w14:textFill>
        </w:rPr>
      </w:pPr>
      <w:r>
        <w:rPr>
          <w:color w:val="000000" w:themeColor="text1"/>
          <w14:textFill>
            <w14:solidFill>
              <w14:schemeClr w14:val="tx1"/>
            </w14:solidFill>
          </w14:textFill>
        </w:rPr>
        <w:t>施工期环境空气中的污染物主要是施工现场扬尘、车辆运输道路和施工船舶排放废气。对于船舶废气排放的污染，一般不会造成太大的影响。对于施工作业及运输车辆道路扬尘，建议采取以下环保措施：</w:t>
      </w:r>
    </w:p>
    <w:p w14:paraId="65A395B2">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（1）</w:t>
      </w:r>
      <w:r>
        <w:rPr>
          <w:rFonts w:hint="eastAsia"/>
          <w:color w:val="000000" w:themeColor="text1"/>
          <w:kern w:val="0"/>
          <w:szCs w:val="20"/>
          <w14:textFill>
            <w14:solidFill>
              <w14:schemeClr w14:val="tx1"/>
            </w14:solidFill>
          </w14:textFill>
        </w:rPr>
        <w:t>合理</w:t>
      </w:r>
      <w:r>
        <w:rPr>
          <w:color w:val="000000" w:themeColor="text1"/>
          <w:kern w:val="0"/>
          <w:szCs w:val="20"/>
          <w14:textFill>
            <w14:solidFill>
              <w14:schemeClr w14:val="tx1"/>
            </w14:solidFill>
          </w14:textFill>
        </w:rPr>
        <w:t>施工时间，提高施工效率</w:t>
      </w:r>
      <w:r>
        <w:rPr>
          <w:rFonts w:hint="eastAsia"/>
          <w:color w:val="000000" w:themeColor="text1"/>
          <w:kern w:val="0"/>
          <w:szCs w:val="20"/>
          <w14:textFill>
            <w14:solidFill>
              <w14:schemeClr w14:val="tx1"/>
            </w14:solidFill>
          </w14:textFill>
        </w:rPr>
        <w:t>。</w:t>
      </w:r>
    </w:p>
    <w:p w14:paraId="74BA6EF0">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w:t>
      </w:r>
      <w:r>
        <w:rPr>
          <w:color w:val="000000" w:themeColor="text1"/>
          <w:kern w:val="0"/>
          <w:szCs w:val="20"/>
          <w14:textFill>
            <w14:solidFill>
              <w14:schemeClr w14:val="tx1"/>
            </w14:solidFill>
          </w14:textFill>
        </w:rPr>
        <w:t>2</w:t>
      </w:r>
      <w:r>
        <w:rPr>
          <w:rFonts w:hint="eastAsia"/>
          <w:color w:val="000000" w:themeColor="text1"/>
          <w:kern w:val="0"/>
          <w:szCs w:val="20"/>
          <w14:textFill>
            <w14:solidFill>
              <w14:schemeClr w14:val="tx1"/>
            </w14:solidFill>
          </w14:textFill>
        </w:rPr>
        <w:t>）加强对施工机械、施工船舶的维修保养，禁止以柴油为燃料的施工机械超负荷工作。</w:t>
      </w:r>
    </w:p>
    <w:p w14:paraId="74BDCEDB">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w:t>
      </w:r>
      <w:r>
        <w:rPr>
          <w:rFonts w:hint="eastAsia"/>
          <w:color w:val="000000" w:themeColor="text1"/>
          <w:kern w:val="0"/>
          <w:szCs w:val="20"/>
          <w14:textFill>
            <w14:solidFill>
              <w14:schemeClr w14:val="tx1"/>
            </w14:solidFill>
          </w14:textFill>
        </w:rPr>
        <w:t>3</w:t>
      </w:r>
      <w:r>
        <w:rPr>
          <w:color w:val="000000" w:themeColor="text1"/>
          <w:kern w:val="0"/>
          <w:szCs w:val="20"/>
          <w14:textFill>
            <w14:solidFill>
              <w14:schemeClr w14:val="tx1"/>
            </w14:solidFill>
          </w14:textFill>
        </w:rPr>
        <w:t>）用汽车运输易起尘的物料时，要加盖蓬布并控制车速，防止物料洒落和产生扬尘；卸车时应尽量减少落差，减少扬尘；运输车辆进出的主干道应定期洒水清扫，保持车辆出入口路面清洁、润湿，并尽量要求运输车辆放慢行车速度，以减少地面扬尘污染</w:t>
      </w:r>
      <w:r>
        <w:rPr>
          <w:rFonts w:hint="eastAsia"/>
          <w:color w:val="000000" w:themeColor="text1"/>
          <w:kern w:val="0"/>
          <w:szCs w:val="20"/>
          <w14:textFill>
            <w14:solidFill>
              <w14:schemeClr w14:val="tx1"/>
            </w14:solidFill>
          </w14:textFill>
        </w:rPr>
        <w:t>。</w:t>
      </w:r>
    </w:p>
    <w:p w14:paraId="60C5F1C9">
      <w:pPr>
        <w:pStyle w:val="4"/>
        <w:rPr>
          <w:color w:val="000000" w:themeColor="text1"/>
          <w14:textFill>
            <w14:solidFill>
              <w14:schemeClr w14:val="tx1"/>
            </w14:solidFill>
          </w14:textFill>
        </w:rPr>
      </w:pPr>
      <w:bookmarkStart w:id="744" w:name="_Toc216103466"/>
      <w:bookmarkStart w:id="745" w:name="_Toc135090288"/>
      <w:bookmarkStart w:id="746" w:name="_Toc29131888"/>
      <w:bookmarkStart w:id="747" w:name="_Toc216620625"/>
      <w:bookmarkStart w:id="748" w:name="_Toc25437029"/>
      <w:bookmarkStart w:id="749" w:name="_Toc26910075"/>
      <w:bookmarkStart w:id="750" w:name="_Toc136878555"/>
      <w:r>
        <w:rPr>
          <w:color w:val="000000" w:themeColor="text1"/>
          <w14:textFill>
            <w14:solidFill>
              <w14:schemeClr w14:val="tx1"/>
            </w14:solidFill>
          </w14:textFill>
        </w:rPr>
        <w:t>水环境保护措施</w:t>
      </w:r>
      <w:bookmarkEnd w:id="744"/>
      <w:bookmarkEnd w:id="745"/>
      <w:bookmarkEnd w:id="746"/>
      <w:bookmarkEnd w:id="747"/>
      <w:bookmarkEnd w:id="748"/>
      <w:bookmarkEnd w:id="749"/>
      <w:bookmarkEnd w:id="750"/>
    </w:p>
    <w:p w14:paraId="5C33757F">
      <w:pPr>
        <w:pStyle w:val="6"/>
        <w:tabs>
          <w:tab w:val="left" w:pos="561"/>
        </w:tabs>
        <w:ind w:left="141"/>
        <w:rPr>
          <w:color w:val="000000" w:themeColor="text1"/>
          <w14:textFill>
            <w14:solidFill>
              <w14:schemeClr w14:val="tx1"/>
            </w14:solidFill>
          </w14:textFill>
        </w:rPr>
      </w:pPr>
      <w:r>
        <w:rPr>
          <w:color w:val="000000" w:themeColor="text1"/>
          <w14:textFill>
            <w14:solidFill>
              <w14:schemeClr w14:val="tx1"/>
            </w14:solidFill>
          </w14:textFill>
        </w:rPr>
        <w:t>陆域施工环保措施</w:t>
      </w:r>
    </w:p>
    <w:p w14:paraId="2545C96E">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（1）落实材料使用的各个阶段，有针对性地采取保护和管理措施，尽量降低材料运输和堆放对管道沿线水环境的影响</w:t>
      </w:r>
      <w:r>
        <w:rPr>
          <w:rFonts w:hint="eastAsia"/>
          <w:color w:val="000000" w:themeColor="text1"/>
          <w:kern w:val="0"/>
          <w:szCs w:val="20"/>
          <w14:textFill>
            <w14:solidFill>
              <w14:schemeClr w14:val="tx1"/>
            </w14:solidFill>
          </w14:textFill>
        </w:rPr>
        <w:t>。</w:t>
      </w:r>
    </w:p>
    <w:p w14:paraId="0D7DDD4F">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（2）施工期施工人员就近租用当地民房，施工期间加强管理，禁止施工弃渣、生活垃圾等排入水体</w:t>
      </w:r>
      <w:r>
        <w:rPr>
          <w:rFonts w:hint="eastAsia"/>
          <w:color w:val="000000" w:themeColor="text1"/>
          <w:kern w:val="0"/>
          <w:szCs w:val="20"/>
          <w14:textFill>
            <w14:solidFill>
              <w14:schemeClr w14:val="tx1"/>
            </w14:solidFill>
          </w14:textFill>
        </w:rPr>
        <w:t>。</w:t>
      </w:r>
    </w:p>
    <w:p w14:paraId="4785FA79">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w:t>
      </w:r>
      <w:r>
        <w:rPr>
          <w:rFonts w:hint="eastAsia"/>
          <w:color w:val="000000" w:themeColor="text1"/>
          <w:kern w:val="0"/>
          <w:szCs w:val="20"/>
          <w14:textFill>
            <w14:solidFill>
              <w14:schemeClr w14:val="tx1"/>
            </w14:solidFill>
          </w14:textFill>
        </w:rPr>
        <w:t>3</w:t>
      </w:r>
      <w:r>
        <w:rPr>
          <w:color w:val="000000" w:themeColor="text1"/>
          <w:kern w:val="0"/>
          <w:szCs w:val="20"/>
          <w14:textFill>
            <w14:solidFill>
              <w14:schemeClr w14:val="tx1"/>
            </w14:solidFill>
          </w14:textFill>
        </w:rPr>
        <w:t>）</w:t>
      </w:r>
      <w:r>
        <w:rPr>
          <w:rFonts w:hint="eastAsia"/>
          <w:color w:val="000000" w:themeColor="text1"/>
          <w:kern w:val="0"/>
          <w:szCs w:val="20"/>
          <w14:textFill>
            <w14:solidFill>
              <w14:schemeClr w14:val="tx1"/>
            </w14:solidFill>
          </w14:textFill>
        </w:rPr>
        <w:t>试压废水经集污池收集后进入</w:t>
      </w:r>
      <w:r>
        <w:rPr>
          <w:color w:val="000000" w:themeColor="text1"/>
          <w14:textFill>
            <w14:solidFill>
              <w14:schemeClr w14:val="tx1"/>
            </w14:solidFill>
          </w14:textFill>
        </w:rPr>
        <w:t>恒逸</w:t>
      </w:r>
      <w:r>
        <w:rPr>
          <w:rFonts w:hint="eastAsia"/>
          <w:color w:val="000000" w:themeColor="text1"/>
          <w:kern w:val="0"/>
          <w:szCs w:val="20"/>
          <w14:textFill>
            <w14:solidFill>
              <w14:schemeClr w14:val="tx1"/>
            </w14:solidFill>
          </w14:textFill>
        </w:rPr>
        <w:t>污水处理厂</w:t>
      </w:r>
      <w:r>
        <w:rPr>
          <w:color w:val="000000" w:themeColor="text1"/>
          <w:kern w:val="0"/>
          <w:szCs w:val="20"/>
          <w14:textFill>
            <w14:solidFill>
              <w14:schemeClr w14:val="tx1"/>
            </w14:solidFill>
          </w14:textFill>
        </w:rPr>
        <w:t>进行处理</w:t>
      </w:r>
      <w:r>
        <w:rPr>
          <w:rFonts w:hint="eastAsia"/>
          <w:color w:val="000000" w:themeColor="text1"/>
          <w:kern w:val="0"/>
          <w:szCs w:val="20"/>
          <w14:textFill>
            <w14:solidFill>
              <w14:schemeClr w14:val="tx1"/>
            </w14:solidFill>
          </w14:textFill>
        </w:rPr>
        <w:t>。</w:t>
      </w:r>
    </w:p>
    <w:p w14:paraId="26EF450B">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（4）合理规划施工进度，尽量减少船舶水上施工周期，做好船舶溢油风险防范措施。</w:t>
      </w:r>
    </w:p>
    <w:p w14:paraId="0E92FE57">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（5）</w:t>
      </w:r>
      <w:r>
        <w:rPr>
          <w:color w:val="000000" w:themeColor="text1"/>
          <w:kern w:val="0"/>
          <w:szCs w:val="20"/>
          <w14:textFill>
            <w14:solidFill>
              <w14:schemeClr w14:val="tx1"/>
            </w14:solidFill>
          </w14:textFill>
        </w:rPr>
        <w:t>施工中加强现场管理，杜绝施工机具油料的跑冒滴漏。</w:t>
      </w:r>
    </w:p>
    <w:p w14:paraId="04BD181D">
      <w:pPr>
        <w:pStyle w:val="6"/>
        <w:tabs>
          <w:tab w:val="left" w:pos="561"/>
        </w:tabs>
        <w:ind w:left="141"/>
        <w:rPr>
          <w:color w:val="000000" w:themeColor="text1"/>
          <w14:textFill>
            <w14:solidFill>
              <w14:schemeClr w14:val="tx1"/>
            </w14:solidFill>
          </w14:textFill>
        </w:rPr>
      </w:pPr>
      <w:r>
        <w:rPr>
          <w:color w:val="000000" w:themeColor="text1"/>
          <w14:textFill>
            <w14:solidFill>
              <w14:schemeClr w14:val="tx1"/>
            </w14:solidFill>
          </w14:textFill>
        </w:rPr>
        <w:t>施工船舶污染物防治措施</w:t>
      </w:r>
    </w:p>
    <w:p w14:paraId="05B18464">
      <w:pPr>
        <w:ind w:firstLine="480"/>
        <w:rPr>
          <w:color w:val="000000" w:themeColor="text1"/>
          <w14:textFill>
            <w14:solidFill>
              <w14:schemeClr w14:val="tx1"/>
            </w14:solidFill>
          </w14:textFill>
        </w:rPr>
      </w:pPr>
      <w:r>
        <w:rPr>
          <w:color w:val="000000" w:themeColor="text1"/>
          <w14:textFill>
            <w14:solidFill>
              <w14:schemeClr w14:val="tx1"/>
            </w14:solidFill>
          </w14:textFill>
        </w:rPr>
        <w:t>船舶油污水由有资质单位接收处理，不在港区排放。</w:t>
      </w:r>
    </w:p>
    <w:p w14:paraId="5A048141">
      <w:pPr>
        <w:ind w:firstLine="480"/>
        <w:rPr>
          <w:color w:val="000000" w:themeColor="text1"/>
          <w14:textFill>
            <w14:solidFill>
              <w14:schemeClr w14:val="tx1"/>
            </w14:solidFill>
          </w14:textFill>
        </w:rPr>
      </w:pPr>
      <w:r>
        <w:rPr>
          <w:color w:val="000000" w:themeColor="text1"/>
          <w14:textFill>
            <w14:solidFill>
              <w14:schemeClr w14:val="tx1"/>
            </w14:solidFill>
          </w14:textFill>
        </w:rPr>
        <w:t>施工过程加强监督管理，施工船舶含油污水和生活污水不得在施工海域直接排放，施工船舶事先经海事部门对其排污设备实施铅封，船舶污水委托经海事部门批转具有资质的专业接收单位接收处理。</w:t>
      </w:r>
    </w:p>
    <w:p w14:paraId="118A6293">
      <w:pPr>
        <w:pStyle w:val="4"/>
        <w:rPr>
          <w:color w:val="000000" w:themeColor="text1"/>
          <w14:textFill>
            <w14:solidFill>
              <w14:schemeClr w14:val="tx1"/>
            </w14:solidFill>
          </w14:textFill>
        </w:rPr>
      </w:pPr>
      <w:bookmarkStart w:id="751" w:name="_Toc26910076"/>
      <w:bookmarkStart w:id="752" w:name="_Toc25437030"/>
      <w:bookmarkStart w:id="753" w:name="_Toc216620626"/>
      <w:bookmarkStart w:id="754" w:name="_Toc216103467"/>
      <w:bookmarkStart w:id="755" w:name="_Toc29131889"/>
      <w:bookmarkStart w:id="756" w:name="_Toc136878556"/>
      <w:bookmarkStart w:id="757" w:name="_Toc135090289"/>
      <w:r>
        <w:rPr>
          <w:color w:val="000000" w:themeColor="text1"/>
          <w14:textFill>
            <w14:solidFill>
              <w14:schemeClr w14:val="tx1"/>
            </w14:solidFill>
          </w14:textFill>
        </w:rPr>
        <w:t>噪声环保措施</w:t>
      </w:r>
      <w:bookmarkEnd w:id="751"/>
      <w:bookmarkEnd w:id="752"/>
      <w:bookmarkEnd w:id="753"/>
      <w:bookmarkEnd w:id="754"/>
      <w:bookmarkEnd w:id="755"/>
      <w:bookmarkEnd w:id="756"/>
      <w:bookmarkEnd w:id="757"/>
    </w:p>
    <w:p w14:paraId="4705F1FE">
      <w:pPr>
        <w:ind w:firstLine="480"/>
        <w:rPr>
          <w:color w:val="000000" w:themeColor="text1"/>
          <w14:textFill>
            <w14:solidFill>
              <w14:schemeClr w14:val="tx1"/>
            </w14:solidFill>
          </w14:textFill>
        </w:rPr>
      </w:pPr>
      <w:r>
        <w:rPr>
          <w:color w:val="000000" w:themeColor="text1"/>
          <w14:textFill>
            <w14:solidFill>
              <w14:schemeClr w14:val="tx1"/>
            </w14:solidFill>
          </w14:textFill>
        </w:rPr>
        <w:t>（1）施工机械要采用低噪声设备，加强设备的日常维修保养，使施工机械保持良好状态，避免超过正常噪声运转。对高噪声设备，应在其附近加设可移动的简单围障，以降低其噪音辐射。</w:t>
      </w:r>
    </w:p>
    <w:p w14:paraId="3FE6E9DE">
      <w:pPr>
        <w:ind w:firstLine="480"/>
        <w:rPr>
          <w:color w:val="000000" w:themeColor="text1"/>
          <w14:textFill>
            <w14:solidFill>
              <w14:schemeClr w14:val="tx1"/>
            </w14:solidFill>
          </w14:textFill>
        </w:rPr>
      </w:pPr>
      <w:r>
        <w:rPr>
          <w:color w:val="000000" w:themeColor="text1"/>
          <w14:textFill>
            <w14:solidFill>
              <w14:schemeClr w14:val="tx1"/>
            </w14:solidFill>
          </w14:textFill>
        </w:rPr>
        <w:t>（2）认真执行《建筑施工场界环境噪声排放标准》（GB12523-2011）对施工阶段噪声的要求，在夜间超标施工必须向主管环保部门提出申请，获准后方可在指定日期内进行。合理安排施工作业的时间，每天22点至次日晨6点禁止施工（因工艺需要须连续施工的除外），尽可能减少对周围环境的影响。</w:t>
      </w:r>
    </w:p>
    <w:p w14:paraId="23EF474D">
      <w:pPr>
        <w:ind w:firstLine="480"/>
        <w:rPr>
          <w:color w:val="000000" w:themeColor="text1"/>
          <w14:textFill>
            <w14:solidFill>
              <w14:schemeClr w14:val="tx1"/>
            </w14:solidFill>
          </w14:textFill>
        </w:rPr>
      </w:pPr>
      <w:r>
        <w:rPr>
          <w:color w:val="000000" w:themeColor="text1"/>
          <w14:textFill>
            <w14:solidFill>
              <w14:schemeClr w14:val="tx1"/>
            </w14:solidFill>
          </w14:textFill>
        </w:rPr>
        <w:t>（3）对施工机械实行施工前检定措施，未达到产品噪声限值者不准使用等措施。</w:t>
      </w:r>
    </w:p>
    <w:p w14:paraId="4AFE35FB">
      <w:pPr>
        <w:ind w:firstLine="480"/>
        <w:rPr>
          <w:color w:val="000000" w:themeColor="text1"/>
          <w14:textFill>
            <w14:solidFill>
              <w14:schemeClr w14:val="tx1"/>
            </w14:solidFill>
          </w14:textFill>
        </w:rPr>
      </w:pPr>
      <w:r>
        <w:rPr>
          <w:color w:val="000000" w:themeColor="text1"/>
          <w14:textFill>
            <w14:solidFill>
              <w14:schemeClr w14:val="tx1"/>
            </w14:solidFill>
          </w14:textFill>
        </w:rPr>
        <w:t>（4）加强施工区附近的交通管理，避免交通堵塞而增加车辆噪声，同时对噪声施工及加装减振装置。施工场地内禁止鸣笛，同时做好工作人员噪声防护。</w:t>
      </w:r>
    </w:p>
    <w:p w14:paraId="51DEAEE5">
      <w:pPr>
        <w:pStyle w:val="4"/>
        <w:rPr>
          <w:color w:val="000000" w:themeColor="text1"/>
          <w14:textFill>
            <w14:solidFill>
              <w14:schemeClr w14:val="tx1"/>
            </w14:solidFill>
          </w14:textFill>
        </w:rPr>
      </w:pPr>
      <w:bookmarkStart w:id="758" w:name="_Toc136878557"/>
      <w:bookmarkStart w:id="759" w:name="_Toc135090290"/>
      <w:bookmarkStart w:id="760" w:name="_Toc26910077"/>
      <w:bookmarkStart w:id="761" w:name="_Toc216103468"/>
      <w:bookmarkStart w:id="762" w:name="_Toc216620627"/>
      <w:bookmarkStart w:id="763" w:name="_Toc25437031"/>
      <w:bookmarkStart w:id="764" w:name="_Toc29131890"/>
      <w:r>
        <w:rPr>
          <w:color w:val="000000" w:themeColor="text1"/>
          <w14:textFill>
            <w14:solidFill>
              <w14:schemeClr w14:val="tx1"/>
            </w14:solidFill>
          </w14:textFill>
        </w:rPr>
        <w:t>固体废弃物防治措施</w:t>
      </w:r>
      <w:bookmarkEnd w:id="758"/>
      <w:bookmarkEnd w:id="759"/>
      <w:bookmarkEnd w:id="760"/>
      <w:bookmarkEnd w:id="761"/>
      <w:bookmarkEnd w:id="762"/>
      <w:bookmarkEnd w:id="763"/>
      <w:bookmarkEnd w:id="764"/>
    </w:p>
    <w:p w14:paraId="0F76D72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（1）对可再利用的施工废料应进行回收，剩余无法回收利用的集中后运往城建部门指定地点进行处置。</w:t>
      </w:r>
    </w:p>
    <w:p w14:paraId="1A0BDC5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（2）施工人员生活垃圾处理依托当地的处理设施，由当地环卫部门清运处置。</w:t>
      </w:r>
    </w:p>
    <w:p w14:paraId="2E5F10C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（3）施工船舶垃圾严格按照船舶污染物监管“联单制度”进行管理，由有资质的单位接收处置。</w:t>
      </w:r>
    </w:p>
    <w:p w14:paraId="53D94BD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（4）危险废物委托有资质的单位清运处置。</w:t>
      </w:r>
    </w:p>
    <w:p w14:paraId="64FF92F5">
      <w:pPr>
        <w:pStyle w:val="4"/>
        <w:rPr>
          <w:color w:val="000000" w:themeColor="text1"/>
          <w14:textFill>
            <w14:solidFill>
              <w14:schemeClr w14:val="tx1"/>
            </w14:solidFill>
          </w14:textFill>
        </w:rPr>
      </w:pPr>
      <w:bookmarkStart w:id="765" w:name="_Toc216620628"/>
      <w:bookmarkStart w:id="766" w:name="_Toc136878558"/>
      <w:bookmarkStart w:id="767" w:name="_Toc135090291"/>
      <w:bookmarkStart w:id="768" w:name="_Toc26910078"/>
      <w:bookmarkStart w:id="769" w:name="_Toc29131891"/>
      <w:bookmarkStart w:id="770" w:name="_Toc216103469"/>
      <w:bookmarkStart w:id="771" w:name="_Toc25437032"/>
      <w:r>
        <w:rPr>
          <w:color w:val="000000" w:themeColor="text1"/>
          <w14:textFill>
            <w14:solidFill>
              <w14:schemeClr w14:val="tx1"/>
            </w14:solidFill>
          </w14:textFill>
        </w:rPr>
        <w:t>生态环境保护措施</w:t>
      </w:r>
      <w:bookmarkEnd w:id="765"/>
      <w:bookmarkEnd w:id="766"/>
      <w:bookmarkEnd w:id="767"/>
      <w:bookmarkEnd w:id="768"/>
      <w:bookmarkEnd w:id="769"/>
      <w:bookmarkEnd w:id="770"/>
      <w:bookmarkEnd w:id="771"/>
    </w:p>
    <w:p w14:paraId="37FE8B4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（1）及时对施工机械、车辆的维修保养，禁止以柴油为燃料的施工机械超负荷工作，减少烟尘和颗粒物的排放。</w:t>
      </w:r>
    </w:p>
    <w:p w14:paraId="6C32EA1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（2）对船舶油污水进行收集处理，避免防止设备发生跑、冒、漏油事故对海洋生态环境产生影响。</w:t>
      </w:r>
    </w:p>
    <w:p w14:paraId="6E64C7CB">
      <w:pPr>
        <w:pStyle w:val="5"/>
        <w:rPr>
          <w:color w:val="000000" w:themeColor="text1"/>
          <w14:textFill>
            <w14:solidFill>
              <w14:schemeClr w14:val="tx1"/>
            </w14:solidFill>
          </w14:textFill>
        </w:rPr>
      </w:pPr>
      <w:bookmarkStart w:id="772" w:name="_Toc216620629"/>
      <w:r>
        <w:rPr>
          <w:color w:val="000000" w:themeColor="text1"/>
          <w14:textFill>
            <w14:solidFill>
              <w14:schemeClr w14:val="tx1"/>
            </w14:solidFill>
          </w14:textFill>
        </w:rPr>
        <w:t>营运期环境保护措施及其可行性分析</w:t>
      </w:r>
      <w:bookmarkEnd w:id="772"/>
    </w:p>
    <w:p w14:paraId="3CEBF0A1">
      <w:pPr>
        <w:pStyle w:val="4"/>
        <w:rPr>
          <w:color w:val="000000" w:themeColor="text1"/>
          <w14:textFill>
            <w14:solidFill>
              <w14:schemeClr w14:val="tx1"/>
            </w14:solidFill>
          </w14:textFill>
        </w:rPr>
      </w:pPr>
      <w:bookmarkStart w:id="773" w:name="_Toc136878560"/>
      <w:bookmarkStart w:id="774" w:name="_Toc216620630"/>
      <w:bookmarkStart w:id="775" w:name="_Toc216103471"/>
      <w:r>
        <w:rPr>
          <w:color w:val="000000" w:themeColor="text1"/>
          <w14:textFill>
            <w14:solidFill>
              <w14:schemeClr w14:val="tx1"/>
            </w14:solidFill>
          </w14:textFill>
        </w:rPr>
        <w:t>大气环境保护措施</w:t>
      </w:r>
      <w:bookmarkEnd w:id="773"/>
      <w:bookmarkEnd w:id="774"/>
      <w:bookmarkEnd w:id="775"/>
    </w:p>
    <w:p w14:paraId="578A0423">
      <w:pPr>
        <w:pStyle w:val="6"/>
        <w:rPr>
          <w:color w:val="000000" w:themeColor="text1"/>
          <w14:textFill>
            <w14:solidFill>
              <w14:schemeClr w14:val="tx1"/>
            </w14:solidFill>
          </w14:textFill>
        </w:rPr>
      </w:pPr>
      <w:bookmarkStart w:id="776" w:name="_Toc29131893"/>
      <w:bookmarkStart w:id="777" w:name="_Toc25437034"/>
      <w:bookmarkStart w:id="778" w:name="_Toc26910080"/>
      <w:bookmarkStart w:id="779" w:name="_Toc135090293"/>
      <w:r>
        <w:rPr>
          <w:color w:val="000000" w:themeColor="text1"/>
          <w14:textFill>
            <w14:solidFill>
              <w14:schemeClr w14:val="tx1"/>
            </w14:solidFill>
          </w14:textFill>
        </w:rPr>
        <w:t>到港船舶燃料废气污染防治措施</w:t>
      </w:r>
      <w:bookmarkEnd w:id="776"/>
      <w:bookmarkEnd w:id="777"/>
      <w:bookmarkEnd w:id="778"/>
      <w:bookmarkEnd w:id="779"/>
    </w:p>
    <w:p w14:paraId="372906A3">
      <w:pPr>
        <w:ind w:firstLine="480"/>
        <w:rPr>
          <w:color w:val="000000" w:themeColor="text1"/>
          <w14:textFill>
            <w14:solidFill>
              <w14:schemeClr w14:val="tx1"/>
            </w14:solidFill>
          </w14:textFill>
        </w:rPr>
      </w:pPr>
      <w:r>
        <w:rPr>
          <w:color w:val="000000" w:themeColor="text1"/>
          <w14:textFill>
            <w14:solidFill>
              <w14:schemeClr w14:val="tx1"/>
            </w14:solidFill>
          </w14:textFill>
        </w:rPr>
        <w:t>（1）船舶废气污染物，严格按照《Marpol73/78公约》附则VI的规定执行；</w:t>
      </w:r>
    </w:p>
    <w:p w14:paraId="0A00A762">
      <w:pPr>
        <w:ind w:firstLine="480"/>
        <w:rPr>
          <w:color w:val="000000" w:themeColor="text1"/>
          <w14:textFill>
            <w14:solidFill>
              <w14:schemeClr w14:val="tx1"/>
            </w14:solidFill>
          </w14:textFill>
        </w:rPr>
      </w:pPr>
      <w:r>
        <w:rPr>
          <w:color w:val="000000" w:themeColor="text1"/>
          <w14:textFill>
            <w14:solidFill>
              <w14:schemeClr w14:val="tx1"/>
            </w14:solidFill>
          </w14:textFill>
        </w:rPr>
        <w:t>（2）选用含硫量低的燃料，控制燃料的含硫量；</w:t>
      </w:r>
    </w:p>
    <w:p w14:paraId="1F714A1F">
      <w:pPr>
        <w:ind w:firstLine="480"/>
        <w:rPr>
          <w:color w:val="000000" w:themeColor="text1"/>
          <w14:textFill>
            <w14:solidFill>
              <w14:schemeClr w14:val="tx1"/>
            </w14:solidFill>
          </w14:textFill>
        </w:rPr>
      </w:pPr>
      <w:r>
        <w:rPr>
          <w:color w:val="000000" w:themeColor="text1"/>
          <w14:textFill>
            <w14:solidFill>
              <w14:schemeClr w14:val="tx1"/>
            </w14:solidFill>
          </w14:textFill>
        </w:rPr>
        <w:t>（3）尽可能降低辅机运转负荷，停泊时尽量启用单辅机发电，减少耗油量；</w:t>
      </w:r>
    </w:p>
    <w:p w14:paraId="142EDA0F">
      <w:pPr>
        <w:ind w:firstLine="480"/>
        <w:rPr>
          <w:color w:val="000000" w:themeColor="text1"/>
          <w:u w:val="single"/>
          <w14:textFill>
            <w14:solidFill>
              <w14:schemeClr w14:val="tx1"/>
            </w14:solidFill>
          </w14:textFill>
        </w:rPr>
      </w:pPr>
      <w:r>
        <w:rPr>
          <w:color w:val="000000" w:themeColor="text1"/>
          <w14:textFill>
            <w14:solidFill>
              <w14:schemeClr w14:val="tx1"/>
            </w14:solidFill>
          </w14:textFill>
        </w:rPr>
        <w:t>（4）船舶应优先选用功率大、转速快的发动机</w:t>
      </w:r>
      <w:r>
        <w:rPr>
          <w:rFonts w:hint="eastAsia"/>
          <w:color w:val="000000" w:themeColor="text1"/>
          <w14:textFill>
            <w14:solidFill>
              <w14:schemeClr w14:val="tx1"/>
            </w14:solidFill>
          </w14:textFill>
        </w:rPr>
        <w:t>。</w:t>
      </w:r>
    </w:p>
    <w:p w14:paraId="585CB283">
      <w:pPr>
        <w:pStyle w:val="6"/>
        <w:rPr>
          <w:color w:val="000000" w:themeColor="text1"/>
          <w14:textFill>
            <w14:solidFill>
              <w14:schemeClr w14:val="tx1"/>
            </w14:solidFill>
          </w14:textFill>
        </w:rPr>
      </w:pPr>
      <w:r>
        <w:rPr>
          <w:color w:val="000000" w:themeColor="text1"/>
          <w14:textFill>
            <w14:solidFill>
              <w14:schemeClr w14:val="tx1"/>
            </w14:solidFill>
          </w14:textFill>
        </w:rPr>
        <w:t>无组织废气治理措施</w:t>
      </w:r>
    </w:p>
    <w:p w14:paraId="43B70126">
      <w:pPr>
        <w:ind w:firstLine="480"/>
        <w:rPr>
          <w:color w:val="000000" w:themeColor="text1"/>
          <w14:textFill>
            <w14:solidFill>
              <w14:schemeClr w14:val="tx1"/>
            </w14:solidFill>
          </w14:textFill>
        </w:rPr>
      </w:pPr>
      <w:r>
        <w:rPr>
          <w:color w:val="000000" w:themeColor="text1"/>
          <w14:textFill>
            <w14:solidFill>
              <w14:schemeClr w14:val="tx1"/>
            </w14:solidFill>
          </w14:textFill>
        </w:rPr>
        <w:t>（1）加强设备维护保养，严格执行操作规程。所有管道、阀门等连接部位，运转部位和静密封点部位都应连接牢固，做到严密、不渗、不漏、不跑气；做到定期检查、清洗和校验</w:t>
      </w:r>
      <w:r>
        <w:rPr>
          <w:rFonts w:hint="eastAsia"/>
          <w:color w:val="000000" w:themeColor="text1"/>
          <w14:textFill>
            <w14:solidFill>
              <w14:schemeClr w14:val="tx1"/>
            </w14:solidFill>
          </w14:textFill>
        </w:rPr>
        <w:t>。</w:t>
      </w:r>
    </w:p>
    <w:p w14:paraId="31676D91">
      <w:pPr>
        <w:ind w:firstLine="480"/>
        <w:rPr>
          <w:color w:val="000000" w:themeColor="text1"/>
          <w14:textFill>
            <w14:solidFill>
              <w14:schemeClr w14:val="tx1"/>
            </w14:solidFill>
          </w14:textFill>
        </w:rPr>
      </w:pPr>
      <w:r>
        <w:rPr>
          <w:color w:val="000000" w:themeColor="text1"/>
          <w14:textFill>
            <w14:solidFill>
              <w14:schemeClr w14:val="tx1"/>
            </w14:solidFill>
          </w14:textFill>
        </w:rPr>
        <w:t>（2）加强管理、控制操作工艺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严格按照《危险化学品码头安全管理制度》等规定或标准的要求</w:t>
      </w:r>
      <w:r>
        <w:rPr>
          <w:rFonts w:hint="eastAsia"/>
          <w:color w:val="000000" w:themeColor="text1"/>
          <w14:textFill>
            <w14:solidFill>
              <w14:schemeClr w14:val="tx1"/>
            </w14:solidFill>
          </w14:textFill>
        </w:rPr>
        <w:t>。</w:t>
      </w:r>
    </w:p>
    <w:p w14:paraId="7F546248">
      <w:pPr>
        <w:ind w:firstLine="480"/>
        <w:rPr>
          <w:color w:val="000000" w:themeColor="text1"/>
          <w14:textFill>
            <w14:solidFill>
              <w14:schemeClr w14:val="tx1"/>
            </w14:solidFill>
          </w14:textFill>
        </w:rPr>
      </w:pPr>
      <w:r>
        <w:rPr>
          <w:color w:val="000000" w:themeColor="text1"/>
          <w14:textFill>
            <w14:solidFill>
              <w14:schemeClr w14:val="tx1"/>
            </w14:solidFill>
          </w14:textFill>
        </w:rPr>
        <w:t>（3）定期检查管道、阀门及所有监控设备的工作状况，一旦发现有损坏的，应及时更换，保证系统正常安全运行。</w:t>
      </w:r>
    </w:p>
    <w:p w14:paraId="5D5B245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加强对本工程各类生产设施的维护和管理，减少由于“跑、冒、滴、漏”而产生的有机废气污染。</w:t>
      </w:r>
    </w:p>
    <w:p w14:paraId="266E9B6B">
      <w:pPr>
        <w:pStyle w:val="6"/>
        <w:rPr>
          <w:color w:val="000000" w:themeColor="text1"/>
          <w14:textFill>
            <w14:solidFill>
              <w14:schemeClr w14:val="tx1"/>
            </w14:solidFill>
          </w14:textFill>
        </w:rPr>
      </w:pPr>
      <w:r>
        <w:rPr>
          <w:color w:val="000000" w:themeColor="text1"/>
          <w14:textFill>
            <w14:solidFill>
              <w14:schemeClr w14:val="tx1"/>
            </w14:solidFill>
          </w14:textFill>
        </w:rPr>
        <w:t>有组织废气治理措施</w:t>
      </w:r>
    </w:p>
    <w:p w14:paraId="35FA71FA">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项目没有有组织废气产生，主要是依托后方的厂区进行处理。</w:t>
      </w:r>
    </w:p>
    <w:p w14:paraId="2F7685C7">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苯乙烯为卸船送至后方台湾见龙钦州高端聚苯乙烯新材料项目，其产生的废气依托台湾见龙钦州高端聚苯乙烯新材料项目进行处置。</w:t>
      </w:r>
    </w:p>
    <w:p w14:paraId="2E64D429">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根据《台湾见龙钦州高端聚苯乙烯新材料项目环境影响报告书》（报批稿）及环评批复（中马园审批环[2025]15号） “苯乙烯储罐呼吸废气以及危险废物暂存间废气经 2 套 RTO 装置处 理后分别由 2 根 28.4m 高排气筒（DA001~DA002）排放；苯乙烯执行《合成树脂工业污染物排放标准》（GB31572-2015，含 2024 年修改单）表 4 中大气污染物排放限值”。</w:t>
      </w:r>
    </w:p>
    <w:p w14:paraId="13E7D452">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棕榈酸化油、脂肪酸混合物为卸船至后方欧德年产 30 万吨生物柴油生产线项目，其产生废气依托欧德年产 30 万吨生物柴油生产线项目进行处置。</w:t>
      </w:r>
    </w:p>
    <w:p w14:paraId="792800E5">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根据《欧德年产 30 万吨生物柴油生产线项目环境影响报告书》（报批稿）及环评批复（中马园审批环[2025]33号）（附件？）“项目运营期生产线工艺废气和储罐大小呼吸废气经 RCO 催化燃烧装置处理后，通过 30m 高排气筒（DA001）排放，DA001 排气筒排放的非甲烷总烃执行《石油炼制工业污染物排放标准》（GB31570-2015，含 2024 年修改单）表 3 大气污染物排放限值要求，氨、硫化氢、臭气浓度执行《恶臭污染物排放标准》（GB14554-1993）表 2 恶臭污染物排放标准值，甲醇执行《大气污染物综合排放标准》（GB16297-1996）表 2 二级标准限值”。</w:t>
      </w:r>
    </w:p>
    <w:p w14:paraId="12F2F692">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裂解C9、工业级混合油、脂肪酸甲酯、纯生物柴油、航空煤油由后方厂区通过管道输送至码头前沿装船，其产生装船废气，通过现有气相管回到广西恒逸新材料有限公司（广西恒逸新材料有限公司年产120万吨己内酰胺—聚酰胺产业一体化及配套工程项目）进行处理（采用“RTO蓄热式焚烧炉”工艺）。经调查，广西恒逸新材料有限公司RTO蓄热式焚烧炉排气筒高35m，尾气排放执行《石油化学工业污染物排放标准》（GB 31571-2015）及修改单要求。</w:t>
      </w:r>
    </w:p>
    <w:p w14:paraId="433C3928">
      <w:pPr>
        <w:ind w:firstLine="480"/>
        <w:rPr>
          <w:color w:val="000000" w:themeColor="text1"/>
          <w:u w:val="single"/>
          <w14:textFill>
            <w14:solidFill>
              <w14:schemeClr w14:val="tx1"/>
            </w14:solidFill>
          </w14:textFill>
        </w:rPr>
      </w:pPr>
      <w:r>
        <w:rPr>
          <w:rFonts w:hint="eastAsia" w:ascii="宋体" w:hAnsi="宋体"/>
          <w:color w:val="000000" w:themeColor="text1"/>
          <w:u w:val="single"/>
          <w14:textFill>
            <w14:solidFill>
              <w14:schemeClr w14:val="tx1"/>
            </w14:solidFill>
          </w14:textFill>
        </w:rPr>
        <w:t>液硫、碱液、发烟硫酸（硫酸）依托后方罐区（同步进行环境影响评价、同步建设）的环保措施处置。</w:t>
      </w:r>
    </w:p>
    <w:p w14:paraId="3EFA3D9D">
      <w:pPr>
        <w:pStyle w:val="6"/>
        <w:rPr>
          <w:color w:val="000000" w:themeColor="text1"/>
          <w:u w:val="single"/>
          <w14:textFill>
            <w14:solidFill>
              <w14:schemeClr w14:val="tx1"/>
            </w14:solidFill>
          </w14:textFill>
        </w:rPr>
      </w:pPr>
      <w:r>
        <w:rPr>
          <w:color w:val="000000" w:themeColor="text1"/>
          <w:u w:val="single"/>
          <w14:textFill>
            <w14:solidFill>
              <w14:schemeClr w14:val="tx1"/>
            </w14:solidFill>
          </w14:textFill>
        </w:rPr>
        <w:t>措施可行性</w:t>
      </w:r>
    </w:p>
    <w:p w14:paraId="0CE2211B">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1、苯乙烯尾气</w:t>
      </w:r>
    </w:p>
    <w:p w14:paraId="03EA8C81">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2.1.1章节分析，台湾见龙钦州高端聚苯乙烯新材料项目目前建设中，预计2026年4月调试生产。根据建设单位与其协议，台湾见龙钦州高端聚苯乙烯新材料项目完全运行后，方从拟建项目装卸苯乙烯。《台湾见龙钦州高端聚苯乙烯新材料项目环境影响报告书》（报批稿）已经考虑了苯乙烯废气的处置，此报告书已经获得批复，由此可见，苯乙烯尾气处置可行。</w:t>
      </w:r>
    </w:p>
    <w:p w14:paraId="1A34B0C1">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2、棕榈酸化油、脂肪酸混合物尾气</w:t>
      </w:r>
    </w:p>
    <w:p w14:paraId="6BF21BD4">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根据2.1.1章节分析，欧德年产 30 万吨生物柴油生产线项目目前建设中，预计2026年6月调试生产。根据建设单位与其协议，欧德年产 30 万吨生物柴油生产线项目完全运行后，方从拟建项目装卸棕榈酸化油、脂肪酸混合物。《欧德年产 30 万吨生物柴油生产线项目环境影响报告书》（报批稿）已经考虑了棕榈酸化油、脂肪酸混合物废气的处置，此报告书已经获得批复，由此可见，棕榈酸化油、脂肪酸混合物尾气处置可行。</w:t>
      </w:r>
    </w:p>
    <w:p w14:paraId="45EA2EBA">
      <w:pPr>
        <w:ind w:firstLine="480"/>
        <w:rPr>
          <w:color w:val="000000" w:themeColor="text1"/>
          <w:u w:val="single"/>
          <w14:textFill>
            <w14:solidFill>
              <w14:schemeClr w14:val="tx1"/>
            </w14:solidFill>
          </w14:textFill>
        </w:rPr>
      </w:pPr>
    </w:p>
    <w:p w14:paraId="7630F6FD">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3、新增裂解C9、脂肪酸甲酯、工业级混合油、纯生物柴油、航空煤油尾气</w:t>
      </w:r>
    </w:p>
    <w:p w14:paraId="13317B8D">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上述尾气主要是装船，装船废气通过气相尾气回收管回至广西恒逸新材料有限公司年产120万吨己内酰胺—聚酰胺产业一体化及配套工程项目处置。</w:t>
      </w:r>
    </w:p>
    <w:p w14:paraId="5159A87B">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根据《钦州港金谷港区金鼓江作业区14号泊位码头（一期工程）竣工环境保护验收调查报告》：</w:t>
      </w:r>
    </w:p>
    <w:p w14:paraId="24668C2E">
      <w:pPr>
        <w:autoSpaceDE w:val="0"/>
        <w:autoSpaceDN w:val="0"/>
        <w:ind w:firstLine="480"/>
        <w:jc w:val="left"/>
        <w:rPr>
          <w:color w:val="000000" w:themeColor="text1"/>
          <w:u w:val="single"/>
          <w14:textFill>
            <w14:solidFill>
              <w14:schemeClr w14:val="tx1"/>
            </w14:solidFill>
          </w14:textFill>
        </w:rPr>
      </w:pPr>
      <w:r>
        <w:rPr>
          <w:rFonts w:hint="eastAsia"/>
          <w:color w:val="000000" w:themeColor="text1"/>
          <w:kern w:val="0"/>
          <w:u w:val="single"/>
          <w14:textFill>
            <w14:solidFill>
              <w14:schemeClr w14:val="tx1"/>
            </w14:solidFill>
          </w14:textFill>
        </w:rPr>
        <w:t>《广西恒逸新材料有限公司年产120万吨己内酰胺—聚酰胺产业一体化及配套工程项目（重大变动）环境影响报告书》及其于2025年6月12日获得钦州市生态环境局批复（中马园审批环〔2025〕9号），该项目对有机废气采用“RTO蓄热式焚烧炉”工艺进行处理，单台RTO炉废气处理能力增加至100000Nm</w:t>
      </w:r>
      <w:r>
        <w:rPr>
          <w:rFonts w:hint="eastAsia"/>
          <w:color w:val="000000" w:themeColor="text1"/>
          <w:kern w:val="0"/>
          <w:u w:val="single"/>
          <w:vertAlign w:val="superscript"/>
          <w14:textFill>
            <w14:solidFill>
              <w14:schemeClr w14:val="tx1"/>
            </w14:solidFill>
          </w14:textFill>
        </w:rPr>
        <w:t>3</w:t>
      </w:r>
      <w:r>
        <w:rPr>
          <w:rFonts w:hint="eastAsia"/>
          <w:color w:val="000000" w:themeColor="text1"/>
          <w:kern w:val="0"/>
          <w:u w:val="single"/>
          <w14:textFill>
            <w14:solidFill>
              <w14:schemeClr w14:val="tx1"/>
            </w14:solidFill>
          </w14:textFill>
        </w:rPr>
        <w:t>/h。经了解，该项目一期工程已开始运营，广西恒逸新材料有限公司已同意将本项目废气收集处理，本项目实际设置3台尾气输送风机、总风量2500Nm</w:t>
      </w:r>
      <w:r>
        <w:rPr>
          <w:rFonts w:hint="eastAsia"/>
          <w:color w:val="000000" w:themeColor="text1"/>
          <w:kern w:val="0"/>
          <w:u w:val="single"/>
          <w:vertAlign w:val="superscript"/>
          <w14:textFill>
            <w14:solidFill>
              <w14:schemeClr w14:val="tx1"/>
            </w14:solidFill>
          </w14:textFill>
        </w:rPr>
        <w:t>3</w:t>
      </w:r>
      <w:r>
        <w:rPr>
          <w:rFonts w:hint="eastAsia"/>
          <w:color w:val="000000" w:themeColor="text1"/>
          <w:kern w:val="0"/>
          <w:u w:val="single"/>
          <w14:textFill>
            <w14:solidFill>
              <w14:schemeClr w14:val="tx1"/>
            </w14:solidFill>
          </w14:textFill>
        </w:rPr>
        <w:t>/h。根据中国检验认证集团广西有限公司的《广西恒逸新材料有限公司2025年环境委托监测项目（RTO炉排气口DA016）》，RTO炉平均烟气流量为47821m³/h，剩余进风量52179m³/h，本项目仅占一期RTO蓄热式焚烧炉剩余风量的4.79%，不会对其处理工艺造成波动影响</w:t>
      </w:r>
      <w:r>
        <w:rPr>
          <w:rFonts w:hint="eastAsia" w:ascii="宋体" w:hAnsi="宋体"/>
          <w:color w:val="000000" w:themeColor="text1"/>
          <w:u w:val="single"/>
          <w14:textFill>
            <w14:solidFill>
              <w14:schemeClr w14:val="tx1"/>
            </w14:solidFill>
          </w14:textFill>
        </w:rPr>
        <w:t>。其工艺等见“章节2.1.2”。</w:t>
      </w:r>
    </w:p>
    <w:p w14:paraId="415D7A62">
      <w:pPr>
        <w:ind w:firstLine="480"/>
        <w:rPr>
          <w:color w:val="000000" w:themeColor="text1"/>
          <w:u w:val="single"/>
          <w14:textFill>
            <w14:solidFill>
              <w14:schemeClr w14:val="tx1"/>
            </w14:solidFill>
          </w14:textFill>
        </w:rPr>
      </w:pPr>
      <w:r>
        <w:rPr>
          <w:rFonts w:hint="eastAsia" w:ascii="宋体" w:hAnsi="宋体"/>
          <w:color w:val="000000" w:themeColor="text1"/>
          <w:u w:val="single"/>
          <w14:textFill>
            <w14:solidFill>
              <w14:schemeClr w14:val="tx1"/>
            </w14:solidFill>
          </w14:textFill>
        </w:rPr>
        <w:t>根据广西恒逸新材料有限公司委托中国检验认证集团广西有限公司于</w:t>
      </w:r>
      <w:r>
        <w:rPr>
          <w:rFonts w:hint="eastAsia"/>
          <w:color w:val="000000" w:themeColor="text1"/>
          <w:u w:val="single"/>
          <w14:textFill>
            <w14:solidFill>
              <w14:schemeClr w14:val="tx1"/>
            </w14:solidFill>
          </w14:textFill>
        </w:rPr>
        <w:t>2025</w:t>
      </w:r>
      <w:r>
        <w:rPr>
          <w:rFonts w:hint="eastAsia" w:ascii="宋体" w:hAnsi="宋体"/>
          <w:color w:val="000000" w:themeColor="text1"/>
          <w:u w:val="single"/>
          <w14:textFill>
            <w14:solidFill>
              <w14:schemeClr w14:val="tx1"/>
            </w14:solidFill>
          </w14:textFill>
        </w:rPr>
        <w:t>年</w:t>
      </w:r>
      <w:r>
        <w:rPr>
          <w:rFonts w:hint="eastAsia"/>
          <w:color w:val="000000" w:themeColor="text1"/>
          <w:u w:val="single"/>
          <w14:textFill>
            <w14:solidFill>
              <w14:schemeClr w14:val="tx1"/>
            </w14:solidFill>
          </w14:textFill>
        </w:rPr>
        <w:t>11</w:t>
      </w:r>
      <w:r>
        <w:rPr>
          <w:rFonts w:hint="eastAsia" w:ascii="宋体" w:hAnsi="宋体"/>
          <w:color w:val="000000" w:themeColor="text1"/>
          <w:u w:val="single"/>
          <w14:textFill>
            <w14:solidFill>
              <w14:schemeClr w14:val="tx1"/>
            </w14:solidFill>
          </w14:textFill>
        </w:rPr>
        <w:t>月28日开展采样的</w:t>
      </w:r>
      <w:r>
        <w:rPr>
          <w:rFonts w:hint="eastAsia"/>
          <w:color w:val="000000" w:themeColor="text1"/>
          <w:u w:val="single"/>
          <w14:textFill>
            <w14:solidFill>
              <w14:schemeClr w14:val="tx1"/>
            </w14:solidFill>
          </w14:textFill>
        </w:rPr>
        <w:t>RTO</w:t>
      </w:r>
      <w:r>
        <w:rPr>
          <w:rFonts w:hint="eastAsia" w:ascii="宋体" w:hAnsi="宋体"/>
          <w:color w:val="000000" w:themeColor="text1"/>
          <w:u w:val="single"/>
          <w14:textFill>
            <w14:solidFill>
              <w14:schemeClr w14:val="tx1"/>
            </w14:solidFill>
          </w14:textFill>
        </w:rPr>
        <w:t>炉进、排气口监测数据（见附件16、附件17），</w:t>
      </w:r>
      <w:r>
        <w:rPr>
          <w:rFonts w:hint="eastAsia"/>
          <w:color w:val="000000" w:themeColor="text1"/>
          <w:u w:val="single"/>
          <w14:textFill>
            <w14:solidFill>
              <w14:schemeClr w14:val="tx1"/>
            </w14:solidFill>
          </w14:textFill>
        </w:rPr>
        <w:t>RTO</w:t>
      </w:r>
      <w:r>
        <w:rPr>
          <w:rFonts w:hint="eastAsia" w:ascii="宋体" w:hAnsi="宋体"/>
          <w:color w:val="000000" w:themeColor="text1"/>
          <w:u w:val="single"/>
          <w14:textFill>
            <w14:solidFill>
              <w14:schemeClr w14:val="tx1"/>
            </w14:solidFill>
          </w14:textFill>
        </w:rPr>
        <w:t>炉进气口非甲烷总烃最大浓度为</w:t>
      </w:r>
      <w:r>
        <w:rPr>
          <w:rFonts w:hint="eastAsia"/>
          <w:color w:val="000000" w:themeColor="text1"/>
          <w:u w:val="single"/>
          <w14:textFill>
            <w14:solidFill>
              <w14:schemeClr w14:val="tx1"/>
            </w14:solidFill>
          </w14:textFill>
        </w:rPr>
        <w:t>2470mg/m</w:t>
      </w:r>
      <w:r>
        <w:rPr>
          <w:rFonts w:hint="eastAsia"/>
          <w:color w:val="000000" w:themeColor="text1"/>
          <w:u w:val="single"/>
          <w:vertAlign w:val="superscript"/>
          <w14:textFill>
            <w14:solidFill>
              <w14:schemeClr w14:val="tx1"/>
            </w14:solidFill>
          </w14:textFill>
        </w:rPr>
        <w:t>3</w:t>
      </w:r>
      <w:r>
        <w:rPr>
          <w:rFonts w:hint="eastAsia" w:ascii="宋体" w:hAnsi="宋体"/>
          <w:color w:val="000000" w:themeColor="text1"/>
          <w:u w:val="single"/>
          <w14:textFill>
            <w14:solidFill>
              <w14:schemeClr w14:val="tx1"/>
            </w14:solidFill>
          </w14:textFill>
        </w:rPr>
        <w:t>，对应时期排气口非甲烷总烃浓度为</w:t>
      </w:r>
      <w:r>
        <w:rPr>
          <w:rFonts w:hint="eastAsia"/>
          <w:color w:val="000000" w:themeColor="text1"/>
          <w:u w:val="single"/>
          <w14:textFill>
            <w14:solidFill>
              <w14:schemeClr w14:val="tx1"/>
            </w14:solidFill>
          </w14:textFill>
        </w:rPr>
        <w:t>86.4mg/m</w:t>
      </w:r>
      <w:r>
        <w:rPr>
          <w:rFonts w:hint="eastAsia"/>
          <w:color w:val="000000" w:themeColor="text1"/>
          <w:u w:val="single"/>
          <w:vertAlign w:val="superscript"/>
          <w14:textFill>
            <w14:solidFill>
              <w14:schemeClr w14:val="tx1"/>
            </w14:solidFill>
          </w14:textFill>
        </w:rPr>
        <w:t>3</w:t>
      </w:r>
      <w:r>
        <w:rPr>
          <w:rFonts w:hint="eastAsia" w:ascii="宋体" w:hAnsi="宋体"/>
          <w:color w:val="000000" w:themeColor="text1"/>
          <w:u w:val="single"/>
          <w14:textFill>
            <w14:solidFill>
              <w14:schemeClr w14:val="tx1"/>
            </w14:solidFill>
          </w14:textFill>
        </w:rPr>
        <w:t>，处理效率为</w:t>
      </w:r>
      <w:r>
        <w:rPr>
          <w:rFonts w:hint="eastAsia"/>
          <w:color w:val="000000" w:themeColor="text1"/>
          <w:u w:val="single"/>
          <w14:textFill>
            <w14:solidFill>
              <w14:schemeClr w14:val="tx1"/>
            </w14:solidFill>
          </w14:textFill>
        </w:rPr>
        <w:t>95.96%</w:t>
      </w:r>
      <w:r>
        <w:rPr>
          <w:rFonts w:hint="eastAsia" w:ascii="宋体" w:hAnsi="宋体"/>
          <w:color w:val="000000" w:themeColor="text1"/>
          <w:u w:val="single"/>
          <w14:textFill>
            <w14:solidFill>
              <w14:schemeClr w14:val="tx1"/>
            </w14:solidFill>
          </w14:textFill>
        </w:rPr>
        <w:t>。因此，项目依托</w:t>
      </w:r>
      <w:r>
        <w:rPr>
          <w:rFonts w:hint="eastAsia"/>
          <w:color w:val="000000" w:themeColor="text1"/>
          <w:u w:val="single"/>
          <w14:textFill>
            <w14:solidFill>
              <w14:schemeClr w14:val="tx1"/>
            </w14:solidFill>
          </w14:textFill>
        </w:rPr>
        <w:t>RTO</w:t>
      </w:r>
      <w:r>
        <w:rPr>
          <w:rFonts w:hint="eastAsia" w:ascii="宋体" w:hAnsi="宋体"/>
          <w:color w:val="000000" w:themeColor="text1"/>
          <w:u w:val="single"/>
          <w14:textFill>
            <w14:solidFill>
              <w14:schemeClr w14:val="tx1"/>
            </w14:solidFill>
          </w14:textFill>
        </w:rPr>
        <w:t>炉处理效率可满足环评中原废气处理设施和《石油化学工业污染物排放标准》（</w:t>
      </w:r>
      <w:r>
        <w:rPr>
          <w:rFonts w:hint="eastAsia"/>
          <w:color w:val="000000" w:themeColor="text1"/>
          <w:u w:val="single"/>
          <w14:textFill>
            <w14:solidFill>
              <w14:schemeClr w14:val="tx1"/>
            </w14:solidFill>
          </w14:textFill>
        </w:rPr>
        <w:t>GB 31571-2015</w:t>
      </w:r>
      <w:r>
        <w:rPr>
          <w:rFonts w:hint="eastAsia" w:ascii="宋体" w:hAnsi="宋体"/>
          <w:color w:val="000000" w:themeColor="text1"/>
          <w:u w:val="single"/>
          <w14:textFill>
            <w14:solidFill>
              <w14:schemeClr w14:val="tx1"/>
            </w14:solidFill>
          </w14:textFill>
        </w:rPr>
        <w:t>）中对非甲烷总烃的处理效率要求（均为</w:t>
      </w:r>
      <w:r>
        <w:rPr>
          <w:rFonts w:hint="eastAsia"/>
          <w:color w:val="000000" w:themeColor="text1"/>
          <w:u w:val="single"/>
          <w14:textFill>
            <w14:solidFill>
              <w14:schemeClr w14:val="tx1"/>
            </w14:solidFill>
          </w14:textFill>
        </w:rPr>
        <w:t>95%</w:t>
      </w:r>
      <w:r>
        <w:rPr>
          <w:rFonts w:hint="eastAsia" w:ascii="宋体" w:hAnsi="宋体"/>
          <w:color w:val="000000" w:themeColor="text1"/>
          <w:u w:val="single"/>
          <w14:textFill>
            <w14:solidFill>
              <w14:schemeClr w14:val="tx1"/>
            </w14:solidFill>
          </w14:textFill>
        </w:rPr>
        <w:t>）。</w:t>
      </w:r>
    </w:p>
    <w:p w14:paraId="5D5E0126">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同时委托广西交通设计集团有限公司对RTO蓄热式焚烧炉排气筒出口进行了监测，</w:t>
      </w:r>
      <w:r>
        <w:rPr>
          <w:rFonts w:hint="eastAsia" w:ascii="宋体" w:hAnsi="宋体"/>
          <w:color w:val="000000" w:themeColor="text1"/>
          <w:u w:val="single"/>
          <w14:textFill>
            <w14:solidFill>
              <w14:schemeClr w14:val="tx1"/>
            </w14:solidFill>
          </w14:textFill>
        </w:rPr>
        <w:t>工程</w:t>
      </w:r>
      <w:r>
        <w:rPr>
          <w:rFonts w:hint="eastAsia"/>
          <w:color w:val="000000" w:themeColor="text1"/>
          <w:u w:val="single"/>
          <w14:textFill>
            <w14:solidFill>
              <w14:schemeClr w14:val="tx1"/>
            </w14:solidFill>
          </w14:textFill>
        </w:rPr>
        <w:t>RTO</w:t>
      </w:r>
      <w:r>
        <w:rPr>
          <w:rFonts w:hint="eastAsia" w:ascii="宋体" w:hAnsi="宋体"/>
          <w:color w:val="000000" w:themeColor="text1"/>
          <w:u w:val="single"/>
          <w14:textFill>
            <w14:solidFill>
              <w14:schemeClr w14:val="tx1"/>
            </w14:solidFill>
          </w14:textFill>
        </w:rPr>
        <w:t>炉排气筒出口处，废气中苯、甲苯、二甲苯、甲醇浓度（折算）均能满足《石油化学工业污染物排放标准》（</w:t>
      </w:r>
      <w:r>
        <w:rPr>
          <w:rFonts w:hint="eastAsia"/>
          <w:color w:val="000000" w:themeColor="text1"/>
          <w:u w:val="single"/>
          <w14:textFill>
            <w14:solidFill>
              <w14:schemeClr w14:val="tx1"/>
            </w14:solidFill>
          </w14:textFill>
        </w:rPr>
        <w:t>GB31571-2015</w:t>
      </w:r>
      <w:r>
        <w:rPr>
          <w:rFonts w:hint="eastAsia" w:ascii="宋体" w:hAnsi="宋体"/>
          <w:color w:val="000000" w:themeColor="text1"/>
          <w:u w:val="single"/>
          <w14:textFill>
            <w14:solidFill>
              <w14:schemeClr w14:val="tx1"/>
            </w14:solidFill>
          </w14:textFill>
        </w:rPr>
        <w:t>）标准要求；非甲烷总烃浓度（实测）满足《大气污染物综合排放标准》（</w:t>
      </w:r>
      <w:r>
        <w:rPr>
          <w:rFonts w:hint="eastAsia"/>
          <w:color w:val="000000" w:themeColor="text1"/>
          <w:u w:val="single"/>
          <w14:textFill>
            <w14:solidFill>
              <w14:schemeClr w14:val="tx1"/>
            </w14:solidFill>
          </w14:textFill>
        </w:rPr>
        <w:t>GB16297</w:t>
      </w:r>
      <w:r>
        <w:rPr>
          <w:rFonts w:hint="eastAsia" w:ascii="宋体" w:hAnsi="宋体"/>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1996</w:t>
      </w:r>
      <w:r>
        <w:rPr>
          <w:rFonts w:hint="eastAsia" w:ascii="宋体" w:hAnsi="宋体"/>
          <w:color w:val="000000" w:themeColor="text1"/>
          <w:u w:val="single"/>
          <w14:textFill>
            <w14:solidFill>
              <w14:schemeClr w14:val="tx1"/>
            </w14:solidFill>
          </w14:textFill>
        </w:rPr>
        <w:t>）要求；上述指标的排放速率均能满足《大气污染物综合排放标准》（</w:t>
      </w:r>
      <w:r>
        <w:rPr>
          <w:rFonts w:hint="eastAsia"/>
          <w:color w:val="000000" w:themeColor="text1"/>
          <w:u w:val="single"/>
          <w14:textFill>
            <w14:solidFill>
              <w14:schemeClr w14:val="tx1"/>
            </w14:solidFill>
          </w14:textFill>
        </w:rPr>
        <w:t>GB16297</w:t>
      </w:r>
      <w:r>
        <w:rPr>
          <w:rFonts w:hint="eastAsia" w:ascii="宋体" w:hAnsi="宋体"/>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1996</w:t>
      </w:r>
      <w:r>
        <w:rPr>
          <w:rFonts w:hint="eastAsia" w:ascii="宋体" w:hAnsi="宋体"/>
          <w:color w:val="000000" w:themeColor="text1"/>
          <w:u w:val="single"/>
          <w14:textFill>
            <w14:solidFill>
              <w14:schemeClr w14:val="tx1"/>
            </w14:solidFill>
          </w14:textFill>
        </w:rPr>
        <w:t>）在</w:t>
      </w:r>
      <w:r>
        <w:rPr>
          <w:rFonts w:hint="eastAsia"/>
          <w:color w:val="000000" w:themeColor="text1"/>
          <w:u w:val="single"/>
          <w14:textFill>
            <w14:solidFill>
              <w14:schemeClr w14:val="tx1"/>
            </w14:solidFill>
          </w14:textFill>
        </w:rPr>
        <w:t>35m</w:t>
      </w:r>
      <w:r>
        <w:rPr>
          <w:rFonts w:hint="eastAsia" w:ascii="宋体" w:hAnsi="宋体"/>
          <w:color w:val="000000" w:themeColor="text1"/>
          <w:u w:val="single"/>
          <w14:textFill>
            <w14:solidFill>
              <w14:schemeClr w14:val="tx1"/>
            </w14:solidFill>
          </w14:textFill>
        </w:rPr>
        <w:t>高排气筒下的排放速率要求。</w:t>
      </w:r>
    </w:p>
    <w:p w14:paraId="0CA911D2">
      <w:pPr>
        <w:pStyle w:val="4"/>
        <w:rPr>
          <w:color w:val="000000" w:themeColor="text1"/>
          <w14:textFill>
            <w14:solidFill>
              <w14:schemeClr w14:val="tx1"/>
            </w14:solidFill>
          </w14:textFill>
        </w:rPr>
      </w:pPr>
      <w:bookmarkStart w:id="780" w:name="_Toc216620631"/>
      <w:bookmarkStart w:id="781" w:name="_Toc216103472"/>
      <w:bookmarkStart w:id="782" w:name="_Toc136878561"/>
      <w:r>
        <w:rPr>
          <w:color w:val="000000" w:themeColor="text1"/>
          <w14:textFill>
            <w14:solidFill>
              <w14:schemeClr w14:val="tx1"/>
            </w14:solidFill>
          </w14:textFill>
        </w:rPr>
        <w:t>水环境保护措施及可行性论证</w:t>
      </w:r>
      <w:bookmarkEnd w:id="780"/>
      <w:bookmarkEnd w:id="781"/>
      <w:bookmarkEnd w:id="782"/>
    </w:p>
    <w:p w14:paraId="1BA273FA">
      <w:pPr>
        <w:pStyle w:val="6"/>
        <w:rPr>
          <w:color w:val="000000" w:themeColor="text1"/>
          <w14:textFill>
            <w14:solidFill>
              <w14:schemeClr w14:val="tx1"/>
            </w14:solidFill>
          </w14:textFill>
        </w:rPr>
      </w:pPr>
      <w:bookmarkStart w:id="783" w:name="_Toc26910083"/>
      <w:bookmarkStart w:id="784" w:name="_Toc135090296"/>
      <w:bookmarkStart w:id="785" w:name="_Toc29131896"/>
      <w:bookmarkStart w:id="786" w:name="_Toc25437037"/>
      <w:r>
        <w:rPr>
          <w:color w:val="000000" w:themeColor="text1"/>
          <w14:textFill>
            <w14:solidFill>
              <w14:schemeClr w14:val="tx1"/>
            </w14:solidFill>
          </w14:textFill>
        </w:rPr>
        <w:t>船舶废水</w:t>
      </w:r>
      <w:bookmarkEnd w:id="783"/>
      <w:bookmarkEnd w:id="784"/>
      <w:bookmarkEnd w:id="785"/>
      <w:bookmarkEnd w:id="786"/>
    </w:p>
    <w:p w14:paraId="4F7EC7E4">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船舶废水包括船舶舱底油污水和船舶生活污水，由海事部门监督管理。根据《MARPOL73/78防污公约》，船舶应配备机舱油污水处理系统和生活污水处理设施，船舶废水严禁在钦州港水域范围内排放（含处理后的生活污水），须委托具有资质的船舶污染物接收单位接收处理。</w:t>
      </w:r>
    </w:p>
    <w:p w14:paraId="2579D26E">
      <w:pPr>
        <w:pStyle w:val="6"/>
        <w:rPr>
          <w:color w:val="000000" w:themeColor="text1"/>
          <w14:textFill>
            <w14:solidFill>
              <w14:schemeClr w14:val="tx1"/>
            </w14:solidFill>
          </w14:textFill>
        </w:rPr>
      </w:pPr>
      <w:bookmarkStart w:id="787" w:name="_Toc29131897"/>
      <w:bookmarkStart w:id="788" w:name="_Toc26910084"/>
      <w:bookmarkStart w:id="789" w:name="_Toc25437038"/>
      <w:bookmarkStart w:id="790" w:name="_Toc135090297"/>
      <w:r>
        <w:rPr>
          <w:color w:val="000000" w:themeColor="text1"/>
          <w14:textFill>
            <w14:solidFill>
              <w14:schemeClr w14:val="tx1"/>
            </w14:solidFill>
          </w14:textFill>
        </w:rPr>
        <w:t>码头废水</w:t>
      </w:r>
      <w:bookmarkEnd w:id="787"/>
      <w:bookmarkEnd w:id="788"/>
      <w:bookmarkEnd w:id="789"/>
      <w:bookmarkEnd w:id="790"/>
    </w:p>
    <w:p w14:paraId="12A2CB7B">
      <w:pPr>
        <w:autoSpaceDE w:val="0"/>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本项目无新增员工，运营期废水主要来自</w:t>
      </w:r>
      <w:r>
        <w:rPr>
          <w:rFonts w:hint="eastAsia" w:ascii="宋体" w:hAnsi="宋体"/>
          <w:color w:val="000000" w:themeColor="text1"/>
          <w:lang w:val="en-US" w:eastAsia="zh-CN"/>
          <w14:textFill>
            <w14:solidFill>
              <w14:schemeClr w14:val="tx1"/>
            </w14:solidFill>
          </w14:textFill>
        </w:rPr>
        <w:t>码头</w:t>
      </w:r>
      <w:r>
        <w:rPr>
          <w:rFonts w:hint="eastAsia" w:ascii="宋体" w:hAnsi="宋体"/>
          <w:color w:val="0000FF"/>
          <w:lang w:val="en-US" w:eastAsia="zh-CN"/>
        </w:rPr>
        <w:t>冲洗废水</w:t>
      </w:r>
      <w:r>
        <w:rPr>
          <w:rFonts w:hint="eastAsia" w:ascii="宋体" w:hAnsi="宋体"/>
          <w:color w:val="0000FF"/>
        </w:rPr>
        <w:t>、船舶废水</w:t>
      </w:r>
      <w:r>
        <w:rPr>
          <w:rFonts w:hint="eastAsia" w:ascii="宋体" w:hAnsi="宋体"/>
          <w:color w:val="000000" w:themeColor="text1"/>
          <w14:textFill>
            <w14:solidFill>
              <w14:schemeClr w14:val="tx1"/>
            </w14:solidFill>
          </w14:textFill>
        </w:rPr>
        <w:t>。本项目仅在</w:t>
      </w:r>
      <w:r>
        <w:rPr>
          <w:rFonts w:hint="eastAsia"/>
          <w:color w:val="000000" w:themeColor="text1"/>
          <w14:textFill>
            <w14:solidFill>
              <w14:schemeClr w14:val="tx1"/>
            </w14:solidFill>
          </w14:textFill>
        </w:rPr>
        <w:t>14</w:t>
      </w:r>
      <w:r>
        <w:rPr>
          <w:rFonts w:hint="eastAsia" w:ascii="宋体" w:hAnsi="宋体"/>
          <w:color w:val="000000" w:themeColor="text1"/>
          <w14:textFill>
            <w14:solidFill>
              <w14:schemeClr w14:val="tx1"/>
            </w14:solidFill>
          </w14:textFill>
        </w:rPr>
        <w:t>号、泊位上进行改扩建，不改变项目原有总平面布置，</w:t>
      </w:r>
      <w:r>
        <w:rPr>
          <w:rFonts w:hint="eastAsia"/>
          <w:color w:val="000000" w:themeColor="text1"/>
          <w14:textFill>
            <w14:solidFill>
              <w14:schemeClr w14:val="tx1"/>
            </w14:solidFill>
          </w14:textFill>
        </w:rPr>
        <w:t>14</w:t>
      </w:r>
      <w:r>
        <w:rPr>
          <w:rFonts w:hint="eastAsia" w:ascii="宋体" w:hAnsi="宋体"/>
          <w:color w:val="000000" w:themeColor="text1"/>
          <w14:textFill>
            <w14:solidFill>
              <w14:schemeClr w14:val="tx1"/>
            </w14:solidFill>
          </w14:textFill>
        </w:rPr>
        <w:t>号泊位初期雨</w:t>
      </w:r>
      <w:r>
        <w:rPr>
          <w:color w:val="000000" w:themeColor="text1"/>
          <w14:textFill>
            <w14:solidFill>
              <w14:schemeClr w14:val="tx1"/>
            </w14:solidFill>
          </w14:textFill>
        </w:rPr>
        <w:t>水经码头装卸区四周围坎收集到集污池，污水池内设置自动感应提升泵，当达到设定水位后开始运行，初期雨水通过泵提升至污水管道，排入恒逸污水处理厂处理后达标排放。</w:t>
      </w:r>
    </w:p>
    <w:p w14:paraId="429FEE67">
      <w:pPr>
        <w:ind w:firstLine="480"/>
        <w:rPr>
          <w:color w:val="000000" w:themeColor="text1"/>
          <w14:textFill>
            <w14:solidFill>
              <w14:schemeClr w14:val="tx1"/>
            </w14:solidFill>
          </w14:textFill>
        </w:rPr>
      </w:pPr>
      <w:r>
        <w:rPr>
          <w:color w:val="000000" w:themeColor="text1"/>
          <w14:textFill>
            <w14:solidFill>
              <w14:schemeClr w14:val="tx1"/>
            </w14:solidFill>
          </w14:textFill>
        </w:rPr>
        <w:t>根据《钦州港金谷港区金鼓江作业区14号泊位码头（一期工程）竣工环境保护验收调查报告》：</w:t>
      </w:r>
    </w:p>
    <w:p w14:paraId="69309D49">
      <w:pPr>
        <w:autoSpaceDE w:val="0"/>
        <w:ind w:firstLine="480"/>
        <w:rPr>
          <w:color w:val="000000" w:themeColor="text1"/>
          <w14:textFill>
            <w14:solidFill>
              <w14:schemeClr w14:val="tx1"/>
            </w14:solidFill>
          </w14:textFill>
        </w:rPr>
      </w:pPr>
      <w:r>
        <w:rPr>
          <w:color w:val="000000" w:themeColor="text1"/>
          <w14:textFill>
            <w14:solidFill>
              <w14:schemeClr w14:val="tx1"/>
            </w14:solidFill>
          </w14:textFill>
        </w:rPr>
        <w:t>现状采取雨、污分流制排水系统。产生的废水主要为</w:t>
      </w:r>
      <w:r>
        <w:rPr>
          <w:rFonts w:hint="eastAsia"/>
          <w:color w:val="000000" w:themeColor="text1"/>
          <w:lang w:val="en-US" w:eastAsia="zh-CN"/>
          <w14:textFill>
            <w14:solidFill>
              <w14:schemeClr w14:val="tx1"/>
            </w14:solidFill>
          </w14:textFill>
        </w:rPr>
        <w:t>码头</w:t>
      </w:r>
      <w:r>
        <w:rPr>
          <w:color w:val="000000" w:themeColor="text1"/>
          <w14:textFill>
            <w14:solidFill>
              <w14:schemeClr w14:val="tx1"/>
            </w14:solidFill>
          </w14:textFill>
        </w:rPr>
        <w:t>冲洗废水、初期雨水。</w:t>
      </w:r>
    </w:p>
    <w:p w14:paraId="71214E8E">
      <w:pPr>
        <w:autoSpaceDE w:val="0"/>
        <w:ind w:firstLine="480"/>
        <w:rPr>
          <w:color w:val="000000" w:themeColor="text1"/>
          <w14:textFill>
            <w14:solidFill>
              <w14:schemeClr w14:val="tx1"/>
            </w14:solidFill>
          </w14:textFill>
        </w:rPr>
      </w:pPr>
      <w:r>
        <w:rPr>
          <w:color w:val="000000" w:themeColor="text1"/>
          <w14:textFill>
            <w14:solidFill>
              <w14:schemeClr w14:val="tx1"/>
            </w14:solidFill>
          </w14:textFill>
        </w:rPr>
        <w:t>码头不设置污水处理设施，采取分区收集初期雨水方式，在码头泊位装卸区四周设置围堰（长宽高：29.5m×13.3m×0.2m，有效容积78m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），围堰内设置集污池（有效容积2m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收集初期雨水和地面冲洗废水后进入初期雨水池；码头区域废水通过污水泵与经化粪池处理后的陆域区生活污水，一起排入污水管后进入恒逸污水处理厂处理。降雨后期地面洁净雨水经阀门切换至雨水排水管网，排至海域。</w:t>
      </w:r>
    </w:p>
    <w:p w14:paraId="149DE056">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污水依托处理情况分析</w:t>
      </w:r>
    </w:p>
    <w:p w14:paraId="39187ED1">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根据《广西恒逸环境科技有限公司</w:t>
      </w:r>
      <w:r>
        <w:rPr>
          <w:rFonts w:hint="eastAsia"/>
          <w:color w:val="000000" w:themeColor="text1"/>
          <w14:textFill>
            <w14:solidFill>
              <w14:schemeClr w14:val="tx1"/>
            </w14:solidFill>
          </w14:textFill>
        </w:rPr>
        <w:t>50000</w:t>
      </w:r>
      <w:r>
        <w:rPr>
          <w:rFonts w:hint="eastAsia" w:ascii="宋体" w:hAnsi="宋体"/>
          <w:color w:val="000000" w:themeColor="text1"/>
          <w14:textFill>
            <w14:solidFill>
              <w14:schemeClr w14:val="tx1"/>
            </w14:solidFill>
          </w14:textFill>
        </w:rPr>
        <w:t>吨</w:t>
      </w:r>
      <w:r>
        <w:rPr>
          <w:rFonts w:hint="eastAsia"/>
          <w:color w:val="000000" w:themeColor="text1"/>
          <w14:textFill>
            <w14:solidFill>
              <w14:schemeClr w14:val="tx1"/>
            </w14:solidFill>
          </w14:textFill>
        </w:rPr>
        <w:t>/</w:t>
      </w:r>
      <w:r>
        <w:rPr>
          <w:rFonts w:hint="eastAsia" w:ascii="宋体" w:hAnsi="宋体"/>
          <w:color w:val="000000" w:themeColor="text1"/>
          <w14:textFill>
            <w14:solidFill>
              <w14:schemeClr w14:val="tx1"/>
            </w14:solidFill>
          </w14:textFill>
        </w:rPr>
        <w:t>日污水处理厂项目（重大变动）环境影响报告书》（自贸钦审批环〔</w:t>
      </w:r>
      <w:r>
        <w:rPr>
          <w:rFonts w:hint="eastAsia"/>
          <w:color w:val="000000" w:themeColor="text1"/>
          <w14:textFill>
            <w14:solidFill>
              <w14:schemeClr w14:val="tx1"/>
            </w14:solidFill>
          </w14:textFill>
        </w:rPr>
        <w:t>2025</w:t>
      </w:r>
      <w:r>
        <w:rPr>
          <w:rFonts w:hint="eastAsia" w:ascii="宋体"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9</w:t>
      </w:r>
      <w:r>
        <w:rPr>
          <w:rFonts w:hint="eastAsia" w:ascii="宋体" w:hAnsi="宋体"/>
          <w:color w:val="000000" w:themeColor="text1"/>
          <w14:textFill>
            <w14:solidFill>
              <w14:schemeClr w14:val="tx1"/>
            </w14:solidFill>
          </w14:textFill>
        </w:rPr>
        <w:t>号），项目总处理规模</w:t>
      </w:r>
      <w:r>
        <w:rPr>
          <w:rFonts w:hint="eastAsia"/>
          <w:color w:val="000000" w:themeColor="text1"/>
          <w14:textFill>
            <w14:solidFill>
              <w14:schemeClr w14:val="tx1"/>
            </w14:solidFill>
          </w14:textFill>
        </w:rPr>
        <w:t>3100m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r>
        <w:rPr>
          <w:rFonts w:hint="eastAsia" w:ascii="宋体" w:hAnsi="宋体"/>
          <w:color w:val="000000" w:themeColor="text1"/>
          <w14:textFill>
            <w14:solidFill>
              <w14:schemeClr w14:val="tx1"/>
            </w14:solidFill>
          </w14:textFill>
        </w:rPr>
        <w:t>，其中一期工程处理规模为</w:t>
      </w:r>
      <w:r>
        <w:rPr>
          <w:rFonts w:hint="eastAsia"/>
          <w:color w:val="000000" w:themeColor="text1"/>
          <w14:textFill>
            <w14:solidFill>
              <w14:schemeClr w14:val="tx1"/>
            </w14:solidFill>
          </w14:textFill>
        </w:rPr>
        <w:t>1400m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r>
        <w:rPr>
          <w:rFonts w:hint="eastAsia" w:ascii="宋体" w:hAnsi="宋体"/>
          <w:color w:val="000000" w:themeColor="text1"/>
          <w14:textFill>
            <w14:solidFill>
              <w14:schemeClr w14:val="tx1"/>
            </w14:solidFill>
          </w14:textFill>
        </w:rPr>
        <w:t>（包含综合污水处理单元</w:t>
      </w:r>
      <w:r>
        <w:rPr>
          <w:rFonts w:hint="eastAsia"/>
          <w:color w:val="000000" w:themeColor="text1"/>
          <w14:textFill>
            <w14:solidFill>
              <w14:schemeClr w14:val="tx1"/>
            </w14:solidFill>
          </w14:textFill>
        </w:rPr>
        <w:t>800m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r>
        <w:rPr>
          <w:rFonts w:hint="eastAsia" w:ascii="宋体" w:hAnsi="宋体"/>
          <w:color w:val="000000" w:themeColor="text1"/>
          <w14:textFill>
            <w14:solidFill>
              <w14:schemeClr w14:val="tx1"/>
            </w14:solidFill>
          </w14:textFill>
        </w:rPr>
        <w:t>和清净处理单元废水</w:t>
      </w:r>
      <w:r>
        <w:rPr>
          <w:rFonts w:hint="eastAsia"/>
          <w:color w:val="000000" w:themeColor="text1"/>
          <w14:textFill>
            <w14:solidFill>
              <w14:schemeClr w14:val="tx1"/>
            </w14:solidFill>
          </w14:textFill>
        </w:rPr>
        <w:t>600m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r>
        <w:rPr>
          <w:rFonts w:hint="eastAsia" w:ascii="宋体" w:hAnsi="宋体"/>
          <w:color w:val="000000" w:themeColor="text1"/>
          <w14:textFill>
            <w14:solidFill>
              <w14:schemeClr w14:val="tx1"/>
            </w14:solidFill>
          </w14:textFill>
        </w:rPr>
        <w:t>），中水回用系统</w:t>
      </w:r>
      <w:r>
        <w:rPr>
          <w:rFonts w:hint="eastAsia"/>
          <w:color w:val="000000" w:themeColor="text1"/>
          <w14:textFill>
            <w14:solidFill>
              <w14:schemeClr w14:val="tx1"/>
            </w14:solidFill>
          </w14:textFill>
        </w:rPr>
        <w:t>1600m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r>
        <w:rPr>
          <w:rFonts w:hint="eastAsia" w:ascii="宋体" w:hAnsi="宋体"/>
          <w:color w:val="000000" w:themeColor="text1"/>
          <w14:textFill>
            <w14:solidFill>
              <w14:schemeClr w14:val="tx1"/>
            </w14:solidFill>
          </w14:textFill>
        </w:rPr>
        <w:t>；二期工程处理规模为</w:t>
      </w:r>
      <w:r>
        <w:rPr>
          <w:rFonts w:hint="eastAsia"/>
          <w:color w:val="000000" w:themeColor="text1"/>
          <w14:textFill>
            <w14:solidFill>
              <w14:schemeClr w14:val="tx1"/>
            </w14:solidFill>
          </w14:textFill>
        </w:rPr>
        <w:t>1700m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r>
        <w:rPr>
          <w:rFonts w:hint="eastAsia" w:ascii="宋体" w:hAnsi="宋体"/>
          <w:color w:val="000000" w:themeColor="text1"/>
          <w14:textFill>
            <w14:solidFill>
              <w14:schemeClr w14:val="tx1"/>
            </w14:solidFill>
          </w14:textFill>
        </w:rPr>
        <w:t>（包含综合污水处理单元</w:t>
      </w:r>
      <w:r>
        <w:rPr>
          <w:rFonts w:hint="eastAsia"/>
          <w:color w:val="000000" w:themeColor="text1"/>
          <w14:textFill>
            <w14:solidFill>
              <w14:schemeClr w14:val="tx1"/>
            </w14:solidFill>
          </w14:textFill>
        </w:rPr>
        <w:t>1100m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r>
        <w:rPr>
          <w:rFonts w:hint="eastAsia" w:ascii="宋体" w:hAnsi="宋体"/>
          <w:color w:val="000000" w:themeColor="text1"/>
          <w14:textFill>
            <w14:solidFill>
              <w14:schemeClr w14:val="tx1"/>
            </w14:solidFill>
          </w14:textFill>
        </w:rPr>
        <w:t>和清净处理单元废水</w:t>
      </w:r>
      <w:r>
        <w:rPr>
          <w:rFonts w:hint="eastAsia"/>
          <w:color w:val="000000" w:themeColor="text1"/>
          <w14:textFill>
            <w14:solidFill>
              <w14:schemeClr w14:val="tx1"/>
            </w14:solidFill>
          </w14:textFill>
        </w:rPr>
        <w:t>600m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r>
        <w:rPr>
          <w:rFonts w:hint="eastAsia" w:ascii="宋体" w:hAnsi="宋体"/>
          <w:color w:val="000000" w:themeColor="text1"/>
          <w14:textFill>
            <w14:solidFill>
              <w14:schemeClr w14:val="tx1"/>
            </w14:solidFill>
          </w14:textFill>
        </w:rPr>
        <w:t>）。项目配套</w:t>
      </w:r>
      <w:r>
        <w:rPr>
          <w:rFonts w:hint="eastAsia"/>
          <w:color w:val="000000" w:themeColor="text1"/>
          <w14:textFill>
            <w14:solidFill>
              <w14:schemeClr w14:val="tx1"/>
            </w14:solidFill>
          </w14:textFill>
        </w:rPr>
        <w:t>1600m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r>
        <w:rPr>
          <w:rFonts w:hint="eastAsia" w:ascii="宋体" w:hAnsi="宋体"/>
          <w:color w:val="000000" w:themeColor="text1"/>
          <w14:textFill>
            <w14:solidFill>
              <w14:schemeClr w14:val="tx1"/>
            </w14:solidFill>
          </w14:textFill>
        </w:rPr>
        <w:t>中水回用系统，</w:t>
      </w:r>
      <w:r>
        <w:rPr>
          <w:rFonts w:hint="eastAsia"/>
          <w:color w:val="000000" w:themeColor="text1"/>
          <w14:textFill>
            <w14:solidFill>
              <w14:schemeClr w14:val="tx1"/>
            </w14:solidFill>
          </w14:textFill>
        </w:rPr>
        <w:t>400m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r>
        <w:rPr>
          <w:rFonts w:hint="eastAsia" w:ascii="宋体" w:hAnsi="宋体"/>
          <w:color w:val="000000" w:themeColor="text1"/>
          <w14:textFill>
            <w14:solidFill>
              <w14:schemeClr w14:val="tx1"/>
            </w14:solidFill>
          </w14:textFill>
        </w:rPr>
        <w:t>浓水处理系统，经处理后尾水排放总量为</w:t>
      </w:r>
      <w:r>
        <w:rPr>
          <w:rFonts w:hint="eastAsia"/>
          <w:color w:val="000000" w:themeColor="text1"/>
          <w14:textFill>
            <w14:solidFill>
              <w14:schemeClr w14:val="tx1"/>
            </w14:solidFill>
          </w14:textFill>
        </w:rPr>
        <w:t>2060m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r>
        <w:rPr>
          <w:rFonts w:hint="eastAsia" w:ascii="宋体"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49440m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r>
        <w:rPr>
          <w:rFonts w:hint="eastAsia" w:ascii="宋体" w:hAnsi="宋体"/>
          <w:color w:val="000000" w:themeColor="text1"/>
          <w14:textFill>
            <w14:solidFill>
              <w14:schemeClr w14:val="tx1"/>
            </w14:solidFill>
          </w14:textFill>
        </w:rPr>
        <w:t>）</w:t>
      </w:r>
      <w:r>
        <w:rPr>
          <w:rFonts w:ascii="宋体" w:hAnsi="宋体"/>
          <w:color w:val="000000" w:themeColor="text1"/>
          <w14:textFill>
            <w14:solidFill>
              <w14:schemeClr w14:val="tx1"/>
            </w14:solidFill>
          </w14:textFill>
        </w:rPr>
        <w:t>。</w:t>
      </w:r>
    </w:p>
    <w:p w14:paraId="1BE28388">
      <w:pPr>
        <w:pStyle w:val="18"/>
        <w:spacing w:line="360" w:lineRule="auto"/>
        <w:ind w:firstLine="480" w:firstLineChars="200"/>
        <w:jc w:val="both"/>
        <w:rPr>
          <w:rFonts w:ascii="Times New Roman" w:hAnsi="Times New Roman"/>
          <w:color w:val="000000" w:themeColor="text1"/>
          <w14:textFill>
            <w14:solidFill>
              <w14:schemeClr w14:val="tx1"/>
            </w14:solidFill>
          </w14:textFill>
        </w:rPr>
      </w:pPr>
      <w:r>
        <w:rPr>
          <w:rFonts w:hint="eastAsia"/>
          <w:color w:val="000000" w:themeColor="text1"/>
          <w14:textFill>
            <w14:solidFill>
              <w14:schemeClr w14:val="tx1"/>
            </w14:solidFill>
          </w14:textFill>
        </w:rPr>
        <w:t>恒逸环境科技有限公司</w:t>
      </w:r>
      <w:r>
        <w:rPr>
          <w:rFonts w:hint="eastAsia" w:ascii="Times New Roman" w:hAnsi="Times New Roman"/>
          <w:color w:val="000000" w:themeColor="text1"/>
          <w14:textFill>
            <w14:solidFill>
              <w14:schemeClr w14:val="tx1"/>
            </w14:solidFill>
          </w14:textFill>
        </w:rPr>
        <w:t>50000</w:t>
      </w:r>
      <w:r>
        <w:rPr>
          <w:rFonts w:hint="eastAsia"/>
          <w:color w:val="000000" w:themeColor="text1"/>
          <w14:textFill>
            <w14:solidFill>
              <w14:schemeClr w14:val="tx1"/>
            </w14:solidFill>
          </w14:textFill>
        </w:rPr>
        <w:t>吨</w:t>
      </w:r>
      <w:r>
        <w:rPr>
          <w:rFonts w:hint="eastAsia" w:ascii="Times New Roman" w:hAnsi="Times New Roman"/>
          <w:color w:val="000000" w:themeColor="text1"/>
          <w14:textFill>
            <w14:solidFill>
              <w14:schemeClr w14:val="tx1"/>
            </w14:solidFill>
          </w14:textFill>
        </w:rPr>
        <w:t>/</w:t>
      </w:r>
      <w:r>
        <w:rPr>
          <w:rFonts w:hint="eastAsia"/>
          <w:color w:val="000000" w:themeColor="text1"/>
          <w14:textFill>
            <w14:solidFill>
              <w14:schemeClr w14:val="tx1"/>
            </w14:solidFill>
          </w14:textFill>
        </w:rPr>
        <w:t>日污水处理厂项目除接纳恒逸新材料有限公司年产</w:t>
      </w:r>
      <w:r>
        <w:rPr>
          <w:rFonts w:hint="eastAsia" w:ascii="Times New Roman" w:hAnsi="Times New Roman"/>
          <w:color w:val="000000" w:themeColor="text1"/>
          <w14:textFill>
            <w14:solidFill>
              <w14:schemeClr w14:val="tx1"/>
            </w14:solidFill>
          </w14:textFill>
        </w:rPr>
        <w:t>120</w:t>
      </w:r>
      <w:r>
        <w:rPr>
          <w:rFonts w:hint="eastAsia"/>
          <w:color w:val="000000" w:themeColor="text1"/>
          <w14:textFill>
            <w14:solidFill>
              <w14:schemeClr w14:val="tx1"/>
            </w14:solidFill>
          </w14:textFill>
        </w:rPr>
        <w:t>万吨己内酰胺</w:t>
      </w:r>
      <w:r>
        <w:rPr>
          <w:rFonts w:hint="eastAsia" w:ascii="Times New Roman" w:hAnsi="Times New Roman"/>
          <w:color w:val="000000" w:themeColor="text1"/>
          <w14:textFill>
            <w14:solidFill>
              <w14:schemeClr w14:val="tx1"/>
            </w14:solidFill>
          </w14:textFill>
        </w:rPr>
        <w:t>-</w:t>
      </w:r>
      <w:r>
        <w:rPr>
          <w:rFonts w:hint="eastAsia"/>
          <w:color w:val="000000" w:themeColor="text1"/>
          <w14:textFill>
            <w14:solidFill>
              <w14:schemeClr w14:val="tx1"/>
            </w14:solidFill>
          </w14:textFill>
        </w:rPr>
        <w:t>聚酰胺产业一体化及配套工程项目产生的废水外，同时也服务园区入驻企业。</w:t>
      </w:r>
    </w:p>
    <w:p w14:paraId="112750E6">
      <w:pPr>
        <w:ind w:firstLine="480"/>
        <w:rPr>
          <w:rFonts w:ascii="宋体" w:hAnsi="宋体"/>
          <w:color w:val="000000" w:themeColor="text1"/>
          <w14:textFill>
            <w14:solidFill>
              <w14:schemeClr w14:val="tx1"/>
            </w14:solidFill>
          </w14:textFill>
        </w:rPr>
      </w:pPr>
      <w:r>
        <w:rPr>
          <w:color w:val="000000" w:themeColor="text1"/>
          <w14:textFill>
            <w14:solidFill>
              <w14:schemeClr w14:val="tx1"/>
            </w14:solidFill>
          </w14:textFill>
        </w:rPr>
        <w:t>根据《钦州港金谷港区金鼓江作业区14号泊位码头（一期工程）竣工环境保护验收调查报告》，</w:t>
      </w:r>
      <w:r>
        <w:rPr>
          <w:rFonts w:hint="eastAsia"/>
          <w:color w:val="000000" w:themeColor="text1"/>
          <w14:textFill>
            <w14:solidFill>
              <w14:schemeClr w14:val="tx1"/>
            </w14:solidFill>
          </w14:textFill>
        </w:rPr>
        <w:t>委托广西利华检测评价有限公司对污水处理厂出水口水质进行监测，</w:t>
      </w:r>
      <w:r>
        <w:rPr>
          <w:rFonts w:hint="eastAsia" w:ascii="宋体" w:hAnsi="宋体"/>
          <w:color w:val="000000" w:themeColor="text1"/>
          <w14:textFill>
            <w14:solidFill>
              <w14:schemeClr w14:val="tx1"/>
            </w14:solidFill>
          </w14:textFill>
        </w:rPr>
        <w:t>广西恒逸污水处理厂出水可满足相关排放标准（按照《石油化学工业污染物排放标准》（</w:t>
      </w:r>
      <w:r>
        <w:rPr>
          <w:rFonts w:hint="eastAsia"/>
          <w:color w:val="000000" w:themeColor="text1"/>
          <w14:textFill>
            <w14:solidFill>
              <w14:schemeClr w14:val="tx1"/>
            </w14:solidFill>
          </w14:textFill>
        </w:rPr>
        <w:t>GB31571-2015</w:t>
      </w:r>
      <w:r>
        <w:rPr>
          <w:rFonts w:hint="eastAsia" w:ascii="宋体" w:hAnsi="宋体"/>
          <w:color w:val="000000" w:themeColor="text1"/>
          <w14:textFill>
            <w14:solidFill>
              <w14:schemeClr w14:val="tx1"/>
            </w14:solidFill>
          </w14:textFill>
        </w:rPr>
        <w:t>）标准及《污水综合排放标准》（</w:t>
      </w:r>
      <w:r>
        <w:rPr>
          <w:rFonts w:hint="eastAsia"/>
          <w:color w:val="000000" w:themeColor="text1"/>
          <w14:textFill>
            <w14:solidFill>
              <w14:schemeClr w14:val="tx1"/>
            </w14:solidFill>
          </w14:textFill>
        </w:rPr>
        <w:t>GB8978-1996</w:t>
      </w:r>
      <w:r>
        <w:rPr>
          <w:rFonts w:hint="eastAsia" w:ascii="宋体" w:hAnsi="宋体"/>
          <w:color w:val="000000" w:themeColor="text1"/>
          <w14:textFill>
            <w14:solidFill>
              <w14:schemeClr w14:val="tx1"/>
            </w14:solidFill>
          </w14:textFill>
        </w:rPr>
        <w:t>）一级标准中更严格的限值进行取值）。</w:t>
      </w:r>
    </w:p>
    <w:p w14:paraId="18CE5221">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项目不新增占地，不新增初期雨水，</w:t>
      </w:r>
      <w:r>
        <w:rPr>
          <w:rFonts w:hint="eastAsia"/>
          <w:color w:val="000000" w:themeColor="text1"/>
          <w14:textFill>
            <w14:solidFill>
              <w14:schemeClr w14:val="tx1"/>
            </w14:solidFill>
          </w14:textFill>
        </w:rPr>
        <w:t>依托项目现有人员，不新增生活污水</w:t>
      </w:r>
      <w:r>
        <w:rPr>
          <w:color w:val="000000" w:themeColor="text1"/>
          <w14:textFill>
            <w14:solidFill>
              <w14:schemeClr w14:val="tx1"/>
            </w14:solidFill>
          </w14:textFill>
        </w:rPr>
        <w:t>。完全依托处理措施完全可行。</w:t>
      </w:r>
    </w:p>
    <w:p w14:paraId="26B8083F">
      <w:pPr>
        <w:pStyle w:val="4"/>
        <w:rPr>
          <w:color w:val="000000" w:themeColor="text1"/>
          <w14:textFill>
            <w14:solidFill>
              <w14:schemeClr w14:val="tx1"/>
            </w14:solidFill>
          </w14:textFill>
        </w:rPr>
      </w:pPr>
      <w:bookmarkStart w:id="791" w:name="_Toc136878564"/>
      <w:bookmarkStart w:id="792" w:name="_Toc216620632"/>
      <w:bookmarkStart w:id="793" w:name="_Toc216103473"/>
      <w:r>
        <w:rPr>
          <w:color w:val="000000" w:themeColor="text1"/>
          <w14:textFill>
            <w14:solidFill>
              <w14:schemeClr w14:val="tx1"/>
            </w14:solidFill>
          </w14:textFill>
        </w:rPr>
        <w:t>运营期噪声污染防治措施</w:t>
      </w:r>
      <w:bookmarkEnd w:id="791"/>
      <w:bookmarkEnd w:id="792"/>
      <w:bookmarkEnd w:id="793"/>
    </w:p>
    <w:p w14:paraId="5E6E0053">
      <w:pPr>
        <w:autoSpaceDE w:val="0"/>
        <w:ind w:firstLine="480"/>
        <w:rPr>
          <w:color w:val="000000" w:themeColor="text1"/>
          <w14:textFill>
            <w14:solidFill>
              <w14:schemeClr w14:val="tx1"/>
            </w14:solidFill>
          </w14:textFill>
        </w:rPr>
      </w:pPr>
      <w:r>
        <w:rPr>
          <w:rFonts w:ascii="宋体" w:hAnsi="宋体"/>
          <w:color w:val="000000" w:themeColor="text1"/>
          <w14:textFill>
            <w14:solidFill>
              <w14:schemeClr w14:val="tx1"/>
            </w14:solidFill>
          </w14:textFill>
        </w:rPr>
        <w:t>（</w:t>
      </w:r>
      <w:r>
        <w:rPr>
          <w:color w:val="000000" w:themeColor="text1"/>
          <w14:textFill>
            <w14:solidFill>
              <w14:schemeClr w14:val="tx1"/>
            </w14:solidFill>
          </w14:textFill>
        </w:rPr>
        <w:t>1</w:t>
      </w:r>
      <w:r>
        <w:rPr>
          <w:rFonts w:ascii="宋体" w:hAnsi="宋体"/>
          <w:color w:val="000000" w:themeColor="text1"/>
          <w14:textFill>
            <w14:solidFill>
              <w14:schemeClr w14:val="tx1"/>
            </w14:solidFill>
          </w14:textFill>
        </w:rPr>
        <w:t>）使用先进的、噪声小的装卸机械和泵设备，并对噪声、振动较大的设备采取消声、减震措施。</w:t>
      </w:r>
    </w:p>
    <w:p w14:paraId="4ECD4960">
      <w:pPr>
        <w:autoSpaceDE w:val="0"/>
        <w:ind w:firstLine="480"/>
        <w:rPr>
          <w:color w:val="000000" w:themeColor="text1"/>
          <w14:textFill>
            <w14:solidFill>
              <w14:schemeClr w14:val="tx1"/>
            </w14:solidFill>
          </w14:textFill>
        </w:rPr>
      </w:pPr>
      <w:r>
        <w:rPr>
          <w:rFonts w:ascii="宋体" w:hAnsi="宋体"/>
          <w:color w:val="000000" w:themeColor="text1"/>
          <w14:textFill>
            <w14:solidFill>
              <w14:schemeClr w14:val="tx1"/>
            </w14:solidFill>
          </w14:textFill>
        </w:rPr>
        <w:t>（</w:t>
      </w:r>
      <w:r>
        <w:rPr>
          <w:color w:val="000000" w:themeColor="text1"/>
          <w14:textFill>
            <w14:solidFill>
              <w14:schemeClr w14:val="tx1"/>
            </w14:solidFill>
          </w14:textFill>
        </w:rPr>
        <w:t>2</w:t>
      </w:r>
      <w:r>
        <w:rPr>
          <w:rFonts w:ascii="宋体" w:hAnsi="宋体"/>
          <w:color w:val="000000" w:themeColor="text1"/>
          <w14:textFill>
            <w14:solidFill>
              <w14:schemeClr w14:val="tx1"/>
            </w14:solidFill>
          </w14:textFill>
        </w:rPr>
        <w:t>）靠港船舶只开动辅机，关闭主机。通过加强管理，有效降低船舶噪声强度。</w:t>
      </w:r>
    </w:p>
    <w:p w14:paraId="26D13216">
      <w:pPr>
        <w:autoSpaceDE w:val="0"/>
        <w:ind w:firstLine="480"/>
        <w:rPr>
          <w:color w:val="000000" w:themeColor="text1"/>
          <w14:textFill>
            <w14:solidFill>
              <w14:schemeClr w14:val="tx1"/>
            </w14:solidFill>
          </w14:textFill>
        </w:rPr>
      </w:pPr>
      <w:r>
        <w:rPr>
          <w:rFonts w:ascii="宋体" w:hAnsi="宋体"/>
          <w:color w:val="000000" w:themeColor="text1"/>
          <w14:textFill>
            <w14:solidFill>
              <w14:schemeClr w14:val="tx1"/>
            </w14:solidFill>
          </w14:textFill>
        </w:rPr>
        <w:t>（</w:t>
      </w:r>
      <w:r>
        <w:rPr>
          <w:color w:val="000000" w:themeColor="text1"/>
          <w14:textFill>
            <w14:solidFill>
              <w14:schemeClr w14:val="tx1"/>
            </w14:solidFill>
          </w14:textFill>
        </w:rPr>
        <w:t>3</w:t>
      </w:r>
      <w:r>
        <w:rPr>
          <w:rFonts w:ascii="宋体" w:hAnsi="宋体"/>
          <w:color w:val="000000" w:themeColor="text1"/>
          <w14:textFill>
            <w14:solidFill>
              <w14:schemeClr w14:val="tx1"/>
            </w14:solidFill>
          </w14:textFill>
        </w:rPr>
        <w:t>）加强机械、设备的保养维修，保持正常运行、正常运转，降低噪声。</w:t>
      </w:r>
    </w:p>
    <w:p w14:paraId="1FD81FFA">
      <w:pPr>
        <w:autoSpaceDE w:val="0"/>
        <w:ind w:firstLine="480"/>
        <w:rPr>
          <w:color w:val="000000" w:themeColor="text1"/>
          <w14:textFill>
            <w14:solidFill>
              <w14:schemeClr w14:val="tx1"/>
            </w14:solidFill>
          </w14:textFill>
        </w:rPr>
      </w:pPr>
      <w:r>
        <w:rPr>
          <w:rFonts w:ascii="宋体" w:hAnsi="宋体"/>
          <w:color w:val="000000" w:themeColor="text1"/>
          <w14:textFill>
            <w14:solidFill>
              <w14:schemeClr w14:val="tx1"/>
            </w14:solidFill>
          </w14:textFill>
        </w:rPr>
        <w:t>（</w:t>
      </w:r>
      <w:r>
        <w:rPr>
          <w:color w:val="000000" w:themeColor="text1"/>
          <w14:textFill>
            <w14:solidFill>
              <w14:schemeClr w14:val="tx1"/>
            </w14:solidFill>
          </w14:textFill>
        </w:rPr>
        <w:t>4</w:t>
      </w:r>
      <w:r>
        <w:rPr>
          <w:rFonts w:ascii="宋体" w:hAnsi="宋体"/>
          <w:color w:val="000000" w:themeColor="text1"/>
          <w14:textFill>
            <w14:solidFill>
              <w14:schemeClr w14:val="tx1"/>
            </w14:solidFill>
          </w14:textFill>
        </w:rPr>
        <w:t>）根据有关环境噪声管理条例规定，船舶进入市区禁止使用汽笛，合理使用风笛、电笛。随着航道管理措施的进一步现代化，建议航运管理部门应逐步取消以鸣号作为船舶运行、联系、调度信号的手段，最终达到全面禁鸣。</w:t>
      </w:r>
    </w:p>
    <w:p w14:paraId="5F08391C">
      <w:pPr>
        <w:pStyle w:val="4"/>
        <w:rPr>
          <w:color w:val="000000" w:themeColor="text1"/>
          <w14:textFill>
            <w14:solidFill>
              <w14:schemeClr w14:val="tx1"/>
            </w14:solidFill>
          </w14:textFill>
        </w:rPr>
      </w:pPr>
      <w:bookmarkStart w:id="794" w:name="_Toc216103474"/>
      <w:bookmarkStart w:id="795" w:name="_Toc136878565"/>
      <w:bookmarkStart w:id="796" w:name="_Toc216620633"/>
      <w:r>
        <w:rPr>
          <w:color w:val="000000" w:themeColor="text1"/>
          <w14:textFill>
            <w14:solidFill>
              <w14:schemeClr w14:val="tx1"/>
            </w14:solidFill>
          </w14:textFill>
        </w:rPr>
        <w:t>固体废物环境保护措施</w:t>
      </w:r>
      <w:bookmarkEnd w:id="794"/>
      <w:bookmarkEnd w:id="795"/>
      <w:bookmarkEnd w:id="796"/>
    </w:p>
    <w:p w14:paraId="142A0873">
      <w:pPr>
        <w:pStyle w:val="6"/>
        <w:rPr>
          <w:color w:val="000000" w:themeColor="text1"/>
          <w14:textFill>
            <w14:solidFill>
              <w14:schemeClr w14:val="tx1"/>
            </w14:solidFill>
          </w14:textFill>
        </w:rPr>
      </w:pPr>
      <w:bookmarkStart w:id="797" w:name="_Toc29131902"/>
      <w:bookmarkStart w:id="798" w:name="_Toc25437042"/>
      <w:bookmarkStart w:id="799" w:name="_Toc26910089"/>
      <w:bookmarkStart w:id="800" w:name="_Toc135090300"/>
      <w:r>
        <w:rPr>
          <w:color w:val="000000" w:themeColor="text1"/>
          <w14:textFill>
            <w14:solidFill>
              <w14:schemeClr w14:val="tx1"/>
            </w14:solidFill>
          </w14:textFill>
        </w:rPr>
        <w:t>一般工业固废</w:t>
      </w:r>
      <w:bookmarkEnd w:id="797"/>
      <w:bookmarkEnd w:id="798"/>
      <w:bookmarkEnd w:id="799"/>
      <w:bookmarkEnd w:id="800"/>
    </w:p>
    <w:p w14:paraId="096CB888">
      <w:pPr>
        <w:ind w:firstLine="480"/>
        <w:rPr>
          <w:color w:val="000000" w:themeColor="text1"/>
          <w14:textFill>
            <w14:solidFill>
              <w14:schemeClr w14:val="tx1"/>
            </w14:solidFill>
          </w14:textFill>
        </w:rPr>
      </w:pPr>
      <w:r>
        <w:rPr>
          <w:color w:val="000000" w:themeColor="text1"/>
          <w14:textFill>
            <w14:solidFill>
              <w14:schemeClr w14:val="tx1"/>
            </w14:solidFill>
          </w14:textFill>
        </w:rPr>
        <w:t>（1）到港船舶固体废物</w:t>
      </w:r>
    </w:p>
    <w:p w14:paraId="24E4E032">
      <w:pPr>
        <w:ind w:firstLine="480"/>
        <w:rPr>
          <w:color w:val="000000" w:themeColor="text1"/>
          <w14:textFill>
            <w14:solidFill>
              <w14:schemeClr w14:val="tx1"/>
            </w14:solidFill>
          </w14:textFill>
        </w:rPr>
      </w:pPr>
      <w:r>
        <w:rPr>
          <w:color w:val="000000" w:themeColor="text1"/>
          <w14:textFill>
            <w14:solidFill>
              <w14:schemeClr w14:val="tx1"/>
            </w14:solidFill>
          </w14:textFill>
        </w:rPr>
        <w:t>到港船舶生活垃圾用密封式袋或桶盛装，统一收集上岸交由环卫部门清运；船舶保养产生的固体废物为交由有资质单位接收处理，禁止在港区金鼓江和钦州湾附近水域内丢弃垃圾。</w:t>
      </w:r>
    </w:p>
    <w:p w14:paraId="549004D1">
      <w:pPr>
        <w:ind w:firstLine="480"/>
        <w:rPr>
          <w:color w:val="000000" w:themeColor="text1"/>
          <w14:textFill>
            <w14:solidFill>
              <w14:schemeClr w14:val="tx1"/>
            </w14:solidFill>
          </w14:textFill>
        </w:rPr>
      </w:pPr>
      <w:r>
        <w:rPr>
          <w:color w:val="000000" w:themeColor="text1"/>
          <w14:textFill>
            <w14:solidFill>
              <w14:schemeClr w14:val="tx1"/>
            </w14:solidFill>
          </w14:textFill>
        </w:rPr>
        <w:t>（2）码头生活垃圾</w:t>
      </w:r>
    </w:p>
    <w:p w14:paraId="67B237CB">
      <w:pPr>
        <w:ind w:firstLine="480"/>
        <w:rPr>
          <w:color w:val="000000" w:themeColor="text1"/>
          <w14:textFill>
            <w14:solidFill>
              <w14:schemeClr w14:val="tx1"/>
            </w14:solidFill>
          </w14:textFill>
        </w:rPr>
      </w:pPr>
      <w:r>
        <w:rPr>
          <w:color w:val="000000" w:themeColor="text1"/>
          <w14:textFill>
            <w14:solidFill>
              <w14:schemeClr w14:val="tx1"/>
            </w14:solidFill>
          </w14:textFill>
        </w:rPr>
        <w:t>港区生活垃圾交环卫部门统一清运。</w:t>
      </w:r>
    </w:p>
    <w:p w14:paraId="40BB4491">
      <w:pPr>
        <w:pStyle w:val="6"/>
        <w:rPr>
          <w:color w:val="000000" w:themeColor="text1"/>
          <w14:textFill>
            <w14:solidFill>
              <w14:schemeClr w14:val="tx1"/>
            </w14:solidFill>
          </w14:textFill>
        </w:rPr>
      </w:pPr>
      <w:bookmarkStart w:id="801" w:name="_Toc26910091"/>
      <w:bookmarkStart w:id="802" w:name="_Toc135090301"/>
      <w:bookmarkStart w:id="803" w:name="_Toc25437044"/>
      <w:bookmarkStart w:id="804" w:name="_Toc29131904"/>
      <w:r>
        <w:rPr>
          <w:color w:val="000000" w:themeColor="text1"/>
          <w14:textFill>
            <w14:solidFill>
              <w14:schemeClr w14:val="tx1"/>
            </w14:solidFill>
          </w14:textFill>
        </w:rPr>
        <w:t>危废贮存场所（设施）污染防治措施</w:t>
      </w:r>
      <w:bookmarkEnd w:id="801"/>
      <w:bookmarkEnd w:id="802"/>
      <w:bookmarkEnd w:id="803"/>
      <w:bookmarkEnd w:id="804"/>
    </w:p>
    <w:p w14:paraId="632BD49C">
      <w:pPr>
        <w:ind w:firstLine="470" w:firstLineChars="196"/>
        <w:rPr>
          <w:color w:val="000000" w:themeColor="text1"/>
          <w14:textFill>
            <w14:solidFill>
              <w14:schemeClr w14:val="tx1"/>
            </w14:solidFill>
          </w14:textFill>
        </w:rPr>
      </w:pPr>
      <w:r>
        <w:rPr>
          <w:rFonts w:hint="eastAsia"/>
          <w:color w:val="000000" w:themeColor="text1"/>
          <w14:textFill>
            <w14:solidFill>
              <w14:schemeClr w14:val="tx1"/>
            </w14:solidFill>
          </w14:textFill>
        </w:rPr>
        <w:t>现状泊位于陆域厂区南部、引桥旁设置危废暂存间1座（见</w:t>
      </w:r>
      <w:r>
        <w:rPr>
          <w:rFonts w:hint="eastAsia" w:ascii="宋体" w:hAnsi="宋体"/>
          <w:color w:val="000000" w:themeColor="text1"/>
          <w14:textFill>
            <w14:solidFill>
              <w14:schemeClr w14:val="tx1"/>
            </w14:solidFill>
          </w14:textFill>
        </w:rPr>
        <w:t>章节2.1.2</w:t>
      </w:r>
      <w:r>
        <w:rPr>
          <w:rFonts w:hint="eastAsia"/>
          <w:color w:val="000000" w:themeColor="text1"/>
          <w14:textFill>
            <w14:solidFill>
              <w14:schemeClr w14:val="tx1"/>
            </w14:solidFill>
          </w14:textFill>
        </w:rPr>
        <w:t>）。新增管道维修过程中产生的含油或化学品的废布及棉纱属于危险固废，年产生量约0.05t/a，暂存于项目危废暂存间，定期交由钦州时昌再生资源有限公司接收处置（危险废物经营许可证编号：GXQZ2024001）。项目危废暂存间配套设置活性炭吸附装置，废气以无组织形式排放。</w:t>
      </w:r>
    </w:p>
    <w:p w14:paraId="5430CFB1">
      <w:pPr>
        <w:pStyle w:val="6"/>
        <w:rPr>
          <w:color w:val="000000" w:themeColor="text1"/>
          <w14:textFill>
            <w14:solidFill>
              <w14:schemeClr w14:val="tx1"/>
            </w14:solidFill>
          </w14:textFill>
        </w:rPr>
      </w:pPr>
      <w:r>
        <w:rPr>
          <w:color w:val="000000" w:themeColor="text1"/>
          <w14:textFill>
            <w14:solidFill>
              <w14:schemeClr w14:val="tx1"/>
            </w14:solidFill>
          </w14:textFill>
        </w:rPr>
        <w:t>依托危废措施可行性</w:t>
      </w:r>
    </w:p>
    <w:p w14:paraId="358CAAF8">
      <w:pPr>
        <w:ind w:firstLine="470" w:firstLineChars="196"/>
        <w:rPr>
          <w:color w:val="000000" w:themeColor="text1"/>
          <w14:textFill>
            <w14:solidFill>
              <w14:schemeClr w14:val="tx1"/>
            </w14:solidFill>
          </w14:textFill>
        </w:rPr>
      </w:pPr>
      <w:r>
        <w:rPr>
          <w:color w:val="000000" w:themeColor="text1"/>
          <w14:textFill>
            <w14:solidFill>
              <w14:schemeClr w14:val="tx1"/>
            </w14:solidFill>
          </w14:textFill>
        </w:rPr>
        <w:t>根据《钦州港金谷港区金鼓江作业区14号泊位码头（一期工程）竣工环境保护验收调查报告》，危废暂存间容积约</w:t>
      </w:r>
      <w:r>
        <w:rPr>
          <w:rFonts w:hint="eastAsia"/>
          <w:color w:val="000000" w:themeColor="text1"/>
          <w14:textFill>
            <w14:solidFill>
              <w14:schemeClr w14:val="tx1"/>
            </w14:solidFill>
          </w14:textFill>
        </w:rPr>
        <w:t>10m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，设施功能完善，项目年产生量0.05t/a，完全满足要求。</w:t>
      </w:r>
    </w:p>
    <w:p w14:paraId="3E133013">
      <w:pPr>
        <w:pStyle w:val="5"/>
        <w:rPr>
          <w:color w:val="000000" w:themeColor="text1"/>
          <w14:textFill>
            <w14:solidFill>
              <w14:schemeClr w14:val="tx1"/>
            </w14:solidFill>
          </w14:textFill>
        </w:rPr>
      </w:pPr>
      <w:bookmarkStart w:id="805" w:name="_Toc216620634"/>
      <w:r>
        <w:rPr>
          <w:color w:val="000000" w:themeColor="text1"/>
          <w14:textFill>
            <w14:solidFill>
              <w14:schemeClr w14:val="tx1"/>
            </w14:solidFill>
          </w14:textFill>
        </w:rPr>
        <w:t>生态环境保护措施</w:t>
      </w:r>
      <w:bookmarkEnd w:id="805"/>
    </w:p>
    <w:p w14:paraId="22555A13">
      <w:pPr>
        <w:ind w:firstLine="480"/>
        <w:rPr>
          <w:color w:val="000000" w:themeColor="text1"/>
          <w14:textFill>
            <w14:solidFill>
              <w14:schemeClr w14:val="tx1"/>
            </w14:solidFill>
          </w14:textFill>
        </w:rPr>
      </w:pPr>
      <w:r>
        <w:rPr>
          <w:color w:val="000000" w:themeColor="text1"/>
          <w14:textFill>
            <w14:solidFill>
              <w14:schemeClr w14:val="tx1"/>
            </w14:solidFill>
          </w14:textFill>
        </w:rPr>
        <w:t>发生危险事故溢油或化学品泄漏时，会对局部水域水生生物产生较大影响，对此提出以下生态环境保护措施：</w:t>
      </w:r>
    </w:p>
    <w:p w14:paraId="2B21CB94">
      <w:pPr>
        <w:ind w:firstLine="480"/>
        <w:rPr>
          <w:color w:val="000000" w:themeColor="text1"/>
          <w14:textFill>
            <w14:solidFill>
              <w14:schemeClr w14:val="tx1"/>
            </w14:solidFill>
          </w14:textFill>
        </w:rPr>
      </w:pPr>
      <w:r>
        <w:rPr>
          <w:color w:val="000000" w:themeColor="text1"/>
          <w14:textFill>
            <w14:solidFill>
              <w14:schemeClr w14:val="tx1"/>
            </w14:solidFill>
          </w14:textFill>
        </w:rPr>
        <w:t>（1）保护好项目影响水域水质，避免对该水域生境产生明显不利影响。严防事故排放，对水生生物造成直接伤害。</w:t>
      </w:r>
    </w:p>
    <w:p w14:paraId="260C2C19">
      <w:pPr>
        <w:ind w:firstLine="480"/>
        <w:rPr>
          <w:color w:val="000000" w:themeColor="text1"/>
          <w14:textFill>
            <w14:solidFill>
              <w14:schemeClr w14:val="tx1"/>
            </w14:solidFill>
          </w14:textFill>
        </w:rPr>
      </w:pPr>
      <w:r>
        <w:rPr>
          <w:color w:val="000000" w:themeColor="text1"/>
          <w14:textFill>
            <w14:solidFill>
              <w14:schemeClr w14:val="tx1"/>
            </w14:solidFill>
          </w14:textFill>
        </w:rPr>
        <w:t>（2）禁止在项目附近水域直接排污，避免污染金鼓江和钦州湾水质。</w:t>
      </w:r>
    </w:p>
    <w:p w14:paraId="3CCC169F">
      <w:pPr>
        <w:ind w:firstLine="480"/>
        <w:rPr>
          <w:color w:val="000000" w:themeColor="text1"/>
          <w14:textFill>
            <w14:solidFill>
              <w14:schemeClr w14:val="tx1"/>
            </w14:solidFill>
          </w14:textFill>
        </w:rPr>
      </w:pPr>
      <w:r>
        <w:rPr>
          <w:color w:val="000000" w:themeColor="text1"/>
          <w14:textFill>
            <w14:solidFill>
              <w14:schemeClr w14:val="tx1"/>
            </w14:solidFill>
          </w14:textFill>
        </w:rPr>
        <w:t>（3）加强管理，禁止捕捞濒危保护水生生物并设置水生生物保护警示牌，增强人员的环保意识。</w:t>
      </w:r>
    </w:p>
    <w:p w14:paraId="30A7CF65">
      <w:pPr>
        <w:ind w:firstLine="480"/>
        <w:rPr>
          <w:color w:val="000000" w:themeColor="text1"/>
          <w14:textFill>
            <w14:solidFill>
              <w14:schemeClr w14:val="tx1"/>
            </w14:solidFill>
          </w14:textFill>
        </w:rPr>
      </w:pPr>
      <w:r>
        <w:rPr>
          <w:color w:val="000000" w:themeColor="text1"/>
          <w14:textFill>
            <w14:solidFill>
              <w14:schemeClr w14:val="tx1"/>
            </w14:solidFill>
          </w14:textFill>
        </w:rPr>
        <w:t>（4）严格执行本报告提出的风险防范与应急措施，杜绝溢油和化学品泄漏事故发生，制定应急预案，一旦发生风险事故，及时实施油膜的拦截收集工作，尽量减少油膜扩散范围。</w:t>
      </w:r>
    </w:p>
    <w:p w14:paraId="55465E18">
      <w:pPr>
        <w:ind w:firstLine="439" w:firstLineChars="183"/>
        <w:rPr>
          <w:color w:val="000000" w:themeColor="text1"/>
          <w14:textFill>
            <w14:solidFill>
              <w14:schemeClr w14:val="tx1"/>
            </w14:solidFill>
          </w14:textFill>
        </w:rPr>
      </w:pPr>
      <w:r>
        <w:rPr>
          <w:color w:val="000000" w:themeColor="text1"/>
          <w14:textFill>
            <w14:solidFill>
              <w14:schemeClr w14:val="tx1"/>
            </w14:solidFill>
          </w14:textFill>
        </w:rPr>
        <w:t>（5）风险事故造成金鼓江和钦州湾水生生物资源及生态造成损害的，应由事故责任人负责相关渔业损失费用。并在当地渔业主管部门的指导下采取必要修复措施，投放一些该流域常见鱼苗，对受损的水生生物资源、水产资源进行补偿。</w:t>
      </w:r>
    </w:p>
    <w:p w14:paraId="6D1994A9">
      <w:pPr>
        <w:pStyle w:val="5"/>
        <w:keepNext w:val="0"/>
        <w:keepLines w:val="0"/>
        <w:rPr>
          <w:color w:val="000000" w:themeColor="text1"/>
          <w14:textFill>
            <w14:solidFill>
              <w14:schemeClr w14:val="tx1"/>
            </w14:solidFill>
          </w14:textFill>
        </w:rPr>
      </w:pPr>
      <w:bookmarkStart w:id="806" w:name="_Toc216620635"/>
      <w:r>
        <w:rPr>
          <w:color w:val="000000" w:themeColor="text1"/>
          <w14:textFill>
            <w14:solidFill>
              <w14:schemeClr w14:val="tx1"/>
            </w14:solidFill>
          </w14:textFill>
        </w:rPr>
        <w:t>风险防范措施</w:t>
      </w:r>
      <w:bookmarkEnd w:id="806"/>
    </w:p>
    <w:p w14:paraId="61FFE37C">
      <w:pPr>
        <w:ind w:firstLine="480"/>
        <w:rPr>
          <w:color w:val="000000" w:themeColor="text1"/>
          <w14:textFill>
            <w14:solidFill>
              <w14:schemeClr w14:val="tx1"/>
            </w14:solidFill>
          </w14:textFill>
        </w:rPr>
      </w:pPr>
      <w:r>
        <w:rPr>
          <w:color w:val="000000" w:themeColor="text1"/>
          <w14:textFill>
            <w14:solidFill>
              <w14:schemeClr w14:val="tx1"/>
            </w14:solidFill>
          </w14:textFill>
        </w:rPr>
        <w:t>码头业主应参照本评价风险章节，尽快建立完善项目应急预案，码头应急预案应纳入工业园区、钦州市应急预案中。现有码头的风险防范措施能满足拟建项目风险防范要求，具体见风险评价章节，还应加强以下环保措施：</w:t>
      </w:r>
    </w:p>
    <w:p w14:paraId="760BDEB6">
      <w:pPr>
        <w:ind w:firstLine="480"/>
        <w:rPr>
          <w:color w:val="000000" w:themeColor="text1"/>
          <w14:textFill>
            <w14:solidFill>
              <w14:schemeClr w14:val="tx1"/>
            </w14:solidFill>
          </w14:textFill>
        </w:rPr>
      </w:pPr>
      <w:r>
        <w:rPr>
          <w:color w:val="000000" w:themeColor="text1"/>
          <w14:textFill>
            <w14:solidFill>
              <w14:schemeClr w14:val="tx1"/>
            </w14:solidFill>
          </w14:textFill>
        </w:rPr>
        <w:t>（1）严格按照相关设计规范选择安全可靠的工艺流程和设备，确保生产工艺安全可靠；按相关规范要求布置总平面布置，配套安全、消防等设备和措施。</w:t>
      </w:r>
    </w:p>
    <w:p w14:paraId="397234F6">
      <w:pPr>
        <w:ind w:firstLine="480"/>
        <w:rPr>
          <w:color w:val="000000" w:themeColor="text1"/>
          <w14:textFill>
            <w14:solidFill>
              <w14:schemeClr w14:val="tx1"/>
            </w14:solidFill>
          </w14:textFill>
        </w:rPr>
      </w:pPr>
      <w:r>
        <w:rPr>
          <w:color w:val="000000" w:themeColor="text1"/>
          <w14:textFill>
            <w14:solidFill>
              <w14:schemeClr w14:val="tx1"/>
            </w14:solidFill>
          </w14:textFill>
        </w:rPr>
        <w:t>（2）码头作业必须遵守操作规程，操作人员要求持证上岗。</w:t>
      </w:r>
    </w:p>
    <w:p w14:paraId="3FAA5198">
      <w:pPr>
        <w:ind w:firstLine="480"/>
        <w:rPr>
          <w:color w:val="000000" w:themeColor="text1"/>
          <w14:textFill>
            <w14:solidFill>
              <w14:schemeClr w14:val="tx1"/>
            </w14:solidFill>
          </w14:textFill>
        </w:rPr>
      </w:pPr>
      <w:r>
        <w:rPr>
          <w:color w:val="000000" w:themeColor="text1"/>
          <w14:textFill>
            <w14:solidFill>
              <w14:schemeClr w14:val="tx1"/>
            </w14:solidFill>
          </w14:textFill>
        </w:rPr>
        <w:t>（4）加强管理，完善船舶助航、导航、其他船舶禁航等安全措施；规范码头管理，建立健全码头安全营运、防治污染管理体系、设备设施的保养更新制度。</w:t>
      </w:r>
    </w:p>
    <w:p w14:paraId="75142416">
      <w:pPr>
        <w:ind w:firstLine="480"/>
        <w:rPr>
          <w:color w:val="000000" w:themeColor="text1"/>
          <w14:textFill>
            <w14:solidFill>
              <w14:schemeClr w14:val="tx1"/>
            </w14:solidFill>
          </w14:textFill>
        </w:rPr>
      </w:pPr>
      <w:r>
        <w:rPr>
          <w:color w:val="000000" w:themeColor="text1"/>
          <w14:textFill>
            <w14:solidFill>
              <w14:schemeClr w14:val="tx1"/>
            </w14:solidFill>
          </w14:textFill>
        </w:rPr>
        <w:t>（5）</w:t>
      </w:r>
      <w:r>
        <w:rPr>
          <w:rFonts w:hint="eastAsia"/>
          <w:color w:val="0000FF"/>
          <w:lang w:val="en-US" w:eastAsia="zh-CN"/>
        </w:rPr>
        <w:t>本项目</w:t>
      </w:r>
      <w:r>
        <w:rPr>
          <w:color w:val="0000FF"/>
        </w:rPr>
        <w:t>根据《港口码头水上污染事故应急防备能力要求》（JT/T451-2017）配备风险应急物资。</w:t>
      </w:r>
    </w:p>
    <w:p w14:paraId="1B08F75E">
      <w:pPr>
        <w:pStyle w:val="5"/>
        <w:rPr>
          <w:color w:val="000000" w:themeColor="text1"/>
          <w14:textFill>
            <w14:solidFill>
              <w14:schemeClr w14:val="tx1"/>
            </w14:solidFill>
          </w14:textFill>
        </w:rPr>
      </w:pPr>
      <w:bookmarkStart w:id="807" w:name="_Toc216620636"/>
      <w:r>
        <w:rPr>
          <w:color w:val="000000" w:themeColor="text1"/>
          <w14:textFill>
            <w14:solidFill>
              <w14:schemeClr w14:val="tx1"/>
            </w14:solidFill>
          </w14:textFill>
        </w:rPr>
        <w:t>工程环保投资一览表</w:t>
      </w:r>
      <w:bookmarkEnd w:id="807"/>
    </w:p>
    <w:p w14:paraId="1968B21A">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本项目环保投资为</w:t>
      </w:r>
      <w:r>
        <w:rPr>
          <w:rFonts w:hint="eastAsia"/>
          <w:color w:val="000000" w:themeColor="text1"/>
          <w14:textFill>
            <w14:solidFill>
              <w14:schemeClr w14:val="tx1"/>
            </w14:solidFill>
          </w14:textFill>
        </w:rPr>
        <w:t>96.0</w:t>
      </w:r>
      <w:r>
        <w:rPr>
          <w:color w:val="000000" w:themeColor="text1"/>
          <w14:textFill>
            <w14:solidFill>
              <w14:schemeClr w14:val="tx1"/>
            </w14:solidFill>
          </w14:textFill>
        </w:rPr>
        <w:t>万元，占项目总投资</w:t>
      </w:r>
      <w:r>
        <w:rPr>
          <w:rFonts w:hint="eastAsia"/>
          <w:color w:val="000000" w:themeColor="text1"/>
          <w14:textFill>
            <w14:solidFill>
              <w14:schemeClr w14:val="tx1"/>
            </w14:solidFill>
          </w14:textFill>
        </w:rPr>
        <w:t>750</w:t>
      </w:r>
      <w:r>
        <w:rPr>
          <w:color w:val="000000" w:themeColor="text1"/>
          <w14:textFill>
            <w14:solidFill>
              <w14:schemeClr w14:val="tx1"/>
            </w14:solidFill>
          </w14:textFill>
        </w:rPr>
        <w:t>万元的</w:t>
      </w:r>
      <w:r>
        <w:rPr>
          <w:rFonts w:hint="eastAsia"/>
          <w:color w:val="000000" w:themeColor="text1"/>
          <w14:textFill>
            <w14:solidFill>
              <w14:schemeClr w14:val="tx1"/>
            </w14:solidFill>
          </w14:textFill>
        </w:rPr>
        <w:t>12.8</w:t>
      </w:r>
      <w:r>
        <w:rPr>
          <w:color w:val="000000" w:themeColor="text1"/>
          <w14:textFill>
            <w14:solidFill>
              <w14:schemeClr w14:val="tx1"/>
            </w14:solidFill>
          </w14:textFill>
        </w:rPr>
        <w:t>%。</w:t>
      </w:r>
    </w:p>
    <w:p w14:paraId="4E61010E">
      <w:pPr>
        <w:pStyle w:val="7"/>
        <w:rPr>
          <w:color w:val="000000" w:themeColor="text1"/>
          <w14:textFill>
            <w14:solidFill>
              <w14:schemeClr w14:val="tx1"/>
            </w14:solidFill>
          </w14:textFill>
        </w:rPr>
      </w:pPr>
      <w:r>
        <w:rPr>
          <w:color w:val="000000" w:themeColor="text1"/>
          <w14:textFill>
            <w14:solidFill>
              <w14:schemeClr w14:val="tx1"/>
            </w14:solidFill>
          </w14:textFill>
        </w:rPr>
        <w:t>环保措施投资估算</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57"/>
        <w:gridCol w:w="1404"/>
        <w:gridCol w:w="1993"/>
        <w:gridCol w:w="861"/>
        <w:gridCol w:w="2216"/>
        <w:gridCol w:w="1145"/>
      </w:tblGrid>
      <w:tr w14:paraId="6A2C74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2061" w:type="dxa"/>
            <w:gridSpan w:val="2"/>
            <w:vAlign w:val="center"/>
          </w:tcPr>
          <w:p w14:paraId="7FE2A1C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项目</w:t>
            </w:r>
          </w:p>
        </w:tc>
        <w:tc>
          <w:tcPr>
            <w:tcW w:w="1993" w:type="dxa"/>
            <w:tcMar>
              <w:left w:w="28" w:type="dxa"/>
              <w:right w:w="28" w:type="dxa"/>
            </w:tcMar>
            <w:vAlign w:val="center"/>
          </w:tcPr>
          <w:p w14:paraId="1E765FD4">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内容或估算方法</w:t>
            </w:r>
          </w:p>
        </w:tc>
        <w:tc>
          <w:tcPr>
            <w:tcW w:w="861" w:type="dxa"/>
            <w:tcMar>
              <w:left w:w="28" w:type="dxa"/>
              <w:right w:w="28" w:type="dxa"/>
            </w:tcMar>
            <w:vAlign w:val="center"/>
          </w:tcPr>
          <w:p w14:paraId="7BB1E23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投资金额（万元）</w:t>
            </w:r>
          </w:p>
        </w:tc>
        <w:tc>
          <w:tcPr>
            <w:tcW w:w="2216" w:type="dxa"/>
            <w:tcMar>
              <w:left w:w="28" w:type="dxa"/>
              <w:right w:w="28" w:type="dxa"/>
            </w:tcMar>
            <w:vAlign w:val="center"/>
          </w:tcPr>
          <w:p w14:paraId="7BBD9C0B">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环境效益</w:t>
            </w:r>
          </w:p>
        </w:tc>
        <w:tc>
          <w:tcPr>
            <w:tcW w:w="1145" w:type="dxa"/>
            <w:tcMar>
              <w:left w:w="28" w:type="dxa"/>
              <w:right w:w="28" w:type="dxa"/>
            </w:tcMar>
            <w:vAlign w:val="center"/>
          </w:tcPr>
          <w:p w14:paraId="2B578BF5">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备注</w:t>
            </w:r>
          </w:p>
        </w:tc>
      </w:tr>
      <w:tr w14:paraId="1D2081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restart"/>
            <w:vAlign w:val="center"/>
          </w:tcPr>
          <w:p w14:paraId="1A21D14C">
            <w:pPr>
              <w:pStyle w:val="70"/>
              <w:rPr>
                <w:color w:val="000000" w:themeColor="text1"/>
                <w14:textFill>
                  <w14:solidFill>
                    <w14:schemeClr w14:val="tx1"/>
                  </w14:solidFill>
                </w14:textFill>
              </w:rPr>
            </w:pPr>
            <w:r>
              <w:rPr>
                <w:color w:val="000000" w:themeColor="text1"/>
                <w14:textFill>
                  <w14:solidFill>
                    <w14:schemeClr w14:val="tx1"/>
                  </w14:solidFill>
                </w14:textFill>
              </w:rPr>
              <w:t>大气</w:t>
            </w:r>
          </w:p>
        </w:tc>
        <w:tc>
          <w:tcPr>
            <w:tcW w:w="1404" w:type="dxa"/>
            <w:tcMar>
              <w:left w:w="28" w:type="dxa"/>
              <w:right w:w="28" w:type="dxa"/>
            </w:tcMar>
            <w:vAlign w:val="center"/>
          </w:tcPr>
          <w:p w14:paraId="6A2B25B0">
            <w:pPr>
              <w:pStyle w:val="70"/>
              <w:rPr>
                <w:color w:val="000000" w:themeColor="text1"/>
                <w14:textFill>
                  <w14:solidFill>
                    <w14:schemeClr w14:val="tx1"/>
                  </w14:solidFill>
                </w14:textFill>
              </w:rPr>
            </w:pPr>
            <w:r>
              <w:rPr>
                <w:color w:val="000000" w:themeColor="text1"/>
                <w14:textFill>
                  <w14:solidFill>
                    <w14:schemeClr w14:val="tx1"/>
                  </w14:solidFill>
                </w14:textFill>
              </w:rPr>
              <w:t>施工降尘</w:t>
            </w:r>
          </w:p>
        </w:tc>
        <w:tc>
          <w:tcPr>
            <w:tcW w:w="1993" w:type="dxa"/>
            <w:tcMar>
              <w:left w:w="28" w:type="dxa"/>
              <w:right w:w="28" w:type="dxa"/>
            </w:tcMar>
            <w:vAlign w:val="center"/>
          </w:tcPr>
          <w:p w14:paraId="2ED7D08D">
            <w:pPr>
              <w:pStyle w:val="70"/>
              <w:rPr>
                <w:color w:val="000000" w:themeColor="text1"/>
                <w14:textFill>
                  <w14:solidFill>
                    <w14:schemeClr w14:val="tx1"/>
                  </w14:solidFill>
                </w14:textFill>
              </w:rPr>
            </w:pPr>
            <w:r>
              <w:rPr>
                <w:color w:val="000000" w:themeColor="text1"/>
                <w14:textFill>
                  <w14:solidFill>
                    <w14:schemeClr w14:val="tx1"/>
                  </w14:solidFill>
                </w14:textFill>
              </w:rPr>
              <w:t>洒水降尘措施</w:t>
            </w:r>
          </w:p>
        </w:tc>
        <w:tc>
          <w:tcPr>
            <w:tcW w:w="861" w:type="dxa"/>
            <w:tcMar>
              <w:left w:w="28" w:type="dxa"/>
              <w:right w:w="28" w:type="dxa"/>
            </w:tcMar>
            <w:vAlign w:val="center"/>
          </w:tcPr>
          <w:p w14:paraId="73B989C5">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w:t>
            </w:r>
          </w:p>
        </w:tc>
        <w:tc>
          <w:tcPr>
            <w:tcW w:w="2216" w:type="dxa"/>
            <w:tcMar>
              <w:left w:w="28" w:type="dxa"/>
              <w:right w:w="28" w:type="dxa"/>
            </w:tcMar>
            <w:vAlign w:val="center"/>
          </w:tcPr>
          <w:p w14:paraId="56EDE836">
            <w:pPr>
              <w:pStyle w:val="70"/>
              <w:rPr>
                <w:color w:val="000000" w:themeColor="text1"/>
                <w14:textFill>
                  <w14:solidFill>
                    <w14:schemeClr w14:val="tx1"/>
                  </w14:solidFill>
                </w14:textFill>
              </w:rPr>
            </w:pPr>
            <w:r>
              <w:rPr>
                <w:color w:val="000000" w:themeColor="text1"/>
                <w14:textFill>
                  <w14:solidFill>
                    <w14:schemeClr w14:val="tx1"/>
                  </w14:solidFill>
                </w14:textFill>
              </w:rPr>
              <w:t>减轻空气污染（施工队自备洒水车）</w:t>
            </w:r>
          </w:p>
        </w:tc>
        <w:tc>
          <w:tcPr>
            <w:tcW w:w="1145" w:type="dxa"/>
            <w:tcMar>
              <w:left w:w="28" w:type="dxa"/>
              <w:right w:w="28" w:type="dxa"/>
            </w:tcMar>
            <w:vAlign w:val="center"/>
          </w:tcPr>
          <w:p w14:paraId="2DB4D3C3">
            <w:pPr>
              <w:pStyle w:val="70"/>
              <w:rPr>
                <w:color w:val="000000" w:themeColor="text1"/>
                <w14:textFill>
                  <w14:solidFill>
                    <w14:schemeClr w14:val="tx1"/>
                  </w14:solidFill>
                </w14:textFill>
              </w:rPr>
            </w:pPr>
            <w:r>
              <w:rPr>
                <w:color w:val="000000" w:themeColor="text1"/>
                <w14:textFill>
                  <w14:solidFill>
                    <w14:schemeClr w14:val="tx1"/>
                  </w14:solidFill>
                </w14:textFill>
              </w:rPr>
              <w:t>新增</w:t>
            </w:r>
          </w:p>
        </w:tc>
      </w:tr>
      <w:tr w14:paraId="4ECBC4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4" w:hRule="atLeast"/>
          <w:jc w:val="center"/>
        </w:trPr>
        <w:tc>
          <w:tcPr>
            <w:tcW w:w="657" w:type="dxa"/>
            <w:vMerge w:val="continue"/>
            <w:vAlign w:val="center"/>
          </w:tcPr>
          <w:p w14:paraId="1B8D5FBB">
            <w:pPr>
              <w:pStyle w:val="70"/>
              <w:rPr>
                <w:color w:val="000000" w:themeColor="text1"/>
                <w14:textFill>
                  <w14:solidFill>
                    <w14:schemeClr w14:val="tx1"/>
                  </w14:solidFill>
                </w14:textFill>
              </w:rPr>
            </w:pPr>
          </w:p>
        </w:tc>
        <w:tc>
          <w:tcPr>
            <w:tcW w:w="1404" w:type="dxa"/>
            <w:tcMar>
              <w:left w:w="28" w:type="dxa"/>
              <w:right w:w="28" w:type="dxa"/>
            </w:tcMar>
            <w:vAlign w:val="center"/>
          </w:tcPr>
          <w:p w14:paraId="7A0FC2BC">
            <w:pPr>
              <w:pStyle w:val="70"/>
              <w:rPr>
                <w:color w:val="000000" w:themeColor="text1"/>
                <w14:textFill>
                  <w14:solidFill>
                    <w14:schemeClr w14:val="tx1"/>
                  </w14:solidFill>
                </w14:textFill>
              </w:rPr>
            </w:pPr>
            <w:r>
              <w:rPr>
                <w:color w:val="000000" w:themeColor="text1"/>
                <w14:textFill>
                  <w14:solidFill>
                    <w14:schemeClr w14:val="tx1"/>
                  </w14:solidFill>
                </w14:textFill>
              </w:rPr>
              <w:t>扫线管道</w:t>
            </w:r>
          </w:p>
        </w:tc>
        <w:tc>
          <w:tcPr>
            <w:tcW w:w="1993" w:type="dxa"/>
            <w:tcMar>
              <w:left w:w="28" w:type="dxa"/>
              <w:right w:w="28" w:type="dxa"/>
            </w:tcMar>
            <w:vAlign w:val="center"/>
          </w:tcPr>
          <w:p w14:paraId="1A076CE6">
            <w:pPr>
              <w:pStyle w:val="70"/>
              <w:rPr>
                <w:color w:val="000000" w:themeColor="text1"/>
                <w14:textFill>
                  <w14:solidFill>
                    <w14:schemeClr w14:val="tx1"/>
                  </w14:solidFill>
                </w14:textFill>
              </w:rPr>
            </w:pPr>
            <w:r>
              <w:rPr>
                <w:color w:val="000000" w:themeColor="text1"/>
                <w14:textFill>
                  <w14:solidFill>
                    <w14:schemeClr w14:val="tx1"/>
                  </w14:solidFill>
                </w14:textFill>
              </w:rPr>
              <w:t>液相回收后，依托方厂区RTO</w:t>
            </w:r>
            <w:r>
              <w:rPr>
                <w:rFonts w:hint="eastAsia"/>
                <w:color w:val="000000" w:themeColor="text1"/>
                <w14:textFill>
                  <w14:solidFill>
                    <w14:schemeClr w14:val="tx1"/>
                  </w14:solidFill>
                </w14:textFill>
              </w:rPr>
              <w:t>蓄热式焚烧炉处理</w:t>
            </w:r>
          </w:p>
        </w:tc>
        <w:tc>
          <w:tcPr>
            <w:tcW w:w="861" w:type="dxa"/>
            <w:tcMar>
              <w:left w:w="28" w:type="dxa"/>
              <w:right w:w="28" w:type="dxa"/>
            </w:tcMar>
            <w:vAlign w:val="center"/>
          </w:tcPr>
          <w:p w14:paraId="1F1C118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16" w:type="dxa"/>
            <w:tcMar>
              <w:left w:w="28" w:type="dxa"/>
              <w:right w:w="28" w:type="dxa"/>
            </w:tcMar>
            <w:vAlign w:val="center"/>
          </w:tcPr>
          <w:p w14:paraId="1CDE63DA">
            <w:pPr>
              <w:pStyle w:val="70"/>
              <w:rPr>
                <w:color w:val="000000" w:themeColor="text1"/>
                <w14:textFill>
                  <w14:solidFill>
                    <w14:schemeClr w14:val="tx1"/>
                  </w14:solidFill>
                </w14:textFill>
              </w:rPr>
            </w:pPr>
            <w:r>
              <w:rPr>
                <w:color w:val="000000" w:themeColor="text1"/>
                <w14:textFill>
                  <w14:solidFill>
                    <w14:schemeClr w14:val="tx1"/>
                  </w14:solidFill>
                </w14:textFill>
              </w:rPr>
              <w:t>减小废气排放</w:t>
            </w:r>
          </w:p>
        </w:tc>
        <w:tc>
          <w:tcPr>
            <w:tcW w:w="1145" w:type="dxa"/>
            <w:tcMar>
              <w:left w:w="28" w:type="dxa"/>
              <w:right w:w="28" w:type="dxa"/>
            </w:tcMar>
            <w:vAlign w:val="center"/>
          </w:tcPr>
          <w:p w14:paraId="632120F1">
            <w:pPr>
              <w:pStyle w:val="70"/>
              <w:rPr>
                <w:color w:val="000000" w:themeColor="text1"/>
                <w14:textFill>
                  <w14:solidFill>
                    <w14:schemeClr w14:val="tx1"/>
                  </w14:solidFill>
                </w14:textFill>
              </w:rPr>
            </w:pPr>
            <w:r>
              <w:rPr>
                <w:color w:val="000000" w:themeColor="text1"/>
                <w14:textFill>
                  <w14:solidFill>
                    <w14:schemeClr w14:val="tx1"/>
                  </w14:solidFill>
                </w14:textFill>
              </w:rPr>
              <w:t>主体工程已有及依托</w:t>
            </w:r>
          </w:p>
        </w:tc>
      </w:tr>
      <w:tr w14:paraId="38D608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restart"/>
            <w:vAlign w:val="center"/>
          </w:tcPr>
          <w:p w14:paraId="380A42FB">
            <w:pPr>
              <w:pStyle w:val="70"/>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1404" w:type="dxa"/>
            <w:tcMar>
              <w:left w:w="28" w:type="dxa"/>
              <w:right w:w="28" w:type="dxa"/>
            </w:tcMar>
            <w:vAlign w:val="center"/>
          </w:tcPr>
          <w:p w14:paraId="6D6A51A3">
            <w:pPr>
              <w:pStyle w:val="70"/>
              <w:rPr>
                <w:color w:val="000000" w:themeColor="text1"/>
                <w14:textFill>
                  <w14:solidFill>
                    <w14:schemeClr w14:val="tx1"/>
                  </w14:solidFill>
                </w14:textFill>
              </w:rPr>
            </w:pPr>
            <w:r>
              <w:rPr>
                <w:color w:val="000000" w:themeColor="text1"/>
                <w14:textFill>
                  <w14:solidFill>
                    <w14:schemeClr w14:val="tx1"/>
                  </w14:solidFill>
                </w14:textFill>
              </w:rPr>
              <w:t>施工期固定</w:t>
            </w:r>
          </w:p>
          <w:p w14:paraId="4385E375">
            <w:pPr>
              <w:pStyle w:val="70"/>
              <w:rPr>
                <w:color w:val="000000" w:themeColor="text1"/>
                <w14:textFill>
                  <w14:solidFill>
                    <w14:schemeClr w14:val="tx1"/>
                  </w14:solidFill>
                </w14:textFill>
              </w:rPr>
            </w:pPr>
            <w:r>
              <w:rPr>
                <w:color w:val="000000" w:themeColor="text1"/>
                <w14:textFill>
                  <w14:solidFill>
                    <w14:schemeClr w14:val="tx1"/>
                  </w14:solidFill>
                </w14:textFill>
              </w:rPr>
              <w:t>设备降噪</w:t>
            </w:r>
          </w:p>
        </w:tc>
        <w:tc>
          <w:tcPr>
            <w:tcW w:w="1993" w:type="dxa"/>
            <w:tcMar>
              <w:left w:w="28" w:type="dxa"/>
              <w:right w:w="28" w:type="dxa"/>
            </w:tcMar>
            <w:vAlign w:val="center"/>
          </w:tcPr>
          <w:p w14:paraId="44626D6B">
            <w:pPr>
              <w:pStyle w:val="70"/>
              <w:rPr>
                <w:color w:val="000000" w:themeColor="text1"/>
                <w14:textFill>
                  <w14:solidFill>
                    <w14:schemeClr w14:val="tx1"/>
                  </w14:solidFill>
                </w14:textFill>
              </w:rPr>
            </w:pPr>
            <w:r>
              <w:rPr>
                <w:color w:val="000000" w:themeColor="text1"/>
                <w14:textFill>
                  <w14:solidFill>
                    <w14:schemeClr w14:val="tx1"/>
                  </w14:solidFill>
                </w14:textFill>
              </w:rPr>
              <w:t>隔声罩、防声耳塞、头盔</w:t>
            </w:r>
          </w:p>
        </w:tc>
        <w:tc>
          <w:tcPr>
            <w:tcW w:w="861" w:type="dxa"/>
            <w:tcMar>
              <w:left w:w="28" w:type="dxa"/>
              <w:right w:w="28" w:type="dxa"/>
            </w:tcMar>
            <w:vAlign w:val="center"/>
          </w:tcPr>
          <w:p w14:paraId="6F748A5C">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.0</w:t>
            </w:r>
          </w:p>
        </w:tc>
        <w:tc>
          <w:tcPr>
            <w:tcW w:w="2216" w:type="dxa"/>
            <w:tcMar>
              <w:left w:w="28" w:type="dxa"/>
              <w:right w:w="28" w:type="dxa"/>
            </w:tcMar>
            <w:vAlign w:val="center"/>
          </w:tcPr>
          <w:p w14:paraId="3D14A769">
            <w:pPr>
              <w:pStyle w:val="70"/>
              <w:rPr>
                <w:color w:val="000000" w:themeColor="text1"/>
                <w14:textFill>
                  <w14:solidFill>
                    <w14:schemeClr w14:val="tx1"/>
                  </w14:solidFill>
                </w14:textFill>
              </w:rPr>
            </w:pPr>
            <w:r>
              <w:rPr>
                <w:color w:val="000000" w:themeColor="text1"/>
                <w14:textFill>
                  <w14:solidFill>
                    <w14:schemeClr w14:val="tx1"/>
                  </w14:solidFill>
                </w14:textFill>
              </w:rPr>
              <w:t>减轻施工期设备噪声对环境的负面影响</w:t>
            </w:r>
          </w:p>
        </w:tc>
        <w:tc>
          <w:tcPr>
            <w:tcW w:w="1145" w:type="dxa"/>
            <w:tcMar>
              <w:left w:w="28" w:type="dxa"/>
              <w:right w:w="28" w:type="dxa"/>
            </w:tcMar>
            <w:vAlign w:val="center"/>
          </w:tcPr>
          <w:p w14:paraId="0AB0091D">
            <w:pPr>
              <w:pStyle w:val="70"/>
              <w:rPr>
                <w:color w:val="000000" w:themeColor="text1"/>
                <w14:textFill>
                  <w14:solidFill>
                    <w14:schemeClr w14:val="tx1"/>
                  </w14:solidFill>
                </w14:textFill>
              </w:rPr>
            </w:pPr>
            <w:r>
              <w:rPr>
                <w:color w:val="000000" w:themeColor="text1"/>
                <w14:textFill>
                  <w14:solidFill>
                    <w14:schemeClr w14:val="tx1"/>
                  </w14:solidFill>
                </w14:textFill>
              </w:rPr>
              <w:t>新增</w:t>
            </w:r>
          </w:p>
        </w:tc>
      </w:tr>
      <w:tr w14:paraId="1FB77E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continue"/>
            <w:vAlign w:val="center"/>
          </w:tcPr>
          <w:p w14:paraId="377A980B">
            <w:pPr>
              <w:pStyle w:val="70"/>
              <w:rPr>
                <w:color w:val="000000" w:themeColor="text1"/>
                <w14:textFill>
                  <w14:solidFill>
                    <w14:schemeClr w14:val="tx1"/>
                  </w14:solidFill>
                </w14:textFill>
              </w:rPr>
            </w:pPr>
          </w:p>
        </w:tc>
        <w:tc>
          <w:tcPr>
            <w:tcW w:w="1404" w:type="dxa"/>
            <w:tcMar>
              <w:left w:w="28" w:type="dxa"/>
              <w:right w:w="28" w:type="dxa"/>
            </w:tcMar>
            <w:vAlign w:val="center"/>
          </w:tcPr>
          <w:p w14:paraId="5698EC37">
            <w:pPr>
              <w:pStyle w:val="70"/>
              <w:rPr>
                <w:color w:val="000000" w:themeColor="text1"/>
                <w14:textFill>
                  <w14:solidFill>
                    <w14:schemeClr w14:val="tx1"/>
                  </w14:solidFill>
                </w14:textFill>
              </w:rPr>
            </w:pPr>
            <w:r>
              <w:rPr>
                <w:color w:val="000000" w:themeColor="text1"/>
                <w14:textFill>
                  <w14:solidFill>
                    <w14:schemeClr w14:val="tx1"/>
                  </w14:solidFill>
                </w14:textFill>
              </w:rPr>
              <w:t>营运期固定</w:t>
            </w:r>
          </w:p>
          <w:p w14:paraId="7EF83B5C">
            <w:pPr>
              <w:pStyle w:val="70"/>
              <w:rPr>
                <w:color w:val="000000" w:themeColor="text1"/>
                <w14:textFill>
                  <w14:solidFill>
                    <w14:schemeClr w14:val="tx1"/>
                  </w14:solidFill>
                </w14:textFill>
              </w:rPr>
            </w:pPr>
            <w:r>
              <w:rPr>
                <w:color w:val="000000" w:themeColor="text1"/>
                <w14:textFill>
                  <w14:solidFill>
                    <w14:schemeClr w14:val="tx1"/>
                  </w14:solidFill>
                </w14:textFill>
              </w:rPr>
              <w:t>设备降噪</w:t>
            </w:r>
          </w:p>
        </w:tc>
        <w:tc>
          <w:tcPr>
            <w:tcW w:w="1993" w:type="dxa"/>
            <w:tcMar>
              <w:left w:w="28" w:type="dxa"/>
              <w:right w:w="28" w:type="dxa"/>
            </w:tcMar>
            <w:vAlign w:val="center"/>
          </w:tcPr>
          <w:p w14:paraId="68D0330C">
            <w:pPr>
              <w:pStyle w:val="70"/>
              <w:rPr>
                <w:color w:val="000000" w:themeColor="text1"/>
                <w14:textFill>
                  <w14:solidFill>
                    <w14:schemeClr w14:val="tx1"/>
                  </w14:solidFill>
                </w14:textFill>
              </w:rPr>
            </w:pPr>
            <w:r>
              <w:rPr>
                <w:color w:val="0000FF"/>
              </w:rPr>
              <w:t>消声</w:t>
            </w:r>
            <w:r>
              <w:rPr>
                <w:rFonts w:hint="eastAsia"/>
                <w:color w:val="0000FF"/>
                <w:lang w:val="en-US" w:eastAsia="zh-CN"/>
              </w:rPr>
              <w:t>垫</w:t>
            </w:r>
            <w:r>
              <w:rPr>
                <w:color w:val="0000FF"/>
              </w:rPr>
              <w:t>、隔声罩</w:t>
            </w:r>
            <w:r>
              <w:rPr>
                <w:color w:val="000000" w:themeColor="text1"/>
                <w14:textFill>
                  <w14:solidFill>
                    <w14:schemeClr w14:val="tx1"/>
                  </w14:solidFill>
                </w14:textFill>
              </w:rPr>
              <w:t xml:space="preserve"> </w:t>
            </w:r>
          </w:p>
        </w:tc>
        <w:tc>
          <w:tcPr>
            <w:tcW w:w="861" w:type="dxa"/>
            <w:tcMar>
              <w:left w:w="28" w:type="dxa"/>
              <w:right w:w="28" w:type="dxa"/>
            </w:tcMar>
            <w:vAlign w:val="center"/>
          </w:tcPr>
          <w:p w14:paraId="3708B66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.0</w:t>
            </w:r>
          </w:p>
        </w:tc>
        <w:tc>
          <w:tcPr>
            <w:tcW w:w="2216" w:type="dxa"/>
            <w:tcMar>
              <w:left w:w="28" w:type="dxa"/>
              <w:right w:w="28" w:type="dxa"/>
            </w:tcMar>
            <w:vAlign w:val="center"/>
          </w:tcPr>
          <w:p w14:paraId="07CD9B98">
            <w:pPr>
              <w:pStyle w:val="70"/>
              <w:rPr>
                <w:color w:val="000000" w:themeColor="text1"/>
                <w14:textFill>
                  <w14:solidFill>
                    <w14:schemeClr w14:val="tx1"/>
                  </w14:solidFill>
                </w14:textFill>
              </w:rPr>
            </w:pPr>
            <w:r>
              <w:rPr>
                <w:color w:val="000000" w:themeColor="text1"/>
                <w14:textFill>
                  <w14:solidFill>
                    <w14:schemeClr w14:val="tx1"/>
                  </w14:solidFill>
                </w14:textFill>
              </w:rPr>
              <w:t>营运期降噪</w:t>
            </w:r>
          </w:p>
        </w:tc>
        <w:tc>
          <w:tcPr>
            <w:tcW w:w="1145" w:type="dxa"/>
            <w:tcMar>
              <w:left w:w="28" w:type="dxa"/>
              <w:right w:w="28" w:type="dxa"/>
            </w:tcMar>
            <w:vAlign w:val="center"/>
          </w:tcPr>
          <w:p w14:paraId="63958AF9">
            <w:pPr>
              <w:pStyle w:val="70"/>
              <w:rPr>
                <w:color w:val="000000" w:themeColor="text1"/>
                <w14:textFill>
                  <w14:solidFill>
                    <w14:schemeClr w14:val="tx1"/>
                  </w14:solidFill>
                </w14:textFill>
              </w:rPr>
            </w:pPr>
            <w:r>
              <w:rPr>
                <w:color w:val="000000" w:themeColor="text1"/>
                <w14:textFill>
                  <w14:solidFill>
                    <w14:schemeClr w14:val="tx1"/>
                  </w14:solidFill>
                </w14:textFill>
              </w:rPr>
              <w:t>新增</w:t>
            </w:r>
          </w:p>
        </w:tc>
      </w:tr>
      <w:tr w14:paraId="2CE538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restart"/>
            <w:vAlign w:val="center"/>
          </w:tcPr>
          <w:p w14:paraId="2FDA4EED">
            <w:pPr>
              <w:pStyle w:val="70"/>
              <w:rPr>
                <w:color w:val="000000" w:themeColor="text1"/>
                <w14:textFill>
                  <w14:solidFill>
                    <w14:schemeClr w14:val="tx1"/>
                  </w14:solidFill>
                </w14:textFill>
              </w:rPr>
            </w:pPr>
            <w:r>
              <w:rPr>
                <w:color w:val="000000" w:themeColor="text1"/>
                <w14:textFill>
                  <w14:solidFill>
                    <w14:schemeClr w14:val="tx1"/>
                  </w14:solidFill>
                </w14:textFill>
              </w:rPr>
              <w:t>废水</w:t>
            </w:r>
          </w:p>
        </w:tc>
        <w:tc>
          <w:tcPr>
            <w:tcW w:w="1404" w:type="dxa"/>
            <w:tcMar>
              <w:left w:w="28" w:type="dxa"/>
              <w:right w:w="28" w:type="dxa"/>
            </w:tcMar>
            <w:vAlign w:val="center"/>
          </w:tcPr>
          <w:p w14:paraId="2CE0785C">
            <w:pPr>
              <w:pStyle w:val="70"/>
              <w:rPr>
                <w:color w:val="000000" w:themeColor="text1"/>
                <w14:textFill>
                  <w14:solidFill>
                    <w14:schemeClr w14:val="tx1"/>
                  </w14:solidFill>
                </w14:textFill>
              </w:rPr>
            </w:pPr>
            <w:r>
              <w:rPr>
                <w:color w:val="000000" w:themeColor="text1"/>
                <w14:textFill>
                  <w14:solidFill>
                    <w14:schemeClr w14:val="tx1"/>
                  </w14:solidFill>
                </w14:textFill>
              </w:rPr>
              <w:t>试压废水</w:t>
            </w:r>
          </w:p>
        </w:tc>
        <w:tc>
          <w:tcPr>
            <w:tcW w:w="1993" w:type="dxa"/>
            <w:tcMar>
              <w:left w:w="28" w:type="dxa"/>
              <w:right w:w="28" w:type="dxa"/>
            </w:tcMar>
            <w:vAlign w:val="center"/>
          </w:tcPr>
          <w:p w14:paraId="32039FB8">
            <w:pPr>
              <w:pStyle w:val="70"/>
              <w:rPr>
                <w:color w:val="000000" w:themeColor="text1"/>
                <w14:textFill>
                  <w14:solidFill>
                    <w14:schemeClr w14:val="tx1"/>
                  </w14:solidFill>
                </w14:textFill>
              </w:rPr>
            </w:pPr>
            <w:r>
              <w:rPr>
                <w:color w:val="000000" w:themeColor="text1"/>
                <w14:textFill>
                  <w14:solidFill>
                    <w14:schemeClr w14:val="tx1"/>
                  </w14:solidFill>
                </w14:textFill>
              </w:rPr>
              <w:t>生产废水处理</w:t>
            </w:r>
          </w:p>
        </w:tc>
        <w:tc>
          <w:tcPr>
            <w:tcW w:w="861" w:type="dxa"/>
            <w:tcMar>
              <w:left w:w="28" w:type="dxa"/>
              <w:right w:w="28" w:type="dxa"/>
            </w:tcMar>
            <w:vAlign w:val="center"/>
          </w:tcPr>
          <w:p w14:paraId="143EFA8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2216" w:type="dxa"/>
            <w:tcMar>
              <w:left w:w="28" w:type="dxa"/>
              <w:right w:w="28" w:type="dxa"/>
            </w:tcMar>
            <w:vAlign w:val="center"/>
          </w:tcPr>
          <w:p w14:paraId="71DAA928">
            <w:pPr>
              <w:pStyle w:val="70"/>
              <w:rPr>
                <w:color w:val="000000" w:themeColor="text1"/>
                <w14:textFill>
                  <w14:solidFill>
                    <w14:schemeClr w14:val="tx1"/>
                  </w14:solidFill>
                </w14:textFill>
              </w:rPr>
            </w:pPr>
            <w:r>
              <w:rPr>
                <w:color w:val="000000" w:themeColor="text1"/>
                <w14:textFill>
                  <w14:solidFill>
                    <w14:schemeClr w14:val="tx1"/>
                  </w14:solidFill>
                </w14:textFill>
              </w:rPr>
              <w:t>依托污水处理厂</w:t>
            </w:r>
          </w:p>
        </w:tc>
        <w:tc>
          <w:tcPr>
            <w:tcW w:w="1145" w:type="dxa"/>
            <w:tcMar>
              <w:left w:w="28" w:type="dxa"/>
              <w:right w:w="28" w:type="dxa"/>
            </w:tcMar>
            <w:vAlign w:val="center"/>
          </w:tcPr>
          <w:p w14:paraId="0F1349DE">
            <w:pPr>
              <w:pStyle w:val="70"/>
              <w:rPr>
                <w:color w:val="000000" w:themeColor="text1"/>
                <w14:textFill>
                  <w14:solidFill>
                    <w14:schemeClr w14:val="tx1"/>
                  </w14:solidFill>
                </w14:textFill>
              </w:rPr>
            </w:pPr>
            <w:r>
              <w:rPr>
                <w:color w:val="000000" w:themeColor="text1"/>
                <w14:textFill>
                  <w14:solidFill>
                    <w14:schemeClr w14:val="tx1"/>
                  </w14:solidFill>
                </w14:textFill>
              </w:rPr>
              <w:t>新增</w:t>
            </w:r>
          </w:p>
        </w:tc>
      </w:tr>
      <w:tr w14:paraId="6B9DB9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continue"/>
            <w:vAlign w:val="center"/>
          </w:tcPr>
          <w:p w14:paraId="3BCFAFB6">
            <w:pPr>
              <w:pStyle w:val="70"/>
              <w:rPr>
                <w:color w:val="000000" w:themeColor="text1"/>
                <w14:textFill>
                  <w14:solidFill>
                    <w14:schemeClr w14:val="tx1"/>
                  </w14:solidFill>
                </w14:textFill>
              </w:rPr>
            </w:pPr>
          </w:p>
        </w:tc>
        <w:tc>
          <w:tcPr>
            <w:tcW w:w="1404" w:type="dxa"/>
            <w:tcMar>
              <w:left w:w="28" w:type="dxa"/>
              <w:right w:w="28" w:type="dxa"/>
            </w:tcMar>
            <w:vAlign w:val="center"/>
          </w:tcPr>
          <w:p w14:paraId="5A866848">
            <w:pPr>
              <w:pStyle w:val="70"/>
              <w:rPr>
                <w:color w:val="000000" w:themeColor="text1"/>
                <w14:textFill>
                  <w14:solidFill>
                    <w14:schemeClr w14:val="tx1"/>
                  </w14:solidFill>
                </w14:textFill>
              </w:rPr>
            </w:pPr>
            <w:r>
              <w:rPr>
                <w:color w:val="000000" w:themeColor="text1"/>
                <w14:textFill>
                  <w14:solidFill>
                    <w14:schemeClr w14:val="tx1"/>
                  </w14:solidFill>
                </w14:textFill>
              </w:rPr>
              <w:t>施工生活污水</w:t>
            </w:r>
          </w:p>
        </w:tc>
        <w:tc>
          <w:tcPr>
            <w:tcW w:w="1993" w:type="dxa"/>
            <w:tcMar>
              <w:left w:w="28" w:type="dxa"/>
              <w:right w:w="28" w:type="dxa"/>
            </w:tcMar>
            <w:vAlign w:val="center"/>
          </w:tcPr>
          <w:p w14:paraId="2BBCC319">
            <w:pPr>
              <w:pStyle w:val="70"/>
              <w:rPr>
                <w:color w:val="000000" w:themeColor="text1"/>
                <w14:textFill>
                  <w14:solidFill>
                    <w14:schemeClr w14:val="tx1"/>
                  </w14:solidFill>
                </w14:textFill>
              </w:rPr>
            </w:pPr>
            <w:r>
              <w:rPr>
                <w:color w:val="000000" w:themeColor="text1"/>
                <w14:textFill>
                  <w14:solidFill>
                    <w14:schemeClr w14:val="tx1"/>
                  </w14:solidFill>
                </w14:textFill>
              </w:rPr>
              <w:t xml:space="preserve">化粪池 </w:t>
            </w:r>
          </w:p>
        </w:tc>
        <w:tc>
          <w:tcPr>
            <w:tcW w:w="861" w:type="dxa"/>
            <w:tcMar>
              <w:left w:w="28" w:type="dxa"/>
              <w:right w:w="28" w:type="dxa"/>
            </w:tcMar>
            <w:vAlign w:val="center"/>
          </w:tcPr>
          <w:p w14:paraId="06A60DEA">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2216" w:type="dxa"/>
            <w:tcMar>
              <w:left w:w="28" w:type="dxa"/>
              <w:right w:w="28" w:type="dxa"/>
            </w:tcMar>
            <w:vAlign w:val="center"/>
          </w:tcPr>
          <w:p w14:paraId="7E942446">
            <w:pPr>
              <w:pStyle w:val="70"/>
              <w:rPr>
                <w:color w:val="000000" w:themeColor="text1"/>
                <w14:textFill>
                  <w14:solidFill>
                    <w14:schemeClr w14:val="tx1"/>
                  </w14:solidFill>
                </w14:textFill>
              </w:rPr>
            </w:pPr>
            <w:r>
              <w:rPr>
                <w:color w:val="000000" w:themeColor="text1"/>
                <w14:textFill>
                  <w14:solidFill>
                    <w14:schemeClr w14:val="tx1"/>
                  </w14:solidFill>
                </w14:textFill>
              </w:rPr>
              <w:t>施工生产废水处理后排放</w:t>
            </w:r>
          </w:p>
        </w:tc>
        <w:tc>
          <w:tcPr>
            <w:tcW w:w="1145" w:type="dxa"/>
            <w:tcMar>
              <w:left w:w="28" w:type="dxa"/>
              <w:right w:w="28" w:type="dxa"/>
            </w:tcMar>
            <w:vAlign w:val="center"/>
          </w:tcPr>
          <w:p w14:paraId="7D42A0B6">
            <w:pPr>
              <w:pStyle w:val="70"/>
              <w:rPr>
                <w:color w:val="000000" w:themeColor="text1"/>
                <w14:textFill>
                  <w14:solidFill>
                    <w14:schemeClr w14:val="tx1"/>
                  </w14:solidFill>
                </w14:textFill>
              </w:rPr>
            </w:pPr>
            <w:r>
              <w:rPr>
                <w:color w:val="000000" w:themeColor="text1"/>
                <w14:textFill>
                  <w14:solidFill>
                    <w14:schemeClr w14:val="tx1"/>
                  </w14:solidFill>
                </w14:textFill>
              </w:rPr>
              <w:t>新增</w:t>
            </w:r>
          </w:p>
        </w:tc>
      </w:tr>
      <w:tr w14:paraId="1F4CF4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continue"/>
            <w:vAlign w:val="center"/>
          </w:tcPr>
          <w:p w14:paraId="61918509">
            <w:pPr>
              <w:pStyle w:val="70"/>
              <w:rPr>
                <w:color w:val="000000" w:themeColor="text1"/>
                <w14:textFill>
                  <w14:solidFill>
                    <w14:schemeClr w14:val="tx1"/>
                  </w14:solidFill>
                </w14:textFill>
              </w:rPr>
            </w:pPr>
          </w:p>
        </w:tc>
        <w:tc>
          <w:tcPr>
            <w:tcW w:w="1404" w:type="dxa"/>
            <w:tcMar>
              <w:left w:w="28" w:type="dxa"/>
              <w:right w:w="28" w:type="dxa"/>
            </w:tcMar>
            <w:vAlign w:val="center"/>
          </w:tcPr>
          <w:p w14:paraId="100E138B">
            <w:pPr>
              <w:pStyle w:val="70"/>
              <w:rPr>
                <w:color w:val="000000" w:themeColor="text1"/>
                <w14:textFill>
                  <w14:solidFill>
                    <w14:schemeClr w14:val="tx1"/>
                  </w14:solidFill>
                </w14:textFill>
              </w:rPr>
            </w:pPr>
            <w:r>
              <w:rPr>
                <w:color w:val="000000" w:themeColor="text1"/>
                <w14:textFill>
                  <w14:solidFill>
                    <w14:schemeClr w14:val="tx1"/>
                  </w14:solidFill>
                </w14:textFill>
              </w:rPr>
              <w:t>船舶废水</w:t>
            </w:r>
          </w:p>
        </w:tc>
        <w:tc>
          <w:tcPr>
            <w:tcW w:w="1993" w:type="dxa"/>
            <w:tcMar>
              <w:left w:w="28" w:type="dxa"/>
              <w:right w:w="28" w:type="dxa"/>
            </w:tcMar>
            <w:vAlign w:val="center"/>
          </w:tcPr>
          <w:p w14:paraId="17C96B5F">
            <w:pPr>
              <w:pStyle w:val="70"/>
              <w:rPr>
                <w:color w:val="000000" w:themeColor="text1"/>
                <w14:textFill>
                  <w14:solidFill>
                    <w14:schemeClr w14:val="tx1"/>
                  </w14:solidFill>
                </w14:textFill>
              </w:rPr>
            </w:pPr>
            <w:r>
              <w:rPr>
                <w:color w:val="000000" w:themeColor="text1"/>
                <w14:textFill>
                  <w14:solidFill>
                    <w14:schemeClr w14:val="tx1"/>
                  </w14:solidFill>
                </w14:textFill>
              </w:rPr>
              <w:t>船舶污水</w:t>
            </w:r>
          </w:p>
        </w:tc>
        <w:tc>
          <w:tcPr>
            <w:tcW w:w="861" w:type="dxa"/>
            <w:tcMar>
              <w:left w:w="28" w:type="dxa"/>
              <w:right w:w="28" w:type="dxa"/>
            </w:tcMar>
            <w:vAlign w:val="center"/>
          </w:tcPr>
          <w:p w14:paraId="12A41785">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c>
          <w:tcPr>
            <w:tcW w:w="2216" w:type="dxa"/>
            <w:tcMar>
              <w:left w:w="28" w:type="dxa"/>
              <w:right w:w="28" w:type="dxa"/>
            </w:tcMar>
            <w:vAlign w:val="center"/>
          </w:tcPr>
          <w:p w14:paraId="41B94B93">
            <w:pPr>
              <w:pStyle w:val="70"/>
              <w:rPr>
                <w:color w:val="000000" w:themeColor="text1"/>
                <w14:textFill>
                  <w14:solidFill>
                    <w14:schemeClr w14:val="tx1"/>
                  </w14:solidFill>
                </w14:textFill>
              </w:rPr>
            </w:pPr>
            <w:r>
              <w:rPr>
                <w:color w:val="000000" w:themeColor="text1"/>
                <w14:textFill>
                  <w14:solidFill>
                    <w14:schemeClr w14:val="tx1"/>
                  </w14:solidFill>
                </w14:textFill>
              </w:rPr>
              <w:t>委托有资质单位处置</w:t>
            </w:r>
          </w:p>
        </w:tc>
        <w:tc>
          <w:tcPr>
            <w:tcW w:w="1145" w:type="dxa"/>
            <w:tcMar>
              <w:left w:w="28" w:type="dxa"/>
              <w:right w:w="28" w:type="dxa"/>
            </w:tcMar>
            <w:vAlign w:val="center"/>
          </w:tcPr>
          <w:p w14:paraId="54CAF924">
            <w:pPr>
              <w:pStyle w:val="70"/>
              <w:rPr>
                <w:color w:val="000000" w:themeColor="text1"/>
                <w14:textFill>
                  <w14:solidFill>
                    <w14:schemeClr w14:val="tx1"/>
                  </w14:solidFill>
                </w14:textFill>
              </w:rPr>
            </w:pPr>
            <w:r>
              <w:rPr>
                <w:color w:val="000000" w:themeColor="text1"/>
                <w14:textFill>
                  <w14:solidFill>
                    <w14:schemeClr w14:val="tx1"/>
                  </w14:solidFill>
                </w14:textFill>
              </w:rPr>
              <w:t>新增</w:t>
            </w:r>
          </w:p>
        </w:tc>
      </w:tr>
      <w:tr w14:paraId="1D7092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continue"/>
            <w:vAlign w:val="center"/>
          </w:tcPr>
          <w:p w14:paraId="657D9B41">
            <w:pPr>
              <w:pStyle w:val="70"/>
              <w:rPr>
                <w:color w:val="000000" w:themeColor="text1"/>
                <w14:textFill>
                  <w14:solidFill>
                    <w14:schemeClr w14:val="tx1"/>
                  </w14:solidFill>
                </w14:textFill>
              </w:rPr>
            </w:pPr>
          </w:p>
        </w:tc>
        <w:tc>
          <w:tcPr>
            <w:tcW w:w="1404" w:type="dxa"/>
            <w:tcMar>
              <w:left w:w="28" w:type="dxa"/>
              <w:right w:w="28" w:type="dxa"/>
            </w:tcMar>
            <w:vAlign w:val="center"/>
          </w:tcPr>
          <w:p w14:paraId="7E2F3611">
            <w:pPr>
              <w:pStyle w:val="70"/>
              <w:rPr>
                <w:color w:val="000000" w:themeColor="text1"/>
                <w14:textFill>
                  <w14:solidFill>
                    <w14:schemeClr w14:val="tx1"/>
                  </w14:solidFill>
                </w14:textFill>
              </w:rPr>
            </w:pPr>
            <w:r>
              <w:rPr>
                <w:color w:val="000000" w:themeColor="text1"/>
                <w14:textFill>
                  <w14:solidFill>
                    <w14:schemeClr w14:val="tx1"/>
                  </w14:solidFill>
                </w14:textFill>
              </w:rPr>
              <w:t>生产废水</w:t>
            </w:r>
          </w:p>
        </w:tc>
        <w:tc>
          <w:tcPr>
            <w:tcW w:w="1993" w:type="dxa"/>
            <w:tcMar>
              <w:left w:w="28" w:type="dxa"/>
              <w:right w:w="28" w:type="dxa"/>
            </w:tcMar>
            <w:vAlign w:val="center"/>
          </w:tcPr>
          <w:p w14:paraId="71DAB6AF">
            <w:pPr>
              <w:pStyle w:val="70"/>
              <w:rPr>
                <w:color w:val="000000" w:themeColor="text1"/>
                <w14:textFill>
                  <w14:solidFill>
                    <w14:schemeClr w14:val="tx1"/>
                  </w14:solidFill>
                </w14:textFill>
              </w:rPr>
            </w:pPr>
            <w:r>
              <w:rPr>
                <w:color w:val="000000" w:themeColor="text1"/>
                <w14:textFill>
                  <w14:solidFill>
                    <w14:schemeClr w14:val="tx1"/>
                  </w14:solidFill>
                </w14:textFill>
              </w:rPr>
              <w:t>初期雨水收集池及配套管沟</w:t>
            </w:r>
          </w:p>
        </w:tc>
        <w:tc>
          <w:tcPr>
            <w:tcW w:w="861" w:type="dxa"/>
            <w:tcMar>
              <w:left w:w="28" w:type="dxa"/>
              <w:right w:w="28" w:type="dxa"/>
            </w:tcMar>
            <w:vAlign w:val="center"/>
          </w:tcPr>
          <w:p w14:paraId="1833038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16" w:type="dxa"/>
            <w:tcMar>
              <w:left w:w="28" w:type="dxa"/>
              <w:right w:w="28" w:type="dxa"/>
            </w:tcMar>
            <w:vAlign w:val="center"/>
          </w:tcPr>
          <w:p w14:paraId="3ABB6D46">
            <w:pPr>
              <w:pStyle w:val="70"/>
              <w:rPr>
                <w:color w:val="000000" w:themeColor="text1"/>
                <w14:textFill>
                  <w14:solidFill>
                    <w14:schemeClr w14:val="tx1"/>
                  </w14:solidFill>
                </w14:textFill>
              </w:rPr>
            </w:pPr>
            <w:r>
              <w:rPr>
                <w:color w:val="000000" w:themeColor="text1"/>
                <w14:textFill>
                  <w14:solidFill>
                    <w14:schemeClr w14:val="tx1"/>
                  </w14:solidFill>
                </w14:textFill>
              </w:rPr>
              <w:t>减轻水环境污染</w:t>
            </w:r>
          </w:p>
        </w:tc>
        <w:tc>
          <w:tcPr>
            <w:tcW w:w="1145" w:type="dxa"/>
            <w:tcMar>
              <w:left w:w="28" w:type="dxa"/>
              <w:right w:w="28" w:type="dxa"/>
            </w:tcMar>
            <w:vAlign w:val="center"/>
          </w:tcPr>
          <w:p w14:paraId="08A0945D">
            <w:pPr>
              <w:pStyle w:val="70"/>
              <w:rPr>
                <w:color w:val="000000" w:themeColor="text1"/>
                <w14:textFill>
                  <w14:solidFill>
                    <w14:schemeClr w14:val="tx1"/>
                  </w14:solidFill>
                </w14:textFill>
              </w:rPr>
            </w:pPr>
            <w:r>
              <w:rPr>
                <w:color w:val="000000" w:themeColor="text1"/>
                <w14:textFill>
                  <w14:solidFill>
                    <w14:schemeClr w14:val="tx1"/>
                  </w14:solidFill>
                </w14:textFill>
              </w:rPr>
              <w:t>依托</w:t>
            </w:r>
          </w:p>
        </w:tc>
      </w:tr>
      <w:tr w14:paraId="29634B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69" w:hRule="atLeast"/>
          <w:jc w:val="center"/>
        </w:trPr>
        <w:tc>
          <w:tcPr>
            <w:tcW w:w="657" w:type="dxa"/>
            <w:vMerge w:val="restart"/>
            <w:vAlign w:val="center"/>
          </w:tcPr>
          <w:p w14:paraId="37F38DC1">
            <w:pPr>
              <w:pStyle w:val="70"/>
              <w:rPr>
                <w:color w:val="000000" w:themeColor="text1"/>
                <w14:textFill>
                  <w14:solidFill>
                    <w14:schemeClr w14:val="tx1"/>
                  </w14:solidFill>
                </w14:textFill>
              </w:rPr>
            </w:pPr>
            <w:r>
              <w:rPr>
                <w:color w:val="000000" w:themeColor="text1"/>
                <w14:textFill>
                  <w14:solidFill>
                    <w14:schemeClr w14:val="tx1"/>
                  </w14:solidFill>
                </w14:textFill>
              </w:rPr>
              <w:t>固废</w:t>
            </w:r>
          </w:p>
        </w:tc>
        <w:tc>
          <w:tcPr>
            <w:tcW w:w="1404" w:type="dxa"/>
            <w:tcMar>
              <w:left w:w="28" w:type="dxa"/>
              <w:right w:w="28" w:type="dxa"/>
            </w:tcMar>
            <w:vAlign w:val="center"/>
          </w:tcPr>
          <w:p w14:paraId="5030B967">
            <w:pPr>
              <w:pStyle w:val="70"/>
              <w:rPr>
                <w:color w:val="000000" w:themeColor="text1"/>
                <w14:textFill>
                  <w14:solidFill>
                    <w14:schemeClr w14:val="tx1"/>
                  </w14:solidFill>
                </w14:textFill>
              </w:rPr>
            </w:pPr>
            <w:r>
              <w:rPr>
                <w:color w:val="000000" w:themeColor="text1"/>
                <w14:textFill>
                  <w14:solidFill>
                    <w14:schemeClr w14:val="tx1"/>
                  </w14:solidFill>
                </w14:textFill>
              </w:rPr>
              <w:t>施工垃圾清运</w:t>
            </w:r>
          </w:p>
        </w:tc>
        <w:tc>
          <w:tcPr>
            <w:tcW w:w="1993" w:type="dxa"/>
            <w:tcMar>
              <w:left w:w="28" w:type="dxa"/>
              <w:right w:w="28" w:type="dxa"/>
            </w:tcMar>
            <w:vAlign w:val="center"/>
          </w:tcPr>
          <w:p w14:paraId="3AE94E9F">
            <w:pPr>
              <w:pStyle w:val="70"/>
              <w:rPr>
                <w:color w:val="000000" w:themeColor="text1"/>
                <w14:textFill>
                  <w14:solidFill>
                    <w14:schemeClr w14:val="tx1"/>
                  </w14:solidFill>
                </w14:textFill>
              </w:rPr>
            </w:pPr>
            <w:r>
              <w:rPr>
                <w:color w:val="000000" w:themeColor="text1"/>
                <w14:textFill>
                  <w14:solidFill>
                    <w14:schemeClr w14:val="tx1"/>
                  </w14:solidFill>
                </w14:textFill>
              </w:rPr>
              <w:t>施工垃圾清运</w:t>
            </w:r>
          </w:p>
        </w:tc>
        <w:tc>
          <w:tcPr>
            <w:tcW w:w="861" w:type="dxa"/>
            <w:tcMar>
              <w:left w:w="28" w:type="dxa"/>
              <w:right w:w="28" w:type="dxa"/>
            </w:tcMar>
            <w:vAlign w:val="center"/>
          </w:tcPr>
          <w:p w14:paraId="419DE881">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.0</w:t>
            </w:r>
          </w:p>
        </w:tc>
        <w:tc>
          <w:tcPr>
            <w:tcW w:w="2216" w:type="dxa"/>
            <w:vMerge w:val="restart"/>
            <w:tcMar>
              <w:left w:w="28" w:type="dxa"/>
              <w:right w:w="28" w:type="dxa"/>
            </w:tcMar>
            <w:vAlign w:val="center"/>
          </w:tcPr>
          <w:p w14:paraId="374542B3">
            <w:pPr>
              <w:pStyle w:val="70"/>
              <w:rPr>
                <w:color w:val="000000" w:themeColor="text1"/>
                <w14:textFill>
                  <w14:solidFill>
                    <w14:schemeClr w14:val="tx1"/>
                  </w14:solidFill>
                </w14:textFill>
              </w:rPr>
            </w:pPr>
            <w:r>
              <w:rPr>
                <w:color w:val="000000" w:themeColor="text1"/>
                <w14:textFill>
                  <w14:solidFill>
                    <w14:schemeClr w14:val="tx1"/>
                  </w14:solidFill>
                </w14:textFill>
              </w:rPr>
              <w:t>避免垃圾、废油等随意丢弃，影响景观</w:t>
            </w:r>
          </w:p>
        </w:tc>
        <w:tc>
          <w:tcPr>
            <w:tcW w:w="1145" w:type="dxa"/>
            <w:vMerge w:val="restart"/>
            <w:tcMar>
              <w:left w:w="28" w:type="dxa"/>
              <w:right w:w="28" w:type="dxa"/>
            </w:tcMar>
            <w:vAlign w:val="center"/>
          </w:tcPr>
          <w:p w14:paraId="058A1511">
            <w:pPr>
              <w:pStyle w:val="70"/>
              <w:rPr>
                <w:color w:val="000000" w:themeColor="text1"/>
                <w14:textFill>
                  <w14:solidFill>
                    <w14:schemeClr w14:val="tx1"/>
                  </w14:solidFill>
                </w14:textFill>
              </w:rPr>
            </w:pPr>
            <w:r>
              <w:rPr>
                <w:color w:val="000000" w:themeColor="text1"/>
                <w14:textFill>
                  <w14:solidFill>
                    <w14:schemeClr w14:val="tx1"/>
                  </w14:solidFill>
                </w14:textFill>
              </w:rPr>
              <w:t>新增</w:t>
            </w:r>
          </w:p>
        </w:tc>
      </w:tr>
      <w:tr w14:paraId="7720E4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continue"/>
            <w:vAlign w:val="center"/>
          </w:tcPr>
          <w:p w14:paraId="4F595B35">
            <w:pPr>
              <w:pStyle w:val="70"/>
              <w:rPr>
                <w:color w:val="000000" w:themeColor="text1"/>
                <w14:textFill>
                  <w14:solidFill>
                    <w14:schemeClr w14:val="tx1"/>
                  </w14:solidFill>
                </w14:textFill>
              </w:rPr>
            </w:pPr>
          </w:p>
        </w:tc>
        <w:tc>
          <w:tcPr>
            <w:tcW w:w="1404" w:type="dxa"/>
            <w:tcMar>
              <w:left w:w="28" w:type="dxa"/>
              <w:right w:w="28" w:type="dxa"/>
            </w:tcMar>
            <w:vAlign w:val="center"/>
          </w:tcPr>
          <w:p w14:paraId="254F07F0">
            <w:pPr>
              <w:pStyle w:val="70"/>
              <w:rPr>
                <w:color w:val="000000" w:themeColor="text1"/>
                <w14:textFill>
                  <w14:solidFill>
                    <w14:schemeClr w14:val="tx1"/>
                  </w14:solidFill>
                </w14:textFill>
              </w:rPr>
            </w:pPr>
            <w:r>
              <w:rPr>
                <w:color w:val="000000" w:themeColor="text1"/>
                <w14:textFill>
                  <w14:solidFill>
                    <w14:schemeClr w14:val="tx1"/>
                  </w14:solidFill>
                </w14:textFill>
              </w:rPr>
              <w:t>营运期一般垃圾收集</w:t>
            </w:r>
          </w:p>
        </w:tc>
        <w:tc>
          <w:tcPr>
            <w:tcW w:w="1993" w:type="dxa"/>
            <w:tcMar>
              <w:left w:w="28" w:type="dxa"/>
              <w:right w:w="28" w:type="dxa"/>
            </w:tcMar>
            <w:vAlign w:val="center"/>
          </w:tcPr>
          <w:p w14:paraId="082CA970">
            <w:pPr>
              <w:pStyle w:val="70"/>
              <w:rPr>
                <w:color w:val="000000" w:themeColor="text1"/>
                <w14:textFill>
                  <w14:solidFill>
                    <w14:schemeClr w14:val="tx1"/>
                  </w14:solidFill>
                </w14:textFill>
              </w:rPr>
            </w:pPr>
            <w:r>
              <w:rPr>
                <w:color w:val="000000" w:themeColor="text1"/>
                <w14:textFill>
                  <w14:solidFill>
                    <w14:schemeClr w14:val="tx1"/>
                  </w14:solidFill>
                </w14:textFill>
              </w:rPr>
              <w:t>垃圾桶，垃圾清运</w:t>
            </w:r>
          </w:p>
        </w:tc>
        <w:tc>
          <w:tcPr>
            <w:tcW w:w="861" w:type="dxa"/>
            <w:tcMar>
              <w:left w:w="28" w:type="dxa"/>
              <w:right w:w="28" w:type="dxa"/>
            </w:tcMar>
            <w:vAlign w:val="center"/>
          </w:tcPr>
          <w:p w14:paraId="288A2107">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2216" w:type="dxa"/>
            <w:vMerge w:val="continue"/>
            <w:tcMar>
              <w:left w:w="28" w:type="dxa"/>
              <w:right w:w="28" w:type="dxa"/>
            </w:tcMar>
            <w:vAlign w:val="center"/>
          </w:tcPr>
          <w:p w14:paraId="3259229E">
            <w:pPr>
              <w:pStyle w:val="70"/>
              <w:rPr>
                <w:color w:val="000000" w:themeColor="text1"/>
                <w14:textFill>
                  <w14:solidFill>
                    <w14:schemeClr w14:val="tx1"/>
                  </w14:solidFill>
                </w14:textFill>
              </w:rPr>
            </w:pPr>
          </w:p>
        </w:tc>
        <w:tc>
          <w:tcPr>
            <w:tcW w:w="1145" w:type="dxa"/>
            <w:vMerge w:val="continue"/>
            <w:tcMar>
              <w:left w:w="28" w:type="dxa"/>
              <w:right w:w="28" w:type="dxa"/>
            </w:tcMar>
            <w:vAlign w:val="center"/>
          </w:tcPr>
          <w:p w14:paraId="0DB457CF">
            <w:pPr>
              <w:pStyle w:val="70"/>
              <w:rPr>
                <w:color w:val="000000" w:themeColor="text1"/>
                <w14:textFill>
                  <w14:solidFill>
                    <w14:schemeClr w14:val="tx1"/>
                  </w14:solidFill>
                </w14:textFill>
              </w:rPr>
            </w:pPr>
          </w:p>
        </w:tc>
      </w:tr>
      <w:tr w14:paraId="220044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6" w:hRule="atLeast"/>
          <w:jc w:val="center"/>
        </w:trPr>
        <w:tc>
          <w:tcPr>
            <w:tcW w:w="657" w:type="dxa"/>
            <w:vMerge w:val="continue"/>
            <w:vAlign w:val="center"/>
          </w:tcPr>
          <w:p w14:paraId="0AF7011D">
            <w:pPr>
              <w:pStyle w:val="70"/>
              <w:rPr>
                <w:color w:val="000000" w:themeColor="text1"/>
                <w14:textFill>
                  <w14:solidFill>
                    <w14:schemeClr w14:val="tx1"/>
                  </w14:solidFill>
                </w14:textFill>
              </w:rPr>
            </w:pPr>
          </w:p>
        </w:tc>
        <w:tc>
          <w:tcPr>
            <w:tcW w:w="1404" w:type="dxa"/>
            <w:tcMar>
              <w:left w:w="28" w:type="dxa"/>
              <w:right w:w="28" w:type="dxa"/>
            </w:tcMar>
            <w:vAlign w:val="center"/>
          </w:tcPr>
          <w:p w14:paraId="584439A9">
            <w:pPr>
              <w:pStyle w:val="70"/>
              <w:rPr>
                <w:color w:val="000000" w:themeColor="text1"/>
                <w14:textFill>
                  <w14:solidFill>
                    <w14:schemeClr w14:val="tx1"/>
                  </w14:solidFill>
                </w14:textFill>
              </w:rPr>
            </w:pPr>
            <w:r>
              <w:rPr>
                <w:color w:val="000000" w:themeColor="text1"/>
                <w14:textFill>
                  <w14:solidFill>
                    <w14:schemeClr w14:val="tx1"/>
                  </w14:solidFill>
                </w14:textFill>
              </w:rPr>
              <w:t>危废</w:t>
            </w:r>
          </w:p>
        </w:tc>
        <w:tc>
          <w:tcPr>
            <w:tcW w:w="1993" w:type="dxa"/>
            <w:tcMar>
              <w:left w:w="28" w:type="dxa"/>
              <w:right w:w="28" w:type="dxa"/>
            </w:tcMar>
            <w:vAlign w:val="center"/>
          </w:tcPr>
          <w:p w14:paraId="02FDEF3E">
            <w:pPr>
              <w:pStyle w:val="70"/>
              <w:rPr>
                <w:color w:val="000000" w:themeColor="text1"/>
                <w14:textFill>
                  <w14:solidFill>
                    <w14:schemeClr w14:val="tx1"/>
                  </w14:solidFill>
                </w14:textFill>
              </w:rPr>
            </w:pPr>
            <w:r>
              <w:rPr>
                <w:color w:val="000000" w:themeColor="text1"/>
                <w14:textFill>
                  <w14:solidFill>
                    <w14:schemeClr w14:val="tx1"/>
                  </w14:solidFill>
                </w14:textFill>
              </w:rPr>
              <w:t>危废贮存间</w:t>
            </w:r>
          </w:p>
        </w:tc>
        <w:tc>
          <w:tcPr>
            <w:tcW w:w="861" w:type="dxa"/>
            <w:tcMar>
              <w:left w:w="28" w:type="dxa"/>
              <w:right w:w="28" w:type="dxa"/>
            </w:tcMar>
            <w:vAlign w:val="center"/>
          </w:tcPr>
          <w:p w14:paraId="1E77745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16" w:type="dxa"/>
            <w:tcMar>
              <w:left w:w="28" w:type="dxa"/>
              <w:right w:w="28" w:type="dxa"/>
            </w:tcMar>
            <w:vAlign w:val="center"/>
          </w:tcPr>
          <w:p w14:paraId="093DD442">
            <w:pPr>
              <w:pStyle w:val="70"/>
              <w:rPr>
                <w:color w:val="000000" w:themeColor="text1"/>
                <w14:textFill>
                  <w14:solidFill>
                    <w14:schemeClr w14:val="tx1"/>
                  </w14:solidFill>
                </w14:textFill>
              </w:rPr>
            </w:pPr>
            <w:r>
              <w:rPr>
                <w:color w:val="000000" w:themeColor="text1"/>
                <w14:textFill>
                  <w14:solidFill>
                    <w14:schemeClr w14:val="tx1"/>
                  </w14:solidFill>
                </w14:textFill>
              </w:rPr>
              <w:t>避免危废影响环境</w:t>
            </w:r>
          </w:p>
        </w:tc>
        <w:tc>
          <w:tcPr>
            <w:tcW w:w="1145" w:type="dxa"/>
            <w:tcMar>
              <w:left w:w="28" w:type="dxa"/>
              <w:right w:w="28" w:type="dxa"/>
            </w:tcMar>
            <w:vAlign w:val="center"/>
          </w:tcPr>
          <w:p w14:paraId="7AEACDBE">
            <w:pPr>
              <w:pStyle w:val="70"/>
              <w:rPr>
                <w:color w:val="000000" w:themeColor="text1"/>
                <w14:textFill>
                  <w14:solidFill>
                    <w14:schemeClr w14:val="tx1"/>
                  </w14:solidFill>
                </w14:textFill>
              </w:rPr>
            </w:pPr>
            <w:r>
              <w:rPr>
                <w:color w:val="000000" w:themeColor="text1"/>
                <w14:textFill>
                  <w14:solidFill>
                    <w14:schemeClr w14:val="tx1"/>
                  </w14:solidFill>
                </w14:textFill>
              </w:rPr>
              <w:t>依托</w:t>
            </w:r>
          </w:p>
        </w:tc>
      </w:tr>
      <w:tr w14:paraId="5888BB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restart"/>
            <w:vAlign w:val="center"/>
          </w:tcPr>
          <w:p w14:paraId="017815E5">
            <w:pPr>
              <w:pStyle w:val="70"/>
              <w:rPr>
                <w:color w:val="000000" w:themeColor="text1"/>
                <w14:textFill>
                  <w14:solidFill>
                    <w14:schemeClr w14:val="tx1"/>
                  </w14:solidFill>
                </w14:textFill>
              </w:rPr>
            </w:pPr>
            <w:r>
              <w:rPr>
                <w:color w:val="000000" w:themeColor="text1"/>
                <w14:textFill>
                  <w14:solidFill>
                    <w14:schemeClr w14:val="tx1"/>
                  </w14:solidFill>
                </w14:textFill>
              </w:rPr>
              <w:t>风险防范</w:t>
            </w:r>
          </w:p>
        </w:tc>
        <w:tc>
          <w:tcPr>
            <w:tcW w:w="1404" w:type="dxa"/>
            <w:tcMar>
              <w:left w:w="28" w:type="dxa"/>
              <w:right w:w="28" w:type="dxa"/>
            </w:tcMar>
            <w:vAlign w:val="center"/>
          </w:tcPr>
          <w:p w14:paraId="5D324E6C">
            <w:pPr>
              <w:pStyle w:val="70"/>
              <w:rPr>
                <w:color w:val="000000" w:themeColor="text1"/>
                <w14:textFill>
                  <w14:solidFill>
                    <w14:schemeClr w14:val="tx1"/>
                  </w14:solidFill>
                </w14:textFill>
              </w:rPr>
            </w:pPr>
            <w:r>
              <w:rPr>
                <w:color w:val="000000" w:themeColor="text1"/>
                <w14:textFill>
                  <w14:solidFill>
                    <w14:schemeClr w14:val="tx1"/>
                  </w14:solidFill>
                </w14:textFill>
              </w:rPr>
              <w:t>溢液事故应急设备</w:t>
            </w:r>
          </w:p>
        </w:tc>
        <w:tc>
          <w:tcPr>
            <w:tcW w:w="1993" w:type="dxa"/>
            <w:tcMar>
              <w:left w:w="28" w:type="dxa"/>
              <w:right w:w="28" w:type="dxa"/>
            </w:tcMar>
            <w:vAlign w:val="center"/>
          </w:tcPr>
          <w:p w14:paraId="71BBA424">
            <w:pPr>
              <w:pStyle w:val="70"/>
              <w:rPr>
                <w:color w:val="000000" w:themeColor="text1"/>
                <w14:textFill>
                  <w14:solidFill>
                    <w14:schemeClr w14:val="tx1"/>
                  </w14:solidFill>
                </w14:textFill>
              </w:rPr>
            </w:pPr>
            <w:r>
              <w:rPr>
                <w:color w:val="000000" w:themeColor="text1"/>
                <w14:textFill>
                  <w14:solidFill>
                    <w14:schemeClr w14:val="tx1"/>
                  </w14:solidFill>
                </w14:textFill>
              </w:rPr>
              <w:t>围油栏、收油机等相应风险应急设施等</w:t>
            </w:r>
          </w:p>
        </w:tc>
        <w:tc>
          <w:tcPr>
            <w:tcW w:w="861" w:type="dxa"/>
            <w:tcMar>
              <w:left w:w="28" w:type="dxa"/>
              <w:right w:w="28" w:type="dxa"/>
            </w:tcMar>
            <w:vAlign w:val="center"/>
          </w:tcPr>
          <w:p w14:paraId="4F19E18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16" w:type="dxa"/>
            <w:tcMar>
              <w:left w:w="28" w:type="dxa"/>
              <w:right w:w="28" w:type="dxa"/>
            </w:tcMar>
            <w:vAlign w:val="center"/>
          </w:tcPr>
          <w:p w14:paraId="3DF8D1B1">
            <w:pPr>
              <w:pStyle w:val="70"/>
              <w:rPr>
                <w:color w:val="000000" w:themeColor="text1"/>
                <w14:textFill>
                  <w14:solidFill>
                    <w14:schemeClr w14:val="tx1"/>
                  </w14:solidFill>
                </w14:textFill>
              </w:rPr>
            </w:pPr>
            <w:r>
              <w:rPr>
                <w:color w:val="000000" w:themeColor="text1"/>
                <w14:textFill>
                  <w14:solidFill>
                    <w14:schemeClr w14:val="tx1"/>
                  </w14:solidFill>
                </w14:textFill>
              </w:rPr>
              <w:t>防范事故溢液对海域环境影响</w:t>
            </w:r>
          </w:p>
        </w:tc>
        <w:tc>
          <w:tcPr>
            <w:tcW w:w="1145" w:type="dxa"/>
            <w:tcMar>
              <w:left w:w="28" w:type="dxa"/>
              <w:right w:w="28" w:type="dxa"/>
            </w:tcMar>
            <w:vAlign w:val="center"/>
          </w:tcPr>
          <w:p w14:paraId="20C8F292">
            <w:pPr>
              <w:pStyle w:val="70"/>
              <w:rPr>
                <w:color w:val="000000" w:themeColor="text1"/>
                <w14:textFill>
                  <w14:solidFill>
                    <w14:schemeClr w14:val="tx1"/>
                  </w14:solidFill>
                </w14:textFill>
              </w:rPr>
            </w:pPr>
            <w:r>
              <w:rPr>
                <w:color w:val="000000" w:themeColor="text1"/>
                <w14:textFill>
                  <w14:solidFill>
                    <w14:schemeClr w14:val="tx1"/>
                  </w14:solidFill>
                </w14:textFill>
              </w:rPr>
              <w:t>依托现有</w:t>
            </w:r>
          </w:p>
        </w:tc>
      </w:tr>
      <w:tr w14:paraId="21E20D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continue"/>
            <w:vAlign w:val="center"/>
          </w:tcPr>
          <w:p w14:paraId="7B5C2A83">
            <w:pPr>
              <w:pStyle w:val="70"/>
              <w:rPr>
                <w:bCs/>
                <w:color w:val="000000" w:themeColor="text1"/>
                <w14:textFill>
                  <w14:solidFill>
                    <w14:schemeClr w14:val="tx1"/>
                  </w14:solidFill>
                </w14:textFill>
              </w:rPr>
            </w:pPr>
          </w:p>
        </w:tc>
        <w:tc>
          <w:tcPr>
            <w:tcW w:w="1404" w:type="dxa"/>
            <w:tcMar>
              <w:left w:w="28" w:type="dxa"/>
              <w:right w:w="28" w:type="dxa"/>
            </w:tcMar>
            <w:vAlign w:val="center"/>
          </w:tcPr>
          <w:p w14:paraId="0AE6DACB">
            <w:pPr>
              <w:pStyle w:val="70"/>
              <w:rPr>
                <w:color w:val="000000" w:themeColor="text1"/>
                <w14:textFill>
                  <w14:solidFill>
                    <w14:schemeClr w14:val="tx1"/>
                  </w14:solidFill>
                </w14:textFill>
              </w:rPr>
            </w:pPr>
            <w:r>
              <w:rPr>
                <w:color w:val="000000" w:themeColor="text1"/>
                <w14:textFill>
                  <w14:solidFill>
                    <w14:schemeClr w14:val="tx1"/>
                  </w14:solidFill>
                </w14:textFill>
              </w:rPr>
              <w:t>事故池</w:t>
            </w:r>
          </w:p>
        </w:tc>
        <w:tc>
          <w:tcPr>
            <w:tcW w:w="1993" w:type="dxa"/>
            <w:tcMar>
              <w:left w:w="28" w:type="dxa"/>
              <w:right w:w="28" w:type="dxa"/>
            </w:tcMar>
            <w:vAlign w:val="center"/>
          </w:tcPr>
          <w:p w14:paraId="670B6BA3">
            <w:pPr>
              <w:pStyle w:val="70"/>
              <w:rPr>
                <w:color w:val="000000" w:themeColor="text1"/>
                <w14:textFill>
                  <w14:solidFill>
                    <w14:schemeClr w14:val="tx1"/>
                  </w14:solidFill>
                </w14:textFill>
              </w:rPr>
            </w:pPr>
            <w:r>
              <w:rPr>
                <w:color w:val="000000" w:themeColor="text1"/>
                <w14:textFill>
                  <w14:solidFill>
                    <w14:schemeClr w14:val="tx1"/>
                  </w14:solidFill>
                </w14:textFill>
              </w:rPr>
              <w:t>事故池</w:t>
            </w:r>
          </w:p>
        </w:tc>
        <w:tc>
          <w:tcPr>
            <w:tcW w:w="861" w:type="dxa"/>
            <w:tcMar>
              <w:left w:w="28" w:type="dxa"/>
              <w:right w:w="28" w:type="dxa"/>
            </w:tcMar>
            <w:vAlign w:val="center"/>
          </w:tcPr>
          <w:p w14:paraId="5C52A1B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16" w:type="dxa"/>
            <w:tcMar>
              <w:left w:w="28" w:type="dxa"/>
              <w:right w:w="28" w:type="dxa"/>
            </w:tcMar>
            <w:vAlign w:val="center"/>
          </w:tcPr>
          <w:p w14:paraId="23D36E29">
            <w:pPr>
              <w:pStyle w:val="70"/>
              <w:rPr>
                <w:color w:val="000000" w:themeColor="text1"/>
                <w14:textFill>
                  <w14:solidFill>
                    <w14:schemeClr w14:val="tx1"/>
                  </w14:solidFill>
                </w14:textFill>
              </w:rPr>
            </w:pPr>
            <w:r>
              <w:rPr>
                <w:color w:val="000000" w:themeColor="text1"/>
                <w14:textFill>
                  <w14:solidFill>
                    <w14:schemeClr w14:val="tx1"/>
                  </w14:solidFill>
                </w14:textFill>
              </w:rPr>
              <w:t>防范事故溢液对海域环境影响</w:t>
            </w:r>
          </w:p>
        </w:tc>
        <w:tc>
          <w:tcPr>
            <w:tcW w:w="1145" w:type="dxa"/>
            <w:tcMar>
              <w:left w:w="28" w:type="dxa"/>
              <w:right w:w="28" w:type="dxa"/>
            </w:tcMar>
            <w:vAlign w:val="center"/>
          </w:tcPr>
          <w:p w14:paraId="26E34AFA">
            <w:pPr>
              <w:pStyle w:val="70"/>
              <w:rPr>
                <w:color w:val="000000" w:themeColor="text1"/>
                <w14:textFill>
                  <w14:solidFill>
                    <w14:schemeClr w14:val="tx1"/>
                  </w14:solidFill>
                </w14:textFill>
              </w:rPr>
            </w:pPr>
            <w:r>
              <w:rPr>
                <w:color w:val="000000" w:themeColor="text1"/>
                <w14:textFill>
                  <w14:solidFill>
                    <w14:schemeClr w14:val="tx1"/>
                  </w14:solidFill>
                </w14:textFill>
              </w:rPr>
              <w:t>依托现有</w:t>
            </w:r>
          </w:p>
        </w:tc>
      </w:tr>
      <w:tr w14:paraId="1D8C8C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restart"/>
            <w:vAlign w:val="center"/>
          </w:tcPr>
          <w:p w14:paraId="78D05961">
            <w:pPr>
              <w:pStyle w:val="70"/>
              <w:rPr>
                <w:color w:val="000000" w:themeColor="text1"/>
                <w14:textFill>
                  <w14:solidFill>
                    <w14:schemeClr w14:val="tx1"/>
                  </w14:solidFill>
                </w14:textFill>
              </w:rPr>
            </w:pPr>
            <w:r>
              <w:rPr>
                <w:color w:val="000000" w:themeColor="text1"/>
                <w14:textFill>
                  <w14:solidFill>
                    <w14:schemeClr w14:val="tx1"/>
                  </w14:solidFill>
                </w14:textFill>
              </w:rPr>
              <w:t>环境管理</w:t>
            </w:r>
          </w:p>
        </w:tc>
        <w:tc>
          <w:tcPr>
            <w:tcW w:w="1404" w:type="dxa"/>
            <w:tcMar>
              <w:left w:w="28" w:type="dxa"/>
              <w:right w:w="28" w:type="dxa"/>
            </w:tcMar>
            <w:vAlign w:val="center"/>
          </w:tcPr>
          <w:p w14:paraId="2C44822D">
            <w:pPr>
              <w:pStyle w:val="70"/>
              <w:rPr>
                <w:color w:val="000000" w:themeColor="text1"/>
                <w14:textFill>
                  <w14:solidFill>
                    <w14:schemeClr w14:val="tx1"/>
                  </w14:solidFill>
                </w14:textFill>
              </w:rPr>
            </w:pPr>
            <w:r>
              <w:rPr>
                <w:color w:val="000000" w:themeColor="text1"/>
                <w14:textFill>
                  <w14:solidFill>
                    <w14:schemeClr w14:val="tx1"/>
                  </w14:solidFill>
                </w14:textFill>
              </w:rPr>
              <w:t>施工期</w:t>
            </w:r>
          </w:p>
          <w:p w14:paraId="05D6E09C">
            <w:pPr>
              <w:pStyle w:val="70"/>
              <w:rPr>
                <w:color w:val="000000" w:themeColor="text1"/>
                <w14:textFill>
                  <w14:solidFill>
                    <w14:schemeClr w14:val="tx1"/>
                  </w14:solidFill>
                </w14:textFill>
              </w:rPr>
            </w:pPr>
            <w:r>
              <w:rPr>
                <w:color w:val="000000" w:themeColor="text1"/>
                <w14:textFill>
                  <w14:solidFill>
                    <w14:schemeClr w14:val="tx1"/>
                  </w14:solidFill>
                </w14:textFill>
              </w:rPr>
              <w:t>环境监测</w:t>
            </w:r>
          </w:p>
        </w:tc>
        <w:tc>
          <w:tcPr>
            <w:tcW w:w="1993" w:type="dxa"/>
            <w:tcMar>
              <w:left w:w="28" w:type="dxa"/>
              <w:right w:w="28" w:type="dxa"/>
            </w:tcMar>
            <w:vAlign w:val="center"/>
          </w:tcPr>
          <w:p w14:paraId="522D938A">
            <w:pPr>
              <w:pStyle w:val="70"/>
              <w:rPr>
                <w:color w:val="000000" w:themeColor="text1"/>
                <w14:textFill>
                  <w14:solidFill>
                    <w14:schemeClr w14:val="tx1"/>
                  </w14:solidFill>
                </w14:textFill>
              </w:rPr>
            </w:pPr>
            <w:r>
              <w:rPr>
                <w:color w:val="000000" w:themeColor="text1"/>
                <w14:textFill>
                  <w14:solidFill>
                    <w14:schemeClr w14:val="tx1"/>
                  </w14:solidFill>
                </w14:textFill>
              </w:rPr>
              <w:t>水环境、声环境、环境空气监测</w:t>
            </w:r>
          </w:p>
        </w:tc>
        <w:tc>
          <w:tcPr>
            <w:tcW w:w="861" w:type="dxa"/>
            <w:tcMar>
              <w:left w:w="28" w:type="dxa"/>
              <w:right w:w="28" w:type="dxa"/>
            </w:tcMar>
            <w:vAlign w:val="center"/>
          </w:tcPr>
          <w:p w14:paraId="21FA10A3">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2216" w:type="dxa"/>
            <w:tcMar>
              <w:left w:w="28" w:type="dxa"/>
              <w:right w:w="28" w:type="dxa"/>
            </w:tcMar>
            <w:vAlign w:val="center"/>
          </w:tcPr>
          <w:p w14:paraId="5039E8E7">
            <w:pPr>
              <w:pStyle w:val="70"/>
              <w:rPr>
                <w:color w:val="000000" w:themeColor="text1"/>
                <w14:textFill>
                  <w14:solidFill>
                    <w14:schemeClr w14:val="tx1"/>
                  </w14:solidFill>
                </w14:textFill>
              </w:rPr>
            </w:pPr>
            <w:r>
              <w:rPr>
                <w:color w:val="000000" w:themeColor="text1"/>
                <w14:textFill>
                  <w14:solidFill>
                    <w14:schemeClr w14:val="tx1"/>
                  </w14:solidFill>
                </w14:textFill>
              </w:rPr>
              <w:t>掌握施工期环境变化并提出减缓措施</w:t>
            </w:r>
          </w:p>
        </w:tc>
        <w:tc>
          <w:tcPr>
            <w:tcW w:w="1145" w:type="dxa"/>
            <w:tcMar>
              <w:left w:w="28" w:type="dxa"/>
              <w:right w:w="28" w:type="dxa"/>
            </w:tcMar>
            <w:vAlign w:val="center"/>
          </w:tcPr>
          <w:p w14:paraId="4620F688">
            <w:pPr>
              <w:pStyle w:val="70"/>
              <w:rPr>
                <w:color w:val="000000" w:themeColor="text1"/>
                <w14:textFill>
                  <w14:solidFill>
                    <w14:schemeClr w14:val="tx1"/>
                  </w14:solidFill>
                </w14:textFill>
              </w:rPr>
            </w:pPr>
            <w:r>
              <w:rPr>
                <w:color w:val="000000" w:themeColor="text1"/>
                <w14:textFill>
                  <w14:solidFill>
                    <w14:schemeClr w14:val="tx1"/>
                  </w14:solidFill>
                </w14:textFill>
              </w:rPr>
              <w:t>新增</w:t>
            </w:r>
          </w:p>
        </w:tc>
      </w:tr>
      <w:tr w14:paraId="55B657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continue"/>
            <w:vAlign w:val="center"/>
          </w:tcPr>
          <w:p w14:paraId="306ECEB9">
            <w:pPr>
              <w:pStyle w:val="70"/>
              <w:rPr>
                <w:color w:val="000000" w:themeColor="text1"/>
                <w14:textFill>
                  <w14:solidFill>
                    <w14:schemeClr w14:val="tx1"/>
                  </w14:solidFill>
                </w14:textFill>
              </w:rPr>
            </w:pPr>
          </w:p>
        </w:tc>
        <w:tc>
          <w:tcPr>
            <w:tcW w:w="1404" w:type="dxa"/>
            <w:tcMar>
              <w:left w:w="28" w:type="dxa"/>
              <w:right w:w="28" w:type="dxa"/>
            </w:tcMar>
            <w:vAlign w:val="center"/>
          </w:tcPr>
          <w:p w14:paraId="73F03166">
            <w:pPr>
              <w:pStyle w:val="70"/>
              <w:rPr>
                <w:color w:val="000000" w:themeColor="text1"/>
                <w14:textFill>
                  <w14:solidFill>
                    <w14:schemeClr w14:val="tx1"/>
                  </w14:solidFill>
                </w14:textFill>
              </w:rPr>
            </w:pPr>
            <w:r>
              <w:rPr>
                <w:color w:val="000000" w:themeColor="text1"/>
                <w14:textFill>
                  <w14:solidFill>
                    <w14:schemeClr w14:val="tx1"/>
                  </w14:solidFill>
                </w14:textFill>
              </w:rPr>
              <w:t>运营期环境监测</w:t>
            </w:r>
          </w:p>
        </w:tc>
        <w:tc>
          <w:tcPr>
            <w:tcW w:w="1993" w:type="dxa"/>
            <w:tcMar>
              <w:left w:w="28" w:type="dxa"/>
              <w:right w:w="28" w:type="dxa"/>
            </w:tcMar>
            <w:vAlign w:val="center"/>
          </w:tcPr>
          <w:p w14:paraId="663135AC">
            <w:pPr>
              <w:pStyle w:val="70"/>
              <w:rPr>
                <w:color w:val="000000" w:themeColor="text1"/>
                <w14:textFill>
                  <w14:solidFill>
                    <w14:schemeClr w14:val="tx1"/>
                  </w14:solidFill>
                </w14:textFill>
              </w:rPr>
            </w:pPr>
            <w:r>
              <w:rPr>
                <w:color w:val="000000" w:themeColor="text1"/>
                <w14:textFill>
                  <w14:solidFill>
                    <w14:schemeClr w14:val="tx1"/>
                  </w14:solidFill>
                </w14:textFill>
              </w:rPr>
              <w:t>水环境、声环境、环境空气监测</w:t>
            </w:r>
          </w:p>
        </w:tc>
        <w:tc>
          <w:tcPr>
            <w:tcW w:w="861" w:type="dxa"/>
            <w:tcMar>
              <w:left w:w="28" w:type="dxa"/>
              <w:right w:w="28" w:type="dxa"/>
            </w:tcMar>
            <w:vAlign w:val="center"/>
          </w:tcPr>
          <w:p w14:paraId="5F1C4C6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2216" w:type="dxa"/>
            <w:tcMar>
              <w:left w:w="28" w:type="dxa"/>
              <w:right w:w="28" w:type="dxa"/>
            </w:tcMar>
            <w:vAlign w:val="center"/>
          </w:tcPr>
          <w:p w14:paraId="32B1CEF2">
            <w:pPr>
              <w:pStyle w:val="70"/>
              <w:rPr>
                <w:color w:val="000000" w:themeColor="text1"/>
                <w14:textFill>
                  <w14:solidFill>
                    <w14:schemeClr w14:val="tx1"/>
                  </w14:solidFill>
                </w14:textFill>
              </w:rPr>
            </w:pPr>
            <w:r>
              <w:rPr>
                <w:color w:val="000000" w:themeColor="text1"/>
                <w14:textFill>
                  <w14:solidFill>
                    <w14:schemeClr w14:val="tx1"/>
                  </w14:solidFill>
                </w14:textFill>
              </w:rPr>
              <w:t>掌握运营期环境变化并提出减缓措施</w:t>
            </w:r>
          </w:p>
        </w:tc>
        <w:tc>
          <w:tcPr>
            <w:tcW w:w="1145" w:type="dxa"/>
            <w:tcMar>
              <w:left w:w="28" w:type="dxa"/>
              <w:right w:w="28" w:type="dxa"/>
            </w:tcMar>
            <w:vAlign w:val="center"/>
          </w:tcPr>
          <w:p w14:paraId="713BE478">
            <w:pPr>
              <w:pStyle w:val="70"/>
              <w:rPr>
                <w:color w:val="000000" w:themeColor="text1"/>
                <w14:textFill>
                  <w14:solidFill>
                    <w14:schemeClr w14:val="tx1"/>
                  </w14:solidFill>
                </w14:textFill>
              </w:rPr>
            </w:pPr>
            <w:r>
              <w:rPr>
                <w:color w:val="000000" w:themeColor="text1"/>
                <w14:textFill>
                  <w14:solidFill>
                    <w14:schemeClr w14:val="tx1"/>
                  </w14:solidFill>
                </w14:textFill>
              </w:rPr>
              <w:t>新增</w:t>
            </w:r>
          </w:p>
        </w:tc>
      </w:tr>
      <w:tr w14:paraId="65FD0F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continue"/>
            <w:vAlign w:val="center"/>
          </w:tcPr>
          <w:p w14:paraId="79C55E48">
            <w:pPr>
              <w:pStyle w:val="70"/>
              <w:rPr>
                <w:color w:val="000000" w:themeColor="text1"/>
                <w14:textFill>
                  <w14:solidFill>
                    <w14:schemeClr w14:val="tx1"/>
                  </w14:solidFill>
                </w14:textFill>
              </w:rPr>
            </w:pPr>
          </w:p>
        </w:tc>
        <w:tc>
          <w:tcPr>
            <w:tcW w:w="1404" w:type="dxa"/>
            <w:tcMar>
              <w:left w:w="28" w:type="dxa"/>
              <w:right w:w="28" w:type="dxa"/>
            </w:tcMar>
            <w:vAlign w:val="center"/>
          </w:tcPr>
          <w:p w14:paraId="3C76F5D8">
            <w:pPr>
              <w:pStyle w:val="70"/>
              <w:rPr>
                <w:color w:val="000000" w:themeColor="text1"/>
                <w14:textFill>
                  <w14:solidFill>
                    <w14:schemeClr w14:val="tx1"/>
                  </w14:solidFill>
                </w14:textFill>
              </w:rPr>
            </w:pPr>
            <w:r>
              <w:rPr>
                <w:color w:val="000000" w:themeColor="text1"/>
                <w14:textFill>
                  <w14:solidFill>
                    <w14:schemeClr w14:val="tx1"/>
                  </w14:solidFill>
                </w14:textFill>
              </w:rPr>
              <w:t>竣工环保验收</w:t>
            </w:r>
          </w:p>
        </w:tc>
        <w:tc>
          <w:tcPr>
            <w:tcW w:w="1993" w:type="dxa"/>
            <w:tcMar>
              <w:left w:w="28" w:type="dxa"/>
              <w:right w:w="28" w:type="dxa"/>
            </w:tcMar>
            <w:vAlign w:val="center"/>
          </w:tcPr>
          <w:p w14:paraId="514CC94C">
            <w:pPr>
              <w:pStyle w:val="70"/>
              <w:rPr>
                <w:color w:val="000000" w:themeColor="text1"/>
                <w14:textFill>
                  <w14:solidFill>
                    <w14:schemeClr w14:val="tx1"/>
                  </w14:solidFill>
                </w14:textFill>
              </w:rPr>
            </w:pPr>
            <w:r>
              <w:rPr>
                <w:color w:val="000000" w:themeColor="text1"/>
                <w14:textFill>
                  <w14:solidFill>
                    <w14:schemeClr w14:val="tx1"/>
                  </w14:solidFill>
                </w14:textFill>
              </w:rPr>
              <w:t>组织环保设施及其监测竣工验收</w:t>
            </w:r>
          </w:p>
        </w:tc>
        <w:tc>
          <w:tcPr>
            <w:tcW w:w="861" w:type="dxa"/>
            <w:tcMar>
              <w:left w:w="28" w:type="dxa"/>
              <w:right w:w="28" w:type="dxa"/>
            </w:tcMar>
            <w:vAlign w:val="center"/>
          </w:tcPr>
          <w:p w14:paraId="605628B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2216" w:type="dxa"/>
            <w:tcMar>
              <w:left w:w="28" w:type="dxa"/>
              <w:right w:w="28" w:type="dxa"/>
            </w:tcMar>
            <w:vAlign w:val="center"/>
          </w:tcPr>
          <w:p w14:paraId="3580179D">
            <w:pPr>
              <w:pStyle w:val="70"/>
              <w:rPr>
                <w:color w:val="000000" w:themeColor="text1"/>
                <w14:textFill>
                  <w14:solidFill>
                    <w14:schemeClr w14:val="tx1"/>
                  </w14:solidFill>
                </w14:textFill>
              </w:rPr>
            </w:pPr>
            <w:r>
              <w:rPr>
                <w:color w:val="000000" w:themeColor="text1"/>
                <w14:textFill>
                  <w14:solidFill>
                    <w14:schemeClr w14:val="tx1"/>
                  </w14:solidFill>
                </w14:textFill>
              </w:rPr>
              <w:t>环保管理要求</w:t>
            </w:r>
          </w:p>
        </w:tc>
        <w:tc>
          <w:tcPr>
            <w:tcW w:w="1145" w:type="dxa"/>
            <w:tcMar>
              <w:left w:w="28" w:type="dxa"/>
              <w:right w:w="28" w:type="dxa"/>
            </w:tcMar>
            <w:vAlign w:val="center"/>
          </w:tcPr>
          <w:p w14:paraId="18B9D889">
            <w:pPr>
              <w:pStyle w:val="70"/>
              <w:rPr>
                <w:color w:val="000000" w:themeColor="text1"/>
                <w14:textFill>
                  <w14:solidFill>
                    <w14:schemeClr w14:val="tx1"/>
                  </w14:solidFill>
                </w14:textFill>
              </w:rPr>
            </w:pPr>
            <w:r>
              <w:rPr>
                <w:color w:val="000000" w:themeColor="text1"/>
                <w14:textFill>
                  <w14:solidFill>
                    <w14:schemeClr w14:val="tx1"/>
                  </w14:solidFill>
                </w14:textFill>
              </w:rPr>
              <w:t>新增</w:t>
            </w:r>
          </w:p>
        </w:tc>
      </w:tr>
      <w:tr w14:paraId="4CCF9C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054" w:type="dxa"/>
            <w:gridSpan w:val="3"/>
            <w:vAlign w:val="center"/>
          </w:tcPr>
          <w:p w14:paraId="2E2575E6">
            <w:pPr>
              <w:pStyle w:val="70"/>
              <w:rPr>
                <w:color w:val="000000" w:themeColor="text1"/>
                <w14:textFill>
                  <w14:solidFill>
                    <w14:schemeClr w14:val="tx1"/>
                  </w14:solidFill>
                </w14:textFill>
              </w:rPr>
            </w:pPr>
            <w:r>
              <w:rPr>
                <w:color w:val="000000" w:themeColor="text1"/>
                <w14:textFill>
                  <w14:solidFill>
                    <w14:schemeClr w14:val="tx1"/>
                  </w14:solidFill>
                </w14:textFill>
              </w:rPr>
              <w:t>合计</w:t>
            </w:r>
          </w:p>
        </w:tc>
        <w:tc>
          <w:tcPr>
            <w:tcW w:w="861" w:type="dxa"/>
            <w:tcMar>
              <w:left w:w="28" w:type="dxa"/>
              <w:right w:w="28" w:type="dxa"/>
            </w:tcMar>
            <w:vAlign w:val="center"/>
          </w:tcPr>
          <w:p w14:paraId="6173A622">
            <w:pPr>
              <w:pStyle w:val="70"/>
              <w:rPr>
                <w:b/>
                <w:color w:val="000000" w:themeColor="text1"/>
                <w14:textFill>
                  <w14:solidFill>
                    <w14:schemeClr w14:val="tx1"/>
                  </w14:solidFill>
                </w14:textFill>
              </w:rPr>
            </w:pPr>
            <w:r>
              <w:rPr>
                <w:rFonts w:hint="eastAsia"/>
                <w:b/>
                <w:color w:val="000000" w:themeColor="text1"/>
                <w14:textFill>
                  <w14:solidFill>
                    <w14:schemeClr w14:val="tx1"/>
                  </w14:solidFill>
                </w14:textFill>
              </w:rPr>
              <w:t>96.0</w:t>
            </w:r>
          </w:p>
        </w:tc>
        <w:tc>
          <w:tcPr>
            <w:tcW w:w="2216" w:type="dxa"/>
            <w:tcMar>
              <w:left w:w="28" w:type="dxa"/>
              <w:right w:w="28" w:type="dxa"/>
            </w:tcMar>
            <w:vAlign w:val="center"/>
          </w:tcPr>
          <w:p w14:paraId="6A9A573D">
            <w:pPr>
              <w:pStyle w:val="70"/>
              <w:rPr>
                <w:color w:val="000000" w:themeColor="text1"/>
                <w14:textFill>
                  <w14:solidFill>
                    <w14:schemeClr w14:val="tx1"/>
                  </w14:solidFill>
                </w14:textFill>
              </w:rPr>
            </w:pPr>
          </w:p>
        </w:tc>
        <w:tc>
          <w:tcPr>
            <w:tcW w:w="1145" w:type="dxa"/>
            <w:tcMar>
              <w:left w:w="28" w:type="dxa"/>
              <w:right w:w="28" w:type="dxa"/>
            </w:tcMar>
            <w:vAlign w:val="center"/>
          </w:tcPr>
          <w:p w14:paraId="0896FB75">
            <w:pPr>
              <w:pStyle w:val="70"/>
              <w:rPr>
                <w:color w:val="000000" w:themeColor="text1"/>
                <w14:textFill>
                  <w14:solidFill>
                    <w14:schemeClr w14:val="tx1"/>
                  </w14:solidFill>
                </w14:textFill>
              </w:rPr>
            </w:pPr>
          </w:p>
        </w:tc>
      </w:tr>
    </w:tbl>
    <w:p w14:paraId="686ACEE6">
      <w:pPr>
        <w:ind w:firstLine="480"/>
        <w:rPr>
          <w:color w:val="000000" w:themeColor="text1"/>
          <w14:textFill>
            <w14:solidFill>
              <w14:schemeClr w14:val="tx1"/>
            </w14:solidFill>
          </w14:textFill>
        </w:rPr>
      </w:pPr>
    </w:p>
    <w:p w14:paraId="0FECC806">
      <w:pPr>
        <w:ind w:firstLine="480"/>
        <w:rPr>
          <w:color w:val="000000" w:themeColor="text1"/>
          <w14:textFill>
            <w14:solidFill>
              <w14:schemeClr w14:val="tx1"/>
            </w14:solidFill>
          </w14:textFill>
        </w:rPr>
        <w:sectPr>
          <w:headerReference r:id="rId33" w:type="default"/>
          <w:pgSz w:w="11906" w:h="16838"/>
          <w:pgMar w:top="1440" w:right="1800" w:bottom="1440" w:left="1800" w:header="851" w:footer="680" w:gutter="0"/>
          <w:pgBorders>
            <w:top w:val="none" w:sz="0" w:space="0"/>
            <w:left w:val="none" w:sz="0" w:space="0"/>
            <w:bottom w:val="none" w:sz="0" w:space="0"/>
            <w:right w:val="none" w:sz="0" w:space="0"/>
          </w:pgBorders>
          <w:pgNumType w:fmt="numberInDash"/>
          <w:cols w:space="720" w:num="1"/>
          <w:docGrid w:type="lines" w:linePitch="312" w:charSpace="0"/>
        </w:sectPr>
      </w:pPr>
    </w:p>
    <w:p w14:paraId="74B59C2D">
      <w:pPr>
        <w:ind w:firstLine="480"/>
        <w:rPr>
          <w:color w:val="000000" w:themeColor="text1"/>
          <w14:textFill>
            <w14:solidFill>
              <w14:schemeClr w14:val="tx1"/>
            </w14:solidFill>
          </w14:textFill>
        </w:rPr>
      </w:pPr>
    </w:p>
    <w:p w14:paraId="3A416327">
      <w:pPr>
        <w:ind w:firstLine="480"/>
        <w:rPr>
          <w:color w:val="000000" w:themeColor="text1"/>
          <w14:textFill>
            <w14:solidFill>
              <w14:schemeClr w14:val="tx1"/>
            </w14:solidFill>
          </w14:textFill>
        </w:rPr>
      </w:pPr>
      <w:r>
        <w:rPr>
          <w:color w:val="000000" w:themeColor="text1"/>
          <w14:textFill>
            <w14:solidFill>
              <w14:schemeClr w14:val="tx1"/>
            </w14:solidFill>
          </w14:textFill>
        </w:rPr>
        <w:br w:type="page"/>
      </w:r>
    </w:p>
    <w:p w14:paraId="591DB2CA">
      <w:pPr>
        <w:pStyle w:val="3"/>
        <w:rPr>
          <w:color w:val="000000" w:themeColor="text1"/>
          <w14:textFill>
            <w14:solidFill>
              <w14:schemeClr w14:val="tx1"/>
            </w14:solidFill>
          </w14:textFill>
        </w:rPr>
      </w:pPr>
      <w:bookmarkStart w:id="808" w:name="_Toc216620637"/>
      <w:r>
        <w:rPr>
          <w:color w:val="000000" w:themeColor="text1"/>
          <w14:textFill>
            <w14:solidFill>
              <w14:schemeClr w14:val="tx1"/>
            </w14:solidFill>
          </w14:textFill>
        </w:rPr>
        <w:t>环境经济损益分析</w:t>
      </w:r>
      <w:bookmarkEnd w:id="808"/>
    </w:p>
    <w:p w14:paraId="07F4BF3D">
      <w:pPr>
        <w:pStyle w:val="5"/>
        <w:rPr>
          <w:color w:val="000000" w:themeColor="text1"/>
          <w14:textFill>
            <w14:solidFill>
              <w14:schemeClr w14:val="tx1"/>
            </w14:solidFill>
          </w14:textFill>
        </w:rPr>
      </w:pPr>
      <w:bookmarkStart w:id="809" w:name="_Toc135090305"/>
      <w:bookmarkStart w:id="810" w:name="_Toc216620638"/>
      <w:r>
        <w:rPr>
          <w:color w:val="000000" w:themeColor="text1"/>
          <w14:textFill>
            <w14:solidFill>
              <w14:schemeClr w14:val="tx1"/>
            </w14:solidFill>
          </w14:textFill>
        </w:rPr>
        <w:t>经济效益</w:t>
      </w:r>
      <w:bookmarkEnd w:id="809"/>
      <w:bookmarkEnd w:id="810"/>
    </w:p>
    <w:p w14:paraId="3D626CA4">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能促进钦州市、钦州港腹地工业快速发展，促进广西的石油化工产业中长期规划，可以充分发挥水运经济的优势，适应节能减排、环保和低碳经济的要求，如能发挥港区的规模能力，实现规模生产优势，本项目的效益将会更好。故本项目就经济而言是可行的。</w:t>
      </w:r>
    </w:p>
    <w:p w14:paraId="40981458">
      <w:pPr>
        <w:pStyle w:val="5"/>
        <w:rPr>
          <w:color w:val="000000" w:themeColor="text1"/>
          <w14:textFill>
            <w14:solidFill>
              <w14:schemeClr w14:val="tx1"/>
            </w14:solidFill>
          </w14:textFill>
        </w:rPr>
      </w:pPr>
      <w:bookmarkStart w:id="811" w:name="_Toc216620639"/>
      <w:bookmarkStart w:id="812" w:name="_Toc135090306"/>
      <w:r>
        <w:rPr>
          <w:color w:val="000000" w:themeColor="text1"/>
          <w14:textFill>
            <w14:solidFill>
              <w14:schemeClr w14:val="tx1"/>
            </w14:solidFill>
          </w14:textFill>
        </w:rPr>
        <w:t>社会效益</w:t>
      </w:r>
      <w:bookmarkEnd w:id="811"/>
      <w:bookmarkEnd w:id="812"/>
    </w:p>
    <w:p w14:paraId="60A5F91A">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建成后，由于项目投资规模的扩大使得对广西北部湾区域经济影响层次影响范围也逐渐扩大，社会影响区域的范围包括对区域产业空间布局、社会收入分配、市场竞争格局、地方财政收支、周边环境等方面带来一定程度的影响。</w:t>
      </w:r>
    </w:p>
    <w:p w14:paraId="062A225A">
      <w:pPr>
        <w:ind w:firstLine="480"/>
        <w:rPr>
          <w:color w:val="000000" w:themeColor="text1"/>
          <w14:textFill>
            <w14:solidFill>
              <w14:schemeClr w14:val="tx1"/>
            </w14:solidFill>
          </w14:textFill>
        </w:rPr>
      </w:pPr>
      <w:r>
        <w:rPr>
          <w:color w:val="000000" w:themeColor="text1"/>
          <w14:textFill>
            <w14:solidFill>
              <w14:schemeClr w14:val="tx1"/>
            </w14:solidFill>
          </w14:textFill>
        </w:rPr>
        <w:t>影响区域内受项目影响的机构和人群包括港口服务的相关生产企业、运输企业和个人、项目上马后新招聘的社会人员、地方政府财税部门和周边居住的居民等等。</w:t>
      </w:r>
    </w:p>
    <w:p w14:paraId="11D03B9A">
      <w:pPr>
        <w:ind w:firstLine="480"/>
        <w:rPr>
          <w:color w:val="000000" w:themeColor="text1"/>
          <w14:textFill>
            <w14:solidFill>
              <w14:schemeClr w14:val="tx1"/>
            </w14:solidFill>
          </w14:textFill>
        </w:rPr>
      </w:pPr>
      <w:r>
        <w:rPr>
          <w:color w:val="000000" w:themeColor="text1"/>
          <w14:textFill>
            <w14:solidFill>
              <w14:schemeClr w14:val="tx1"/>
            </w14:solidFill>
          </w14:textFill>
        </w:rPr>
        <w:t>项目可能导致的各种社会影响效果分为直接影响效果和间接影响果，直接影响果包括每年可为钦州石化产业园企业节省大量的装卸费用和运输费用，为地方创造一定数量的就业机会，为当地创造可观的税收益，由于项目征地所带来的一系列安置和环境问题，以及由于码头施工对周边环境和居民的影响等；间接影响效果由于项目的上马所带动的企业劳动力培训、职工社会保障投入增加、卫生保健和社区服务等。</w:t>
      </w:r>
    </w:p>
    <w:p w14:paraId="20561B55">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实施后，尤其是施工期间大量施工人员的进场，食品需求和日常生活用品的消耗均从当地购买，为当地居民增加了社会服务容量，所在地区的消费水平有所提高，同时对所在地区的居民收入带来积极影响，居民收入的提高主要是由于带动了运输业、服务业和制造业的发展，从而带动了当地居民收入的提高。</w:t>
      </w:r>
    </w:p>
    <w:p w14:paraId="1A80843B">
      <w:pPr>
        <w:pStyle w:val="5"/>
        <w:rPr>
          <w:color w:val="000000" w:themeColor="text1"/>
          <w14:textFill>
            <w14:solidFill>
              <w14:schemeClr w14:val="tx1"/>
            </w14:solidFill>
          </w14:textFill>
        </w:rPr>
      </w:pPr>
      <w:bookmarkStart w:id="813" w:name="_Toc135090307"/>
      <w:bookmarkStart w:id="814" w:name="_Toc216620640"/>
      <w:r>
        <w:rPr>
          <w:color w:val="000000" w:themeColor="text1"/>
          <w14:textFill>
            <w14:solidFill>
              <w14:schemeClr w14:val="tx1"/>
            </w14:solidFill>
          </w14:textFill>
        </w:rPr>
        <w:t>环境效益</w:t>
      </w:r>
      <w:bookmarkEnd w:id="813"/>
      <w:bookmarkEnd w:id="814"/>
    </w:p>
    <w:p w14:paraId="0D781116">
      <w:pPr>
        <w:ind w:firstLine="480"/>
        <w:rPr>
          <w:color w:val="000000" w:themeColor="text1"/>
          <w14:textFill>
            <w14:solidFill>
              <w14:schemeClr w14:val="tx1"/>
            </w14:solidFill>
          </w14:textFill>
        </w:rPr>
      </w:pPr>
      <w:r>
        <w:rPr>
          <w:color w:val="000000" w:themeColor="text1"/>
          <w14:textFill>
            <w14:solidFill>
              <w14:schemeClr w14:val="tx1"/>
            </w14:solidFill>
          </w14:textFill>
        </w:rPr>
        <w:t>（1）减少化工液体装卸过程中的损耗和挥发排放量，减轻大气环境影响</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目前化工液体最好的运输方式就是采用已被全球广泛应用的安全、稳定、高效的管道运输，本项目以管道输送代替铁路、公路运输，从而消除铁路、公路运输过程中产生的一定量大气污染物，如汽车尾气、二次扬尘等，由于管道输送采用密闭输送方式，运输过程中几乎没有物料损耗，有利于环境和生态保护，具有较好的环境效益。</w:t>
      </w:r>
    </w:p>
    <w:p w14:paraId="2BF3FC22">
      <w:pPr>
        <w:ind w:firstLine="480"/>
        <w:rPr>
          <w:color w:val="000000" w:themeColor="text1"/>
          <w14:textFill>
            <w14:solidFill>
              <w14:schemeClr w14:val="tx1"/>
            </w14:solidFill>
          </w14:textFill>
        </w:rPr>
      </w:pPr>
      <w:r>
        <w:rPr>
          <w:color w:val="000000" w:themeColor="text1"/>
          <w14:textFill>
            <w14:solidFill>
              <w14:schemeClr w14:val="tx1"/>
            </w14:solidFill>
          </w14:textFill>
        </w:rPr>
        <w:t>管道输送成品油与铁路、公路运输方式相比，挥发损耗要低很多，即管道运输方式散发到空气中烃类的量明显比铁路、公路少。因此，本项目在减少大气污染物排放，减轻大气环境影响方面效益显著。</w:t>
      </w:r>
    </w:p>
    <w:p w14:paraId="55B2EA39">
      <w:pPr>
        <w:ind w:firstLine="480"/>
        <w:rPr>
          <w:color w:val="000000" w:themeColor="text1"/>
          <w14:textFill>
            <w14:solidFill>
              <w14:schemeClr w14:val="tx1"/>
            </w14:solidFill>
          </w14:textFill>
        </w:rPr>
      </w:pPr>
      <w:r>
        <w:rPr>
          <w:color w:val="000000" w:themeColor="text1"/>
          <w14:textFill>
            <w14:solidFill>
              <w14:schemeClr w14:val="tx1"/>
            </w14:solidFill>
          </w14:textFill>
        </w:rPr>
        <w:t>（2）节省因交通运输而污染大气的治理费用</w:t>
      </w:r>
    </w:p>
    <w:p w14:paraId="76257152">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本项目的运输方式，减少了交通工具运输过程中排放的大气污染物，从而节省了因此带来的排污治理费。</w:t>
      </w:r>
    </w:p>
    <w:p w14:paraId="77CA6163">
      <w:pPr>
        <w:ind w:firstLine="480"/>
        <w:rPr>
          <w:color w:val="000000" w:themeColor="text1"/>
          <w14:textFill>
            <w14:solidFill>
              <w14:schemeClr w14:val="tx1"/>
            </w14:solidFill>
          </w14:textFill>
        </w:rPr>
      </w:pPr>
      <w:r>
        <w:rPr>
          <w:color w:val="000000" w:themeColor="text1"/>
          <w14:textFill>
            <w14:solidFill>
              <w14:schemeClr w14:val="tx1"/>
            </w14:solidFill>
          </w14:textFill>
        </w:rPr>
        <w:t>（3）事故风险低</w:t>
      </w:r>
    </w:p>
    <w:p w14:paraId="7D9FEAAB">
      <w:pPr>
        <w:ind w:firstLine="480"/>
        <w:rPr>
          <w:color w:val="000000" w:themeColor="text1"/>
          <w14:textFill>
            <w14:solidFill>
              <w14:schemeClr w14:val="tx1"/>
            </w14:solidFill>
          </w14:textFill>
        </w:rPr>
      </w:pPr>
      <w:r>
        <w:rPr>
          <w:color w:val="000000" w:themeColor="text1"/>
          <w14:textFill>
            <w14:solidFill>
              <w14:schemeClr w14:val="tx1"/>
            </w14:solidFill>
          </w14:textFill>
        </w:rPr>
        <w:t>据资料介绍，陆地管线可以接受的事故概率范围为10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数量级，现有的管道都采用了先进的防腐和保护措施，因此，与铁路、公路等运输方式相比，运输安全性高。</w:t>
      </w:r>
    </w:p>
    <w:p w14:paraId="3B23B552">
      <w:pPr>
        <w:ind w:firstLine="480"/>
        <w:rPr>
          <w:color w:val="000000" w:themeColor="text1"/>
          <w14:textFill>
            <w14:solidFill>
              <w14:schemeClr w14:val="tx1"/>
            </w14:solidFill>
          </w14:textFill>
        </w:rPr>
      </w:pPr>
      <w:r>
        <w:rPr>
          <w:color w:val="000000" w:themeColor="text1"/>
          <w14:textFill>
            <w14:solidFill>
              <w14:schemeClr w14:val="tx1"/>
            </w14:solidFill>
          </w14:textFill>
        </w:rPr>
        <w:t>（4）降低由环境空气污染引起的疾病</w:t>
      </w:r>
    </w:p>
    <w:p w14:paraId="468A7540">
      <w:pPr>
        <w:ind w:firstLine="480"/>
        <w:rPr>
          <w:color w:val="000000" w:themeColor="text1"/>
          <w14:textFill>
            <w14:solidFill>
              <w14:schemeClr w14:val="tx1"/>
            </w14:solidFill>
          </w14:textFill>
        </w:rPr>
      </w:pPr>
      <w:r>
        <w:rPr>
          <w:color w:val="000000" w:themeColor="text1"/>
          <w14:textFill>
            <w14:solidFill>
              <w14:schemeClr w14:val="tx1"/>
            </w14:solidFill>
          </w14:textFill>
        </w:rPr>
        <w:t>根据国内外统计资料介绍，环境空气污染可导致的疾病主要有慢性气管炎、哮喘、肺癌等。污染区（按二氧化硫超过国家二级标准计）比清洁区慢性气管炎发病率高9.4‰，肺、心病发病率高11‰。采用管道运输可减少交通运输排污，空气污染减轻，由此引发的发病率降低，因而相应减少治疗的医疗费及误工费。</w:t>
      </w:r>
    </w:p>
    <w:p w14:paraId="7EF1896F">
      <w:pPr>
        <w:pStyle w:val="5"/>
        <w:rPr>
          <w:color w:val="000000" w:themeColor="text1"/>
          <w14:textFill>
            <w14:solidFill>
              <w14:schemeClr w14:val="tx1"/>
            </w14:solidFill>
          </w14:textFill>
        </w:rPr>
      </w:pPr>
      <w:bookmarkStart w:id="815" w:name="_Toc135090308"/>
      <w:bookmarkStart w:id="816" w:name="_Toc216620641"/>
      <w:r>
        <w:rPr>
          <w:color w:val="000000" w:themeColor="text1"/>
          <w14:textFill>
            <w14:solidFill>
              <w14:schemeClr w14:val="tx1"/>
            </w14:solidFill>
          </w14:textFill>
        </w:rPr>
        <w:t>小结</w:t>
      </w:r>
      <w:bookmarkEnd w:id="815"/>
      <w:bookmarkEnd w:id="816"/>
    </w:p>
    <w:p w14:paraId="5AFB0536">
      <w:pPr>
        <w:ind w:firstLine="480"/>
        <w:rPr>
          <w:color w:val="000000" w:themeColor="text1"/>
          <w14:textFill>
            <w14:solidFill>
              <w14:schemeClr w14:val="tx1"/>
            </w14:solidFill>
          </w14:textFill>
        </w:rPr>
        <w:sectPr>
          <w:headerReference r:id="rId34" w:type="default"/>
          <w:type w:val="continuous"/>
          <w:pgSz w:w="11906" w:h="16838"/>
          <w:pgMar w:top="1440" w:right="1800" w:bottom="1440" w:left="1800" w:header="851" w:footer="680" w:gutter="0"/>
          <w:pgBorders>
            <w:top w:val="none" w:sz="0" w:space="0"/>
            <w:left w:val="none" w:sz="0" w:space="0"/>
            <w:bottom w:val="none" w:sz="0" w:space="0"/>
            <w:right w:val="none" w:sz="0" w:space="0"/>
          </w:pgBorders>
          <w:pgNumType w:fmt="numberInDash"/>
          <w:cols w:space="720" w:num="1"/>
          <w:docGrid w:type="lines" w:linePitch="312" w:charSpace="0"/>
        </w:sectPr>
      </w:pPr>
      <w:r>
        <w:rPr>
          <w:color w:val="000000" w:themeColor="text1"/>
          <w14:textFill>
            <w14:solidFill>
              <w14:schemeClr w14:val="tx1"/>
            </w14:solidFill>
          </w14:textFill>
        </w:rPr>
        <w:t>本项目环保投资为</w:t>
      </w:r>
      <w:r>
        <w:rPr>
          <w:rFonts w:hint="eastAsia"/>
          <w:color w:val="000000" w:themeColor="text1"/>
          <w14:textFill>
            <w14:solidFill>
              <w14:schemeClr w14:val="tx1"/>
            </w14:solidFill>
          </w14:textFill>
        </w:rPr>
        <w:t>96</w:t>
      </w:r>
      <w:r>
        <w:rPr>
          <w:color w:val="000000" w:themeColor="text1"/>
          <w14:textFill>
            <w14:solidFill>
              <w14:schemeClr w14:val="tx1"/>
            </w14:solidFill>
          </w14:textFill>
        </w:rPr>
        <w:t>万元，占项目总投资</w:t>
      </w:r>
      <w:r>
        <w:rPr>
          <w:rFonts w:hint="eastAsia"/>
          <w:color w:val="000000" w:themeColor="text1"/>
          <w14:textFill>
            <w14:solidFill>
              <w14:schemeClr w14:val="tx1"/>
            </w14:solidFill>
          </w14:textFill>
        </w:rPr>
        <w:t>750</w:t>
      </w:r>
      <w:r>
        <w:rPr>
          <w:color w:val="000000" w:themeColor="text1"/>
          <w14:textFill>
            <w14:solidFill>
              <w14:schemeClr w14:val="tx1"/>
            </w14:solidFill>
          </w14:textFill>
        </w:rPr>
        <w:t>万元的</w:t>
      </w:r>
      <w:r>
        <w:rPr>
          <w:rFonts w:hint="eastAsia"/>
          <w:color w:val="000000" w:themeColor="text1"/>
          <w14:textFill>
            <w14:solidFill>
              <w14:schemeClr w14:val="tx1"/>
            </w14:solidFill>
          </w14:textFill>
        </w:rPr>
        <w:t>12.8</w:t>
      </w:r>
      <w:r>
        <w:rPr>
          <w:color w:val="000000" w:themeColor="text1"/>
          <w14:textFill>
            <w14:solidFill>
              <w14:schemeClr w14:val="tx1"/>
            </w14:solidFill>
          </w14:textFill>
        </w:rPr>
        <w:t>%。综合</w:t>
      </w:r>
      <w:r>
        <w:rPr>
          <w:rFonts w:hint="eastAsia"/>
          <w:color w:val="000000" w:themeColor="text1"/>
          <w:lang w:eastAsia="zh-CN"/>
          <w14:textFill>
            <w14:solidFill>
              <w14:schemeClr w14:val="tx1"/>
            </w14:solidFill>
          </w14:textFill>
        </w:rPr>
        <w:t>考虑其他</w:t>
      </w:r>
      <w:r>
        <w:rPr>
          <w:color w:val="000000" w:themeColor="text1"/>
          <w14:textFill>
            <w14:solidFill>
              <w14:schemeClr w14:val="tx1"/>
            </w14:solidFill>
          </w14:textFill>
        </w:rPr>
        <w:t>无法用货币表征的环境效益和社会效益，本项目环保投资经济合理，所采取的环保措施在经济上是合理可行的，各项环保措施不仅较大程度</w:t>
      </w:r>
      <w:r>
        <w:rPr>
          <w:rFonts w:hint="eastAsia"/>
          <w:color w:val="000000" w:themeColor="text1"/>
          <w:lang w:eastAsia="zh-CN"/>
          <w14:textFill>
            <w14:solidFill>
              <w14:schemeClr w14:val="tx1"/>
            </w14:solidFill>
          </w14:textFill>
        </w:rPr>
        <w:t>地</w:t>
      </w:r>
      <w:r>
        <w:rPr>
          <w:color w:val="000000" w:themeColor="text1"/>
          <w14:textFill>
            <w14:solidFill>
              <w14:schemeClr w14:val="tx1"/>
            </w14:solidFill>
          </w14:textFill>
        </w:rPr>
        <w:t>减缓项目对环境产生的不利影响，还可以产生经济效益，其环境效益较显著。从环境经济观点的角度看，项目环保措施是合理可行的。</w:t>
      </w:r>
    </w:p>
    <w:p w14:paraId="02E814BB">
      <w:pPr>
        <w:pStyle w:val="3"/>
        <w:rPr>
          <w:color w:val="000000" w:themeColor="text1"/>
          <w14:textFill>
            <w14:solidFill>
              <w14:schemeClr w14:val="tx1"/>
            </w14:solidFill>
          </w14:textFill>
        </w:rPr>
      </w:pPr>
      <w:bookmarkStart w:id="817" w:name="_Toc216620642"/>
      <w:r>
        <w:rPr>
          <w:color w:val="000000" w:themeColor="text1"/>
          <w14:textFill>
            <w14:solidFill>
              <w14:schemeClr w14:val="tx1"/>
            </w14:solidFill>
          </w14:textFill>
        </w:rPr>
        <w:t>环境管理与监测计划</w:t>
      </w:r>
      <w:bookmarkEnd w:id="817"/>
    </w:p>
    <w:p w14:paraId="3800E1E2">
      <w:pPr>
        <w:pStyle w:val="5"/>
        <w:rPr>
          <w:color w:val="000000" w:themeColor="text1"/>
          <w14:textFill>
            <w14:solidFill>
              <w14:schemeClr w14:val="tx1"/>
            </w14:solidFill>
          </w14:textFill>
        </w:rPr>
      </w:pPr>
      <w:bookmarkStart w:id="818" w:name="_Toc216620643"/>
      <w:r>
        <w:rPr>
          <w:color w:val="000000" w:themeColor="text1"/>
          <w14:textFill>
            <w14:solidFill>
              <w14:schemeClr w14:val="tx1"/>
            </w14:solidFill>
          </w14:textFill>
        </w:rPr>
        <w:t>环境管理</w:t>
      </w:r>
      <w:bookmarkEnd w:id="818"/>
    </w:p>
    <w:p w14:paraId="11E61808">
      <w:pPr>
        <w:pStyle w:val="4"/>
        <w:rPr>
          <w:color w:val="000000" w:themeColor="text1"/>
          <w14:textFill>
            <w14:solidFill>
              <w14:schemeClr w14:val="tx1"/>
            </w14:solidFill>
          </w14:textFill>
        </w:rPr>
      </w:pPr>
      <w:bookmarkStart w:id="819" w:name="_Toc29131917"/>
      <w:bookmarkStart w:id="820" w:name="_Toc26910104"/>
      <w:bookmarkStart w:id="821" w:name="_Toc25437057"/>
      <w:bookmarkStart w:id="822" w:name="_Toc216103485"/>
      <w:bookmarkStart w:id="823" w:name="_Toc135090311"/>
      <w:bookmarkStart w:id="824" w:name="_Toc216620644"/>
      <w:bookmarkStart w:id="825" w:name="_Toc136878575"/>
      <w:r>
        <w:rPr>
          <w:color w:val="000000" w:themeColor="text1"/>
          <w14:textFill>
            <w14:solidFill>
              <w14:schemeClr w14:val="tx1"/>
            </w14:solidFill>
          </w14:textFill>
        </w:rPr>
        <w:t>环境</w:t>
      </w:r>
      <w:bookmarkEnd w:id="819"/>
      <w:bookmarkEnd w:id="820"/>
      <w:bookmarkEnd w:id="821"/>
      <w:r>
        <w:rPr>
          <w:color w:val="000000" w:themeColor="text1"/>
          <w14:textFill>
            <w14:solidFill>
              <w14:schemeClr w14:val="tx1"/>
            </w14:solidFill>
          </w14:textFill>
        </w:rPr>
        <w:t>保护管理体系</w:t>
      </w:r>
      <w:bookmarkEnd w:id="822"/>
      <w:bookmarkEnd w:id="823"/>
      <w:bookmarkEnd w:id="824"/>
      <w:bookmarkEnd w:id="825"/>
    </w:p>
    <w:p w14:paraId="7FE8BD1A">
      <w:pPr>
        <w:pStyle w:val="74"/>
        <w:rPr>
          <w:color w:val="000000" w:themeColor="text1"/>
          <w14:textFill>
            <w14:solidFill>
              <w14:schemeClr w14:val="tx1"/>
            </w14:solidFill>
          </w14:textFill>
        </w:rPr>
      </w:pPr>
      <w:r>
        <w:rPr>
          <w:color w:val="000000" w:themeColor="text1"/>
          <w14:textFill>
            <w14:solidFill>
              <w14:schemeClr w14:val="tx1"/>
            </w14:solidFill>
          </w14:textFill>
        </w:rPr>
        <w:t>项目运营单位负责本项目污染措施的监督管理，组织制定和实施整个现场环境保护管理工作，组织安排环境监测工作。设置专门的环境保护管理机构，负责组织、落实、监督本企业的环境保护工作：设置1名负责人分管环保工作，设安全环保部门负责安全生产及环境保护管理工作。至少配备2名环保工作人员，其中管理人员1人，设备维修、巡回检查人员1人，负责企业的环保监测管理工作。</w:t>
      </w:r>
    </w:p>
    <w:p w14:paraId="09702A67">
      <w:pPr>
        <w:pStyle w:val="74"/>
        <w:rPr>
          <w:color w:val="000000" w:themeColor="text1"/>
          <w14:textFill>
            <w14:solidFill>
              <w14:schemeClr w14:val="tx1"/>
            </w14:solidFill>
          </w14:textFill>
        </w:rPr>
      </w:pPr>
      <w:r>
        <w:rPr>
          <w:color w:val="000000" w:themeColor="text1"/>
          <w14:textFill>
            <w14:solidFill>
              <w14:schemeClr w14:val="tx1"/>
            </w14:solidFill>
          </w14:textFill>
        </w:rPr>
        <w:t>为做好环境保护工作，减轻项目在施工期及运营期对海洋环境的影响，建设单位以及施工单位应高度重视海洋环境保护工作，成立专门机构进行环境保护工作。</w:t>
      </w:r>
    </w:p>
    <w:p w14:paraId="406923D2">
      <w:pPr>
        <w:pStyle w:val="74"/>
        <w:rPr>
          <w:color w:val="000000" w:themeColor="text1"/>
          <w14:textFill>
            <w14:solidFill>
              <w14:schemeClr w14:val="tx1"/>
            </w14:solidFill>
          </w14:textFill>
        </w:rPr>
      </w:pPr>
      <w:r>
        <w:rPr>
          <w:color w:val="000000" w:themeColor="text1"/>
          <w14:textFill>
            <w14:solidFill>
              <w14:schemeClr w14:val="tx1"/>
            </w14:solidFill>
          </w14:textFill>
        </w:rPr>
        <w:t>根据项目的工程及其产污特点，施工期间，施工单位应设专人负责环境保护管理工作。工程投入运营后，建设单位应设立环境保护管理部门，负责项目所在海域的环保事宜。环境保护工作均应受当地海洋主管部门以及环境保护主管部门的指导和监督。</w:t>
      </w:r>
    </w:p>
    <w:p w14:paraId="6B852CD3">
      <w:pPr>
        <w:pStyle w:val="74"/>
        <w:rPr>
          <w:color w:val="000000" w:themeColor="text1"/>
          <w14:textFill>
            <w14:solidFill>
              <w14:schemeClr w14:val="tx1"/>
            </w14:solidFill>
          </w14:textFill>
        </w:rPr>
      </w:pPr>
      <w:r>
        <w:rPr>
          <w:color w:val="000000" w:themeColor="text1"/>
          <w14:textFill>
            <w14:solidFill>
              <w14:schemeClr w14:val="tx1"/>
            </w14:solidFill>
          </w14:textFill>
        </w:rPr>
        <w:t>项目环境保护管理与监督机构体系见图8.1-1。</w:t>
      </w:r>
    </w:p>
    <w:p w14:paraId="1FAAC49D">
      <w:pPr>
        <w:pStyle w:val="74"/>
        <w:rPr>
          <w:color w:val="000000" w:themeColor="text1"/>
          <w14:textFill>
            <w14:solidFill>
              <w14:schemeClr w14:val="tx1"/>
            </w14:solidFill>
          </w14:textFill>
        </w:rPr>
      </w:pPr>
    </w:p>
    <w:p w14:paraId="306D34E4">
      <w:pPr>
        <w:pStyle w:val="74"/>
        <w:rPr>
          <w:color w:val="000000" w:themeColor="text1"/>
          <w14:textFill>
            <w14:solidFill>
              <w14:schemeClr w14:val="tx1"/>
            </w14:solidFill>
          </w14:textFill>
        </w:rPr>
      </w:pPr>
    </w:p>
    <w:p w14:paraId="0839BEBC">
      <w:pPr>
        <w:pStyle w:val="74"/>
        <w:rPr>
          <w:color w:val="000000" w:themeColor="text1"/>
          <w14:textFill>
            <w14:solidFill>
              <w14:schemeClr w14:val="tx1"/>
            </w14:solidFill>
          </w14:textFill>
        </w:rPr>
      </w:pPr>
    </w:p>
    <w:p w14:paraId="2944F394">
      <w:pPr>
        <w:pStyle w:val="74"/>
        <w:rPr>
          <w:color w:val="000000" w:themeColor="text1"/>
          <w14:textFill>
            <w14:solidFill>
              <w14:schemeClr w14:val="tx1"/>
            </w14:solidFill>
          </w14:textFill>
        </w:rPr>
      </w:pPr>
    </w:p>
    <w:p w14:paraId="34689153">
      <w:pPr>
        <w:pStyle w:val="74"/>
        <w:rPr>
          <w:color w:val="000000" w:themeColor="text1"/>
          <w14:textFill>
            <w14:solidFill>
              <w14:schemeClr w14:val="tx1"/>
            </w14:solidFill>
          </w14:textFill>
        </w:rPr>
      </w:pPr>
    </w:p>
    <w:p w14:paraId="5FD16DAD">
      <w:pPr>
        <w:pStyle w:val="74"/>
        <w:rPr>
          <w:color w:val="000000" w:themeColor="text1"/>
          <w14:textFill>
            <w14:solidFill>
              <w14:schemeClr w14:val="tx1"/>
            </w14:solidFill>
          </w14:textFill>
        </w:rPr>
      </w:pPr>
    </w:p>
    <w:p w14:paraId="6FF541D2">
      <w:pPr>
        <w:pStyle w:val="74"/>
        <w:rPr>
          <w:color w:val="000000" w:themeColor="text1"/>
          <w14:textFill>
            <w14:solidFill>
              <w14:schemeClr w14:val="tx1"/>
            </w14:solidFill>
          </w14:textFill>
        </w:rPr>
      </w:pPr>
    </w:p>
    <w:p w14:paraId="28F5433B">
      <w:pPr>
        <w:pStyle w:val="74"/>
        <w:rPr>
          <w:color w:val="000000" w:themeColor="text1"/>
          <w14:textFill>
            <w14:solidFill>
              <w14:schemeClr w14:val="tx1"/>
            </w14:solidFill>
          </w14:textFill>
        </w:rPr>
      </w:pPr>
    </w:p>
    <w:p w14:paraId="141F6911">
      <w:pPr>
        <w:pStyle w:val="74"/>
        <w:rPr>
          <w:color w:val="000000" w:themeColor="text1"/>
          <w14:textFill>
            <w14:solidFill>
              <w14:schemeClr w14:val="tx1"/>
            </w14:solidFill>
          </w14:textFill>
        </w:rPr>
      </w:pPr>
    </w:p>
    <w:p w14:paraId="6E0959D0">
      <w:pPr>
        <w:pStyle w:val="74"/>
        <w:rPr>
          <w:color w:val="000000" w:themeColor="text1"/>
          <w14:textFill>
            <w14:solidFill>
              <w14:schemeClr w14:val="tx1"/>
            </w14:solidFill>
          </w14:textFill>
        </w:rPr>
      </w:pPr>
    </w:p>
    <w:p w14:paraId="00E74CB5">
      <w:pPr>
        <w:pStyle w:val="74"/>
        <w:rPr>
          <w:color w:val="000000" w:themeColor="text1"/>
          <w14:textFill>
            <w14:solidFill>
              <w14:schemeClr w14:val="tx1"/>
            </w14:solidFill>
          </w14:textFill>
        </w:rPr>
      </w:pPr>
    </w:p>
    <w:p w14:paraId="7ED2D1CB">
      <w:pPr>
        <w:pStyle w:val="74"/>
        <w:rPr>
          <w:color w:val="000000" w:themeColor="text1"/>
          <w14:textFill>
            <w14:solidFill>
              <w14:schemeClr w14:val="tx1"/>
            </w14:solidFill>
          </w14:textFill>
        </w:rPr>
      </w:pPr>
    </w:p>
    <w:p w14:paraId="48236814">
      <w:pPr>
        <w:pStyle w:val="74"/>
        <w:rPr>
          <w:color w:val="000000" w:themeColor="text1"/>
          <w14:textFill>
            <w14:solidFill>
              <w14:schemeClr w14:val="tx1"/>
            </w14:solidFill>
          </w14:textFill>
        </w:rPr>
      </w:pPr>
    </w:p>
    <w:tbl>
      <w:tblPr>
        <w:tblStyle w:val="43"/>
        <w:tblW w:w="8296" w:type="dxa"/>
        <w:jc w:val="center"/>
        <w:tblLayout w:type="fixed"/>
        <w:tblCellMar>
          <w:top w:w="0" w:type="dxa"/>
          <w:left w:w="108" w:type="dxa"/>
          <w:bottom w:w="0" w:type="dxa"/>
          <w:right w:w="108" w:type="dxa"/>
        </w:tblCellMar>
      </w:tblPr>
      <w:tblGrid>
        <w:gridCol w:w="640"/>
        <w:gridCol w:w="4868"/>
        <w:gridCol w:w="2788"/>
      </w:tblGrid>
      <w:tr w14:paraId="4B4B1D5E">
        <w:tblPrEx>
          <w:tblCellMar>
            <w:top w:w="0" w:type="dxa"/>
            <w:left w:w="108" w:type="dxa"/>
            <w:bottom w:w="0" w:type="dxa"/>
            <w:right w:w="108" w:type="dxa"/>
          </w:tblCellMar>
        </w:tblPrEx>
        <w:trPr>
          <w:jc w:val="center"/>
        </w:trPr>
        <w:tc>
          <w:tcPr>
            <w:tcW w:w="640" w:type="dxa"/>
            <w:tcBorders>
              <w:top w:val="dotted" w:color="auto" w:sz="4" w:space="0"/>
              <w:left w:val="dotted" w:color="auto" w:sz="4" w:space="0"/>
              <w:bottom w:val="dotted" w:color="auto" w:sz="4" w:space="0"/>
              <w:right w:val="dotted" w:color="auto" w:sz="4" w:space="0"/>
            </w:tcBorders>
            <w:vAlign w:val="center"/>
          </w:tcPr>
          <w:p w14:paraId="39013534">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w:br w:type="page"/>
            </w:r>
            <w:r>
              <w:rPr>
                <w:color w:val="000000" w:themeColor="text1"/>
                <w14:textFill>
                  <w14:solidFill>
                    <w14:schemeClr w14:val="tx1"/>
                  </w14:solidFill>
                </w14:textFill>
              </w:rPr>
              <w:t>时段</w:t>
            </w:r>
          </w:p>
        </w:tc>
        <w:tc>
          <w:tcPr>
            <w:tcW w:w="4868" w:type="dxa"/>
            <w:tcBorders>
              <w:top w:val="dotted" w:color="auto" w:sz="4" w:space="0"/>
              <w:left w:val="dotted" w:color="auto" w:sz="4" w:space="0"/>
              <w:bottom w:val="dotted" w:color="auto" w:sz="4" w:space="0"/>
              <w:right w:val="dotted" w:color="auto" w:sz="4" w:space="0"/>
            </w:tcBorders>
            <w:vAlign w:val="center"/>
          </w:tcPr>
          <w:p w14:paraId="605F0A1B">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w:t>环境管理机构</w:t>
            </w:r>
          </w:p>
        </w:tc>
        <w:tc>
          <w:tcPr>
            <w:tcW w:w="2788" w:type="dxa"/>
            <w:tcBorders>
              <w:top w:val="dotted" w:color="auto" w:sz="4" w:space="0"/>
              <w:left w:val="dotted" w:color="auto" w:sz="4" w:space="0"/>
              <w:bottom w:val="dotted" w:color="auto" w:sz="4" w:space="0"/>
              <w:right w:val="dotted" w:color="auto" w:sz="4" w:space="0"/>
            </w:tcBorders>
            <w:vAlign w:val="center"/>
          </w:tcPr>
          <w:p w14:paraId="3D9C73E9">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w:t>监督机构</w:t>
            </w:r>
          </w:p>
        </w:tc>
      </w:tr>
      <w:tr w14:paraId="3F5DBE94">
        <w:tblPrEx>
          <w:tblCellMar>
            <w:top w:w="0" w:type="dxa"/>
            <w:left w:w="108" w:type="dxa"/>
            <w:bottom w:w="0" w:type="dxa"/>
            <w:right w:w="108" w:type="dxa"/>
          </w:tblCellMar>
        </w:tblPrEx>
        <w:trPr>
          <w:trHeight w:val="1331" w:hRule="atLeast"/>
          <w:jc w:val="center"/>
        </w:trPr>
        <w:tc>
          <w:tcPr>
            <w:tcW w:w="640" w:type="dxa"/>
            <w:tcBorders>
              <w:top w:val="dotted" w:color="auto" w:sz="4" w:space="0"/>
              <w:left w:val="dotted" w:color="auto" w:sz="4" w:space="0"/>
              <w:bottom w:val="dotted" w:color="auto" w:sz="4" w:space="0"/>
              <w:right w:val="dotted" w:color="auto" w:sz="4" w:space="0"/>
            </w:tcBorders>
            <w:vAlign w:val="center"/>
          </w:tcPr>
          <w:p w14:paraId="4D9C1210">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w:t>设计施工运营</w:t>
            </w:r>
          </w:p>
        </w:tc>
        <w:tc>
          <w:tcPr>
            <w:tcW w:w="4868" w:type="dxa"/>
            <w:tcBorders>
              <w:top w:val="dotted" w:color="auto" w:sz="4" w:space="0"/>
              <w:left w:val="dotted" w:color="auto" w:sz="4" w:space="0"/>
              <w:bottom w:val="dotted" w:color="auto" w:sz="4" w:space="0"/>
              <w:right w:val="dotted" w:color="auto" w:sz="4" w:space="0"/>
            </w:tcBorders>
            <w:vAlign w:val="center"/>
          </w:tcPr>
          <w:p w14:paraId="4F2633DF">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3665" distR="113665" simplePos="0" relativeHeight="251702272" behindDoc="0" locked="0" layoutInCell="1" allowOverlap="1">
                      <wp:simplePos x="0" y="0"/>
                      <wp:positionH relativeFrom="column">
                        <wp:posOffset>1188085</wp:posOffset>
                      </wp:positionH>
                      <wp:positionV relativeFrom="paragraph">
                        <wp:posOffset>527685</wp:posOffset>
                      </wp:positionV>
                      <wp:extent cx="0" cy="513715"/>
                      <wp:effectExtent l="0" t="0" r="0" b="635"/>
                      <wp:wrapNone/>
                      <wp:docPr id="79" name="Line 2551"/>
                      <wp:cNvGraphicFramePr/>
                      <a:graphic xmlns:a="http://schemas.openxmlformats.org/drawingml/2006/main">
                        <a:graphicData uri="http://schemas.microsoft.com/office/word/2010/wordprocessingShape">
                          <wps:wsp>
                            <wps:cNvCnPr>
                              <a:cxnSpLocks noChangeShapeType="1"/>
                            </wps:cNvCnPr>
                            <wps:spPr bwMode="auto">
                              <a:xfrm flipH="1">
                                <a:off x="0" y="0"/>
                                <a:ext cx="0" cy="513715"/>
                              </a:xfrm>
                              <a:prstGeom prst="line">
                                <a:avLst/>
                              </a:prstGeom>
                              <a:noFill/>
                              <a:ln w="9525">
                                <a:solidFill>
                                  <a:srgbClr val="000000"/>
                                </a:solidFill>
                                <a:round/>
                              </a:ln>
                            </wps:spPr>
                            <wps:bodyPr/>
                          </wps:wsp>
                        </a:graphicData>
                      </a:graphic>
                    </wp:anchor>
                  </w:drawing>
                </mc:Choice>
                <mc:Fallback>
                  <w:pict>
                    <v:line id="Line 2551" o:spid="_x0000_s1026" o:spt="20" style="position:absolute;left:0pt;flip:x;margin-left:93.55pt;margin-top:41.55pt;height:40.45pt;width:0pt;z-index:251702272;mso-width-relative:page;mso-height-relative:page;" filled="f" stroked="t" coordsize="21600,21600" o:gfxdata="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q/giD1gAAAAoBAAAPAAAAAAAAAAEAIAAAACIA&#10;AABkcnMvZG93bnJldi54bWxQSwECFAAUAAAACACHTuJAbNH1/NIBAACsAwAADgAAAAAAAAABACAA&#10;AAAlAQAAZHJzL2Uyb0RvYy54bWxQSwUGAAAAAAYABgBZAQAAaQU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388620</wp:posOffset>
                      </wp:positionH>
                      <wp:positionV relativeFrom="paragraph">
                        <wp:posOffset>230505</wp:posOffset>
                      </wp:positionV>
                      <wp:extent cx="1870710" cy="297180"/>
                      <wp:effectExtent l="0" t="0" r="3175" b="3810"/>
                      <wp:wrapNone/>
                      <wp:docPr id="78" name="Text Box 2525"/>
                      <wp:cNvGraphicFramePr/>
                      <a:graphic xmlns:a="http://schemas.openxmlformats.org/drawingml/2006/main">
                        <a:graphicData uri="http://schemas.microsoft.com/office/word/2010/wordprocessingShape">
                          <wps:wsp>
                            <wps:cNvSpPr txBox="1">
                              <a:spLocks noChangeArrowheads="1"/>
                            </wps:cNvSpPr>
                            <wps:spPr bwMode="auto">
                              <a:xfrm>
                                <a:off x="0" y="0"/>
                                <a:ext cx="1870710" cy="297180"/>
                              </a:xfrm>
                              <a:prstGeom prst="rect">
                                <a:avLst/>
                              </a:prstGeom>
                              <a:solidFill>
                                <a:srgbClr val="FFFFFF"/>
                              </a:solidFill>
                              <a:ln w="9525">
                                <a:solidFill>
                                  <a:srgbClr val="000000"/>
                                </a:solidFill>
                                <a:miter lim="800000"/>
                              </a:ln>
                            </wps:spPr>
                            <wps:txbx>
                              <w:txbxContent>
                                <w:p w14:paraId="02EE0017">
                                  <w:pPr>
                                    <w:adjustRightInd w:val="0"/>
                                    <w:snapToGrid w:val="0"/>
                                    <w:spacing w:line="240" w:lineRule="atLeast"/>
                                    <w:ind w:firstLine="0" w:firstLineChars="0"/>
                                    <w:rPr>
                                      <w:sz w:val="21"/>
                                      <w:szCs w:val="21"/>
                                    </w:rPr>
                                  </w:pPr>
                                  <w:r>
                                    <w:rPr>
                                      <w:rFonts w:hint="eastAsia"/>
                                      <w:sz w:val="21"/>
                                      <w:szCs w:val="21"/>
                                    </w:rPr>
                                    <w:t>交通主管部门环保机构</w:t>
                                  </w:r>
                                </w:p>
                              </w:txbxContent>
                            </wps:txbx>
                            <wps:bodyPr rot="0" vert="horz" wrap="square" lIns="91440" tIns="45720" rIns="91440" bIns="45720" anchor="t" anchorCtr="0" upright="1">
                              <a:noAutofit/>
                            </wps:bodyPr>
                          </wps:wsp>
                        </a:graphicData>
                      </a:graphic>
                    </wp:anchor>
                  </w:drawing>
                </mc:Choice>
                <mc:Fallback>
                  <w:pict>
                    <v:shape id="Text Box 2525" o:spid="_x0000_s1026" o:spt="202" type="#_x0000_t202" style="position:absolute;left:0pt;margin-left:30.6pt;margin-top:18.15pt;height:23.4pt;width:147.3pt;z-index:251677696;mso-width-relative:page;mso-height-relative:page;" fillcolor="#FFFFFF" filled="t" stroked="t" coordsize="21600,21600" o:gfxdata="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FNMwaHXAAAACAEAAA8AAAAAAAAAAQAgAAAAIgAAAGRycy9kb3ducmV2LnhtbFBL&#10;AQIUABQAAAAIAIdO4kDx452MMAIAAIoEAAAOAAAAAAAAAAEAIAAAACYBAABkcnMvZTJvRG9jLnht&#10;bFBLBQYAAAAABgAGAFkBAADIBQAAAAA=&#10;">
                      <v:fill on="t" focussize="0,0"/>
                      <v:stroke color="#000000" miterlimit="8" joinstyle="miter"/>
                      <v:imagedata o:title=""/>
                      <o:lock v:ext="edit" aspectratio="f"/>
                      <v:textbox>
                        <w:txbxContent>
                          <w:p w14:paraId="02EE0017">
                            <w:pPr>
                              <w:adjustRightInd w:val="0"/>
                              <w:snapToGrid w:val="0"/>
                              <w:spacing w:line="240" w:lineRule="atLeast"/>
                              <w:ind w:firstLine="0" w:firstLineChars="0"/>
                              <w:rPr>
                                <w:sz w:val="21"/>
                                <w:szCs w:val="21"/>
                              </w:rPr>
                            </w:pPr>
                            <w:r>
                              <w:rPr>
                                <w:rFonts w:hint="eastAsia"/>
                                <w:sz w:val="21"/>
                                <w:szCs w:val="21"/>
                              </w:rPr>
                              <w:t>交通主管部门环保机构</w:t>
                            </w:r>
                          </w:p>
                        </w:txbxContent>
                      </v:textbox>
                    </v:shape>
                  </w:pict>
                </mc:Fallback>
              </mc:AlternateContent>
            </w:r>
          </w:p>
        </w:tc>
        <w:tc>
          <w:tcPr>
            <w:tcW w:w="2788" w:type="dxa"/>
            <w:vMerge w:val="restart"/>
            <w:tcBorders>
              <w:top w:val="dotted" w:color="auto" w:sz="4" w:space="0"/>
              <w:left w:val="dotted" w:color="auto" w:sz="4" w:space="0"/>
              <w:right w:val="dotted" w:color="auto" w:sz="4" w:space="0"/>
            </w:tcBorders>
            <w:vAlign w:val="center"/>
          </w:tcPr>
          <w:p w14:paraId="3FAA09FD">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column">
                        <wp:posOffset>-17145</wp:posOffset>
                      </wp:positionH>
                      <wp:positionV relativeFrom="paragraph">
                        <wp:posOffset>1501775</wp:posOffset>
                      </wp:positionV>
                      <wp:extent cx="1714500" cy="552450"/>
                      <wp:effectExtent l="0" t="0" r="19050" b="19050"/>
                      <wp:wrapNone/>
                      <wp:docPr id="75" name="Text Box 2541"/>
                      <wp:cNvGraphicFramePr/>
                      <a:graphic xmlns:a="http://schemas.openxmlformats.org/drawingml/2006/main">
                        <a:graphicData uri="http://schemas.microsoft.com/office/word/2010/wordprocessingShape">
                          <wps:wsp>
                            <wps:cNvSpPr txBox="1">
                              <a:spLocks noChangeArrowheads="1"/>
                            </wps:cNvSpPr>
                            <wps:spPr bwMode="auto">
                              <a:xfrm>
                                <a:off x="0" y="0"/>
                                <a:ext cx="1714500" cy="552450"/>
                              </a:xfrm>
                              <a:prstGeom prst="rect">
                                <a:avLst/>
                              </a:prstGeom>
                              <a:solidFill>
                                <a:srgbClr val="FFFFFF"/>
                              </a:solidFill>
                              <a:ln w="9525">
                                <a:solidFill>
                                  <a:srgbClr val="000000"/>
                                </a:solidFill>
                                <a:miter lim="800000"/>
                              </a:ln>
                            </wps:spPr>
                            <wps:txbx>
                              <w:txbxContent>
                                <w:p w14:paraId="43822629">
                                  <w:pPr>
                                    <w:adjustRightInd w:val="0"/>
                                    <w:snapToGrid w:val="0"/>
                                    <w:spacing w:line="240" w:lineRule="atLeast"/>
                                    <w:ind w:firstLine="0" w:firstLineChars="0"/>
                                    <w:jc w:val="center"/>
                                    <w:rPr>
                                      <w:sz w:val="21"/>
                                      <w:szCs w:val="21"/>
                                    </w:rPr>
                                  </w:pPr>
                                  <w:r>
                                    <w:rPr>
                                      <w:rFonts w:hint="eastAsia"/>
                                      <w:sz w:val="21"/>
                                      <w:szCs w:val="21"/>
                                    </w:rPr>
                                    <w:t>钦州市生态环境局/港口分局</w:t>
                                  </w:r>
                                </w:p>
                              </w:txbxContent>
                            </wps:txbx>
                            <wps:bodyPr rot="0" vert="horz" wrap="square" lIns="91440" tIns="45720" rIns="91440" bIns="45720" anchor="t" anchorCtr="0" upright="1">
                              <a:noAutofit/>
                            </wps:bodyPr>
                          </wps:wsp>
                        </a:graphicData>
                      </a:graphic>
                    </wp:anchor>
                  </w:drawing>
                </mc:Choice>
                <mc:Fallback>
                  <w:pict>
                    <v:shape id="Text Box 2541" o:spid="_x0000_s1026" o:spt="202" type="#_x0000_t202" style="position:absolute;left:0pt;margin-left:-1.35pt;margin-top:118.25pt;height:43.5pt;width:135pt;z-index:251693056;mso-width-relative:page;mso-height-relative:page;" fillcolor="#FFFFFF" filled="t" stroked="t" coordsize="21600,21600" o:gfxdata="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qNSxk2gAAAAoBAAAPAAAAAAAAAAEAIAAAACIAAABkcnMvZG93bnJldi54&#10;bWxQSwECFAAUAAAACACHTuJAAfeT2TECAACKBAAADgAAAAAAAAABACAAAAApAQAAZHJzL2Uyb0Rv&#10;Yy54bWxQSwUGAAAAAAYABgBZAQAAzAUAAAAA&#10;">
                      <v:fill on="t" focussize="0,0"/>
                      <v:stroke color="#000000" miterlimit="8" joinstyle="miter"/>
                      <v:imagedata o:title=""/>
                      <o:lock v:ext="edit" aspectratio="f"/>
                      <v:textbox>
                        <w:txbxContent>
                          <w:p w14:paraId="43822629">
                            <w:pPr>
                              <w:adjustRightInd w:val="0"/>
                              <w:snapToGrid w:val="0"/>
                              <w:spacing w:line="240" w:lineRule="atLeast"/>
                              <w:ind w:firstLine="0" w:firstLineChars="0"/>
                              <w:jc w:val="center"/>
                              <w:rPr>
                                <w:sz w:val="21"/>
                                <w:szCs w:val="21"/>
                              </w:rPr>
                            </w:pPr>
                            <w:r>
                              <w:rPr>
                                <w:rFonts w:hint="eastAsia"/>
                                <w:sz w:val="21"/>
                                <w:szCs w:val="21"/>
                              </w:rPr>
                              <w:t>钦州市生态环境局/港口分局</w:t>
                            </w:r>
                          </w:p>
                        </w:txbxContent>
                      </v:textbox>
                    </v:shape>
                  </w:pict>
                </mc:Fallback>
              </mc:AlternateContent>
            </w:r>
          </w:p>
        </w:tc>
      </w:tr>
      <w:tr w14:paraId="66853F01">
        <w:tblPrEx>
          <w:tblCellMar>
            <w:top w:w="0" w:type="dxa"/>
            <w:left w:w="108" w:type="dxa"/>
            <w:bottom w:w="0" w:type="dxa"/>
            <w:right w:w="108" w:type="dxa"/>
          </w:tblCellMar>
        </w:tblPrEx>
        <w:trPr>
          <w:trHeight w:val="3413" w:hRule="atLeast"/>
          <w:jc w:val="center"/>
        </w:trPr>
        <w:tc>
          <w:tcPr>
            <w:tcW w:w="640" w:type="dxa"/>
            <w:tcBorders>
              <w:top w:val="dotted" w:color="auto" w:sz="4" w:space="0"/>
              <w:left w:val="dotted" w:color="auto" w:sz="4" w:space="0"/>
              <w:bottom w:val="dotted" w:color="auto" w:sz="4" w:space="0"/>
              <w:right w:val="dotted" w:color="auto" w:sz="4" w:space="0"/>
            </w:tcBorders>
            <w:vAlign w:val="center"/>
          </w:tcPr>
          <w:p w14:paraId="1D8FBB95">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w:t>设计</w:t>
            </w:r>
          </w:p>
          <w:p w14:paraId="04379C42">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w:t>施工</w:t>
            </w:r>
          </w:p>
        </w:tc>
        <w:tc>
          <w:tcPr>
            <w:tcW w:w="4868" w:type="dxa"/>
            <w:tcBorders>
              <w:top w:val="dotted" w:color="auto" w:sz="4" w:space="0"/>
              <w:left w:val="dotted" w:color="auto" w:sz="4" w:space="0"/>
              <w:bottom w:val="dotted" w:color="auto" w:sz="4" w:space="0"/>
              <w:right w:val="dotted" w:color="auto" w:sz="4" w:space="0"/>
            </w:tcBorders>
            <w:vAlign w:val="center"/>
          </w:tcPr>
          <w:p w14:paraId="6A05C935">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olumn">
                        <wp:posOffset>151765</wp:posOffset>
                      </wp:positionH>
                      <wp:positionV relativeFrom="paragraph">
                        <wp:posOffset>389255</wp:posOffset>
                      </wp:positionV>
                      <wp:extent cx="380365" cy="1344930"/>
                      <wp:effectExtent l="0" t="0" r="19685" b="26670"/>
                      <wp:wrapNone/>
                      <wp:docPr id="3446" name="Text Box 2529"/>
                      <wp:cNvGraphicFramePr/>
                      <a:graphic xmlns:a="http://schemas.openxmlformats.org/drawingml/2006/main">
                        <a:graphicData uri="http://schemas.microsoft.com/office/word/2010/wordprocessingShape">
                          <wps:wsp>
                            <wps:cNvSpPr txBox="1">
                              <a:spLocks noChangeArrowheads="1"/>
                            </wps:cNvSpPr>
                            <wps:spPr bwMode="auto">
                              <a:xfrm>
                                <a:off x="0" y="0"/>
                                <a:ext cx="380365" cy="1344930"/>
                              </a:xfrm>
                              <a:prstGeom prst="rect">
                                <a:avLst/>
                              </a:prstGeom>
                              <a:solidFill>
                                <a:srgbClr val="FFFFFF"/>
                              </a:solidFill>
                              <a:ln w="9525">
                                <a:solidFill>
                                  <a:srgbClr val="000000"/>
                                </a:solidFill>
                                <a:miter lim="800000"/>
                              </a:ln>
                            </wps:spPr>
                            <wps:txbx>
                              <w:txbxContent>
                                <w:p w14:paraId="657A747D">
                                  <w:pPr>
                                    <w:adjustRightInd w:val="0"/>
                                    <w:snapToGrid w:val="0"/>
                                    <w:spacing w:line="240" w:lineRule="atLeast"/>
                                    <w:ind w:firstLine="0" w:firstLineChars="0"/>
                                    <w:rPr>
                                      <w:sz w:val="21"/>
                                      <w:szCs w:val="21"/>
                                    </w:rPr>
                                  </w:pPr>
                                  <w:r>
                                    <w:rPr>
                                      <w:rFonts w:hint="eastAsia"/>
                                      <w:sz w:val="21"/>
                                      <w:szCs w:val="21"/>
                                    </w:rPr>
                                    <w:t>承包商</w:t>
                                  </w:r>
                                </w:p>
                              </w:txbxContent>
                            </wps:txbx>
                            <wps:bodyPr rot="0" vert="horz" wrap="square" lIns="91440" tIns="45720" rIns="91440" bIns="45720" anchor="t" anchorCtr="0" upright="1">
                              <a:noAutofit/>
                            </wps:bodyPr>
                          </wps:wsp>
                        </a:graphicData>
                      </a:graphic>
                    </wp:anchor>
                  </w:drawing>
                </mc:Choice>
                <mc:Fallback>
                  <w:pict>
                    <v:shape id="Text Box 2529" o:spid="_x0000_s1026" o:spt="202" type="#_x0000_t202" style="position:absolute;left:0pt;margin-left:11.95pt;margin-top:30.65pt;height:105.9pt;width:29.95pt;z-index:251681792;mso-width-relative:page;mso-height-relative:page;" fillcolor="#FFFFFF" filled="t" stroked="t" coordsize="21600,21600" o:gfxdata="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ezcvv9cAAAAIAQAADwAAAAAAAAABACAAAAAiAAAAZHJzL2Rvd25yZXYu&#10;eG1sUEsBAhQAFAAAAAgAh07iQGovN+I1AgAAjAQAAA4AAAAAAAAAAQAgAAAAJgEAAGRycy9lMm9E&#10;b2MueG1sUEsFBgAAAAAGAAYAWQEAAM0FAAAAAA==&#10;">
                      <v:fill on="t" focussize="0,0"/>
                      <v:stroke color="#000000" miterlimit="8" joinstyle="miter"/>
                      <v:imagedata o:title=""/>
                      <o:lock v:ext="edit" aspectratio="f"/>
                      <v:textbox>
                        <w:txbxContent>
                          <w:p w14:paraId="657A747D">
                            <w:pPr>
                              <w:adjustRightInd w:val="0"/>
                              <w:snapToGrid w:val="0"/>
                              <w:spacing w:line="240" w:lineRule="atLeast"/>
                              <w:ind w:firstLine="0" w:firstLineChars="0"/>
                              <w:rPr>
                                <w:sz w:val="21"/>
                                <w:szCs w:val="21"/>
                              </w:rPr>
                            </w:pPr>
                            <w:r>
                              <w:rPr>
                                <w:rFonts w:hint="eastAsia"/>
                                <w:sz w:val="21"/>
                                <w:szCs w:val="21"/>
                              </w:rPr>
                              <w:t>承包商</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olumn">
                        <wp:posOffset>655320</wp:posOffset>
                      </wp:positionH>
                      <wp:positionV relativeFrom="paragraph">
                        <wp:posOffset>354330</wp:posOffset>
                      </wp:positionV>
                      <wp:extent cx="342900" cy="1445260"/>
                      <wp:effectExtent l="0" t="0" r="0" b="4445"/>
                      <wp:wrapNone/>
                      <wp:docPr id="74" name="Text Box 2530"/>
                      <wp:cNvGraphicFramePr/>
                      <a:graphic xmlns:a="http://schemas.openxmlformats.org/drawingml/2006/main">
                        <a:graphicData uri="http://schemas.microsoft.com/office/word/2010/wordprocessingShape">
                          <wps:wsp>
                            <wps:cNvSpPr txBox="1">
                              <a:spLocks noChangeArrowheads="1"/>
                            </wps:cNvSpPr>
                            <wps:spPr bwMode="auto">
                              <a:xfrm>
                                <a:off x="0" y="0"/>
                                <a:ext cx="342900" cy="1445260"/>
                              </a:xfrm>
                              <a:prstGeom prst="rect">
                                <a:avLst/>
                              </a:prstGeom>
                              <a:solidFill>
                                <a:srgbClr val="FFFFFF"/>
                              </a:solidFill>
                              <a:ln w="9525">
                                <a:solidFill>
                                  <a:srgbClr val="000000"/>
                                </a:solidFill>
                                <a:miter lim="800000"/>
                              </a:ln>
                            </wps:spPr>
                            <wps:txbx>
                              <w:txbxContent>
                                <w:p w14:paraId="08C0AF93">
                                  <w:pPr>
                                    <w:adjustRightInd w:val="0"/>
                                    <w:snapToGrid w:val="0"/>
                                    <w:spacing w:line="240" w:lineRule="atLeast"/>
                                    <w:ind w:firstLine="0" w:firstLineChars="0"/>
                                  </w:pPr>
                                  <w:r>
                                    <w:rPr>
                                      <w:rFonts w:hint="eastAsia"/>
                                      <w:sz w:val="21"/>
                                      <w:szCs w:val="21"/>
                                    </w:rPr>
                                    <w:t>环境监理</w:t>
                                  </w:r>
                                  <w:r>
                                    <w:rPr>
                                      <w:rFonts w:hint="eastAsia"/>
                                    </w:rPr>
                                    <w:t>工</w:t>
                                  </w:r>
                                  <w:r>
                                    <w:rPr>
                                      <w:rFonts w:hint="eastAsia"/>
                                      <w:sz w:val="21"/>
                                      <w:szCs w:val="21"/>
                                    </w:rPr>
                                    <w:t>程师</w:t>
                                  </w:r>
                                </w:p>
                              </w:txbxContent>
                            </wps:txbx>
                            <wps:bodyPr rot="0" vert="horz" wrap="square" lIns="91440" tIns="45720" rIns="91440" bIns="45720" anchor="t" anchorCtr="0" upright="1">
                              <a:noAutofit/>
                            </wps:bodyPr>
                          </wps:wsp>
                        </a:graphicData>
                      </a:graphic>
                    </wp:anchor>
                  </w:drawing>
                </mc:Choice>
                <mc:Fallback>
                  <w:pict>
                    <v:shape id="Text Box 2530" o:spid="_x0000_s1026" o:spt="202" type="#_x0000_t202" style="position:absolute;left:0pt;margin-left:51.6pt;margin-top:27.9pt;height:113.8pt;width:27pt;z-index:251682816;mso-width-relative:page;mso-height-relative:page;" fillcolor="#FFFFFF" filled="t" stroked="t" coordsize="21600,21600" o:gfxdata="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MFqLPNgAAAAKAQAADwAAAAAAAAABACAAAAAiAAAAZHJzL2Rvd25yZXYu&#10;eG1sUEsBAhQAFAAAAAgAh07iQKvKOfU0AgAAigQAAA4AAAAAAAAAAQAgAAAAJwEAAGRycy9lMm9E&#10;b2MueG1sUEsFBgAAAAAGAAYAWQEAAM0FAAAAAA==&#10;">
                      <v:fill on="t" focussize="0,0"/>
                      <v:stroke color="#000000" miterlimit="8" joinstyle="miter"/>
                      <v:imagedata o:title=""/>
                      <o:lock v:ext="edit" aspectratio="f"/>
                      <v:textbox>
                        <w:txbxContent>
                          <w:p w14:paraId="08C0AF93">
                            <w:pPr>
                              <w:adjustRightInd w:val="0"/>
                              <w:snapToGrid w:val="0"/>
                              <w:spacing w:line="240" w:lineRule="atLeast"/>
                              <w:ind w:firstLine="0" w:firstLineChars="0"/>
                            </w:pPr>
                            <w:r>
                              <w:rPr>
                                <w:rFonts w:hint="eastAsia"/>
                                <w:sz w:val="21"/>
                                <w:szCs w:val="21"/>
                              </w:rPr>
                              <w:t>环境监理</w:t>
                            </w:r>
                            <w:r>
                              <w:rPr>
                                <w:rFonts w:hint="eastAsia"/>
                              </w:rPr>
                              <w:t>工</w:t>
                            </w:r>
                            <w:r>
                              <w:rPr>
                                <w:rFonts w:hint="eastAsia"/>
                                <w:sz w:val="21"/>
                                <w:szCs w:val="21"/>
                              </w:rPr>
                              <w:t>程师</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299085</wp:posOffset>
                      </wp:positionH>
                      <wp:positionV relativeFrom="paragraph">
                        <wp:posOffset>207010</wp:posOffset>
                      </wp:positionV>
                      <wp:extent cx="2272665" cy="12065"/>
                      <wp:effectExtent l="0" t="0" r="16510" b="12065"/>
                      <wp:wrapNone/>
                      <wp:docPr id="73" name="Line 2526"/>
                      <wp:cNvGraphicFramePr/>
                      <a:graphic xmlns:a="http://schemas.openxmlformats.org/drawingml/2006/main">
                        <a:graphicData uri="http://schemas.microsoft.com/office/word/2010/wordprocessingShape">
                          <wps:wsp>
                            <wps:cNvCnPr>
                              <a:cxnSpLocks noChangeShapeType="1"/>
                            </wps:cNvCnPr>
                            <wps:spPr bwMode="auto">
                              <a:xfrm>
                                <a:off x="0" y="0"/>
                                <a:ext cx="2272665" cy="12065"/>
                              </a:xfrm>
                              <a:prstGeom prst="line">
                                <a:avLst/>
                              </a:prstGeom>
                              <a:noFill/>
                              <a:ln w="9525">
                                <a:solidFill>
                                  <a:srgbClr val="000000"/>
                                </a:solidFill>
                                <a:round/>
                              </a:ln>
                            </wps:spPr>
                            <wps:bodyPr/>
                          </wps:wsp>
                        </a:graphicData>
                      </a:graphic>
                    </wp:anchor>
                  </w:drawing>
                </mc:Choice>
                <mc:Fallback>
                  <w:pict>
                    <v:line id="Line 2526" o:spid="_x0000_s1026" o:spt="20" style="position:absolute;left:0pt;margin-left:23.55pt;margin-top:16.3pt;height:0.95pt;width:178.95pt;z-index:251678720;mso-width-relative:page;mso-height-relative:page;" filled="f" stroked="t" coordsize="21600,21600" o:gfxdata="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B4+iQ91wAAAAgBAAAPAAAAAAAAAAEAIAAAACIA&#10;AABkcnMvZG93bnJldi54bWxQSwECFAAUAAAACACHTuJAXyKsbNEBAACnAwAADgAAAAAAAAABACAA&#10;AAAmAQAAZHJzL2Uyb0RvYy54bWxQSwUGAAAAAAYABgBZAQAAaQU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1248" behindDoc="0" locked="0" layoutInCell="1" allowOverlap="1">
                      <wp:simplePos x="0" y="0"/>
                      <wp:positionH relativeFrom="column">
                        <wp:posOffset>1524000</wp:posOffset>
                      </wp:positionH>
                      <wp:positionV relativeFrom="paragraph">
                        <wp:posOffset>203835</wp:posOffset>
                      </wp:positionV>
                      <wp:extent cx="1905" cy="173355"/>
                      <wp:effectExtent l="0" t="0" r="18415" b="5715"/>
                      <wp:wrapNone/>
                      <wp:docPr id="38" name="Line 2550"/>
                      <wp:cNvGraphicFramePr/>
                      <a:graphic xmlns:a="http://schemas.openxmlformats.org/drawingml/2006/main">
                        <a:graphicData uri="http://schemas.microsoft.com/office/word/2010/wordprocessingShape">
                          <wps:wsp>
                            <wps:cNvCnPr>
                              <a:cxnSpLocks noChangeShapeType="1"/>
                            </wps:cNvCnPr>
                            <wps:spPr bwMode="auto">
                              <a:xfrm flipH="1">
                                <a:off x="0" y="0"/>
                                <a:ext cx="1905" cy="173355"/>
                              </a:xfrm>
                              <a:prstGeom prst="line">
                                <a:avLst/>
                              </a:prstGeom>
                              <a:noFill/>
                              <a:ln w="9525">
                                <a:solidFill>
                                  <a:srgbClr val="000000"/>
                                </a:solidFill>
                                <a:round/>
                              </a:ln>
                            </wps:spPr>
                            <wps:bodyPr/>
                          </wps:wsp>
                        </a:graphicData>
                      </a:graphic>
                    </wp:anchor>
                  </w:drawing>
                </mc:Choice>
                <mc:Fallback>
                  <w:pict>
                    <v:line id="Line 2550" o:spid="_x0000_s1026" o:spt="20" style="position:absolute;left:0pt;flip:x;margin-left:120pt;margin-top:16.05pt;height:13.65pt;width:0.15pt;z-index:251701248;mso-width-relative:page;mso-height-relative:page;" filled="f" stroked="t" coordsize="21600,21600" o:gfxdata="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LJOiWLXAAAACQEAAA8AAAAAAAAAAQAg&#10;AAAAIgAAAGRycy9kb3ducmV2LnhtbFBLAQIUABQAAAAIAIdO4kDwLaie1gEAAK8DAAAOAAAAAAAA&#10;AAEAIAAAACYBAABkcnMvZTJvRG9jLnhtbFBLBQYAAAAABgAGAFkBAABuBQ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1847215</wp:posOffset>
                      </wp:positionH>
                      <wp:positionV relativeFrom="paragraph">
                        <wp:posOffset>393065</wp:posOffset>
                      </wp:positionV>
                      <wp:extent cx="339725" cy="1346835"/>
                      <wp:effectExtent l="0" t="0" r="0" b="8890"/>
                      <wp:wrapNone/>
                      <wp:docPr id="52" name="Text Box 2532"/>
                      <wp:cNvGraphicFramePr/>
                      <a:graphic xmlns:a="http://schemas.openxmlformats.org/drawingml/2006/main">
                        <a:graphicData uri="http://schemas.microsoft.com/office/word/2010/wordprocessingShape">
                          <wps:wsp>
                            <wps:cNvSpPr txBox="1">
                              <a:spLocks noChangeArrowheads="1"/>
                            </wps:cNvSpPr>
                            <wps:spPr bwMode="auto">
                              <a:xfrm>
                                <a:off x="0" y="0"/>
                                <a:ext cx="339725" cy="1346835"/>
                              </a:xfrm>
                              <a:prstGeom prst="rect">
                                <a:avLst/>
                              </a:prstGeom>
                              <a:solidFill>
                                <a:srgbClr val="FFFFFF"/>
                              </a:solidFill>
                              <a:ln w="9525">
                                <a:solidFill>
                                  <a:srgbClr val="000000"/>
                                </a:solidFill>
                                <a:miter lim="800000"/>
                              </a:ln>
                            </wps:spPr>
                            <wps:txbx>
                              <w:txbxContent>
                                <w:p w14:paraId="586841AA">
                                  <w:pPr>
                                    <w:adjustRightInd w:val="0"/>
                                    <w:snapToGrid w:val="0"/>
                                    <w:spacing w:line="240" w:lineRule="atLeast"/>
                                    <w:ind w:firstLine="0" w:firstLineChars="0"/>
                                    <w:rPr>
                                      <w:sz w:val="21"/>
                                      <w:szCs w:val="21"/>
                                    </w:rPr>
                                  </w:pPr>
                                  <w:r>
                                    <w:rPr>
                                      <w:rFonts w:hint="eastAsia"/>
                                      <w:sz w:val="21"/>
                                      <w:szCs w:val="21"/>
                                    </w:rPr>
                                    <w:t>评价单位</w:t>
                                  </w:r>
                                </w:p>
                              </w:txbxContent>
                            </wps:txbx>
                            <wps:bodyPr rot="0" vert="horz" wrap="square" lIns="91440" tIns="45720" rIns="91440" bIns="45720" anchor="t" anchorCtr="0" upright="1">
                              <a:noAutofit/>
                            </wps:bodyPr>
                          </wps:wsp>
                        </a:graphicData>
                      </a:graphic>
                    </wp:anchor>
                  </w:drawing>
                </mc:Choice>
                <mc:Fallback>
                  <w:pict>
                    <v:shape id="Text Box 2532" o:spid="_x0000_s1026" o:spt="202" type="#_x0000_t202" style="position:absolute;left:0pt;margin-left:145.45pt;margin-top:30.95pt;height:106.05pt;width:26.75pt;z-index:251684864;mso-width-relative:page;mso-height-relative:page;" fillcolor="#FFFFFF" filled="t" stroked="t" coordsize="21600,21600" o:gfxdata="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ZDWEgNkAAAAKAQAADwAAAAAAAAABACAAAAAiAAAAZHJzL2Rvd25yZXYu&#10;eG1sUEsBAhQAFAAAAAgAh07iQFeTBu8zAgAAigQAAA4AAAAAAAAAAQAgAAAAKAEAAGRycy9lMm9E&#10;b2MueG1sUEsFBgAAAAAGAAYAWQEAAM0FAAAAAA==&#10;">
                      <v:fill on="t" focussize="0,0"/>
                      <v:stroke color="#000000" miterlimit="8" joinstyle="miter"/>
                      <v:imagedata o:title=""/>
                      <o:lock v:ext="edit" aspectratio="f"/>
                      <v:textbox>
                        <w:txbxContent>
                          <w:p w14:paraId="586841AA">
                            <w:pPr>
                              <w:adjustRightInd w:val="0"/>
                              <w:snapToGrid w:val="0"/>
                              <w:spacing w:line="240" w:lineRule="atLeast"/>
                              <w:ind w:firstLine="0" w:firstLineChars="0"/>
                              <w:rPr>
                                <w:sz w:val="21"/>
                                <w:szCs w:val="21"/>
                              </w:rPr>
                            </w:pPr>
                            <w:r>
                              <w:rPr>
                                <w:rFonts w:hint="eastAsia"/>
                                <w:sz w:val="21"/>
                                <w:szCs w:val="21"/>
                              </w:rPr>
                              <w:t>评价单位</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1370330</wp:posOffset>
                      </wp:positionH>
                      <wp:positionV relativeFrom="paragraph">
                        <wp:posOffset>396875</wp:posOffset>
                      </wp:positionV>
                      <wp:extent cx="342900" cy="1331595"/>
                      <wp:effectExtent l="0" t="0" r="0" b="0"/>
                      <wp:wrapNone/>
                      <wp:docPr id="2720" name="Text Box 2531"/>
                      <wp:cNvGraphicFramePr/>
                      <a:graphic xmlns:a="http://schemas.openxmlformats.org/drawingml/2006/main">
                        <a:graphicData uri="http://schemas.microsoft.com/office/word/2010/wordprocessingShape">
                          <wps:wsp>
                            <wps:cNvSpPr txBox="1">
                              <a:spLocks noChangeArrowheads="1"/>
                            </wps:cNvSpPr>
                            <wps:spPr bwMode="auto">
                              <a:xfrm>
                                <a:off x="0" y="0"/>
                                <a:ext cx="342900" cy="1331595"/>
                              </a:xfrm>
                              <a:prstGeom prst="rect">
                                <a:avLst/>
                              </a:prstGeom>
                              <a:solidFill>
                                <a:srgbClr val="FFFFFF"/>
                              </a:solidFill>
                              <a:ln w="9525">
                                <a:solidFill>
                                  <a:srgbClr val="000000"/>
                                </a:solidFill>
                                <a:miter lim="800000"/>
                              </a:ln>
                            </wps:spPr>
                            <wps:txbx>
                              <w:txbxContent>
                                <w:p w14:paraId="1A895F37">
                                  <w:pPr>
                                    <w:adjustRightInd w:val="0"/>
                                    <w:snapToGrid w:val="0"/>
                                    <w:spacing w:line="240" w:lineRule="atLeast"/>
                                    <w:ind w:firstLine="0" w:firstLineChars="0"/>
                                    <w:rPr>
                                      <w:sz w:val="21"/>
                                      <w:szCs w:val="21"/>
                                    </w:rPr>
                                  </w:pPr>
                                  <w:r>
                                    <w:rPr>
                                      <w:rFonts w:hint="eastAsia"/>
                                      <w:sz w:val="21"/>
                                      <w:szCs w:val="21"/>
                                    </w:rPr>
                                    <w:t>设计单位</w:t>
                                  </w:r>
                                </w:p>
                              </w:txbxContent>
                            </wps:txbx>
                            <wps:bodyPr rot="0" vert="horz" wrap="square" lIns="91440" tIns="45720" rIns="91440" bIns="45720" anchor="t" anchorCtr="0" upright="1">
                              <a:noAutofit/>
                            </wps:bodyPr>
                          </wps:wsp>
                        </a:graphicData>
                      </a:graphic>
                    </wp:anchor>
                  </w:drawing>
                </mc:Choice>
                <mc:Fallback>
                  <w:pict>
                    <v:shape id="Text Box 2531" o:spid="_x0000_s1026" o:spt="202" type="#_x0000_t202" style="position:absolute;left:0pt;margin-left:107.9pt;margin-top:31.25pt;height:104.85pt;width:27pt;z-index:251683840;mso-width-relative:page;mso-height-relative:page;" fillcolor="#FFFFFF" filled="t" stroked="t" coordsize="21600,21600" o:gfxdata="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SVx23ZAAAACgEAAA8AAAAAAAAAAQAgAAAAIgAAAGRycy9kb3ducmV2&#10;LnhtbFBLAQIUABQAAAAIAIdO4kCtiNWJNAIAAIwEAAAOAAAAAAAAAAEAIAAAACgBAABkcnMvZTJv&#10;RG9jLnhtbFBLBQYAAAAABgAGAFkBAADOBQAAAAA=&#10;">
                      <v:fill on="t" focussize="0,0"/>
                      <v:stroke color="#000000" miterlimit="8" joinstyle="miter"/>
                      <v:imagedata o:title=""/>
                      <o:lock v:ext="edit" aspectratio="f"/>
                      <v:textbox>
                        <w:txbxContent>
                          <w:p w14:paraId="1A895F37">
                            <w:pPr>
                              <w:adjustRightInd w:val="0"/>
                              <w:snapToGrid w:val="0"/>
                              <w:spacing w:line="240" w:lineRule="atLeast"/>
                              <w:ind w:firstLine="0" w:firstLineChars="0"/>
                              <w:rPr>
                                <w:sz w:val="21"/>
                                <w:szCs w:val="21"/>
                              </w:rPr>
                            </w:pPr>
                            <w:r>
                              <w:rPr>
                                <w:rFonts w:hint="eastAsia"/>
                                <w:sz w:val="21"/>
                                <w:szCs w:val="21"/>
                              </w:rPr>
                              <w:t>设计单位</w:t>
                            </w:r>
                          </w:p>
                        </w:txbxContent>
                      </v:textbox>
                    </v:shape>
                  </w:pict>
                </mc:Fallback>
              </mc:AlternateContent>
            </w:r>
            <w:r>
              <w:rPr>
                <w:color w:val="000000" w:themeColor="text1"/>
                <w14:textFill>
                  <w14:solidFill>
                    <w14:schemeClr w14:val="tx1"/>
                  </w14:solidFill>
                </w14:textFill>
              </w:rPr>
              <mc:AlternateContent>
                <mc:Choice Requires="wps">
                  <w:drawing>
                    <wp:anchor distT="0" distB="0" distL="113665" distR="113665" simplePos="0" relativeHeight="251691008" behindDoc="0" locked="0" layoutInCell="1" allowOverlap="1">
                      <wp:simplePos x="0" y="0"/>
                      <wp:positionH relativeFrom="column">
                        <wp:posOffset>1529715</wp:posOffset>
                      </wp:positionH>
                      <wp:positionV relativeFrom="paragraph">
                        <wp:posOffset>1751330</wp:posOffset>
                      </wp:positionV>
                      <wp:extent cx="0" cy="297180"/>
                      <wp:effectExtent l="0" t="0" r="0" b="3810"/>
                      <wp:wrapNone/>
                      <wp:docPr id="2721" name="Line 2538"/>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line">
                                <a:avLst/>
                              </a:prstGeom>
                              <a:noFill/>
                              <a:ln w="9525">
                                <a:solidFill>
                                  <a:srgbClr val="000000"/>
                                </a:solidFill>
                                <a:round/>
                              </a:ln>
                            </wps:spPr>
                            <wps:bodyPr/>
                          </wps:wsp>
                        </a:graphicData>
                      </a:graphic>
                    </wp:anchor>
                  </w:drawing>
                </mc:Choice>
                <mc:Fallback>
                  <w:pict>
                    <v:line id="Line 2538" o:spid="_x0000_s1026" o:spt="20" style="position:absolute;left:0pt;margin-left:120.45pt;margin-top:137.9pt;height:23.4pt;width:0pt;z-index:251691008;mso-width-relative:page;mso-height-relative:page;" filled="f" stroked="t" coordsize="21600,21600" o:gfxdata="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SLSwkNgAAAALAQAADwAAAAAAAAABACAAAAAiAAAA&#10;ZHJzL2Rvd25yZXYueG1sUEsBAhQAFAAAAAgAh07iQL84BgnOAQAApAMAAA4AAAAAAAAAAQAgAAAA&#10;JwEAAGRycy9lMm9Eb2MueG1sUEsFBgAAAAAGAAYAWQEAAGcFA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9200" behindDoc="0" locked="0" layoutInCell="1" allowOverlap="1">
                      <wp:simplePos x="0" y="0"/>
                      <wp:positionH relativeFrom="column">
                        <wp:posOffset>1998345</wp:posOffset>
                      </wp:positionH>
                      <wp:positionV relativeFrom="paragraph">
                        <wp:posOffset>214630</wp:posOffset>
                      </wp:positionV>
                      <wp:extent cx="1905" cy="173355"/>
                      <wp:effectExtent l="0" t="0" r="18415" b="5715"/>
                      <wp:wrapNone/>
                      <wp:docPr id="2722" name="Line 2548"/>
                      <wp:cNvGraphicFramePr/>
                      <a:graphic xmlns:a="http://schemas.openxmlformats.org/drawingml/2006/main">
                        <a:graphicData uri="http://schemas.microsoft.com/office/word/2010/wordprocessingShape">
                          <wps:wsp>
                            <wps:cNvCnPr>
                              <a:cxnSpLocks noChangeShapeType="1"/>
                            </wps:cNvCnPr>
                            <wps:spPr bwMode="auto">
                              <a:xfrm flipH="1">
                                <a:off x="0" y="0"/>
                                <a:ext cx="1905" cy="173355"/>
                              </a:xfrm>
                              <a:prstGeom prst="line">
                                <a:avLst/>
                              </a:prstGeom>
                              <a:noFill/>
                              <a:ln w="9525">
                                <a:solidFill>
                                  <a:srgbClr val="000000"/>
                                </a:solidFill>
                                <a:round/>
                              </a:ln>
                            </wps:spPr>
                            <wps:bodyPr/>
                          </wps:wsp>
                        </a:graphicData>
                      </a:graphic>
                    </wp:anchor>
                  </w:drawing>
                </mc:Choice>
                <mc:Fallback>
                  <w:pict>
                    <v:line id="Line 2548" o:spid="_x0000_s1026" o:spt="20" style="position:absolute;left:0pt;flip:x;margin-left:157.35pt;margin-top:16.9pt;height:13.65pt;width:0.15pt;z-index:251699200;mso-width-relative:page;mso-height-relative:page;" filled="f" stroked="t" coordsize="21600,21600" o:gfxdata="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jGPtZNcAAAAJAQAADwAAAAAAAAAB&#10;ACAAAAAiAAAAZHJzL2Rvd25yZXYueG1sUEsBAhQAFAAAAAgAh07iQJFNXGDYAQAAsQMAAA4AAAAA&#10;AAAAAQAgAAAAJgEAAGRycy9lMm9Eb2MueG1sUEsFBgAAAAAGAAYAWQEAAHAFA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7152" behindDoc="0" locked="0" layoutInCell="1" allowOverlap="1">
                      <wp:simplePos x="0" y="0"/>
                      <wp:positionH relativeFrom="column">
                        <wp:posOffset>843915</wp:posOffset>
                      </wp:positionH>
                      <wp:positionV relativeFrom="paragraph">
                        <wp:posOffset>196850</wp:posOffset>
                      </wp:positionV>
                      <wp:extent cx="1905" cy="173355"/>
                      <wp:effectExtent l="0" t="0" r="18415" b="5715"/>
                      <wp:wrapNone/>
                      <wp:docPr id="2723" name="Line 2546"/>
                      <wp:cNvGraphicFramePr/>
                      <a:graphic xmlns:a="http://schemas.openxmlformats.org/drawingml/2006/main">
                        <a:graphicData uri="http://schemas.microsoft.com/office/word/2010/wordprocessingShape">
                          <wps:wsp>
                            <wps:cNvCnPr>
                              <a:cxnSpLocks noChangeShapeType="1"/>
                            </wps:cNvCnPr>
                            <wps:spPr bwMode="auto">
                              <a:xfrm flipH="1">
                                <a:off x="0" y="0"/>
                                <a:ext cx="1905" cy="173355"/>
                              </a:xfrm>
                              <a:prstGeom prst="line">
                                <a:avLst/>
                              </a:prstGeom>
                              <a:noFill/>
                              <a:ln w="9525">
                                <a:solidFill>
                                  <a:srgbClr val="000000"/>
                                </a:solidFill>
                                <a:round/>
                              </a:ln>
                            </wps:spPr>
                            <wps:bodyPr/>
                          </wps:wsp>
                        </a:graphicData>
                      </a:graphic>
                    </wp:anchor>
                  </w:drawing>
                </mc:Choice>
                <mc:Fallback>
                  <w:pict>
                    <v:line id="Line 2546" o:spid="_x0000_s1026" o:spt="20" style="position:absolute;left:0pt;flip:x;margin-left:66.45pt;margin-top:15.5pt;height:13.65pt;width:0.15pt;z-index:251697152;mso-width-relative:page;mso-height-relative:page;" filled="f" stroked="t" coordsize="21600,21600" o:gfxdata="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B0V5d71gAAAAkBAAAPAAAAAAAAAAEA&#10;IAAAACIAAABkcnMvZG93bnJldi54bWxQSwECFAAUAAAACACHTuJAvMphQdgBAACxAwAADgAAAAAA&#10;AAABACAAAAAlAQAAZHJzL2Uyb0RvYy54bWxQSwUGAAAAAAYABgBZAQAAbwU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8176" behindDoc="0" locked="0" layoutInCell="1" allowOverlap="1">
                      <wp:simplePos x="0" y="0"/>
                      <wp:positionH relativeFrom="column">
                        <wp:posOffset>307340</wp:posOffset>
                      </wp:positionH>
                      <wp:positionV relativeFrom="paragraph">
                        <wp:posOffset>205740</wp:posOffset>
                      </wp:positionV>
                      <wp:extent cx="1905" cy="173355"/>
                      <wp:effectExtent l="0" t="0" r="18415" b="5715"/>
                      <wp:wrapNone/>
                      <wp:docPr id="83" name="Line 2547"/>
                      <wp:cNvGraphicFramePr/>
                      <a:graphic xmlns:a="http://schemas.openxmlformats.org/drawingml/2006/main">
                        <a:graphicData uri="http://schemas.microsoft.com/office/word/2010/wordprocessingShape">
                          <wps:wsp>
                            <wps:cNvCnPr>
                              <a:cxnSpLocks noChangeShapeType="1"/>
                            </wps:cNvCnPr>
                            <wps:spPr bwMode="auto">
                              <a:xfrm flipH="1">
                                <a:off x="0" y="0"/>
                                <a:ext cx="1905" cy="173355"/>
                              </a:xfrm>
                              <a:prstGeom prst="line">
                                <a:avLst/>
                              </a:prstGeom>
                              <a:noFill/>
                              <a:ln w="9525">
                                <a:solidFill>
                                  <a:srgbClr val="000000"/>
                                </a:solidFill>
                                <a:round/>
                              </a:ln>
                            </wps:spPr>
                            <wps:bodyPr/>
                          </wps:wsp>
                        </a:graphicData>
                      </a:graphic>
                    </wp:anchor>
                  </w:drawing>
                </mc:Choice>
                <mc:Fallback>
                  <w:pict>
                    <v:line id="Line 2547" o:spid="_x0000_s1026" o:spt="20" style="position:absolute;left:0pt;flip:x;margin-left:24.2pt;margin-top:16.2pt;height:13.65pt;width:0.15pt;z-index:251698176;mso-width-relative:page;mso-height-relative:page;" filled="f" stroked="t" coordsize="21600,21600" o:gfxdata="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e1sc2tYAAAAHAQAADwAAAAAAAAABACAA&#10;AAAiAAAAZHJzL2Rvd25yZXYueG1sUEsBAhQAFAAAAAgAh07iQBsr5oXWAQAArwMAAA4AAAAAAAAA&#10;AQAgAAAAJQEAAGRycy9lMm9Eb2MueG1sUEsFBgAAAAAGAAYAWQEAAG0FA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0224" behindDoc="0" locked="0" layoutInCell="1" allowOverlap="1">
                      <wp:simplePos x="0" y="0"/>
                      <wp:positionH relativeFrom="column">
                        <wp:posOffset>2555240</wp:posOffset>
                      </wp:positionH>
                      <wp:positionV relativeFrom="paragraph">
                        <wp:posOffset>219075</wp:posOffset>
                      </wp:positionV>
                      <wp:extent cx="1905" cy="173355"/>
                      <wp:effectExtent l="0" t="0" r="18415" b="5715"/>
                      <wp:wrapNone/>
                      <wp:docPr id="84" name="Line 2549"/>
                      <wp:cNvGraphicFramePr/>
                      <a:graphic xmlns:a="http://schemas.openxmlformats.org/drawingml/2006/main">
                        <a:graphicData uri="http://schemas.microsoft.com/office/word/2010/wordprocessingShape">
                          <wps:wsp>
                            <wps:cNvCnPr>
                              <a:cxnSpLocks noChangeShapeType="1"/>
                            </wps:cNvCnPr>
                            <wps:spPr bwMode="auto">
                              <a:xfrm flipH="1">
                                <a:off x="0" y="0"/>
                                <a:ext cx="1905" cy="173355"/>
                              </a:xfrm>
                              <a:prstGeom prst="line">
                                <a:avLst/>
                              </a:prstGeom>
                              <a:noFill/>
                              <a:ln w="9525">
                                <a:solidFill>
                                  <a:srgbClr val="000000"/>
                                </a:solidFill>
                                <a:round/>
                              </a:ln>
                            </wps:spPr>
                            <wps:bodyPr/>
                          </wps:wsp>
                        </a:graphicData>
                      </a:graphic>
                    </wp:anchor>
                  </w:drawing>
                </mc:Choice>
                <mc:Fallback>
                  <w:pict>
                    <v:line id="Line 2549" o:spid="_x0000_s1026" o:spt="20" style="position:absolute;left:0pt;flip:x;margin-left:201.2pt;margin-top:17.25pt;height:13.65pt;width:0.15pt;z-index:251700224;mso-width-relative:page;mso-height-relative:page;" filled="f" stroked="t" coordsize="21600,21600" o:gfxdata="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A533OjXAAAACQEAAA8AAAAAAAAAAQAg&#10;AAAAIgAAAGRycy9kb3ducmV2LnhtbFBLAQIUABQAAAAIAIdO4kBZmzIK1gEAAK8DAAAOAAAAAAAA&#10;AAEAIAAAACYBAABkcnMvZTJvRG9jLnhtbFBLBQYAAAAABgAGAFkBAABuBQ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olumn">
                        <wp:posOffset>289560</wp:posOffset>
                      </wp:positionH>
                      <wp:positionV relativeFrom="paragraph">
                        <wp:posOffset>2051685</wp:posOffset>
                      </wp:positionV>
                      <wp:extent cx="2286000" cy="0"/>
                      <wp:effectExtent l="0" t="0" r="7620" b="0"/>
                      <wp:wrapNone/>
                      <wp:docPr id="85" name="Line 2539"/>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9525">
                                <a:solidFill>
                                  <a:srgbClr val="000000"/>
                                </a:solidFill>
                                <a:round/>
                              </a:ln>
                            </wps:spPr>
                            <wps:bodyPr/>
                          </wps:wsp>
                        </a:graphicData>
                      </a:graphic>
                    </wp:anchor>
                  </w:drawing>
                </mc:Choice>
                <mc:Fallback>
                  <w:pict>
                    <v:line id="Line 2539" o:spid="_x0000_s1026" o:spt="20" style="position:absolute;left:0pt;margin-left:22.8pt;margin-top:161.55pt;height:0pt;width:180pt;z-index:251692032;mso-width-relative:page;mso-height-relative:page;" filled="f" stroked="t" coordsize="21600,21600" o:gfxdata="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OF/1cNYAAAAKAQAADwAAAAAAAAABACAAAAAiAAAAZHJz&#10;L2Rvd25yZXYueG1sUEsBAhQAFAAAAAgAh07iQFlkqeLNAQAAowMAAA4AAAAAAAAAAQAgAAAAJQEA&#10;AGRycy9lMm9Eb2MueG1sUEsFBgAAAAAGAAYAWQEAAGQFA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3665" distR="113665" simplePos="0" relativeHeight="251689984" behindDoc="0" locked="0" layoutInCell="1" allowOverlap="1">
                      <wp:simplePos x="0" y="0"/>
                      <wp:positionH relativeFrom="column">
                        <wp:posOffset>2567940</wp:posOffset>
                      </wp:positionH>
                      <wp:positionV relativeFrom="paragraph">
                        <wp:posOffset>1750695</wp:posOffset>
                      </wp:positionV>
                      <wp:extent cx="0" cy="297180"/>
                      <wp:effectExtent l="0" t="0" r="0" b="3810"/>
                      <wp:wrapNone/>
                      <wp:docPr id="86" name="Line 2537"/>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line">
                                <a:avLst/>
                              </a:prstGeom>
                              <a:noFill/>
                              <a:ln w="9525">
                                <a:solidFill>
                                  <a:srgbClr val="000000"/>
                                </a:solidFill>
                                <a:round/>
                              </a:ln>
                            </wps:spPr>
                            <wps:bodyPr/>
                          </wps:wsp>
                        </a:graphicData>
                      </a:graphic>
                    </wp:anchor>
                  </w:drawing>
                </mc:Choice>
                <mc:Fallback>
                  <w:pict>
                    <v:line id="Line 2537" o:spid="_x0000_s1026" o:spt="20" style="position:absolute;left:0pt;margin-left:202.2pt;margin-top:137.85pt;height:23.4pt;width:0pt;z-index:251689984;mso-width-relative:page;mso-height-relative:page;" filled="f" stroked="t" coordsize="21600,21600" o:gfxdata="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&#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Af3lJf2AAAAAsBAAAPAAAAAAAAAAEAIAAAACIAAABk&#10;cnMvZG93bnJldi54bWxQSwECFAAUAAAACACHTuJAWYMiss0BAACiAwAADgAAAAAAAAABACAAAAAn&#10;AQAAZHJzL2Uyb0RvYy54bWxQSwUGAAAAAAYABgBZAQAAZgU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3665" distR="113665" simplePos="0" relativeHeight="251688960" behindDoc="0" locked="0" layoutInCell="1" allowOverlap="1">
                      <wp:simplePos x="0" y="0"/>
                      <wp:positionH relativeFrom="column">
                        <wp:posOffset>1981835</wp:posOffset>
                      </wp:positionH>
                      <wp:positionV relativeFrom="paragraph">
                        <wp:posOffset>1763395</wp:posOffset>
                      </wp:positionV>
                      <wp:extent cx="0" cy="297180"/>
                      <wp:effectExtent l="0" t="0" r="0" b="3810"/>
                      <wp:wrapNone/>
                      <wp:docPr id="92" name="Line 2536"/>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line">
                                <a:avLst/>
                              </a:prstGeom>
                              <a:noFill/>
                              <a:ln w="9525">
                                <a:solidFill>
                                  <a:srgbClr val="000000"/>
                                </a:solidFill>
                                <a:round/>
                              </a:ln>
                            </wps:spPr>
                            <wps:bodyPr/>
                          </wps:wsp>
                        </a:graphicData>
                      </a:graphic>
                    </wp:anchor>
                  </w:drawing>
                </mc:Choice>
                <mc:Fallback>
                  <w:pict>
                    <v:line id="Line 2536" o:spid="_x0000_s1026" o:spt="20" style="position:absolute;left:0pt;margin-left:156.05pt;margin-top:138.85pt;height:23.4pt;width:0pt;z-index:251688960;mso-width-relative:page;mso-height-relative:page;" filled="f" stroked="t" coordsize="21600,21600" o:gfxdata="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Jv3nSdcAAAALAQAADwAAAAAAAAABACAAAAAiAAAAZHJz&#10;L2Rvd25yZXYueG1sUEsBAhQAFAAAAAgAh07iQErQ08zMAQAAogMAAA4AAAAAAAAAAQAgAAAAJgEA&#10;AGRycy9lMm9Eb2MueG1sUEsFBgAAAAAGAAYAWQEAAGQFA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3665" distR="113665" simplePos="0" relativeHeight="251687936" behindDoc="0" locked="0" layoutInCell="1" allowOverlap="1">
                      <wp:simplePos x="0" y="0"/>
                      <wp:positionH relativeFrom="column">
                        <wp:posOffset>829310</wp:posOffset>
                      </wp:positionH>
                      <wp:positionV relativeFrom="paragraph">
                        <wp:posOffset>1763395</wp:posOffset>
                      </wp:positionV>
                      <wp:extent cx="0" cy="297180"/>
                      <wp:effectExtent l="0" t="0" r="0" b="3810"/>
                      <wp:wrapNone/>
                      <wp:docPr id="93" name="Line 2535"/>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line">
                                <a:avLst/>
                              </a:prstGeom>
                              <a:noFill/>
                              <a:ln w="9525">
                                <a:solidFill>
                                  <a:srgbClr val="000000"/>
                                </a:solidFill>
                                <a:round/>
                              </a:ln>
                            </wps:spPr>
                            <wps:bodyPr/>
                          </wps:wsp>
                        </a:graphicData>
                      </a:graphic>
                    </wp:anchor>
                  </w:drawing>
                </mc:Choice>
                <mc:Fallback>
                  <w:pict>
                    <v:line id="Line 2535" o:spid="_x0000_s1026" o:spt="20" style="position:absolute;left:0pt;margin-left:65.3pt;margin-top:138.85pt;height:23.4pt;width:0pt;z-index:251687936;mso-width-relative:page;mso-height-relative:page;" filled="f" stroked="t" coordsize="21600,21600" o:gfxdata="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IviyJtcAAAALAQAADwAAAAAAAAABACAAAAAiAAAAZHJz&#10;L2Rvd25yZXYueG1sUEsBAhQAFAAAAAgAh07iQOZJCx3MAQAAogMAAA4AAAAAAAAAAQAgAAAAJgEA&#10;AGRycy9lMm9Eb2MueG1sUEsFBgAAAAAGAAYAWQEAAGQFA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3665" distR="113665" simplePos="0" relativeHeight="251686912" behindDoc="0" locked="0" layoutInCell="1" allowOverlap="1">
                      <wp:simplePos x="0" y="0"/>
                      <wp:positionH relativeFrom="column">
                        <wp:posOffset>288290</wp:posOffset>
                      </wp:positionH>
                      <wp:positionV relativeFrom="paragraph">
                        <wp:posOffset>1744345</wp:posOffset>
                      </wp:positionV>
                      <wp:extent cx="0" cy="297180"/>
                      <wp:effectExtent l="0" t="0" r="0" b="3810"/>
                      <wp:wrapNone/>
                      <wp:docPr id="3444" name="Line 2534"/>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line">
                                <a:avLst/>
                              </a:prstGeom>
                              <a:noFill/>
                              <a:ln w="9525">
                                <a:solidFill>
                                  <a:srgbClr val="000000"/>
                                </a:solidFill>
                                <a:round/>
                              </a:ln>
                            </wps:spPr>
                            <wps:bodyPr/>
                          </wps:wsp>
                        </a:graphicData>
                      </a:graphic>
                    </wp:anchor>
                  </w:drawing>
                </mc:Choice>
                <mc:Fallback>
                  <w:pict>
                    <v:line id="Line 2534" o:spid="_x0000_s1026" o:spt="20" style="position:absolute;left:0pt;margin-left:22.7pt;margin-top:137.35pt;height:23.4pt;width:0pt;z-index:251686912;mso-width-relative:page;mso-height-relative:page;" filled="f" stroked="t" coordsize="21600,21600" o:gfxdata="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uX8ai9cAAAAJAQAADwAAAAAAAAABACAAAAAiAAAA&#10;ZHJzL2Rvd25yZXYueG1sUEsBAhQAFAAAAAgAh07iQAEDALvPAQAApAMAAA4AAAAAAAAAAQAgAAAA&#10;JgEAAGRycy9lMm9Eb2MueG1sUEsFBgAAAAAGAAYAWQEAAGcFA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2371725</wp:posOffset>
                      </wp:positionH>
                      <wp:positionV relativeFrom="paragraph">
                        <wp:posOffset>408305</wp:posOffset>
                      </wp:positionV>
                      <wp:extent cx="342900" cy="1337310"/>
                      <wp:effectExtent l="0" t="0" r="0" b="0"/>
                      <wp:wrapNone/>
                      <wp:docPr id="3445" name="Text Box 2533"/>
                      <wp:cNvGraphicFramePr/>
                      <a:graphic xmlns:a="http://schemas.openxmlformats.org/drawingml/2006/main">
                        <a:graphicData uri="http://schemas.microsoft.com/office/word/2010/wordprocessingShape">
                          <wps:wsp>
                            <wps:cNvSpPr txBox="1">
                              <a:spLocks noChangeArrowheads="1"/>
                            </wps:cNvSpPr>
                            <wps:spPr bwMode="auto">
                              <a:xfrm>
                                <a:off x="0" y="0"/>
                                <a:ext cx="342900" cy="1337310"/>
                              </a:xfrm>
                              <a:prstGeom prst="rect">
                                <a:avLst/>
                              </a:prstGeom>
                              <a:solidFill>
                                <a:srgbClr val="FFFFFF"/>
                              </a:solidFill>
                              <a:ln w="9525">
                                <a:solidFill>
                                  <a:srgbClr val="000000"/>
                                </a:solidFill>
                                <a:miter lim="800000"/>
                              </a:ln>
                            </wps:spPr>
                            <wps:txbx>
                              <w:txbxContent>
                                <w:p w14:paraId="3B6A8B70">
                                  <w:pPr>
                                    <w:adjustRightInd w:val="0"/>
                                    <w:snapToGrid w:val="0"/>
                                    <w:spacing w:line="240" w:lineRule="atLeast"/>
                                    <w:ind w:firstLine="0" w:firstLineChars="0"/>
                                  </w:pPr>
                                  <w:r>
                                    <w:rPr>
                                      <w:rFonts w:hint="eastAsia"/>
                                      <w:sz w:val="21"/>
                                      <w:szCs w:val="21"/>
                                    </w:rPr>
                                    <w:t>环境监测单位</w:t>
                                  </w:r>
                                </w:p>
                              </w:txbxContent>
                            </wps:txbx>
                            <wps:bodyPr rot="0" vert="horz" wrap="square" lIns="91440" tIns="45720" rIns="91440" bIns="45720" anchor="t" anchorCtr="0" upright="1">
                              <a:noAutofit/>
                            </wps:bodyPr>
                          </wps:wsp>
                        </a:graphicData>
                      </a:graphic>
                    </wp:anchor>
                  </w:drawing>
                </mc:Choice>
                <mc:Fallback>
                  <w:pict>
                    <v:shape id="Text Box 2533" o:spid="_x0000_s1026" o:spt="202" type="#_x0000_t202" style="position:absolute;left:0pt;margin-left:186.75pt;margin-top:32.15pt;height:105.3pt;width:27pt;z-index:251685888;mso-width-relative:page;mso-height-relative:page;" fillcolor="#FFFFFF" filled="t" stroked="t" coordsize="21600,21600" o:gfxdata="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vuwuY2QAAAAoBAAAPAAAAAAAAAAEAIAAAACIAAABkcnMvZG93bnJl&#10;di54bWxQSwECFAAUAAAACACHTuJAClOg/TUCAACMBAAADgAAAAAAAAABACAAAAAoAQAAZHJzL2Uy&#10;b0RvYy54bWxQSwUGAAAAAAYABgBZAQAAzwUAAAAA&#10;">
                      <v:fill on="t" focussize="0,0"/>
                      <v:stroke color="#000000" miterlimit="8" joinstyle="miter"/>
                      <v:imagedata o:title=""/>
                      <o:lock v:ext="edit" aspectratio="f"/>
                      <v:textbox>
                        <w:txbxContent>
                          <w:p w14:paraId="3B6A8B70">
                            <w:pPr>
                              <w:adjustRightInd w:val="0"/>
                              <w:snapToGrid w:val="0"/>
                              <w:spacing w:line="240" w:lineRule="atLeast"/>
                              <w:ind w:firstLine="0" w:firstLineChars="0"/>
                            </w:pPr>
                            <w:r>
                              <w:rPr>
                                <w:rFonts w:hint="eastAsia"/>
                                <w:sz w:val="21"/>
                                <w:szCs w:val="21"/>
                              </w:rPr>
                              <w:t>环境监测单位</w:t>
                            </w:r>
                          </w:p>
                        </w:txbxContent>
                      </v:textbox>
                    </v:shape>
                  </w:pict>
                </mc:Fallback>
              </mc:AlternateContent>
            </w:r>
          </w:p>
        </w:tc>
        <w:tc>
          <w:tcPr>
            <w:tcW w:w="2788" w:type="dxa"/>
            <w:vMerge w:val="continue"/>
            <w:tcBorders>
              <w:left w:val="dotted" w:color="auto" w:sz="4" w:space="0"/>
              <w:right w:val="dotted" w:color="auto" w:sz="4" w:space="0"/>
            </w:tcBorders>
            <w:vAlign w:val="center"/>
          </w:tcPr>
          <w:p w14:paraId="192A952B">
            <w:pPr>
              <w:pStyle w:val="70"/>
              <w:spacing w:line="240" w:lineRule="atLeast"/>
              <w:rPr>
                <w:color w:val="000000" w:themeColor="text1"/>
                <w14:textFill>
                  <w14:solidFill>
                    <w14:schemeClr w14:val="tx1"/>
                  </w14:solidFill>
                </w14:textFill>
              </w:rPr>
            </w:pPr>
          </w:p>
        </w:tc>
      </w:tr>
      <w:tr w14:paraId="5477924B">
        <w:tblPrEx>
          <w:tblCellMar>
            <w:top w:w="0" w:type="dxa"/>
            <w:left w:w="108" w:type="dxa"/>
            <w:bottom w:w="0" w:type="dxa"/>
            <w:right w:w="108" w:type="dxa"/>
          </w:tblCellMar>
        </w:tblPrEx>
        <w:trPr>
          <w:trHeight w:val="1805" w:hRule="atLeast"/>
          <w:jc w:val="center"/>
        </w:trPr>
        <w:tc>
          <w:tcPr>
            <w:tcW w:w="640" w:type="dxa"/>
            <w:tcBorders>
              <w:top w:val="dotted" w:color="auto" w:sz="4" w:space="0"/>
              <w:left w:val="dotted" w:color="auto" w:sz="4" w:space="0"/>
              <w:bottom w:val="dotted" w:color="auto" w:sz="4" w:space="0"/>
              <w:right w:val="dotted" w:color="auto" w:sz="4" w:space="0"/>
            </w:tcBorders>
            <w:vAlign w:val="center"/>
          </w:tcPr>
          <w:p w14:paraId="37F9A89B">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w:t>运</w:t>
            </w:r>
          </w:p>
          <w:p w14:paraId="1E88DAE6">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w:t>营</w:t>
            </w:r>
          </w:p>
          <w:p w14:paraId="5A0F40EB">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w:t>期</w:t>
            </w:r>
          </w:p>
        </w:tc>
        <w:tc>
          <w:tcPr>
            <w:tcW w:w="4868" w:type="dxa"/>
            <w:tcBorders>
              <w:top w:val="dotted" w:color="auto" w:sz="4" w:space="0"/>
              <w:left w:val="dotted" w:color="auto" w:sz="4" w:space="0"/>
              <w:bottom w:val="dotted" w:color="auto" w:sz="4" w:space="0"/>
              <w:right w:val="dotted" w:color="auto" w:sz="4" w:space="0"/>
            </w:tcBorders>
            <w:vAlign w:val="center"/>
          </w:tcPr>
          <w:p w14:paraId="51711A91">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96128" behindDoc="0" locked="0" layoutInCell="1" allowOverlap="1">
                      <wp:simplePos x="0" y="0"/>
                      <wp:positionH relativeFrom="column">
                        <wp:posOffset>816610</wp:posOffset>
                      </wp:positionH>
                      <wp:positionV relativeFrom="paragraph">
                        <wp:posOffset>466725</wp:posOffset>
                      </wp:positionV>
                      <wp:extent cx="1905" cy="163830"/>
                      <wp:effectExtent l="0" t="0" r="18415" b="11430"/>
                      <wp:wrapNone/>
                      <wp:docPr id="3447" name="Line 2545"/>
                      <wp:cNvGraphicFramePr/>
                      <a:graphic xmlns:a="http://schemas.openxmlformats.org/drawingml/2006/main">
                        <a:graphicData uri="http://schemas.microsoft.com/office/word/2010/wordprocessingShape">
                          <wps:wsp>
                            <wps:cNvCnPr>
                              <a:cxnSpLocks noChangeShapeType="1"/>
                            </wps:cNvCnPr>
                            <wps:spPr bwMode="auto">
                              <a:xfrm flipH="1">
                                <a:off x="0" y="0"/>
                                <a:ext cx="1905" cy="163830"/>
                              </a:xfrm>
                              <a:prstGeom prst="line">
                                <a:avLst/>
                              </a:prstGeom>
                              <a:noFill/>
                              <a:ln w="9525">
                                <a:solidFill>
                                  <a:srgbClr val="000000"/>
                                </a:solidFill>
                                <a:round/>
                              </a:ln>
                            </wps:spPr>
                            <wps:bodyPr/>
                          </wps:wsp>
                        </a:graphicData>
                      </a:graphic>
                    </wp:anchor>
                  </w:drawing>
                </mc:Choice>
                <mc:Fallback>
                  <w:pict>
                    <v:line id="Line 2545" o:spid="_x0000_s1026" o:spt="20" style="position:absolute;left:0pt;flip:x;margin-left:64.3pt;margin-top:36.75pt;height:12.9pt;width:0.15pt;z-index:251696128;mso-width-relative:page;mso-height-relative:page;" filled="f" stroked="t" coordsize="21600,21600" o:gfxdata="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5BQC71wAAAAkBAAAPAAAAAAAA&#10;AAEAIAAAACIAAABkcnMvZG93bnJldi54bWxQSwECFAAUAAAACACHTuJAxoFs1doBAACxAwAADgAA&#10;AAAAAAABACAAAAAmAQAAZHJzL2Uyb0RvYy54bWxQSwUGAAAAAAYABgBZAQAAcgU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52705</wp:posOffset>
                      </wp:positionH>
                      <wp:positionV relativeFrom="paragraph">
                        <wp:posOffset>173355</wp:posOffset>
                      </wp:positionV>
                      <wp:extent cx="2660650" cy="299720"/>
                      <wp:effectExtent l="0" t="0" r="635" b="1905"/>
                      <wp:wrapNone/>
                      <wp:docPr id="3448" name="Text Box 2527"/>
                      <wp:cNvGraphicFramePr/>
                      <a:graphic xmlns:a="http://schemas.openxmlformats.org/drawingml/2006/main">
                        <a:graphicData uri="http://schemas.microsoft.com/office/word/2010/wordprocessingShape">
                          <wps:wsp>
                            <wps:cNvSpPr txBox="1">
                              <a:spLocks noChangeArrowheads="1"/>
                            </wps:cNvSpPr>
                            <wps:spPr bwMode="auto">
                              <a:xfrm>
                                <a:off x="0" y="0"/>
                                <a:ext cx="2660650" cy="299720"/>
                              </a:xfrm>
                              <a:prstGeom prst="rect">
                                <a:avLst/>
                              </a:prstGeom>
                              <a:solidFill>
                                <a:srgbClr val="FFFFFF"/>
                              </a:solidFill>
                              <a:ln w="9525">
                                <a:solidFill>
                                  <a:srgbClr val="000000"/>
                                </a:solidFill>
                                <a:miter lim="800000"/>
                              </a:ln>
                            </wps:spPr>
                            <wps:txbx>
                              <w:txbxContent>
                                <w:p w14:paraId="614D16D2">
                                  <w:pPr>
                                    <w:adjustRightInd w:val="0"/>
                                    <w:snapToGrid w:val="0"/>
                                    <w:spacing w:line="240" w:lineRule="atLeast"/>
                                    <w:ind w:firstLine="0" w:firstLineChars="0"/>
                                    <w:jc w:val="center"/>
                                    <w:rPr>
                                      <w:sz w:val="21"/>
                                      <w:szCs w:val="21"/>
                                    </w:rPr>
                                  </w:pPr>
                                  <w:r>
                                    <w:rPr>
                                      <w:rFonts w:hint="eastAsia"/>
                                      <w:sz w:val="21"/>
                                      <w:szCs w:val="21"/>
                                    </w:rPr>
                                    <w:t>运营</w:t>
                                  </w:r>
                                  <w:r>
                                    <w:rPr>
                                      <w:sz w:val="21"/>
                                      <w:szCs w:val="21"/>
                                    </w:rPr>
                                    <w:t>单位</w:t>
                                  </w:r>
                                </w:p>
                              </w:txbxContent>
                            </wps:txbx>
                            <wps:bodyPr rot="0" vert="horz" wrap="square" lIns="91440" tIns="45720" rIns="91440" bIns="45720" anchor="t" anchorCtr="0" upright="1">
                              <a:noAutofit/>
                            </wps:bodyPr>
                          </wps:wsp>
                        </a:graphicData>
                      </a:graphic>
                    </wp:anchor>
                  </w:drawing>
                </mc:Choice>
                <mc:Fallback>
                  <w:pict>
                    <v:shape id="Text Box 2527" o:spid="_x0000_s1026" o:spt="202" type="#_x0000_t202" style="position:absolute;left:0pt;margin-left:4.15pt;margin-top:13.65pt;height:23.6pt;width:209.5pt;z-index:251679744;mso-width-relative:page;mso-height-relative:page;" fillcolor="#FFFFFF" filled="t" stroked="t" coordsize="21600,21600" o:gfxdata="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IMvkS3VAAAABwEAAA8AAAAAAAAAAQAgAAAAIgAAAGRycy9kb3ducmV2Lnht&#10;bFBLAQIUABQAAAAIAIdO4kCUfQjONQIAAIwEAAAOAAAAAAAAAAEAIAAAACQBAABkcnMvZTJvRG9j&#10;LnhtbFBLBQYAAAAABgAGAFkBAADLBQAAAAA=&#10;">
                      <v:fill on="t" focussize="0,0"/>
                      <v:stroke color="#000000" miterlimit="8" joinstyle="miter"/>
                      <v:imagedata o:title=""/>
                      <o:lock v:ext="edit" aspectratio="f"/>
                      <v:textbox>
                        <w:txbxContent>
                          <w:p w14:paraId="614D16D2">
                            <w:pPr>
                              <w:adjustRightInd w:val="0"/>
                              <w:snapToGrid w:val="0"/>
                              <w:spacing w:line="240" w:lineRule="atLeast"/>
                              <w:ind w:firstLine="0" w:firstLineChars="0"/>
                              <w:jc w:val="center"/>
                              <w:rPr>
                                <w:sz w:val="21"/>
                                <w:szCs w:val="21"/>
                              </w:rPr>
                            </w:pPr>
                            <w:r>
                              <w:rPr>
                                <w:rFonts w:hint="eastAsia"/>
                                <w:sz w:val="21"/>
                                <w:szCs w:val="21"/>
                              </w:rPr>
                              <w:t>运营</w:t>
                            </w:r>
                            <w:r>
                              <w:rPr>
                                <w:sz w:val="21"/>
                                <w:szCs w:val="21"/>
                              </w:rPr>
                              <w:t>单位</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261620</wp:posOffset>
                      </wp:positionH>
                      <wp:positionV relativeFrom="paragraph">
                        <wp:posOffset>637540</wp:posOffset>
                      </wp:positionV>
                      <wp:extent cx="1025525" cy="297180"/>
                      <wp:effectExtent l="0" t="0" r="1905" b="3810"/>
                      <wp:wrapNone/>
                      <wp:docPr id="3449" name="Text Box 2528"/>
                      <wp:cNvGraphicFramePr/>
                      <a:graphic xmlns:a="http://schemas.openxmlformats.org/drawingml/2006/main">
                        <a:graphicData uri="http://schemas.microsoft.com/office/word/2010/wordprocessingShape">
                          <wps:wsp>
                            <wps:cNvSpPr txBox="1">
                              <a:spLocks noChangeArrowheads="1"/>
                            </wps:cNvSpPr>
                            <wps:spPr bwMode="auto">
                              <a:xfrm>
                                <a:off x="0" y="0"/>
                                <a:ext cx="1025525" cy="297180"/>
                              </a:xfrm>
                              <a:prstGeom prst="rect">
                                <a:avLst/>
                              </a:prstGeom>
                              <a:solidFill>
                                <a:srgbClr val="FFFFFF"/>
                              </a:solidFill>
                              <a:ln w="9525">
                                <a:solidFill>
                                  <a:srgbClr val="000000"/>
                                </a:solidFill>
                                <a:miter lim="800000"/>
                              </a:ln>
                            </wps:spPr>
                            <wps:txbx>
                              <w:txbxContent>
                                <w:p w14:paraId="764D8FFF">
                                  <w:pPr>
                                    <w:adjustRightInd w:val="0"/>
                                    <w:snapToGrid w:val="0"/>
                                    <w:spacing w:line="240" w:lineRule="atLeast"/>
                                    <w:ind w:firstLine="0" w:firstLineChars="0"/>
                                    <w:jc w:val="center"/>
                                    <w:rPr>
                                      <w:sz w:val="21"/>
                                      <w:szCs w:val="21"/>
                                    </w:rPr>
                                  </w:pPr>
                                  <w:r>
                                    <w:rPr>
                                      <w:rFonts w:hint="eastAsia"/>
                                      <w:sz w:val="21"/>
                                      <w:szCs w:val="21"/>
                                    </w:rPr>
                                    <w:t>作业单位</w:t>
                                  </w:r>
                                </w:p>
                              </w:txbxContent>
                            </wps:txbx>
                            <wps:bodyPr rot="0" vert="horz" wrap="square" lIns="91440" tIns="45720" rIns="91440" bIns="45720" anchor="t" anchorCtr="0" upright="1">
                              <a:noAutofit/>
                            </wps:bodyPr>
                          </wps:wsp>
                        </a:graphicData>
                      </a:graphic>
                    </wp:anchor>
                  </w:drawing>
                </mc:Choice>
                <mc:Fallback>
                  <w:pict>
                    <v:shape id="Text Box 2528" o:spid="_x0000_s1026" o:spt="202" type="#_x0000_t202" style="position:absolute;left:0pt;margin-left:20.6pt;margin-top:50.2pt;height:23.4pt;width:80.75pt;z-index:251680768;mso-width-relative:page;mso-height-relative:page;" fillcolor="#FFFFFF" filled="t" stroked="t" coordsize="21600,21600" o:gfxdata="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jhM9n2AAAAAoBAAAPAAAAAAAAAAEAIAAAACIAAABkcnMvZG93bnJldi54&#10;bWxQSwECFAAUAAAACACHTuJAzdoKkzMCAACMBAAADgAAAAAAAAABACAAAAAnAQAAZHJzL2Uyb0Rv&#10;Yy54bWxQSwUGAAAAAAYABgBZAQAAzAUAAAAA&#10;">
                      <v:fill on="t" focussize="0,0"/>
                      <v:stroke color="#000000" miterlimit="8" joinstyle="miter"/>
                      <v:imagedata o:title=""/>
                      <o:lock v:ext="edit" aspectratio="f"/>
                      <v:textbox>
                        <w:txbxContent>
                          <w:p w14:paraId="764D8FFF">
                            <w:pPr>
                              <w:adjustRightInd w:val="0"/>
                              <w:snapToGrid w:val="0"/>
                              <w:spacing w:line="240" w:lineRule="atLeast"/>
                              <w:ind w:firstLine="0" w:firstLineChars="0"/>
                              <w:jc w:val="center"/>
                              <w:rPr>
                                <w:sz w:val="21"/>
                                <w:szCs w:val="21"/>
                              </w:rPr>
                            </w:pPr>
                            <w:r>
                              <w:rPr>
                                <w:rFonts w:hint="eastAsia"/>
                                <w:sz w:val="21"/>
                                <w:szCs w:val="21"/>
                              </w:rPr>
                              <w:t>作业单位</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4080" behindDoc="0" locked="0" layoutInCell="1" allowOverlap="1">
                      <wp:simplePos x="0" y="0"/>
                      <wp:positionH relativeFrom="column">
                        <wp:posOffset>1549400</wp:posOffset>
                      </wp:positionH>
                      <wp:positionV relativeFrom="paragraph">
                        <wp:posOffset>638810</wp:posOffset>
                      </wp:positionV>
                      <wp:extent cx="1366520" cy="297180"/>
                      <wp:effectExtent l="0" t="0" r="0" b="3810"/>
                      <wp:wrapNone/>
                      <wp:docPr id="3450" name="Text Box 2542"/>
                      <wp:cNvGraphicFramePr/>
                      <a:graphic xmlns:a="http://schemas.openxmlformats.org/drawingml/2006/main">
                        <a:graphicData uri="http://schemas.microsoft.com/office/word/2010/wordprocessingShape">
                          <wps:wsp>
                            <wps:cNvSpPr txBox="1">
                              <a:spLocks noChangeArrowheads="1"/>
                            </wps:cNvSpPr>
                            <wps:spPr bwMode="auto">
                              <a:xfrm>
                                <a:off x="0" y="0"/>
                                <a:ext cx="1366520" cy="297180"/>
                              </a:xfrm>
                              <a:prstGeom prst="rect">
                                <a:avLst/>
                              </a:prstGeom>
                              <a:solidFill>
                                <a:srgbClr val="FFFFFF"/>
                              </a:solidFill>
                              <a:ln w="9525">
                                <a:solidFill>
                                  <a:srgbClr val="000000"/>
                                </a:solidFill>
                                <a:miter lim="800000"/>
                              </a:ln>
                            </wps:spPr>
                            <wps:txbx>
                              <w:txbxContent>
                                <w:p w14:paraId="074F019E">
                                  <w:pPr>
                                    <w:adjustRightInd w:val="0"/>
                                    <w:snapToGrid w:val="0"/>
                                    <w:spacing w:line="240" w:lineRule="atLeast"/>
                                    <w:ind w:firstLine="0" w:firstLineChars="0"/>
                                    <w:jc w:val="center"/>
                                    <w:rPr>
                                      <w:sz w:val="21"/>
                                      <w:szCs w:val="21"/>
                                    </w:rPr>
                                  </w:pPr>
                                  <w:r>
                                    <w:rPr>
                                      <w:rFonts w:hint="eastAsia"/>
                                      <w:sz w:val="21"/>
                                      <w:szCs w:val="21"/>
                                    </w:rPr>
                                    <w:t>环境治理执行单位</w:t>
                                  </w:r>
                                </w:p>
                              </w:txbxContent>
                            </wps:txbx>
                            <wps:bodyPr rot="0" vert="horz" wrap="square" lIns="91440" tIns="45720" rIns="91440" bIns="45720" anchor="t" anchorCtr="0" upright="1">
                              <a:noAutofit/>
                            </wps:bodyPr>
                          </wps:wsp>
                        </a:graphicData>
                      </a:graphic>
                    </wp:anchor>
                  </w:drawing>
                </mc:Choice>
                <mc:Fallback>
                  <w:pict>
                    <v:shape id="Text Box 2542" o:spid="_x0000_s1026" o:spt="202" type="#_x0000_t202" style="position:absolute;left:0pt;margin-left:122pt;margin-top:50.3pt;height:23.4pt;width:107.6pt;z-index:251694080;mso-width-relative:page;mso-height-relative:page;" fillcolor="#FFFFFF" filled="t" stroked="t" coordsize="21600,21600" o:gfxdata="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9bwFi2QAAAAsBAAAPAAAAAAAAAAEAIAAAACIAAABkcnMvZG93bnJl&#10;di54bWxQSwECFAAUAAAACACHTuJA5CW54DUCAACMBAAADgAAAAAAAAABACAAAAAoAQAAZHJzL2Uy&#10;b0RvYy54bWxQSwUGAAAAAAYABgBZAQAAzwUAAAAA&#10;">
                      <v:fill on="t" focussize="0,0"/>
                      <v:stroke color="#000000" miterlimit="8" joinstyle="miter"/>
                      <v:imagedata o:title=""/>
                      <o:lock v:ext="edit" aspectratio="f"/>
                      <v:textbox>
                        <w:txbxContent>
                          <w:p w14:paraId="074F019E">
                            <w:pPr>
                              <w:adjustRightInd w:val="0"/>
                              <w:snapToGrid w:val="0"/>
                              <w:spacing w:line="240" w:lineRule="atLeast"/>
                              <w:ind w:firstLine="0" w:firstLineChars="0"/>
                              <w:jc w:val="center"/>
                              <w:rPr>
                                <w:sz w:val="21"/>
                                <w:szCs w:val="21"/>
                              </w:rPr>
                            </w:pPr>
                            <w:r>
                              <w:rPr>
                                <w:rFonts w:hint="eastAsia"/>
                                <w:sz w:val="21"/>
                                <w:szCs w:val="21"/>
                              </w:rPr>
                              <w:t>环境治理执行单位</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5104" behindDoc="0" locked="0" layoutInCell="1" allowOverlap="1">
                      <wp:simplePos x="0" y="0"/>
                      <wp:positionH relativeFrom="column">
                        <wp:posOffset>2220595</wp:posOffset>
                      </wp:positionH>
                      <wp:positionV relativeFrom="paragraph">
                        <wp:posOffset>469900</wp:posOffset>
                      </wp:positionV>
                      <wp:extent cx="1905" cy="173355"/>
                      <wp:effectExtent l="0" t="0" r="18415" b="5715"/>
                      <wp:wrapNone/>
                      <wp:docPr id="3451" name="Line 2544"/>
                      <wp:cNvGraphicFramePr/>
                      <a:graphic xmlns:a="http://schemas.openxmlformats.org/drawingml/2006/main">
                        <a:graphicData uri="http://schemas.microsoft.com/office/word/2010/wordprocessingShape">
                          <wps:wsp>
                            <wps:cNvCnPr>
                              <a:cxnSpLocks noChangeShapeType="1"/>
                            </wps:cNvCnPr>
                            <wps:spPr bwMode="auto">
                              <a:xfrm flipH="1">
                                <a:off x="0" y="0"/>
                                <a:ext cx="1905" cy="173355"/>
                              </a:xfrm>
                              <a:prstGeom prst="line">
                                <a:avLst/>
                              </a:prstGeom>
                              <a:noFill/>
                              <a:ln w="9525">
                                <a:solidFill>
                                  <a:srgbClr val="000000"/>
                                </a:solidFill>
                                <a:round/>
                              </a:ln>
                            </wps:spPr>
                            <wps:bodyPr/>
                          </wps:wsp>
                        </a:graphicData>
                      </a:graphic>
                    </wp:anchor>
                  </w:drawing>
                </mc:Choice>
                <mc:Fallback>
                  <w:pict>
                    <v:line id="Line 2544" o:spid="_x0000_s1026" o:spt="20" style="position:absolute;left:0pt;flip:x;margin-left:174.85pt;margin-top:37pt;height:13.65pt;width:0.15pt;z-index:251695104;mso-width-relative:page;mso-height-relative:page;" filled="f" stroked="t" coordsize="21600,21600" o:gfxdata="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y6f9T9cAAAAKAQAADwAAAAAAAAAB&#10;ACAAAAAiAAAAZHJzL2Rvd25yZXYueG1sUEsBAhQAFAAAAAgAh07iQFH5LQfYAQAAsQMAAA4AAAAA&#10;AAAAAQAgAAAAJgEAAGRycy9lMm9Eb2MueG1sUEsFBgAAAAAGAAYAWQEAAHAFAAAAAA==&#10;">
                      <v:fill on="f" focussize="0,0"/>
                      <v:stroke color="#000000" joinstyle="round"/>
                      <v:imagedata o:title=""/>
                      <o:lock v:ext="edit" aspectratio="f"/>
                    </v:line>
                  </w:pict>
                </mc:Fallback>
              </mc:AlternateContent>
            </w:r>
          </w:p>
        </w:tc>
        <w:tc>
          <w:tcPr>
            <w:tcW w:w="2788" w:type="dxa"/>
            <w:vMerge w:val="continue"/>
            <w:tcBorders>
              <w:left w:val="dotted" w:color="auto" w:sz="4" w:space="0"/>
              <w:bottom w:val="dotted" w:color="auto" w:sz="4" w:space="0"/>
              <w:right w:val="dotted" w:color="auto" w:sz="4" w:space="0"/>
            </w:tcBorders>
            <w:vAlign w:val="center"/>
          </w:tcPr>
          <w:p w14:paraId="0C8C3B31">
            <w:pPr>
              <w:pStyle w:val="70"/>
              <w:spacing w:line="240" w:lineRule="atLeast"/>
              <w:rPr>
                <w:color w:val="000000" w:themeColor="text1"/>
                <w14:textFill>
                  <w14:solidFill>
                    <w14:schemeClr w14:val="tx1"/>
                  </w14:solidFill>
                </w14:textFill>
              </w:rPr>
            </w:pPr>
          </w:p>
        </w:tc>
      </w:tr>
    </w:tbl>
    <w:p w14:paraId="584A13F8">
      <w:pPr>
        <w:pStyle w:val="8"/>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环境管理与监督机构示意图</w:t>
      </w:r>
    </w:p>
    <w:p w14:paraId="1A0E52EC">
      <w:pPr>
        <w:pStyle w:val="4"/>
        <w:rPr>
          <w:color w:val="000000" w:themeColor="text1"/>
          <w14:textFill>
            <w14:solidFill>
              <w14:schemeClr w14:val="tx1"/>
            </w14:solidFill>
          </w14:textFill>
        </w:rPr>
      </w:pPr>
      <w:bookmarkStart w:id="826" w:name="_Toc136878576"/>
      <w:bookmarkStart w:id="827" w:name="_Toc135090312"/>
      <w:bookmarkStart w:id="828" w:name="_Toc216103486"/>
      <w:bookmarkStart w:id="829" w:name="_Toc216620645"/>
      <w:r>
        <w:rPr>
          <w:color w:val="000000" w:themeColor="text1"/>
          <w14:textFill>
            <w14:solidFill>
              <w14:schemeClr w14:val="tx1"/>
            </w14:solidFill>
          </w14:textFill>
        </w:rPr>
        <w:t>环境管理制度</w:t>
      </w:r>
      <w:bookmarkEnd w:id="826"/>
      <w:bookmarkEnd w:id="827"/>
      <w:bookmarkEnd w:id="828"/>
      <w:bookmarkEnd w:id="829"/>
    </w:p>
    <w:p w14:paraId="1148E89E">
      <w:pPr>
        <w:ind w:firstLine="480"/>
        <w:rPr>
          <w:color w:val="000000" w:themeColor="text1"/>
          <w14:textFill>
            <w14:solidFill>
              <w14:schemeClr w14:val="tx1"/>
            </w14:solidFill>
          </w14:textFill>
        </w:rPr>
      </w:pPr>
      <w:r>
        <w:rPr>
          <w:color w:val="000000" w:themeColor="text1"/>
          <w14:textFill>
            <w14:solidFill>
              <w14:schemeClr w14:val="tx1"/>
            </w14:solidFill>
          </w14:textFill>
        </w:rPr>
        <w:t>为了落实各项污染防治措施，加强环境保护管理工作，应根据实际特点，制定各种类型的环保制度，并以文件形式规定，形成一套公司级环境管理制度体系，如：</w:t>
      </w:r>
    </w:p>
    <w:p w14:paraId="5328869B">
      <w:pPr>
        <w:ind w:firstLine="480"/>
        <w:rPr>
          <w:color w:val="000000" w:themeColor="text1"/>
          <w14:textFill>
            <w14:solidFill>
              <w14:schemeClr w14:val="tx1"/>
            </w14:solidFill>
          </w14:textFill>
        </w:rPr>
      </w:pPr>
      <w:r>
        <w:rPr>
          <w:color w:val="000000" w:themeColor="text1"/>
          <w14:textFill>
            <w14:solidFill>
              <w14:schemeClr w14:val="tx1"/>
            </w14:solidFill>
          </w14:textFill>
        </w:rPr>
        <w:t>1、环境保护职责管理条例；</w:t>
      </w:r>
    </w:p>
    <w:p w14:paraId="18F31DDA">
      <w:pPr>
        <w:ind w:firstLine="480"/>
        <w:rPr>
          <w:color w:val="000000" w:themeColor="text1"/>
          <w14:textFill>
            <w14:solidFill>
              <w14:schemeClr w14:val="tx1"/>
            </w14:solidFill>
          </w14:textFill>
        </w:rPr>
      </w:pPr>
      <w:r>
        <w:rPr>
          <w:color w:val="000000" w:themeColor="text1"/>
          <w14:textFill>
            <w14:solidFill>
              <w14:schemeClr w14:val="tx1"/>
            </w14:solidFill>
          </w14:textFill>
        </w:rPr>
        <w:t>2、建设项目“三同时”管理制度；</w:t>
      </w:r>
    </w:p>
    <w:p w14:paraId="4BF2BC63">
      <w:pPr>
        <w:ind w:firstLine="480"/>
        <w:rPr>
          <w:color w:val="000000" w:themeColor="text1"/>
          <w14:textFill>
            <w14:solidFill>
              <w14:schemeClr w14:val="tx1"/>
            </w14:solidFill>
          </w14:textFill>
        </w:rPr>
      </w:pPr>
      <w:r>
        <w:rPr>
          <w:color w:val="000000" w:themeColor="text1"/>
          <w14:textFill>
            <w14:solidFill>
              <w14:schemeClr w14:val="tx1"/>
            </w14:solidFill>
          </w14:textFill>
        </w:rPr>
        <w:t>3、各种环保装置运行操作规程；</w:t>
      </w:r>
    </w:p>
    <w:p w14:paraId="0052B623">
      <w:pPr>
        <w:ind w:firstLine="480"/>
        <w:rPr>
          <w:color w:val="000000" w:themeColor="text1"/>
          <w14:textFill>
            <w14:solidFill>
              <w14:schemeClr w14:val="tx1"/>
            </w14:solidFill>
          </w14:textFill>
        </w:rPr>
      </w:pPr>
      <w:r>
        <w:rPr>
          <w:color w:val="000000" w:themeColor="text1"/>
          <w14:textFill>
            <w14:solidFill>
              <w14:schemeClr w14:val="tx1"/>
            </w14:solidFill>
          </w14:textFill>
        </w:rPr>
        <w:t>4、各种污染防治对策控制工艺参数；</w:t>
      </w:r>
    </w:p>
    <w:p w14:paraId="1A1C392A">
      <w:pPr>
        <w:ind w:firstLine="480"/>
        <w:rPr>
          <w:color w:val="000000" w:themeColor="text1"/>
          <w14:textFill>
            <w14:solidFill>
              <w14:schemeClr w14:val="tx1"/>
            </w14:solidFill>
          </w14:textFill>
        </w:rPr>
      </w:pPr>
      <w:r>
        <w:rPr>
          <w:color w:val="000000" w:themeColor="text1"/>
          <w14:textFill>
            <w14:solidFill>
              <w14:schemeClr w14:val="tx1"/>
            </w14:solidFill>
          </w14:textFill>
        </w:rPr>
        <w:t>5、各种环保设施检查、维护、保养规定；</w:t>
      </w:r>
    </w:p>
    <w:p w14:paraId="3C4CD0EC">
      <w:pPr>
        <w:ind w:firstLine="480"/>
        <w:rPr>
          <w:color w:val="000000" w:themeColor="text1"/>
          <w14:textFill>
            <w14:solidFill>
              <w14:schemeClr w14:val="tx1"/>
            </w14:solidFill>
          </w14:textFill>
        </w:rPr>
      </w:pPr>
      <w:r>
        <w:rPr>
          <w:color w:val="000000" w:themeColor="text1"/>
          <w14:textFill>
            <w14:solidFill>
              <w14:schemeClr w14:val="tx1"/>
            </w14:solidFill>
          </w14:textFill>
        </w:rPr>
        <w:t>6、环境保护工作实施计划；</w:t>
      </w:r>
    </w:p>
    <w:p w14:paraId="2C9EEFE5">
      <w:pPr>
        <w:ind w:firstLine="480"/>
        <w:rPr>
          <w:color w:val="000000" w:themeColor="text1"/>
          <w14:textFill>
            <w14:solidFill>
              <w14:schemeClr w14:val="tx1"/>
            </w14:solidFill>
          </w14:textFill>
        </w:rPr>
      </w:pPr>
      <w:r>
        <w:rPr>
          <w:color w:val="000000" w:themeColor="text1"/>
          <w14:textFill>
            <w14:solidFill>
              <w14:schemeClr w14:val="tx1"/>
            </w14:solidFill>
          </w14:textFill>
        </w:rPr>
        <w:t>7、固废综合利用管理办法；</w:t>
      </w:r>
    </w:p>
    <w:p w14:paraId="1BE2D2C9">
      <w:pPr>
        <w:ind w:firstLine="480"/>
        <w:rPr>
          <w:color w:val="000000" w:themeColor="text1"/>
          <w14:textFill>
            <w14:solidFill>
              <w14:schemeClr w14:val="tx1"/>
            </w14:solidFill>
          </w14:textFill>
        </w:rPr>
      </w:pPr>
      <w:r>
        <w:rPr>
          <w:color w:val="000000" w:themeColor="text1"/>
          <w14:textFill>
            <w14:solidFill>
              <w14:schemeClr w14:val="tx1"/>
            </w14:solidFill>
          </w14:textFill>
        </w:rPr>
        <w:t>8、污染事故应急预案；</w:t>
      </w:r>
    </w:p>
    <w:p w14:paraId="23F583E6">
      <w:pPr>
        <w:ind w:firstLine="480"/>
        <w:rPr>
          <w:color w:val="000000" w:themeColor="text1"/>
          <w14:textFill>
            <w14:solidFill>
              <w14:schemeClr w14:val="tx1"/>
            </w14:solidFill>
          </w14:textFill>
        </w:rPr>
      </w:pPr>
      <w:r>
        <w:rPr>
          <w:color w:val="000000" w:themeColor="text1"/>
          <w14:textFill>
            <w14:solidFill>
              <w14:schemeClr w14:val="tx1"/>
            </w14:solidFill>
          </w14:textFill>
        </w:rPr>
        <w:t>9、绿化工作年度计划；</w:t>
      </w:r>
    </w:p>
    <w:p w14:paraId="5EE669EB">
      <w:pPr>
        <w:ind w:firstLine="480"/>
        <w:rPr>
          <w:color w:val="000000" w:themeColor="text1"/>
          <w14:textFill>
            <w14:solidFill>
              <w14:schemeClr w14:val="tx1"/>
            </w14:solidFill>
          </w14:textFill>
        </w:rPr>
      </w:pPr>
      <w:r>
        <w:rPr>
          <w:color w:val="000000" w:themeColor="text1"/>
          <w14:textFill>
            <w14:solidFill>
              <w14:schemeClr w14:val="tx1"/>
            </w14:solidFill>
          </w14:textFill>
        </w:rPr>
        <w:t>10、环境保护指标考核管理办法；</w:t>
      </w:r>
    </w:p>
    <w:p w14:paraId="36FC9B93">
      <w:pPr>
        <w:ind w:firstLine="480"/>
        <w:rPr>
          <w:color w:val="000000" w:themeColor="text1"/>
          <w14:textFill>
            <w14:solidFill>
              <w14:schemeClr w14:val="tx1"/>
            </w14:solidFill>
          </w14:textFill>
        </w:rPr>
      </w:pPr>
      <w:r>
        <w:rPr>
          <w:color w:val="000000" w:themeColor="text1"/>
          <w14:textFill>
            <w14:solidFill>
              <w14:schemeClr w14:val="tx1"/>
            </w14:solidFill>
          </w14:textFill>
        </w:rPr>
        <w:t>11、规范化排污口建设管理规定；</w:t>
      </w:r>
    </w:p>
    <w:p w14:paraId="18E810AD">
      <w:pPr>
        <w:ind w:firstLine="480"/>
        <w:rPr>
          <w:color w:val="000000" w:themeColor="text1"/>
          <w14:textFill>
            <w14:solidFill>
              <w14:schemeClr w14:val="tx1"/>
            </w14:solidFill>
          </w14:textFill>
        </w:rPr>
      </w:pPr>
      <w:r>
        <w:rPr>
          <w:color w:val="000000" w:themeColor="text1"/>
          <w14:textFill>
            <w14:solidFill>
              <w14:schemeClr w14:val="tx1"/>
            </w14:solidFill>
          </w14:textFill>
        </w:rPr>
        <w:t>12、环保宣传及教育制度。</w:t>
      </w:r>
    </w:p>
    <w:p w14:paraId="25702C63">
      <w:pPr>
        <w:pStyle w:val="4"/>
        <w:rPr>
          <w:color w:val="000000" w:themeColor="text1"/>
          <w14:textFill>
            <w14:solidFill>
              <w14:schemeClr w14:val="tx1"/>
            </w14:solidFill>
          </w14:textFill>
        </w:rPr>
      </w:pPr>
      <w:bookmarkStart w:id="830" w:name="_Toc136878577"/>
      <w:bookmarkStart w:id="831" w:name="_Toc216620646"/>
      <w:bookmarkStart w:id="832" w:name="_Toc216103487"/>
      <w:bookmarkStart w:id="833" w:name="_Toc135090313"/>
      <w:r>
        <w:rPr>
          <w:color w:val="000000" w:themeColor="text1"/>
          <w14:textFill>
            <w14:solidFill>
              <w14:schemeClr w14:val="tx1"/>
            </w14:solidFill>
          </w14:textFill>
        </w:rPr>
        <w:t>建设单位环境管理</w:t>
      </w:r>
      <w:bookmarkEnd w:id="830"/>
      <w:bookmarkEnd w:id="831"/>
      <w:bookmarkEnd w:id="832"/>
      <w:bookmarkEnd w:id="833"/>
    </w:p>
    <w:p w14:paraId="7613F86E">
      <w:pPr>
        <w:ind w:firstLine="480"/>
        <w:rPr>
          <w:color w:val="000000" w:themeColor="text1"/>
          <w14:textFill>
            <w14:solidFill>
              <w14:schemeClr w14:val="tx1"/>
            </w14:solidFill>
          </w14:textFill>
        </w:rPr>
      </w:pPr>
      <w:r>
        <w:rPr>
          <w:color w:val="000000" w:themeColor="text1"/>
          <w14:textFill>
            <w14:solidFill>
              <w14:schemeClr w14:val="tx1"/>
            </w14:solidFill>
          </w14:textFill>
        </w:rPr>
        <w:t>建设单位应联合施工单位及施工监理单位成立施工期环境管理机构，并在项目经理部设立环保主管，由专人负责监督本工程施工的环境保护管理工作，该机构由建设单位直接领导，并取得当地海洋与渔业局、环保局等有关部门的指导和帮助。其主要职责：</w:t>
      </w:r>
    </w:p>
    <w:p w14:paraId="33C9F44C">
      <w:pPr>
        <w:ind w:firstLine="480"/>
        <w:rPr>
          <w:color w:val="000000" w:themeColor="text1"/>
          <w14:textFill>
            <w14:solidFill>
              <w14:schemeClr w14:val="tx1"/>
            </w14:solidFill>
          </w14:textFill>
        </w:rPr>
      </w:pPr>
      <w:r>
        <w:rPr>
          <w:color w:val="000000" w:themeColor="text1"/>
          <w14:textFill>
            <w14:solidFill>
              <w14:schemeClr w14:val="tx1"/>
            </w14:solidFill>
          </w14:textFill>
        </w:rPr>
        <w:t>1、宣传和执行</w:t>
      </w:r>
      <w:r>
        <w:rPr>
          <w:rFonts w:hint="eastAsia"/>
          <w:color w:val="000000" w:themeColor="text1"/>
          <w:lang w:eastAsia="zh-CN"/>
          <w14:textFill>
            <w14:solidFill>
              <w14:schemeClr w14:val="tx1"/>
            </w14:solidFill>
          </w14:textFill>
        </w:rPr>
        <w:t>《中华人民共和国环境保护法》</w:t>
      </w:r>
      <w:r>
        <w:rPr>
          <w:color w:val="000000" w:themeColor="text1"/>
          <w14:textFill>
            <w14:solidFill>
              <w14:schemeClr w14:val="tx1"/>
            </w14:solidFill>
          </w14:textFill>
        </w:rPr>
        <w:t>、海洋环境保护法、防治船舶污染海洋的有关国家法律、法规和有关海洋与资源保护法规。</w:t>
      </w:r>
    </w:p>
    <w:p w14:paraId="2868D73A">
      <w:pPr>
        <w:ind w:firstLine="480"/>
        <w:rPr>
          <w:color w:val="000000" w:themeColor="text1"/>
          <w14:textFill>
            <w14:solidFill>
              <w14:schemeClr w14:val="tx1"/>
            </w14:solidFill>
          </w14:textFill>
        </w:rPr>
      </w:pPr>
      <w:r>
        <w:rPr>
          <w:color w:val="000000" w:themeColor="text1"/>
          <w14:textFill>
            <w14:solidFill>
              <w14:schemeClr w14:val="tx1"/>
            </w14:solidFill>
          </w14:textFill>
        </w:rPr>
        <w:t>2、制定施工期的环境管理和环境保护行动计划，制定年度实施计划，并监督、落实监测计划等。</w:t>
      </w:r>
    </w:p>
    <w:p w14:paraId="6B4C2DA2">
      <w:pPr>
        <w:ind w:firstLine="480"/>
        <w:rPr>
          <w:color w:val="000000" w:themeColor="text1"/>
          <w14:textFill>
            <w14:solidFill>
              <w14:schemeClr w14:val="tx1"/>
            </w14:solidFill>
          </w14:textFill>
        </w:rPr>
      </w:pPr>
      <w:r>
        <w:rPr>
          <w:color w:val="000000" w:themeColor="text1"/>
          <w14:textFill>
            <w14:solidFill>
              <w14:schemeClr w14:val="tx1"/>
            </w14:solidFill>
          </w14:textFill>
        </w:rPr>
        <w:t>3、按报告书所提的环保措施与对策建议，与施工单位和施工监理单位签订环保措施责任书，并负责监督检查各类施工作业执行本报告提出各项环保措施的落实情况。</w:t>
      </w:r>
    </w:p>
    <w:p w14:paraId="3D7D515A">
      <w:pPr>
        <w:ind w:firstLine="480"/>
        <w:rPr>
          <w:color w:val="000000" w:themeColor="text1"/>
          <w14:textFill>
            <w14:solidFill>
              <w14:schemeClr w14:val="tx1"/>
            </w14:solidFill>
          </w14:textFill>
        </w:rPr>
      </w:pPr>
      <w:r>
        <w:rPr>
          <w:color w:val="000000" w:themeColor="text1"/>
          <w14:textFill>
            <w14:solidFill>
              <w14:schemeClr w14:val="tx1"/>
            </w14:solidFill>
          </w14:textFill>
        </w:rPr>
        <w:t>4、制定施工期安全措施，负责做好施工期污水、固体废物的合理处置工作。</w:t>
      </w:r>
    </w:p>
    <w:p w14:paraId="1F08D57A">
      <w:pPr>
        <w:ind w:firstLine="480"/>
        <w:rPr>
          <w:color w:val="000000" w:themeColor="text1"/>
          <w14:textFill>
            <w14:solidFill>
              <w14:schemeClr w14:val="tx1"/>
            </w14:solidFill>
          </w14:textFill>
        </w:rPr>
      </w:pPr>
      <w:r>
        <w:rPr>
          <w:color w:val="000000" w:themeColor="text1"/>
          <w14:textFill>
            <w14:solidFill>
              <w14:schemeClr w14:val="tx1"/>
            </w14:solidFill>
          </w14:textFill>
        </w:rPr>
        <w:t>5、制定本工程施工期监测计划，并组织监测计划的实施；组织人员定期检查和维修施工机械，监督其正常运转，减少事故的发生。</w:t>
      </w:r>
    </w:p>
    <w:p w14:paraId="0D6E52E0">
      <w:pPr>
        <w:ind w:firstLine="480"/>
        <w:rPr>
          <w:color w:val="000000" w:themeColor="text1"/>
          <w14:textFill>
            <w14:solidFill>
              <w14:schemeClr w14:val="tx1"/>
            </w14:solidFill>
          </w14:textFill>
        </w:rPr>
      </w:pPr>
      <w:r>
        <w:rPr>
          <w:color w:val="000000" w:themeColor="text1"/>
          <w14:textFill>
            <w14:solidFill>
              <w14:schemeClr w14:val="tx1"/>
            </w14:solidFill>
          </w14:textFill>
        </w:rPr>
        <w:t>6、负责环境状况及各种污染物排放监测数据的统计，上报与存档并定期向主管部门汇报。</w:t>
      </w:r>
    </w:p>
    <w:p w14:paraId="30535AD7">
      <w:pPr>
        <w:ind w:firstLine="480"/>
        <w:rPr>
          <w:color w:val="000000" w:themeColor="text1"/>
          <w14:textFill>
            <w14:solidFill>
              <w14:schemeClr w14:val="tx1"/>
            </w14:solidFill>
          </w14:textFill>
        </w:rPr>
      </w:pPr>
      <w:r>
        <w:rPr>
          <w:color w:val="000000" w:themeColor="text1"/>
          <w14:textFill>
            <w14:solidFill>
              <w14:schemeClr w14:val="tx1"/>
            </w14:solidFill>
          </w14:textFill>
        </w:rPr>
        <w:t>7、处理日常各种与环保有关事宜，以及其他环保、安全相关工作。</w:t>
      </w:r>
    </w:p>
    <w:p w14:paraId="3D657971">
      <w:pPr>
        <w:pStyle w:val="4"/>
        <w:rPr>
          <w:color w:val="000000" w:themeColor="text1"/>
          <w14:textFill>
            <w14:solidFill>
              <w14:schemeClr w14:val="tx1"/>
            </w14:solidFill>
          </w14:textFill>
        </w:rPr>
      </w:pPr>
      <w:bookmarkStart w:id="834" w:name="_Toc216620647"/>
      <w:bookmarkStart w:id="835" w:name="_Toc136878578"/>
      <w:bookmarkStart w:id="836" w:name="_Toc216103488"/>
      <w:bookmarkStart w:id="837" w:name="_Toc135090314"/>
      <w:r>
        <w:rPr>
          <w:color w:val="000000" w:themeColor="text1"/>
          <w14:textFill>
            <w14:solidFill>
              <w14:schemeClr w14:val="tx1"/>
            </w14:solidFill>
          </w14:textFill>
        </w:rPr>
        <w:t>施工单位环境管理</w:t>
      </w:r>
      <w:bookmarkEnd w:id="834"/>
      <w:bookmarkEnd w:id="835"/>
      <w:bookmarkEnd w:id="836"/>
      <w:bookmarkEnd w:id="837"/>
    </w:p>
    <w:p w14:paraId="1E65CCA3">
      <w:pPr>
        <w:ind w:firstLine="480"/>
        <w:rPr>
          <w:color w:val="000000" w:themeColor="text1"/>
          <w14:textFill>
            <w14:solidFill>
              <w14:schemeClr w14:val="tx1"/>
            </w14:solidFill>
          </w14:textFill>
        </w:rPr>
      </w:pPr>
      <w:r>
        <w:rPr>
          <w:color w:val="000000" w:themeColor="text1"/>
          <w14:textFill>
            <w14:solidFill>
              <w14:schemeClr w14:val="tx1"/>
            </w14:solidFill>
          </w14:textFill>
        </w:rPr>
        <w:t>为加强施工现场管理，防止施工扬尘污染和施工噪声扰民，施工单位设置一名专职或兼职环境保护人员，负责各个施工工序的环境管理工作，保证施工期环保设施的正常进行以及各项环保措施的落实。其主要职责为：</w:t>
      </w:r>
    </w:p>
    <w:p w14:paraId="54899DD7">
      <w:pPr>
        <w:ind w:firstLine="480"/>
        <w:rPr>
          <w:color w:val="000000" w:themeColor="text1"/>
          <w14:textFill>
            <w14:solidFill>
              <w14:schemeClr w14:val="tx1"/>
            </w14:solidFill>
          </w14:textFill>
        </w:rPr>
      </w:pPr>
      <w:r>
        <w:rPr>
          <w:color w:val="000000" w:themeColor="text1"/>
          <w14:textFill>
            <w14:solidFill>
              <w14:schemeClr w14:val="tx1"/>
            </w14:solidFill>
          </w14:textFill>
        </w:rPr>
        <w:t>（1）</w:t>
      </w:r>
      <w:r>
        <w:rPr>
          <w:color w:val="000000" w:themeColor="text1"/>
          <w14:textFill>
            <w14:solidFill>
              <w14:schemeClr w14:val="tx1"/>
            </w14:solidFill>
          </w14:textFill>
        </w:rPr>
        <w:tab/>
      </w:r>
      <w:r>
        <w:rPr>
          <w:color w:val="000000" w:themeColor="text1"/>
          <w14:textFill>
            <w14:solidFill>
              <w14:schemeClr w14:val="tx1"/>
            </w14:solidFill>
          </w14:textFill>
        </w:rPr>
        <w:t>按建设单位</w:t>
      </w:r>
      <w:r>
        <w:rPr>
          <w:rFonts w:hint="eastAsia"/>
          <w:color w:val="000000" w:themeColor="text1"/>
          <w:lang w:eastAsia="zh-CN"/>
          <w14:textFill>
            <w14:solidFill>
              <w14:schemeClr w14:val="tx1"/>
            </w14:solidFill>
          </w14:textFill>
        </w:rPr>
        <w:t>声环境影响评价</w:t>
      </w:r>
      <w:r>
        <w:rPr>
          <w:color w:val="000000" w:themeColor="text1"/>
          <w14:textFill>
            <w14:solidFill>
              <w14:schemeClr w14:val="tx1"/>
            </w14:solidFill>
          </w14:textFill>
        </w:rPr>
        <w:t>要求制定文明施工计划，向当地环保行政部门提交施工阶段环境保护报告。内容应包括：工程进度、主要施工内容及方法、造成的环境影响评述以及减缓环境影响措施的落实情况；</w:t>
      </w:r>
    </w:p>
    <w:p w14:paraId="1D52D90A">
      <w:pPr>
        <w:ind w:firstLine="480"/>
        <w:rPr>
          <w:color w:val="000000" w:themeColor="text1"/>
          <w14:textFill>
            <w14:solidFill>
              <w14:schemeClr w14:val="tx1"/>
            </w14:solidFill>
          </w14:textFill>
        </w:rPr>
      </w:pPr>
      <w:r>
        <w:rPr>
          <w:color w:val="000000" w:themeColor="text1"/>
          <w14:textFill>
            <w14:solidFill>
              <w14:schemeClr w14:val="tx1"/>
            </w14:solidFill>
          </w14:textFill>
        </w:rPr>
        <w:t>（2）</w:t>
      </w:r>
      <w:r>
        <w:rPr>
          <w:color w:val="000000" w:themeColor="text1"/>
          <w14:textFill>
            <w14:solidFill>
              <w14:schemeClr w14:val="tx1"/>
            </w14:solidFill>
          </w14:textFill>
        </w:rPr>
        <w:tab/>
      </w:r>
      <w:r>
        <w:rPr>
          <w:color w:val="000000" w:themeColor="text1"/>
          <w14:textFill>
            <w14:solidFill>
              <w14:schemeClr w14:val="tx1"/>
            </w14:solidFill>
          </w14:textFill>
        </w:rPr>
        <w:t>与业主单位环保人员一同制定本项目施工环境管理条例；</w:t>
      </w:r>
    </w:p>
    <w:p w14:paraId="733B0E34">
      <w:pPr>
        <w:ind w:firstLine="480"/>
        <w:rPr>
          <w:color w:val="000000" w:themeColor="text1"/>
          <w14:textFill>
            <w14:solidFill>
              <w14:schemeClr w14:val="tx1"/>
            </w14:solidFill>
          </w14:textFill>
        </w:rPr>
      </w:pPr>
      <w:r>
        <w:rPr>
          <w:color w:val="000000" w:themeColor="text1"/>
          <w14:textFill>
            <w14:solidFill>
              <w14:schemeClr w14:val="tx1"/>
            </w14:solidFill>
          </w14:textFill>
        </w:rPr>
        <w:t>（3）</w:t>
      </w:r>
      <w:r>
        <w:rPr>
          <w:color w:val="000000" w:themeColor="text1"/>
          <w14:textFill>
            <w14:solidFill>
              <w14:schemeClr w14:val="tx1"/>
            </w14:solidFill>
          </w14:textFill>
        </w:rPr>
        <w:tab/>
      </w:r>
      <w:r>
        <w:rPr>
          <w:color w:val="000000" w:themeColor="text1"/>
          <w14:textFill>
            <w14:solidFill>
              <w14:schemeClr w14:val="tx1"/>
            </w14:solidFill>
          </w14:textFill>
        </w:rPr>
        <w:t>定期检查施工环境管理条例实施情况，并督促有关人员进行整改；</w:t>
      </w:r>
    </w:p>
    <w:p w14:paraId="4570B482">
      <w:pPr>
        <w:ind w:firstLine="480"/>
        <w:rPr>
          <w:color w:val="000000" w:themeColor="text1"/>
          <w14:textFill>
            <w14:solidFill>
              <w14:schemeClr w14:val="tx1"/>
            </w14:solidFill>
          </w14:textFill>
        </w:rPr>
      </w:pPr>
      <w:r>
        <w:rPr>
          <w:color w:val="000000" w:themeColor="text1"/>
          <w14:textFill>
            <w14:solidFill>
              <w14:schemeClr w14:val="tx1"/>
            </w14:solidFill>
          </w14:textFill>
        </w:rPr>
        <w:t>（4）</w:t>
      </w:r>
      <w:r>
        <w:rPr>
          <w:color w:val="000000" w:themeColor="text1"/>
          <w14:textFill>
            <w14:solidFill>
              <w14:schemeClr w14:val="tx1"/>
            </w14:solidFill>
          </w14:textFill>
        </w:rPr>
        <w:tab/>
      </w:r>
      <w:r>
        <w:rPr>
          <w:color w:val="000000" w:themeColor="text1"/>
          <w14:textFill>
            <w14:solidFill>
              <w14:schemeClr w14:val="tx1"/>
            </w14:solidFill>
          </w14:textFill>
        </w:rPr>
        <w:t>定期听取环保部门、建设单位和周围居民对施工污染影响的意见，以便进一步加强文明施工。</w:t>
      </w:r>
    </w:p>
    <w:p w14:paraId="4FC072A6">
      <w:pPr>
        <w:pStyle w:val="5"/>
        <w:rPr>
          <w:color w:val="000000" w:themeColor="text1"/>
          <w14:textFill>
            <w14:solidFill>
              <w14:schemeClr w14:val="tx1"/>
            </w14:solidFill>
          </w14:textFill>
        </w:rPr>
      </w:pPr>
      <w:bookmarkStart w:id="838" w:name="_Toc216620648"/>
      <w:r>
        <w:rPr>
          <w:color w:val="000000" w:themeColor="text1"/>
          <w14:textFill>
            <w14:solidFill>
              <w14:schemeClr w14:val="tx1"/>
            </w14:solidFill>
          </w14:textFill>
        </w:rPr>
        <w:t>排污管理要求</w:t>
      </w:r>
      <w:bookmarkEnd w:id="838"/>
    </w:p>
    <w:p w14:paraId="1CC5BCB5">
      <w:pPr>
        <w:pStyle w:val="4"/>
        <w:rPr>
          <w:color w:val="000000" w:themeColor="text1"/>
          <w14:textFill>
            <w14:solidFill>
              <w14:schemeClr w14:val="tx1"/>
            </w14:solidFill>
          </w14:textFill>
        </w:rPr>
      </w:pPr>
      <w:bookmarkStart w:id="839" w:name="_Toc136878580"/>
      <w:bookmarkStart w:id="840" w:name="_Toc216103490"/>
      <w:bookmarkStart w:id="841" w:name="_Toc135090316"/>
      <w:bookmarkStart w:id="842" w:name="_Toc25437061"/>
      <w:bookmarkStart w:id="843" w:name="_Toc26910108"/>
      <w:bookmarkStart w:id="844" w:name="_Toc29131921"/>
      <w:bookmarkStart w:id="845" w:name="_Toc216620649"/>
      <w:r>
        <w:rPr>
          <w:color w:val="000000" w:themeColor="text1"/>
          <w14:textFill>
            <w14:solidFill>
              <w14:schemeClr w14:val="tx1"/>
            </w14:solidFill>
          </w14:textFill>
        </w:rPr>
        <w:t>污染物排放清单</w:t>
      </w:r>
      <w:bookmarkEnd w:id="839"/>
      <w:bookmarkEnd w:id="840"/>
      <w:bookmarkEnd w:id="841"/>
      <w:bookmarkEnd w:id="842"/>
      <w:bookmarkEnd w:id="843"/>
      <w:bookmarkEnd w:id="844"/>
      <w:bookmarkEnd w:id="845"/>
    </w:p>
    <w:p w14:paraId="33F4B3CD">
      <w:pPr>
        <w:ind w:firstLine="480"/>
        <w:rPr>
          <w:color w:val="000000" w:themeColor="text1"/>
          <w14:textFill>
            <w14:solidFill>
              <w14:schemeClr w14:val="tx1"/>
            </w14:solidFill>
          </w14:textFill>
        </w:rPr>
        <w:sectPr>
          <w:headerReference r:id="rId35" w:type="default"/>
          <w:pgSz w:w="11906" w:h="16838"/>
          <w:pgMar w:top="1440" w:right="1800" w:bottom="1440" w:left="1800" w:header="851" w:footer="680" w:gutter="0"/>
          <w:pgBorders>
            <w:top w:val="none" w:sz="0" w:space="0"/>
            <w:left w:val="none" w:sz="0" w:space="0"/>
            <w:bottom w:val="none" w:sz="0" w:space="0"/>
            <w:right w:val="none" w:sz="0" w:space="0"/>
          </w:pgBorders>
          <w:pgNumType w:fmt="numberInDash"/>
          <w:cols w:space="720" w:num="1"/>
          <w:docGrid w:type="lines" w:linePitch="312" w:charSpace="0"/>
        </w:sectPr>
      </w:pPr>
      <w:r>
        <w:rPr>
          <w:color w:val="000000" w:themeColor="text1"/>
          <w14:textFill>
            <w14:solidFill>
              <w14:schemeClr w14:val="tx1"/>
            </w14:solidFill>
          </w14:textFill>
        </w:rPr>
        <w:t>本项目污染物排放清单见表8.2-1。</w:t>
      </w:r>
    </w:p>
    <w:p w14:paraId="5D7062BC">
      <w:pPr>
        <w:pStyle w:val="7"/>
        <w:rPr>
          <w:color w:val="000000" w:themeColor="text1"/>
          <w14:textFill>
            <w14:solidFill>
              <w14:schemeClr w14:val="tx1"/>
            </w14:solidFill>
          </w14:textFill>
        </w:rPr>
      </w:pPr>
      <w:r>
        <w:rPr>
          <w:color w:val="000000" w:themeColor="text1"/>
          <w14:textFill>
            <w14:solidFill>
              <w14:schemeClr w14:val="tx1"/>
            </w14:solidFill>
          </w14:textFill>
        </w:rPr>
        <w:t>项目污染物排放情况表</w:t>
      </w:r>
    </w:p>
    <w:tbl>
      <w:tblPr>
        <w:tblStyle w:val="43"/>
        <w:tblW w:w="14220"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7"/>
        <w:gridCol w:w="686"/>
        <w:gridCol w:w="450"/>
        <w:gridCol w:w="259"/>
        <w:gridCol w:w="320"/>
        <w:gridCol w:w="1352"/>
        <w:gridCol w:w="227"/>
        <w:gridCol w:w="227"/>
        <w:gridCol w:w="608"/>
        <w:gridCol w:w="385"/>
        <w:gridCol w:w="165"/>
        <w:gridCol w:w="534"/>
        <w:gridCol w:w="157"/>
        <w:gridCol w:w="1292"/>
        <w:gridCol w:w="34"/>
        <w:gridCol w:w="676"/>
        <w:gridCol w:w="402"/>
        <w:gridCol w:w="1276"/>
        <w:gridCol w:w="708"/>
        <w:gridCol w:w="289"/>
        <w:gridCol w:w="372"/>
        <w:gridCol w:w="813"/>
        <w:gridCol w:w="121"/>
        <w:gridCol w:w="8"/>
        <w:gridCol w:w="440"/>
        <w:gridCol w:w="515"/>
        <w:gridCol w:w="433"/>
        <w:gridCol w:w="559"/>
        <w:gridCol w:w="895"/>
        <w:gridCol w:w="10"/>
      </w:tblGrid>
      <w:tr w14:paraId="4004A51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210" w:type="dxa"/>
            <w:gridSpan w:val="29"/>
            <w:vAlign w:val="center"/>
          </w:tcPr>
          <w:p w14:paraId="5C642E75">
            <w:pPr>
              <w:pStyle w:val="70"/>
              <w:rPr>
                <w:color w:val="000000" w:themeColor="text1"/>
                <w14:textFill>
                  <w14:solidFill>
                    <w14:schemeClr w14:val="tx1"/>
                  </w14:solidFill>
                </w14:textFill>
              </w:rPr>
            </w:pPr>
            <w:r>
              <w:rPr>
                <w:color w:val="000000" w:themeColor="text1"/>
                <w14:textFill>
                  <w14:solidFill>
                    <w14:schemeClr w14:val="tx1"/>
                  </w14:solidFill>
                </w14:textFill>
              </w:rPr>
              <w:t>一、工程组成</w:t>
            </w:r>
          </w:p>
        </w:tc>
      </w:tr>
      <w:tr w14:paraId="6E2317C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02" w:type="dxa"/>
            <w:gridSpan w:val="4"/>
            <w:vAlign w:val="center"/>
          </w:tcPr>
          <w:p w14:paraId="518BDEF6">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c>
          <w:tcPr>
            <w:tcW w:w="2126" w:type="dxa"/>
            <w:gridSpan w:val="4"/>
            <w:vAlign w:val="center"/>
          </w:tcPr>
          <w:p w14:paraId="773AC1FC">
            <w:pPr>
              <w:pStyle w:val="70"/>
              <w:rPr>
                <w:color w:val="000000" w:themeColor="text1"/>
                <w14:textFill>
                  <w14:solidFill>
                    <w14:schemeClr w14:val="tx1"/>
                  </w14:solidFill>
                </w14:textFill>
              </w:rPr>
            </w:pPr>
            <w:r>
              <w:rPr>
                <w:color w:val="000000" w:themeColor="text1"/>
                <w14:textFill>
                  <w14:solidFill>
                    <w14:schemeClr w14:val="tx1"/>
                  </w14:solidFill>
                </w14:textFill>
              </w:rPr>
              <w:t>码头</w:t>
            </w:r>
          </w:p>
        </w:tc>
        <w:tc>
          <w:tcPr>
            <w:tcW w:w="10682" w:type="dxa"/>
            <w:gridSpan w:val="21"/>
            <w:vAlign w:val="center"/>
          </w:tcPr>
          <w:p w14:paraId="385DBA9E">
            <w:pPr>
              <w:pStyle w:val="70"/>
              <w:rPr>
                <w:color w:val="000000" w:themeColor="text1"/>
                <w14:textFill>
                  <w14:solidFill>
                    <w14:schemeClr w14:val="tx1"/>
                  </w14:solidFill>
                </w14:textFill>
              </w:rPr>
            </w:pPr>
            <w:r>
              <w:rPr>
                <w:color w:val="000000" w:themeColor="text1"/>
                <w14:textFill>
                  <w14:solidFill>
                    <w14:schemeClr w14:val="tx1"/>
                  </w14:solidFill>
                </w14:textFill>
              </w:rPr>
              <w:t>工程建设地点位于钦州港金鼓江西岸，距金鼓江航道口门约3km，</w:t>
            </w:r>
            <w:r>
              <w:rPr>
                <w:rFonts w:hint="eastAsia" w:ascii="宋体" w:hAnsi="宋体"/>
                <w:color w:val="000000" w:themeColor="text1"/>
                <w14:textFill>
                  <w14:solidFill>
                    <w14:schemeClr w14:val="tx1"/>
                  </w14:solidFill>
                </w14:textFill>
              </w:rPr>
              <w:t>新增苯乙烯利用现有笨装卸臂进行装卸，均为卸船后经管道至后方厂区。新增裂解C9、棕榈酸化油、脂肪酸混合物、工业级混合油、脂肪酸甲酯、纯生物柴油、航空煤油新建装卸臂进行装卸，纯生物柴油、航空煤油为后方厂区经管道装船，其余为卸船后经管道至后方厂区。新增液硫、碱液、发烟硫酸（硫酸）经卸船经管道至后方陆域罐区</w:t>
            </w:r>
          </w:p>
        </w:tc>
      </w:tr>
      <w:tr w14:paraId="313422C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210" w:type="dxa"/>
            <w:gridSpan w:val="29"/>
            <w:vAlign w:val="center"/>
          </w:tcPr>
          <w:p w14:paraId="5559F208">
            <w:pPr>
              <w:pStyle w:val="70"/>
              <w:rPr>
                <w:color w:val="000000" w:themeColor="text1"/>
                <w14:textFill>
                  <w14:solidFill>
                    <w14:schemeClr w14:val="tx1"/>
                  </w14:solidFill>
                </w14:textFill>
              </w:rPr>
            </w:pPr>
            <w:r>
              <w:rPr>
                <w:color w:val="000000" w:themeColor="text1"/>
                <w14:textFill>
                  <w14:solidFill>
                    <w14:schemeClr w14:val="tx1"/>
                  </w14:solidFill>
                </w14:textFill>
              </w:rPr>
              <w:t>二、产排污环节、污染物及污染治理</w:t>
            </w:r>
          </w:p>
        </w:tc>
      </w:tr>
      <w:tr w14:paraId="3ACE224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210" w:type="dxa"/>
            <w:gridSpan w:val="29"/>
            <w:vAlign w:val="center"/>
          </w:tcPr>
          <w:p w14:paraId="51D13446">
            <w:pPr>
              <w:pStyle w:val="70"/>
              <w:rPr>
                <w:color w:val="000000" w:themeColor="text1"/>
                <w14:textFill>
                  <w14:solidFill>
                    <w14:schemeClr w14:val="tx1"/>
                  </w14:solidFill>
                </w14:textFill>
              </w:rPr>
            </w:pPr>
            <w:r>
              <w:rPr>
                <w:color w:val="000000" w:themeColor="text1"/>
                <w14:textFill>
                  <w14:solidFill>
                    <w14:schemeClr w14:val="tx1"/>
                  </w14:solidFill>
                </w14:textFill>
              </w:rPr>
              <w:t>（1）废气产排污环节、污染物及污染治理设施清单</w:t>
            </w:r>
          </w:p>
        </w:tc>
      </w:tr>
      <w:tr w14:paraId="0BD4AE2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02" w:type="dxa"/>
            <w:gridSpan w:val="4"/>
            <w:vMerge w:val="restart"/>
            <w:vAlign w:val="center"/>
          </w:tcPr>
          <w:p w14:paraId="604599E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无组织废气</w:t>
            </w:r>
          </w:p>
        </w:tc>
        <w:tc>
          <w:tcPr>
            <w:tcW w:w="1672" w:type="dxa"/>
            <w:gridSpan w:val="2"/>
            <w:vMerge w:val="restart"/>
            <w:vAlign w:val="center"/>
          </w:tcPr>
          <w:p w14:paraId="22CB9CC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管线密封点溢出废气、装船及扫线废气</w:t>
            </w:r>
          </w:p>
        </w:tc>
        <w:tc>
          <w:tcPr>
            <w:tcW w:w="454" w:type="dxa"/>
            <w:gridSpan w:val="2"/>
            <w:vMerge w:val="restart"/>
            <w:vAlign w:val="center"/>
          </w:tcPr>
          <w:p w14:paraId="4A49E011">
            <w:pPr>
              <w:pStyle w:val="70"/>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4253" w:type="dxa"/>
            <w:gridSpan w:val="9"/>
            <w:vAlign w:val="center"/>
          </w:tcPr>
          <w:p w14:paraId="58CA4DC0">
            <w:pPr>
              <w:pStyle w:val="70"/>
              <w:rPr>
                <w:color w:val="000000" w:themeColor="text1"/>
                <w14:textFill>
                  <w14:solidFill>
                    <w14:schemeClr w14:val="tx1"/>
                  </w14:solidFill>
                </w14:textFill>
              </w:rPr>
            </w:pPr>
            <w:r>
              <w:rPr>
                <w:color w:val="000000" w:themeColor="text1"/>
                <w14:textFill>
                  <w14:solidFill>
                    <w14:schemeClr w14:val="tx1"/>
                  </w14:solidFill>
                </w14:textFill>
              </w:rPr>
              <w:t>污染物产生</w:t>
            </w:r>
          </w:p>
        </w:tc>
        <w:tc>
          <w:tcPr>
            <w:tcW w:w="1984" w:type="dxa"/>
            <w:gridSpan w:val="2"/>
            <w:vAlign w:val="center"/>
          </w:tcPr>
          <w:p w14:paraId="5311360B">
            <w:pPr>
              <w:pStyle w:val="70"/>
              <w:rPr>
                <w:color w:val="000000" w:themeColor="text1"/>
                <w14:textFill>
                  <w14:solidFill>
                    <w14:schemeClr w14:val="tx1"/>
                  </w14:solidFill>
                </w14:textFill>
              </w:rPr>
            </w:pPr>
            <w:r>
              <w:rPr>
                <w:color w:val="000000" w:themeColor="text1"/>
                <w14:textFill>
                  <w14:solidFill>
                    <w14:schemeClr w14:val="tx1"/>
                  </w14:solidFill>
                </w14:textFill>
              </w:rPr>
              <w:t>治理措施</w:t>
            </w:r>
          </w:p>
        </w:tc>
        <w:tc>
          <w:tcPr>
            <w:tcW w:w="3550" w:type="dxa"/>
            <w:gridSpan w:val="9"/>
            <w:vAlign w:val="center"/>
          </w:tcPr>
          <w:p w14:paraId="6C62CC81">
            <w:pPr>
              <w:pStyle w:val="70"/>
              <w:rPr>
                <w:color w:val="000000" w:themeColor="text1"/>
                <w14:textFill>
                  <w14:solidFill>
                    <w14:schemeClr w14:val="tx1"/>
                  </w14:solidFill>
                </w14:textFill>
              </w:rPr>
            </w:pPr>
            <w:r>
              <w:rPr>
                <w:color w:val="000000" w:themeColor="text1"/>
                <w14:textFill>
                  <w14:solidFill>
                    <w14:schemeClr w14:val="tx1"/>
                  </w14:solidFill>
                </w14:textFill>
              </w:rPr>
              <w:t>污染物排放</w:t>
            </w:r>
          </w:p>
        </w:tc>
        <w:tc>
          <w:tcPr>
            <w:tcW w:w="895" w:type="dxa"/>
            <w:vMerge w:val="restart"/>
            <w:vAlign w:val="center"/>
          </w:tcPr>
          <w:p w14:paraId="60E807D5">
            <w:pPr>
              <w:pStyle w:val="70"/>
              <w:rPr>
                <w:color w:val="000000" w:themeColor="text1"/>
                <w14:textFill>
                  <w14:solidFill>
                    <w14:schemeClr w14:val="tx1"/>
                  </w14:solidFill>
                </w14:textFill>
              </w:rPr>
            </w:pPr>
            <w:r>
              <w:rPr>
                <w:color w:val="000000" w:themeColor="text1"/>
                <w14:textFill>
                  <w14:solidFill>
                    <w14:schemeClr w14:val="tx1"/>
                  </w14:solidFill>
                </w14:textFill>
              </w:rPr>
              <w:t>排放时间/h</w:t>
            </w:r>
          </w:p>
        </w:tc>
      </w:tr>
      <w:tr w14:paraId="720DAD5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02" w:type="dxa"/>
            <w:gridSpan w:val="4"/>
            <w:vMerge w:val="continue"/>
            <w:vAlign w:val="center"/>
          </w:tcPr>
          <w:p w14:paraId="4FF7B620">
            <w:pPr>
              <w:pStyle w:val="70"/>
              <w:rPr>
                <w:color w:val="000000" w:themeColor="text1"/>
                <w14:textFill>
                  <w14:solidFill>
                    <w14:schemeClr w14:val="tx1"/>
                  </w14:solidFill>
                </w14:textFill>
              </w:rPr>
            </w:pPr>
          </w:p>
        </w:tc>
        <w:tc>
          <w:tcPr>
            <w:tcW w:w="1672" w:type="dxa"/>
            <w:gridSpan w:val="2"/>
            <w:vMerge w:val="continue"/>
            <w:vAlign w:val="center"/>
          </w:tcPr>
          <w:p w14:paraId="025742A6">
            <w:pPr>
              <w:pStyle w:val="70"/>
              <w:rPr>
                <w:color w:val="000000" w:themeColor="text1"/>
                <w14:textFill>
                  <w14:solidFill>
                    <w14:schemeClr w14:val="tx1"/>
                  </w14:solidFill>
                </w14:textFill>
              </w:rPr>
            </w:pPr>
          </w:p>
        </w:tc>
        <w:tc>
          <w:tcPr>
            <w:tcW w:w="454" w:type="dxa"/>
            <w:gridSpan w:val="2"/>
            <w:vMerge w:val="continue"/>
            <w:vAlign w:val="center"/>
          </w:tcPr>
          <w:p w14:paraId="6392A40A">
            <w:pPr>
              <w:pStyle w:val="70"/>
              <w:rPr>
                <w:color w:val="000000" w:themeColor="text1"/>
                <w14:textFill>
                  <w14:solidFill>
                    <w14:schemeClr w14:val="tx1"/>
                  </w14:solidFill>
                </w14:textFill>
              </w:rPr>
            </w:pPr>
          </w:p>
        </w:tc>
        <w:tc>
          <w:tcPr>
            <w:tcW w:w="993" w:type="dxa"/>
            <w:gridSpan w:val="2"/>
            <w:vAlign w:val="center"/>
          </w:tcPr>
          <w:p w14:paraId="6F3234C6">
            <w:pPr>
              <w:pStyle w:val="70"/>
              <w:rPr>
                <w:color w:val="000000" w:themeColor="text1"/>
                <w14:textFill>
                  <w14:solidFill>
                    <w14:schemeClr w14:val="tx1"/>
                  </w14:solidFill>
                </w14:textFill>
              </w:rPr>
            </w:pPr>
            <w:r>
              <w:rPr>
                <w:color w:val="000000" w:themeColor="text1"/>
                <w14:textFill>
                  <w14:solidFill>
                    <w14:schemeClr w14:val="tx1"/>
                  </w14:solidFill>
                </w14:textFill>
              </w:rPr>
              <w:t>核算方法</w:t>
            </w:r>
          </w:p>
        </w:tc>
        <w:tc>
          <w:tcPr>
            <w:tcW w:w="856" w:type="dxa"/>
            <w:gridSpan w:val="3"/>
            <w:vAlign w:val="center"/>
          </w:tcPr>
          <w:p w14:paraId="342ADA41">
            <w:pPr>
              <w:pStyle w:val="70"/>
              <w:rPr>
                <w:color w:val="000000" w:themeColor="text1"/>
                <w14:textFill>
                  <w14:solidFill>
                    <w14:schemeClr w14:val="tx1"/>
                  </w14:solidFill>
                </w14:textFill>
              </w:rPr>
            </w:pPr>
            <w:r>
              <w:rPr>
                <w:color w:val="000000" w:themeColor="text1"/>
                <w14:textFill>
                  <w14:solidFill>
                    <w14:schemeClr w14:val="tx1"/>
                  </w14:solidFill>
                </w14:textFill>
              </w:rPr>
              <w:t>废气生产量（m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w:t>
            </w:r>
          </w:p>
        </w:tc>
        <w:tc>
          <w:tcPr>
            <w:tcW w:w="1292" w:type="dxa"/>
            <w:vAlign w:val="center"/>
          </w:tcPr>
          <w:p w14:paraId="77054E84">
            <w:pPr>
              <w:pStyle w:val="70"/>
              <w:rPr>
                <w:color w:val="000000" w:themeColor="text1"/>
                <w14:textFill>
                  <w14:solidFill>
                    <w14:schemeClr w14:val="tx1"/>
                  </w14:solidFill>
                </w14:textFill>
              </w:rPr>
            </w:pPr>
            <w:r>
              <w:rPr>
                <w:color w:val="000000" w:themeColor="text1"/>
                <w14:textFill>
                  <w14:solidFill>
                    <w14:schemeClr w14:val="tx1"/>
                  </w14:solidFill>
                </w14:textFill>
              </w:rPr>
              <w:t>产生浓度(mg/m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1112" w:type="dxa"/>
            <w:gridSpan w:val="3"/>
            <w:vAlign w:val="center"/>
          </w:tcPr>
          <w:p w14:paraId="6FAC2D85">
            <w:pPr>
              <w:pStyle w:val="70"/>
              <w:rPr>
                <w:color w:val="000000" w:themeColor="text1"/>
                <w14:textFill>
                  <w14:solidFill>
                    <w14:schemeClr w14:val="tx1"/>
                  </w14:solidFill>
                </w14:textFill>
              </w:rPr>
            </w:pPr>
            <w:r>
              <w:rPr>
                <w:color w:val="000000" w:themeColor="text1"/>
                <w14:textFill>
                  <w14:solidFill>
                    <w14:schemeClr w14:val="tx1"/>
                  </w14:solidFill>
                </w14:textFill>
              </w:rPr>
              <w:t>产生量(</w:t>
            </w:r>
            <w:r>
              <w:rPr>
                <w:rFonts w:hint="eastAsia"/>
                <w:color w:val="000000" w:themeColor="text1"/>
                <w14:textFill>
                  <w14:solidFill>
                    <w14:schemeClr w14:val="tx1"/>
                  </w14:solidFill>
                </w14:textFill>
              </w:rPr>
              <w:t>t/a</w:t>
            </w:r>
            <w:r>
              <w:rPr>
                <w:color w:val="000000" w:themeColor="text1"/>
                <w14:textFill>
                  <w14:solidFill>
                    <w14:schemeClr w14:val="tx1"/>
                  </w14:solidFill>
                </w14:textFill>
              </w:rPr>
              <w:t>)</w:t>
            </w:r>
          </w:p>
        </w:tc>
        <w:tc>
          <w:tcPr>
            <w:tcW w:w="1276" w:type="dxa"/>
            <w:vAlign w:val="center"/>
          </w:tcPr>
          <w:p w14:paraId="3F36C167">
            <w:pPr>
              <w:pStyle w:val="70"/>
              <w:rPr>
                <w:color w:val="000000" w:themeColor="text1"/>
                <w14:textFill>
                  <w14:solidFill>
                    <w14:schemeClr w14:val="tx1"/>
                  </w14:solidFill>
                </w14:textFill>
              </w:rPr>
            </w:pPr>
            <w:r>
              <w:rPr>
                <w:color w:val="000000" w:themeColor="text1"/>
                <w14:textFill>
                  <w14:solidFill>
                    <w14:schemeClr w14:val="tx1"/>
                  </w14:solidFill>
                </w14:textFill>
              </w:rPr>
              <w:t>工艺</w:t>
            </w:r>
          </w:p>
        </w:tc>
        <w:tc>
          <w:tcPr>
            <w:tcW w:w="708" w:type="dxa"/>
            <w:vAlign w:val="center"/>
          </w:tcPr>
          <w:p w14:paraId="46633548">
            <w:pPr>
              <w:pStyle w:val="70"/>
              <w:rPr>
                <w:color w:val="000000" w:themeColor="text1"/>
                <w14:textFill>
                  <w14:solidFill>
                    <w14:schemeClr w14:val="tx1"/>
                  </w14:solidFill>
                </w14:textFill>
              </w:rPr>
            </w:pPr>
            <w:r>
              <w:rPr>
                <w:color w:val="000000" w:themeColor="text1"/>
                <w14:textFill>
                  <w14:solidFill>
                    <w14:schemeClr w14:val="tx1"/>
                  </w14:solidFill>
                </w14:textFill>
              </w:rPr>
              <w:t>效率/%</w:t>
            </w:r>
          </w:p>
        </w:tc>
        <w:tc>
          <w:tcPr>
            <w:tcW w:w="661" w:type="dxa"/>
            <w:gridSpan w:val="2"/>
            <w:vAlign w:val="center"/>
          </w:tcPr>
          <w:p w14:paraId="5C38BDDC">
            <w:pPr>
              <w:pStyle w:val="70"/>
              <w:rPr>
                <w:color w:val="000000" w:themeColor="text1"/>
                <w14:textFill>
                  <w14:solidFill>
                    <w14:schemeClr w14:val="tx1"/>
                  </w14:solidFill>
                </w14:textFill>
              </w:rPr>
            </w:pPr>
            <w:r>
              <w:rPr>
                <w:color w:val="000000" w:themeColor="text1"/>
                <w14:textFill>
                  <w14:solidFill>
                    <w14:schemeClr w14:val="tx1"/>
                  </w14:solidFill>
                </w14:textFill>
              </w:rPr>
              <w:t>核算方法</w:t>
            </w:r>
          </w:p>
        </w:tc>
        <w:tc>
          <w:tcPr>
            <w:tcW w:w="942" w:type="dxa"/>
            <w:gridSpan w:val="3"/>
            <w:vAlign w:val="center"/>
          </w:tcPr>
          <w:p w14:paraId="7C878D19">
            <w:pPr>
              <w:pStyle w:val="70"/>
              <w:rPr>
                <w:color w:val="000000" w:themeColor="text1"/>
                <w14:textFill>
                  <w14:solidFill>
                    <w14:schemeClr w14:val="tx1"/>
                  </w14:solidFill>
                </w14:textFill>
              </w:rPr>
            </w:pPr>
            <w:r>
              <w:rPr>
                <w:color w:val="000000" w:themeColor="text1"/>
                <w14:textFill>
                  <w14:solidFill>
                    <w14:schemeClr w14:val="tx1"/>
                  </w14:solidFill>
                </w14:textFill>
              </w:rPr>
              <w:t>废气排放量（m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w:t>
            </w:r>
          </w:p>
        </w:tc>
        <w:tc>
          <w:tcPr>
            <w:tcW w:w="955" w:type="dxa"/>
            <w:gridSpan w:val="2"/>
            <w:vAlign w:val="center"/>
          </w:tcPr>
          <w:p w14:paraId="227419D8">
            <w:pPr>
              <w:pStyle w:val="70"/>
              <w:rPr>
                <w:color w:val="000000" w:themeColor="text1"/>
                <w14:textFill>
                  <w14:solidFill>
                    <w14:schemeClr w14:val="tx1"/>
                  </w14:solidFill>
                </w14:textFill>
              </w:rPr>
            </w:pPr>
            <w:r>
              <w:rPr>
                <w:color w:val="000000" w:themeColor="text1"/>
                <w14:textFill>
                  <w14:solidFill>
                    <w14:schemeClr w14:val="tx1"/>
                  </w14:solidFill>
                </w14:textFill>
              </w:rPr>
              <w:t>排放浓度(mg/m</w:t>
            </w:r>
            <w:r>
              <w:rPr>
                <w:color w:val="000000" w:themeColor="text1"/>
                <w:vertAlign w:val="superscript"/>
                <w14:textFill>
                  <w14:solidFill>
                    <w14:schemeClr w14:val="tx1"/>
                  </w14:solidFill>
                </w14:textFill>
              </w:rPr>
              <w:t>3</w:t>
            </w:r>
          </w:p>
        </w:tc>
        <w:tc>
          <w:tcPr>
            <w:tcW w:w="992" w:type="dxa"/>
            <w:gridSpan w:val="2"/>
            <w:vAlign w:val="center"/>
          </w:tcPr>
          <w:p w14:paraId="6ECC75C3">
            <w:pPr>
              <w:pStyle w:val="70"/>
              <w:rPr>
                <w:color w:val="000000" w:themeColor="text1"/>
                <w14:textFill>
                  <w14:solidFill>
                    <w14:schemeClr w14:val="tx1"/>
                  </w14:solidFill>
                </w14:textFill>
              </w:rPr>
            </w:pPr>
            <w:r>
              <w:rPr>
                <w:color w:val="000000" w:themeColor="text1"/>
                <w14:textFill>
                  <w14:solidFill>
                    <w14:schemeClr w14:val="tx1"/>
                  </w14:solidFill>
                </w14:textFill>
              </w:rPr>
              <w:t>排放量(</w:t>
            </w:r>
            <w:r>
              <w:rPr>
                <w:rFonts w:hint="eastAsia"/>
                <w:color w:val="000000" w:themeColor="text1"/>
                <w14:textFill>
                  <w14:solidFill>
                    <w14:schemeClr w14:val="tx1"/>
                  </w14:solidFill>
                </w14:textFill>
              </w:rPr>
              <w:t>t/a</w:t>
            </w:r>
            <w:r>
              <w:rPr>
                <w:color w:val="000000" w:themeColor="text1"/>
                <w14:textFill>
                  <w14:solidFill>
                    <w14:schemeClr w14:val="tx1"/>
                  </w14:solidFill>
                </w14:textFill>
              </w:rPr>
              <w:t>)</w:t>
            </w:r>
          </w:p>
        </w:tc>
        <w:tc>
          <w:tcPr>
            <w:tcW w:w="895" w:type="dxa"/>
            <w:vMerge w:val="continue"/>
            <w:vAlign w:val="center"/>
          </w:tcPr>
          <w:p w14:paraId="67BDC8C3">
            <w:pPr>
              <w:pStyle w:val="70"/>
              <w:rPr>
                <w:color w:val="000000" w:themeColor="text1"/>
                <w14:textFill>
                  <w14:solidFill>
                    <w14:schemeClr w14:val="tx1"/>
                  </w14:solidFill>
                </w14:textFill>
              </w:rPr>
            </w:pPr>
          </w:p>
        </w:tc>
      </w:tr>
      <w:tr w14:paraId="0329D27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02" w:type="dxa"/>
            <w:gridSpan w:val="4"/>
            <w:vMerge w:val="continue"/>
            <w:vAlign w:val="center"/>
          </w:tcPr>
          <w:p w14:paraId="5EFC26D3">
            <w:pPr>
              <w:pStyle w:val="70"/>
              <w:rPr>
                <w:color w:val="000000" w:themeColor="text1"/>
                <w14:textFill>
                  <w14:solidFill>
                    <w14:schemeClr w14:val="tx1"/>
                  </w14:solidFill>
                </w14:textFill>
              </w:rPr>
            </w:pPr>
          </w:p>
        </w:tc>
        <w:tc>
          <w:tcPr>
            <w:tcW w:w="1672" w:type="dxa"/>
            <w:gridSpan w:val="2"/>
            <w:vMerge w:val="continue"/>
            <w:vAlign w:val="center"/>
          </w:tcPr>
          <w:p w14:paraId="41B8C72D">
            <w:pPr>
              <w:pStyle w:val="70"/>
              <w:rPr>
                <w:color w:val="000000" w:themeColor="text1"/>
                <w14:textFill>
                  <w14:solidFill>
                    <w14:schemeClr w14:val="tx1"/>
                  </w14:solidFill>
                </w14:textFill>
              </w:rPr>
            </w:pPr>
          </w:p>
        </w:tc>
        <w:tc>
          <w:tcPr>
            <w:tcW w:w="454" w:type="dxa"/>
            <w:gridSpan w:val="2"/>
            <w:vAlign w:val="center"/>
          </w:tcPr>
          <w:p w14:paraId="573B78A1">
            <w:pPr>
              <w:pStyle w:val="70"/>
              <w:rPr>
                <w:color w:val="000000" w:themeColor="text1"/>
                <w14:textFill>
                  <w14:solidFill>
                    <w14:schemeClr w14:val="tx1"/>
                  </w14:solidFill>
                </w14:textFill>
              </w:rPr>
            </w:pPr>
            <w:r>
              <w:rPr>
                <w:color w:val="000000" w:themeColor="text1"/>
                <w14:textFill>
                  <w14:solidFill>
                    <w14:schemeClr w14:val="tx1"/>
                  </w14:solidFill>
                </w14:textFill>
              </w:rPr>
              <w:t>苯乙烯</w:t>
            </w:r>
          </w:p>
        </w:tc>
        <w:tc>
          <w:tcPr>
            <w:tcW w:w="993" w:type="dxa"/>
            <w:gridSpan w:val="2"/>
            <w:vMerge w:val="restart"/>
            <w:vAlign w:val="center"/>
          </w:tcPr>
          <w:p w14:paraId="040BACB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56" w:type="dxa"/>
            <w:gridSpan w:val="3"/>
            <w:vAlign w:val="center"/>
          </w:tcPr>
          <w:p w14:paraId="79C486B6">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292" w:type="dxa"/>
            <w:vAlign w:val="center"/>
          </w:tcPr>
          <w:p w14:paraId="6F004997">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112" w:type="dxa"/>
            <w:gridSpan w:val="3"/>
            <w:vAlign w:val="bottom"/>
          </w:tcPr>
          <w:p w14:paraId="1320DB49">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0.00024</w:t>
            </w:r>
          </w:p>
        </w:tc>
        <w:tc>
          <w:tcPr>
            <w:tcW w:w="1276" w:type="dxa"/>
            <w:vAlign w:val="center"/>
          </w:tcPr>
          <w:p w14:paraId="0FAFE62F">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708" w:type="dxa"/>
            <w:vAlign w:val="center"/>
          </w:tcPr>
          <w:p w14:paraId="4398ADD4">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661" w:type="dxa"/>
            <w:gridSpan w:val="2"/>
            <w:vMerge w:val="restart"/>
            <w:vAlign w:val="center"/>
          </w:tcPr>
          <w:p w14:paraId="171F7B8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942" w:type="dxa"/>
            <w:gridSpan w:val="3"/>
            <w:vAlign w:val="center"/>
          </w:tcPr>
          <w:p w14:paraId="02D522F8">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55" w:type="dxa"/>
            <w:gridSpan w:val="2"/>
            <w:vAlign w:val="center"/>
          </w:tcPr>
          <w:p w14:paraId="171C11E6">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92" w:type="dxa"/>
            <w:gridSpan w:val="2"/>
            <w:vAlign w:val="bottom"/>
          </w:tcPr>
          <w:p w14:paraId="51FA2EF1">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0.00024</w:t>
            </w:r>
          </w:p>
        </w:tc>
        <w:tc>
          <w:tcPr>
            <w:tcW w:w="895" w:type="dxa"/>
            <w:vAlign w:val="center"/>
          </w:tcPr>
          <w:p w14:paraId="58CFF7A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8400</w:t>
            </w:r>
          </w:p>
        </w:tc>
      </w:tr>
      <w:tr w14:paraId="2274BC0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02" w:type="dxa"/>
            <w:gridSpan w:val="4"/>
            <w:vMerge w:val="continue"/>
            <w:vAlign w:val="center"/>
          </w:tcPr>
          <w:p w14:paraId="6E9E62F5">
            <w:pPr>
              <w:pStyle w:val="70"/>
              <w:rPr>
                <w:color w:val="000000" w:themeColor="text1"/>
                <w14:textFill>
                  <w14:solidFill>
                    <w14:schemeClr w14:val="tx1"/>
                  </w14:solidFill>
                </w14:textFill>
              </w:rPr>
            </w:pPr>
          </w:p>
        </w:tc>
        <w:tc>
          <w:tcPr>
            <w:tcW w:w="1672" w:type="dxa"/>
            <w:gridSpan w:val="2"/>
            <w:vMerge w:val="continue"/>
            <w:vAlign w:val="center"/>
          </w:tcPr>
          <w:p w14:paraId="5417233C">
            <w:pPr>
              <w:pStyle w:val="70"/>
              <w:rPr>
                <w:color w:val="000000" w:themeColor="text1"/>
                <w14:textFill>
                  <w14:solidFill>
                    <w14:schemeClr w14:val="tx1"/>
                  </w14:solidFill>
                </w14:textFill>
              </w:rPr>
            </w:pPr>
          </w:p>
        </w:tc>
        <w:tc>
          <w:tcPr>
            <w:tcW w:w="454" w:type="dxa"/>
            <w:gridSpan w:val="2"/>
            <w:vAlign w:val="center"/>
          </w:tcPr>
          <w:p w14:paraId="41E5E5D3">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硫酸雾</w:t>
            </w:r>
          </w:p>
        </w:tc>
        <w:tc>
          <w:tcPr>
            <w:tcW w:w="993" w:type="dxa"/>
            <w:gridSpan w:val="2"/>
            <w:vMerge w:val="continue"/>
            <w:vAlign w:val="center"/>
          </w:tcPr>
          <w:p w14:paraId="4FD52A33">
            <w:pPr>
              <w:pStyle w:val="70"/>
              <w:rPr>
                <w:color w:val="000000" w:themeColor="text1"/>
                <w14:textFill>
                  <w14:solidFill>
                    <w14:schemeClr w14:val="tx1"/>
                  </w14:solidFill>
                </w14:textFill>
              </w:rPr>
            </w:pPr>
          </w:p>
        </w:tc>
        <w:tc>
          <w:tcPr>
            <w:tcW w:w="856" w:type="dxa"/>
            <w:gridSpan w:val="3"/>
            <w:vAlign w:val="center"/>
          </w:tcPr>
          <w:p w14:paraId="4EFBAD4C">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292" w:type="dxa"/>
            <w:vAlign w:val="center"/>
          </w:tcPr>
          <w:p w14:paraId="06668F8A">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112" w:type="dxa"/>
            <w:gridSpan w:val="3"/>
            <w:vAlign w:val="bottom"/>
          </w:tcPr>
          <w:p w14:paraId="4A42C60C">
            <w:pPr>
              <w:pStyle w:val="70"/>
              <w:rPr>
                <w:rFonts w:eastAsia="等线"/>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0.0011</w:t>
            </w:r>
          </w:p>
        </w:tc>
        <w:tc>
          <w:tcPr>
            <w:tcW w:w="1276" w:type="dxa"/>
            <w:vAlign w:val="center"/>
          </w:tcPr>
          <w:p w14:paraId="25CE0952">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708" w:type="dxa"/>
            <w:vAlign w:val="center"/>
          </w:tcPr>
          <w:p w14:paraId="49D8EB0D">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661" w:type="dxa"/>
            <w:gridSpan w:val="2"/>
            <w:vMerge w:val="continue"/>
            <w:vAlign w:val="center"/>
          </w:tcPr>
          <w:p w14:paraId="097152F7">
            <w:pPr>
              <w:pStyle w:val="70"/>
              <w:rPr>
                <w:color w:val="000000" w:themeColor="text1"/>
                <w14:textFill>
                  <w14:solidFill>
                    <w14:schemeClr w14:val="tx1"/>
                  </w14:solidFill>
                </w14:textFill>
              </w:rPr>
            </w:pPr>
          </w:p>
        </w:tc>
        <w:tc>
          <w:tcPr>
            <w:tcW w:w="942" w:type="dxa"/>
            <w:gridSpan w:val="3"/>
            <w:vAlign w:val="center"/>
          </w:tcPr>
          <w:p w14:paraId="7B14BE0A">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55" w:type="dxa"/>
            <w:gridSpan w:val="2"/>
            <w:vAlign w:val="center"/>
          </w:tcPr>
          <w:p w14:paraId="0F35D9BE">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92" w:type="dxa"/>
            <w:gridSpan w:val="2"/>
            <w:vAlign w:val="bottom"/>
          </w:tcPr>
          <w:p w14:paraId="30D4ABB6">
            <w:pPr>
              <w:pStyle w:val="70"/>
              <w:rPr>
                <w:rFonts w:eastAsia="等线"/>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0.0011</w:t>
            </w:r>
          </w:p>
        </w:tc>
        <w:tc>
          <w:tcPr>
            <w:tcW w:w="895" w:type="dxa"/>
            <w:vAlign w:val="center"/>
          </w:tcPr>
          <w:p w14:paraId="3B8E1BA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8400</w:t>
            </w:r>
          </w:p>
        </w:tc>
      </w:tr>
      <w:tr w14:paraId="4906A85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02" w:type="dxa"/>
            <w:gridSpan w:val="4"/>
            <w:vMerge w:val="continue"/>
            <w:vAlign w:val="center"/>
          </w:tcPr>
          <w:p w14:paraId="723D2AE8">
            <w:pPr>
              <w:pStyle w:val="70"/>
              <w:rPr>
                <w:color w:val="000000" w:themeColor="text1"/>
                <w14:textFill>
                  <w14:solidFill>
                    <w14:schemeClr w14:val="tx1"/>
                  </w14:solidFill>
                </w14:textFill>
              </w:rPr>
            </w:pPr>
          </w:p>
        </w:tc>
        <w:tc>
          <w:tcPr>
            <w:tcW w:w="1672" w:type="dxa"/>
            <w:gridSpan w:val="2"/>
            <w:vMerge w:val="continue"/>
            <w:vAlign w:val="center"/>
          </w:tcPr>
          <w:p w14:paraId="134DA65C">
            <w:pPr>
              <w:pStyle w:val="70"/>
              <w:rPr>
                <w:color w:val="000000" w:themeColor="text1"/>
                <w14:textFill>
                  <w14:solidFill>
                    <w14:schemeClr w14:val="tx1"/>
                  </w14:solidFill>
                </w14:textFill>
              </w:rPr>
            </w:pPr>
          </w:p>
        </w:tc>
        <w:tc>
          <w:tcPr>
            <w:tcW w:w="454" w:type="dxa"/>
            <w:gridSpan w:val="2"/>
            <w:vAlign w:val="center"/>
          </w:tcPr>
          <w:p w14:paraId="40D328EA">
            <w:pPr>
              <w:pStyle w:val="70"/>
              <w:rPr>
                <w:color w:val="000000" w:themeColor="text1"/>
                <w14:textFill>
                  <w14:solidFill>
                    <w14:schemeClr w14:val="tx1"/>
                  </w14:solidFill>
                </w14:textFill>
              </w:rPr>
            </w:pPr>
            <w:r>
              <w:rPr>
                <w:rFonts w:eastAsia="等线"/>
                <w:color w:val="000000" w:themeColor="text1"/>
                <w14:textFill>
                  <w14:solidFill>
                    <w14:schemeClr w14:val="tx1"/>
                  </w14:solidFill>
                </w14:textFill>
              </w:rPr>
              <w:t>VOCs</w:t>
            </w:r>
          </w:p>
        </w:tc>
        <w:tc>
          <w:tcPr>
            <w:tcW w:w="993" w:type="dxa"/>
            <w:gridSpan w:val="2"/>
            <w:vMerge w:val="continue"/>
            <w:vAlign w:val="center"/>
          </w:tcPr>
          <w:p w14:paraId="3CEFF9B9">
            <w:pPr>
              <w:pStyle w:val="70"/>
              <w:rPr>
                <w:color w:val="000000" w:themeColor="text1"/>
                <w14:textFill>
                  <w14:solidFill>
                    <w14:schemeClr w14:val="tx1"/>
                  </w14:solidFill>
                </w14:textFill>
              </w:rPr>
            </w:pPr>
          </w:p>
        </w:tc>
        <w:tc>
          <w:tcPr>
            <w:tcW w:w="856" w:type="dxa"/>
            <w:gridSpan w:val="3"/>
            <w:vAlign w:val="center"/>
          </w:tcPr>
          <w:p w14:paraId="56A6BAB5">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292" w:type="dxa"/>
            <w:vAlign w:val="center"/>
          </w:tcPr>
          <w:p w14:paraId="237799F6">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112" w:type="dxa"/>
            <w:gridSpan w:val="3"/>
            <w:vAlign w:val="bottom"/>
          </w:tcPr>
          <w:p w14:paraId="42171A62">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0.0141</w:t>
            </w:r>
          </w:p>
        </w:tc>
        <w:tc>
          <w:tcPr>
            <w:tcW w:w="1276" w:type="dxa"/>
            <w:vAlign w:val="center"/>
          </w:tcPr>
          <w:p w14:paraId="3137635D">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708" w:type="dxa"/>
            <w:vAlign w:val="center"/>
          </w:tcPr>
          <w:p w14:paraId="0FFDB317">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661" w:type="dxa"/>
            <w:gridSpan w:val="2"/>
            <w:vMerge w:val="continue"/>
            <w:vAlign w:val="center"/>
          </w:tcPr>
          <w:p w14:paraId="73BBCDFA">
            <w:pPr>
              <w:pStyle w:val="70"/>
              <w:rPr>
                <w:color w:val="000000" w:themeColor="text1"/>
                <w14:textFill>
                  <w14:solidFill>
                    <w14:schemeClr w14:val="tx1"/>
                  </w14:solidFill>
                </w14:textFill>
              </w:rPr>
            </w:pPr>
          </w:p>
        </w:tc>
        <w:tc>
          <w:tcPr>
            <w:tcW w:w="942" w:type="dxa"/>
            <w:gridSpan w:val="3"/>
            <w:vAlign w:val="center"/>
          </w:tcPr>
          <w:p w14:paraId="2B6430C4">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55" w:type="dxa"/>
            <w:gridSpan w:val="2"/>
            <w:vAlign w:val="center"/>
          </w:tcPr>
          <w:p w14:paraId="7881CEEE">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92" w:type="dxa"/>
            <w:gridSpan w:val="2"/>
            <w:vAlign w:val="bottom"/>
          </w:tcPr>
          <w:p w14:paraId="44B9A3BD">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0.0141</w:t>
            </w:r>
          </w:p>
        </w:tc>
        <w:tc>
          <w:tcPr>
            <w:tcW w:w="895" w:type="dxa"/>
            <w:vAlign w:val="center"/>
          </w:tcPr>
          <w:p w14:paraId="63DB9381">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8400</w:t>
            </w:r>
          </w:p>
        </w:tc>
      </w:tr>
      <w:tr w14:paraId="3CEF360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02" w:type="dxa"/>
            <w:gridSpan w:val="4"/>
            <w:vMerge w:val="continue"/>
            <w:vAlign w:val="center"/>
          </w:tcPr>
          <w:p w14:paraId="6A1BD73E">
            <w:pPr>
              <w:pStyle w:val="70"/>
              <w:rPr>
                <w:color w:val="000000" w:themeColor="text1"/>
                <w14:textFill>
                  <w14:solidFill>
                    <w14:schemeClr w14:val="tx1"/>
                  </w14:solidFill>
                </w14:textFill>
              </w:rPr>
            </w:pPr>
          </w:p>
        </w:tc>
        <w:tc>
          <w:tcPr>
            <w:tcW w:w="1672" w:type="dxa"/>
            <w:gridSpan w:val="2"/>
            <w:vMerge w:val="restart"/>
            <w:vAlign w:val="center"/>
          </w:tcPr>
          <w:p w14:paraId="70FB3DA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船舶废气</w:t>
            </w:r>
          </w:p>
        </w:tc>
        <w:tc>
          <w:tcPr>
            <w:tcW w:w="454" w:type="dxa"/>
            <w:gridSpan w:val="2"/>
            <w:vAlign w:val="center"/>
          </w:tcPr>
          <w:p w14:paraId="3DBB6A79">
            <w:pPr>
              <w:pStyle w:val="70"/>
              <w:rPr>
                <w:rFonts w:eastAsia="等线"/>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p>
        </w:tc>
        <w:tc>
          <w:tcPr>
            <w:tcW w:w="993" w:type="dxa"/>
            <w:gridSpan w:val="2"/>
            <w:vAlign w:val="center"/>
          </w:tcPr>
          <w:p w14:paraId="107CCF8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56" w:type="dxa"/>
            <w:gridSpan w:val="3"/>
            <w:vAlign w:val="center"/>
          </w:tcPr>
          <w:p w14:paraId="29141796">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292" w:type="dxa"/>
            <w:vAlign w:val="center"/>
          </w:tcPr>
          <w:p w14:paraId="2BBEA619">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112" w:type="dxa"/>
            <w:gridSpan w:val="3"/>
            <w:vAlign w:val="bottom"/>
          </w:tcPr>
          <w:p w14:paraId="52E8AB9F">
            <w:pPr>
              <w:pStyle w:val="70"/>
              <w:rPr>
                <w:rFonts w:eastAsia="等线"/>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0.672</w:t>
            </w:r>
          </w:p>
        </w:tc>
        <w:tc>
          <w:tcPr>
            <w:tcW w:w="1276" w:type="dxa"/>
            <w:vAlign w:val="center"/>
          </w:tcPr>
          <w:p w14:paraId="03E18F83">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708" w:type="dxa"/>
            <w:vAlign w:val="center"/>
          </w:tcPr>
          <w:p w14:paraId="52D218A8">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661" w:type="dxa"/>
            <w:gridSpan w:val="2"/>
            <w:vAlign w:val="center"/>
          </w:tcPr>
          <w:p w14:paraId="53BA56D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942" w:type="dxa"/>
            <w:gridSpan w:val="3"/>
            <w:shd w:val="clear" w:color="auto" w:fill="auto"/>
            <w:vAlign w:val="center"/>
          </w:tcPr>
          <w:p w14:paraId="7463760E">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55" w:type="dxa"/>
            <w:gridSpan w:val="2"/>
            <w:shd w:val="clear" w:color="auto" w:fill="auto"/>
            <w:vAlign w:val="center"/>
          </w:tcPr>
          <w:p w14:paraId="271A6025">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92" w:type="dxa"/>
            <w:gridSpan w:val="2"/>
            <w:vAlign w:val="bottom"/>
          </w:tcPr>
          <w:p w14:paraId="3314AE33">
            <w:pPr>
              <w:pStyle w:val="70"/>
              <w:rPr>
                <w:rFonts w:eastAsia="等线"/>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0.672</w:t>
            </w:r>
          </w:p>
        </w:tc>
        <w:tc>
          <w:tcPr>
            <w:tcW w:w="895" w:type="dxa"/>
            <w:vAlign w:val="center"/>
          </w:tcPr>
          <w:p w14:paraId="254A0BC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123749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02" w:type="dxa"/>
            <w:gridSpan w:val="4"/>
            <w:vMerge w:val="continue"/>
            <w:vAlign w:val="center"/>
          </w:tcPr>
          <w:p w14:paraId="4C7F2EFE">
            <w:pPr>
              <w:pStyle w:val="70"/>
              <w:rPr>
                <w:color w:val="000000" w:themeColor="text1"/>
                <w14:textFill>
                  <w14:solidFill>
                    <w14:schemeClr w14:val="tx1"/>
                  </w14:solidFill>
                </w14:textFill>
              </w:rPr>
            </w:pPr>
          </w:p>
        </w:tc>
        <w:tc>
          <w:tcPr>
            <w:tcW w:w="1672" w:type="dxa"/>
            <w:gridSpan w:val="2"/>
            <w:vMerge w:val="continue"/>
            <w:vAlign w:val="center"/>
          </w:tcPr>
          <w:p w14:paraId="4C821E02">
            <w:pPr>
              <w:pStyle w:val="70"/>
              <w:rPr>
                <w:color w:val="000000" w:themeColor="text1"/>
                <w14:textFill>
                  <w14:solidFill>
                    <w14:schemeClr w14:val="tx1"/>
                  </w14:solidFill>
                </w14:textFill>
              </w:rPr>
            </w:pPr>
          </w:p>
        </w:tc>
        <w:tc>
          <w:tcPr>
            <w:tcW w:w="454" w:type="dxa"/>
            <w:gridSpan w:val="2"/>
            <w:vAlign w:val="center"/>
          </w:tcPr>
          <w:p w14:paraId="5E8D2809">
            <w:pPr>
              <w:pStyle w:val="70"/>
              <w:rPr>
                <w:rFonts w:eastAsia="等线"/>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X</w:t>
            </w:r>
          </w:p>
        </w:tc>
        <w:tc>
          <w:tcPr>
            <w:tcW w:w="993" w:type="dxa"/>
            <w:gridSpan w:val="2"/>
            <w:vAlign w:val="center"/>
          </w:tcPr>
          <w:p w14:paraId="6114DA91">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56" w:type="dxa"/>
            <w:gridSpan w:val="3"/>
            <w:vAlign w:val="center"/>
          </w:tcPr>
          <w:p w14:paraId="20D8CFA1">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292" w:type="dxa"/>
            <w:vAlign w:val="center"/>
          </w:tcPr>
          <w:p w14:paraId="260ED4C5">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112" w:type="dxa"/>
            <w:gridSpan w:val="3"/>
            <w:vAlign w:val="bottom"/>
          </w:tcPr>
          <w:p w14:paraId="73372497">
            <w:pPr>
              <w:pStyle w:val="70"/>
              <w:rPr>
                <w:rFonts w:eastAsia="等线"/>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2.215</w:t>
            </w:r>
          </w:p>
        </w:tc>
        <w:tc>
          <w:tcPr>
            <w:tcW w:w="1276" w:type="dxa"/>
            <w:vAlign w:val="center"/>
          </w:tcPr>
          <w:p w14:paraId="5C01BB94">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708" w:type="dxa"/>
            <w:vAlign w:val="center"/>
          </w:tcPr>
          <w:p w14:paraId="11F2F934">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661" w:type="dxa"/>
            <w:gridSpan w:val="2"/>
            <w:vAlign w:val="center"/>
          </w:tcPr>
          <w:p w14:paraId="3DB6EE5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942" w:type="dxa"/>
            <w:gridSpan w:val="3"/>
            <w:shd w:val="clear" w:color="auto" w:fill="auto"/>
            <w:vAlign w:val="center"/>
          </w:tcPr>
          <w:p w14:paraId="2960839E">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55" w:type="dxa"/>
            <w:gridSpan w:val="2"/>
            <w:shd w:val="clear" w:color="auto" w:fill="auto"/>
            <w:vAlign w:val="center"/>
          </w:tcPr>
          <w:p w14:paraId="38E55480">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92" w:type="dxa"/>
            <w:gridSpan w:val="2"/>
            <w:vAlign w:val="bottom"/>
          </w:tcPr>
          <w:p w14:paraId="4B6D2BB2">
            <w:pPr>
              <w:pStyle w:val="70"/>
              <w:rPr>
                <w:rFonts w:eastAsia="等线"/>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2.215</w:t>
            </w:r>
          </w:p>
        </w:tc>
        <w:tc>
          <w:tcPr>
            <w:tcW w:w="895" w:type="dxa"/>
            <w:vAlign w:val="center"/>
          </w:tcPr>
          <w:p w14:paraId="2B64021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912D9E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210" w:type="dxa"/>
            <w:gridSpan w:val="29"/>
            <w:vAlign w:val="center"/>
          </w:tcPr>
          <w:p w14:paraId="63E84147">
            <w:pPr>
              <w:pStyle w:val="70"/>
              <w:rPr>
                <w:color w:val="000000" w:themeColor="text1"/>
                <w14:textFill>
                  <w14:solidFill>
                    <w14:schemeClr w14:val="tx1"/>
                  </w14:solidFill>
                </w14:textFill>
              </w:rPr>
            </w:pPr>
            <w:r>
              <w:rPr>
                <w:color w:val="000000" w:themeColor="text1"/>
                <w14:textFill>
                  <w14:solidFill>
                    <w14:schemeClr w14:val="tx1"/>
                  </w14:solidFill>
                </w14:textFill>
              </w:rPr>
              <w:t>（2）废水产排污环节、污染物及污染治理设施清单</w:t>
            </w:r>
          </w:p>
        </w:tc>
      </w:tr>
      <w:tr w14:paraId="46AF935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693" w:type="dxa"/>
            <w:gridSpan w:val="2"/>
            <w:vMerge w:val="restart"/>
            <w:vAlign w:val="center"/>
          </w:tcPr>
          <w:p w14:paraId="50552D13">
            <w:pPr>
              <w:pStyle w:val="70"/>
              <w:rPr>
                <w:color w:val="000000" w:themeColor="text1"/>
                <w14:textFill>
                  <w14:solidFill>
                    <w14:schemeClr w14:val="tx1"/>
                  </w14:solidFill>
                </w14:textFill>
              </w:rPr>
            </w:pPr>
            <w:r>
              <w:rPr>
                <w:color w:val="000000" w:themeColor="text1"/>
                <w14:textFill>
                  <w14:solidFill>
                    <w14:schemeClr w14:val="tx1"/>
                  </w14:solidFill>
                </w14:textFill>
              </w:rPr>
              <w:t>工序</w:t>
            </w:r>
          </w:p>
        </w:tc>
        <w:tc>
          <w:tcPr>
            <w:tcW w:w="2381" w:type="dxa"/>
            <w:gridSpan w:val="4"/>
            <w:vMerge w:val="restart"/>
            <w:vAlign w:val="center"/>
          </w:tcPr>
          <w:p w14:paraId="25B6DBCE">
            <w:pPr>
              <w:pStyle w:val="70"/>
              <w:rPr>
                <w:color w:val="000000" w:themeColor="text1"/>
                <w14:textFill>
                  <w14:solidFill>
                    <w14:schemeClr w14:val="tx1"/>
                  </w14:solidFill>
                </w14:textFill>
              </w:rPr>
            </w:pPr>
            <w:r>
              <w:rPr>
                <w:color w:val="000000" w:themeColor="text1"/>
                <w14:textFill>
                  <w14:solidFill>
                    <w14:schemeClr w14:val="tx1"/>
                  </w14:solidFill>
                </w14:textFill>
              </w:rPr>
              <w:t>污染源</w:t>
            </w:r>
          </w:p>
        </w:tc>
        <w:tc>
          <w:tcPr>
            <w:tcW w:w="454" w:type="dxa"/>
            <w:gridSpan w:val="2"/>
            <w:vMerge w:val="restart"/>
            <w:vAlign w:val="center"/>
          </w:tcPr>
          <w:p w14:paraId="38B80793">
            <w:pPr>
              <w:pStyle w:val="70"/>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4253" w:type="dxa"/>
            <w:gridSpan w:val="9"/>
            <w:vAlign w:val="center"/>
          </w:tcPr>
          <w:p w14:paraId="2D0A8A0F">
            <w:pPr>
              <w:pStyle w:val="70"/>
              <w:rPr>
                <w:color w:val="000000" w:themeColor="text1"/>
                <w14:textFill>
                  <w14:solidFill>
                    <w14:schemeClr w14:val="tx1"/>
                  </w14:solidFill>
                </w14:textFill>
              </w:rPr>
            </w:pPr>
            <w:r>
              <w:rPr>
                <w:color w:val="000000" w:themeColor="text1"/>
                <w14:textFill>
                  <w14:solidFill>
                    <w14:schemeClr w14:val="tx1"/>
                  </w14:solidFill>
                </w14:textFill>
              </w:rPr>
              <w:t>污染物产生</w:t>
            </w:r>
          </w:p>
        </w:tc>
        <w:tc>
          <w:tcPr>
            <w:tcW w:w="1276" w:type="dxa"/>
            <w:vAlign w:val="center"/>
          </w:tcPr>
          <w:p w14:paraId="5FE9EBC7">
            <w:pPr>
              <w:pStyle w:val="70"/>
              <w:rPr>
                <w:color w:val="000000" w:themeColor="text1"/>
                <w14:textFill>
                  <w14:solidFill>
                    <w14:schemeClr w14:val="tx1"/>
                  </w14:solidFill>
                </w14:textFill>
              </w:rPr>
            </w:pPr>
            <w:r>
              <w:rPr>
                <w:color w:val="000000" w:themeColor="text1"/>
                <w14:textFill>
                  <w14:solidFill>
                    <w14:schemeClr w14:val="tx1"/>
                  </w14:solidFill>
                </w14:textFill>
              </w:rPr>
              <w:t>治理措施</w:t>
            </w:r>
          </w:p>
        </w:tc>
        <w:tc>
          <w:tcPr>
            <w:tcW w:w="4258" w:type="dxa"/>
            <w:gridSpan w:val="10"/>
            <w:vAlign w:val="center"/>
          </w:tcPr>
          <w:p w14:paraId="71B3422F">
            <w:pPr>
              <w:pStyle w:val="70"/>
              <w:rPr>
                <w:color w:val="000000" w:themeColor="text1"/>
                <w14:textFill>
                  <w14:solidFill>
                    <w14:schemeClr w14:val="tx1"/>
                  </w14:solidFill>
                </w14:textFill>
              </w:rPr>
            </w:pPr>
            <w:r>
              <w:rPr>
                <w:color w:val="000000" w:themeColor="text1"/>
                <w14:textFill>
                  <w14:solidFill>
                    <w14:schemeClr w14:val="tx1"/>
                  </w14:solidFill>
                </w14:textFill>
              </w:rPr>
              <w:t>污染物排放</w:t>
            </w:r>
          </w:p>
        </w:tc>
        <w:tc>
          <w:tcPr>
            <w:tcW w:w="895" w:type="dxa"/>
            <w:vMerge w:val="restart"/>
            <w:vAlign w:val="center"/>
          </w:tcPr>
          <w:p w14:paraId="552E3202">
            <w:pPr>
              <w:pStyle w:val="70"/>
              <w:rPr>
                <w:color w:val="000000" w:themeColor="text1"/>
                <w14:textFill>
                  <w14:solidFill>
                    <w14:schemeClr w14:val="tx1"/>
                  </w14:solidFill>
                </w14:textFill>
              </w:rPr>
            </w:pPr>
            <w:r>
              <w:rPr>
                <w:color w:val="000000" w:themeColor="text1"/>
                <w14:textFill>
                  <w14:solidFill>
                    <w14:schemeClr w14:val="tx1"/>
                  </w14:solidFill>
                </w14:textFill>
              </w:rPr>
              <w:t>排放时间/h</w:t>
            </w:r>
          </w:p>
        </w:tc>
      </w:tr>
      <w:tr w14:paraId="5946734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693" w:type="dxa"/>
            <w:gridSpan w:val="2"/>
            <w:vMerge w:val="continue"/>
            <w:vAlign w:val="center"/>
          </w:tcPr>
          <w:p w14:paraId="0C3D5DE7">
            <w:pPr>
              <w:pStyle w:val="70"/>
              <w:rPr>
                <w:color w:val="000000" w:themeColor="text1"/>
                <w14:textFill>
                  <w14:solidFill>
                    <w14:schemeClr w14:val="tx1"/>
                  </w14:solidFill>
                </w14:textFill>
              </w:rPr>
            </w:pPr>
          </w:p>
        </w:tc>
        <w:tc>
          <w:tcPr>
            <w:tcW w:w="2381" w:type="dxa"/>
            <w:gridSpan w:val="4"/>
            <w:vMerge w:val="continue"/>
            <w:vAlign w:val="center"/>
          </w:tcPr>
          <w:p w14:paraId="0D4A9A8F">
            <w:pPr>
              <w:pStyle w:val="70"/>
              <w:rPr>
                <w:color w:val="000000" w:themeColor="text1"/>
                <w14:textFill>
                  <w14:solidFill>
                    <w14:schemeClr w14:val="tx1"/>
                  </w14:solidFill>
                </w14:textFill>
              </w:rPr>
            </w:pPr>
          </w:p>
        </w:tc>
        <w:tc>
          <w:tcPr>
            <w:tcW w:w="454" w:type="dxa"/>
            <w:gridSpan w:val="2"/>
            <w:vMerge w:val="continue"/>
            <w:vAlign w:val="center"/>
          </w:tcPr>
          <w:p w14:paraId="05750F78">
            <w:pPr>
              <w:pStyle w:val="70"/>
              <w:rPr>
                <w:color w:val="000000" w:themeColor="text1"/>
                <w14:textFill>
                  <w14:solidFill>
                    <w14:schemeClr w14:val="tx1"/>
                  </w14:solidFill>
                </w14:textFill>
              </w:rPr>
            </w:pPr>
          </w:p>
        </w:tc>
        <w:tc>
          <w:tcPr>
            <w:tcW w:w="993" w:type="dxa"/>
            <w:gridSpan w:val="2"/>
            <w:vAlign w:val="center"/>
          </w:tcPr>
          <w:p w14:paraId="51EA21EE">
            <w:pPr>
              <w:pStyle w:val="70"/>
              <w:rPr>
                <w:color w:val="000000" w:themeColor="text1"/>
                <w14:textFill>
                  <w14:solidFill>
                    <w14:schemeClr w14:val="tx1"/>
                  </w14:solidFill>
                </w14:textFill>
              </w:rPr>
            </w:pPr>
            <w:r>
              <w:rPr>
                <w:color w:val="000000" w:themeColor="text1"/>
                <w14:textFill>
                  <w14:solidFill>
                    <w14:schemeClr w14:val="tx1"/>
                  </w14:solidFill>
                </w14:textFill>
              </w:rPr>
              <w:t>核算方法</w:t>
            </w:r>
          </w:p>
        </w:tc>
        <w:tc>
          <w:tcPr>
            <w:tcW w:w="856" w:type="dxa"/>
            <w:gridSpan w:val="3"/>
            <w:vAlign w:val="center"/>
          </w:tcPr>
          <w:p w14:paraId="2E643D76">
            <w:pPr>
              <w:pStyle w:val="70"/>
              <w:rPr>
                <w:color w:val="000000" w:themeColor="text1"/>
                <w14:textFill>
                  <w14:solidFill>
                    <w14:schemeClr w14:val="tx1"/>
                  </w14:solidFill>
                </w14:textFill>
              </w:rPr>
            </w:pPr>
            <w:r>
              <w:rPr>
                <w:color w:val="000000" w:themeColor="text1"/>
                <w14:textFill>
                  <w14:solidFill>
                    <w14:schemeClr w14:val="tx1"/>
                  </w14:solidFill>
                </w14:textFill>
              </w:rPr>
              <w:t>产生废水量（m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w:t>
            </w:r>
          </w:p>
        </w:tc>
        <w:tc>
          <w:tcPr>
            <w:tcW w:w="1326" w:type="dxa"/>
            <w:gridSpan w:val="2"/>
            <w:vAlign w:val="center"/>
          </w:tcPr>
          <w:p w14:paraId="0E912A42">
            <w:pPr>
              <w:pStyle w:val="70"/>
              <w:rPr>
                <w:color w:val="000000" w:themeColor="text1"/>
                <w14:textFill>
                  <w14:solidFill>
                    <w14:schemeClr w14:val="tx1"/>
                  </w14:solidFill>
                </w14:textFill>
              </w:rPr>
            </w:pPr>
            <w:r>
              <w:rPr>
                <w:color w:val="000000" w:themeColor="text1"/>
                <w14:textFill>
                  <w14:solidFill>
                    <w14:schemeClr w14:val="tx1"/>
                  </w14:solidFill>
                </w14:textFill>
              </w:rPr>
              <w:t>产生浓度(mg/l)</w:t>
            </w:r>
          </w:p>
        </w:tc>
        <w:tc>
          <w:tcPr>
            <w:tcW w:w="1078" w:type="dxa"/>
            <w:gridSpan w:val="2"/>
            <w:vAlign w:val="center"/>
          </w:tcPr>
          <w:p w14:paraId="0A3591FA">
            <w:pPr>
              <w:pStyle w:val="70"/>
              <w:rPr>
                <w:color w:val="000000" w:themeColor="text1"/>
                <w14:textFill>
                  <w14:solidFill>
                    <w14:schemeClr w14:val="tx1"/>
                  </w14:solidFill>
                </w14:textFill>
              </w:rPr>
            </w:pPr>
            <w:r>
              <w:rPr>
                <w:color w:val="000000" w:themeColor="text1"/>
                <w14:textFill>
                  <w14:solidFill>
                    <w14:schemeClr w14:val="tx1"/>
                  </w14:solidFill>
                </w14:textFill>
              </w:rPr>
              <w:t>产生量(t/a)</w:t>
            </w:r>
          </w:p>
        </w:tc>
        <w:tc>
          <w:tcPr>
            <w:tcW w:w="1276" w:type="dxa"/>
            <w:vAlign w:val="center"/>
          </w:tcPr>
          <w:p w14:paraId="1E5E7289">
            <w:pPr>
              <w:pStyle w:val="70"/>
              <w:rPr>
                <w:color w:val="000000" w:themeColor="text1"/>
                <w14:textFill>
                  <w14:solidFill>
                    <w14:schemeClr w14:val="tx1"/>
                  </w14:solidFill>
                </w14:textFill>
              </w:rPr>
            </w:pPr>
            <w:r>
              <w:rPr>
                <w:color w:val="000000" w:themeColor="text1"/>
                <w14:textFill>
                  <w14:solidFill>
                    <w14:schemeClr w14:val="tx1"/>
                  </w14:solidFill>
                </w14:textFill>
              </w:rPr>
              <w:t>工艺</w:t>
            </w:r>
          </w:p>
        </w:tc>
        <w:tc>
          <w:tcPr>
            <w:tcW w:w="708" w:type="dxa"/>
            <w:vAlign w:val="center"/>
          </w:tcPr>
          <w:p w14:paraId="08539CE0">
            <w:pPr>
              <w:pStyle w:val="70"/>
              <w:rPr>
                <w:color w:val="000000" w:themeColor="text1"/>
                <w14:textFill>
                  <w14:solidFill>
                    <w14:schemeClr w14:val="tx1"/>
                  </w14:solidFill>
                </w14:textFill>
              </w:rPr>
            </w:pPr>
            <w:r>
              <w:rPr>
                <w:color w:val="000000" w:themeColor="text1"/>
                <w14:textFill>
                  <w14:solidFill>
                    <w14:schemeClr w14:val="tx1"/>
                  </w14:solidFill>
                </w14:textFill>
              </w:rPr>
              <w:t>核算方法</w:t>
            </w:r>
          </w:p>
        </w:tc>
        <w:tc>
          <w:tcPr>
            <w:tcW w:w="1595" w:type="dxa"/>
            <w:gridSpan w:val="4"/>
            <w:vAlign w:val="center"/>
          </w:tcPr>
          <w:p w14:paraId="4761FFDF">
            <w:pPr>
              <w:pStyle w:val="70"/>
              <w:rPr>
                <w:color w:val="000000" w:themeColor="text1"/>
                <w14:textFill>
                  <w14:solidFill>
                    <w14:schemeClr w14:val="tx1"/>
                  </w14:solidFill>
                </w14:textFill>
              </w:rPr>
            </w:pPr>
            <w:r>
              <w:rPr>
                <w:color w:val="000000" w:themeColor="text1"/>
                <w14:textFill>
                  <w14:solidFill>
                    <w14:schemeClr w14:val="tx1"/>
                  </w14:solidFill>
                </w14:textFill>
              </w:rPr>
              <w:t>排放废水量（m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w:t>
            </w:r>
          </w:p>
        </w:tc>
        <w:tc>
          <w:tcPr>
            <w:tcW w:w="963" w:type="dxa"/>
            <w:gridSpan w:val="3"/>
            <w:vAlign w:val="center"/>
          </w:tcPr>
          <w:p w14:paraId="2FE05082">
            <w:pPr>
              <w:pStyle w:val="70"/>
              <w:rPr>
                <w:color w:val="000000" w:themeColor="text1"/>
                <w14:textFill>
                  <w14:solidFill>
                    <w14:schemeClr w14:val="tx1"/>
                  </w14:solidFill>
                </w14:textFill>
              </w:rPr>
            </w:pPr>
            <w:r>
              <w:rPr>
                <w:color w:val="000000" w:themeColor="text1"/>
                <w14:textFill>
                  <w14:solidFill>
                    <w14:schemeClr w14:val="tx1"/>
                  </w14:solidFill>
                </w14:textFill>
              </w:rPr>
              <w:t>排放浓度(mg/l)</w:t>
            </w:r>
          </w:p>
        </w:tc>
        <w:tc>
          <w:tcPr>
            <w:tcW w:w="992" w:type="dxa"/>
            <w:gridSpan w:val="2"/>
            <w:vAlign w:val="center"/>
          </w:tcPr>
          <w:p w14:paraId="5D382865">
            <w:pPr>
              <w:pStyle w:val="70"/>
              <w:rPr>
                <w:color w:val="000000" w:themeColor="text1"/>
                <w14:textFill>
                  <w14:solidFill>
                    <w14:schemeClr w14:val="tx1"/>
                  </w14:solidFill>
                </w14:textFill>
              </w:rPr>
            </w:pPr>
            <w:r>
              <w:rPr>
                <w:color w:val="000000" w:themeColor="text1"/>
                <w14:textFill>
                  <w14:solidFill>
                    <w14:schemeClr w14:val="tx1"/>
                  </w14:solidFill>
                </w14:textFill>
              </w:rPr>
              <w:t>排放量(t/a)</w:t>
            </w:r>
          </w:p>
        </w:tc>
        <w:tc>
          <w:tcPr>
            <w:tcW w:w="895" w:type="dxa"/>
            <w:vMerge w:val="continue"/>
            <w:vAlign w:val="center"/>
          </w:tcPr>
          <w:p w14:paraId="2EA15533">
            <w:pPr>
              <w:pStyle w:val="70"/>
              <w:rPr>
                <w:color w:val="000000" w:themeColor="text1"/>
                <w14:textFill>
                  <w14:solidFill>
                    <w14:schemeClr w14:val="tx1"/>
                  </w14:solidFill>
                </w14:textFill>
              </w:rPr>
            </w:pPr>
          </w:p>
        </w:tc>
      </w:tr>
      <w:tr w14:paraId="59EEFE2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693" w:type="dxa"/>
            <w:gridSpan w:val="2"/>
            <w:vMerge w:val="restart"/>
            <w:vAlign w:val="center"/>
          </w:tcPr>
          <w:p w14:paraId="4035A315">
            <w:pPr>
              <w:pStyle w:val="70"/>
              <w:rPr>
                <w:color w:val="000000" w:themeColor="text1"/>
                <w14:textFill>
                  <w14:solidFill>
                    <w14:schemeClr w14:val="tx1"/>
                  </w14:solidFill>
                </w14:textFill>
              </w:rPr>
            </w:pPr>
            <w:r>
              <w:rPr>
                <w:color w:val="000000" w:themeColor="text1"/>
                <w14:textFill>
                  <w14:solidFill>
                    <w14:schemeClr w14:val="tx1"/>
                  </w14:solidFill>
                </w14:textFill>
              </w:rPr>
              <w:t>船舶污水</w:t>
            </w:r>
          </w:p>
        </w:tc>
        <w:tc>
          <w:tcPr>
            <w:tcW w:w="2381" w:type="dxa"/>
            <w:gridSpan w:val="4"/>
            <w:vAlign w:val="center"/>
          </w:tcPr>
          <w:p w14:paraId="6591D0E8">
            <w:pPr>
              <w:pStyle w:val="70"/>
              <w:rPr>
                <w:color w:val="000000" w:themeColor="text1"/>
                <w14:textFill>
                  <w14:solidFill>
                    <w14:schemeClr w14:val="tx1"/>
                  </w14:solidFill>
                </w14:textFill>
              </w:rPr>
            </w:pPr>
            <w:r>
              <w:rPr>
                <w:color w:val="000000" w:themeColor="text1"/>
                <w14:textFill>
                  <w14:solidFill>
                    <w14:schemeClr w14:val="tx1"/>
                  </w14:solidFill>
                </w14:textFill>
              </w:rPr>
              <w:t>船舶机舱油污水</w:t>
            </w:r>
          </w:p>
        </w:tc>
        <w:tc>
          <w:tcPr>
            <w:tcW w:w="454" w:type="dxa"/>
            <w:gridSpan w:val="2"/>
            <w:vAlign w:val="center"/>
          </w:tcPr>
          <w:p w14:paraId="60A61027">
            <w:pPr>
              <w:pStyle w:val="70"/>
              <w:rPr>
                <w:color w:val="000000" w:themeColor="text1"/>
                <w14:textFill>
                  <w14:solidFill>
                    <w14:schemeClr w14:val="tx1"/>
                  </w14:solidFill>
                </w14:textFill>
              </w:rPr>
            </w:pPr>
            <w:r>
              <w:rPr>
                <w:color w:val="000000" w:themeColor="text1"/>
                <w14:textFill>
                  <w14:solidFill>
                    <w14:schemeClr w14:val="tx1"/>
                  </w14:solidFill>
                </w14:textFill>
              </w:rPr>
              <w:t>石油类</w:t>
            </w:r>
          </w:p>
        </w:tc>
        <w:tc>
          <w:tcPr>
            <w:tcW w:w="993" w:type="dxa"/>
            <w:gridSpan w:val="2"/>
            <w:vMerge w:val="restart"/>
            <w:vAlign w:val="center"/>
          </w:tcPr>
          <w:p w14:paraId="4A0E0D3E">
            <w:pPr>
              <w:pStyle w:val="70"/>
              <w:rPr>
                <w:color w:val="000000" w:themeColor="text1"/>
                <w14:textFill>
                  <w14:solidFill>
                    <w14:schemeClr w14:val="tx1"/>
                  </w14:solidFill>
                </w14:textFill>
              </w:rPr>
            </w:pPr>
            <w:r>
              <w:rPr>
                <w:color w:val="000000" w:themeColor="text1"/>
                <w14:textFill>
                  <w14:solidFill>
                    <w14:schemeClr w14:val="tx1"/>
                  </w14:solidFill>
                </w14:textFill>
              </w:rPr>
              <w:t>类比法</w:t>
            </w:r>
          </w:p>
        </w:tc>
        <w:tc>
          <w:tcPr>
            <w:tcW w:w="856" w:type="dxa"/>
            <w:gridSpan w:val="3"/>
            <w:vAlign w:val="center"/>
          </w:tcPr>
          <w:p w14:paraId="0FB948B7">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314</w:t>
            </w:r>
          </w:p>
        </w:tc>
        <w:tc>
          <w:tcPr>
            <w:tcW w:w="1326" w:type="dxa"/>
            <w:gridSpan w:val="2"/>
            <w:vAlign w:val="center"/>
          </w:tcPr>
          <w:p w14:paraId="65D48107">
            <w:pPr>
              <w:pStyle w:val="70"/>
              <w:rPr>
                <w:color w:val="000000" w:themeColor="text1"/>
                <w14:textFill>
                  <w14:solidFill>
                    <w14:schemeClr w14:val="tx1"/>
                  </w14:solidFill>
                </w14:textFill>
              </w:rPr>
            </w:pPr>
            <w:r>
              <w:rPr>
                <w:color w:val="000000" w:themeColor="text1"/>
                <w14:textFill>
                  <w14:solidFill>
                    <w14:schemeClr w14:val="tx1"/>
                  </w14:solidFill>
                </w14:textFill>
              </w:rPr>
              <w:t>5000</w:t>
            </w:r>
          </w:p>
        </w:tc>
        <w:tc>
          <w:tcPr>
            <w:tcW w:w="1078" w:type="dxa"/>
            <w:gridSpan w:val="2"/>
            <w:vAlign w:val="center"/>
          </w:tcPr>
          <w:p w14:paraId="6F132CD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1.58</w:t>
            </w:r>
          </w:p>
        </w:tc>
        <w:tc>
          <w:tcPr>
            <w:tcW w:w="1276" w:type="dxa"/>
            <w:vMerge w:val="restart"/>
            <w:vAlign w:val="center"/>
          </w:tcPr>
          <w:p w14:paraId="1613669B">
            <w:pPr>
              <w:pStyle w:val="70"/>
              <w:rPr>
                <w:color w:val="000000" w:themeColor="text1"/>
                <w14:textFill>
                  <w14:solidFill>
                    <w14:schemeClr w14:val="tx1"/>
                  </w14:solidFill>
                </w14:textFill>
              </w:rPr>
            </w:pPr>
            <w:r>
              <w:rPr>
                <w:color w:val="000000" w:themeColor="text1"/>
                <w14:textFill>
                  <w14:solidFill>
                    <w14:schemeClr w14:val="tx1"/>
                  </w14:solidFill>
                </w14:textFill>
              </w:rPr>
              <w:t>由具有相关资质的单位接收</w:t>
            </w:r>
          </w:p>
        </w:tc>
        <w:tc>
          <w:tcPr>
            <w:tcW w:w="708" w:type="dxa"/>
            <w:vMerge w:val="restart"/>
            <w:vAlign w:val="center"/>
          </w:tcPr>
          <w:p w14:paraId="423F735C">
            <w:pPr>
              <w:pStyle w:val="70"/>
              <w:rPr>
                <w:color w:val="000000" w:themeColor="text1"/>
                <w14:textFill>
                  <w14:solidFill>
                    <w14:schemeClr w14:val="tx1"/>
                  </w14:solidFill>
                </w14:textFill>
              </w:rPr>
            </w:pPr>
            <w:r>
              <w:rPr>
                <w:color w:val="000000" w:themeColor="text1"/>
                <w14:textFill>
                  <w14:solidFill>
                    <w14:schemeClr w14:val="tx1"/>
                  </w14:solidFill>
                </w14:textFill>
              </w:rPr>
              <w:t>类比法</w:t>
            </w:r>
          </w:p>
        </w:tc>
        <w:tc>
          <w:tcPr>
            <w:tcW w:w="1595" w:type="dxa"/>
            <w:gridSpan w:val="4"/>
            <w:vAlign w:val="center"/>
          </w:tcPr>
          <w:p w14:paraId="6B4E88A9">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963" w:type="dxa"/>
            <w:gridSpan w:val="3"/>
            <w:vAlign w:val="center"/>
          </w:tcPr>
          <w:p w14:paraId="75CF8AF8">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992" w:type="dxa"/>
            <w:gridSpan w:val="2"/>
            <w:vAlign w:val="center"/>
          </w:tcPr>
          <w:p w14:paraId="692AEAAA">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895" w:type="dxa"/>
            <w:vMerge w:val="restart"/>
            <w:vAlign w:val="center"/>
          </w:tcPr>
          <w:p w14:paraId="48BD5F2A">
            <w:pPr>
              <w:pStyle w:val="70"/>
              <w:rPr>
                <w:color w:val="000000" w:themeColor="text1"/>
                <w14:textFill>
                  <w14:solidFill>
                    <w14:schemeClr w14:val="tx1"/>
                  </w14:solidFill>
                </w14:textFill>
              </w:rPr>
            </w:pPr>
            <w:r>
              <w:rPr>
                <w:color w:val="000000" w:themeColor="text1"/>
                <w14:textFill>
                  <w14:solidFill>
                    <w14:schemeClr w14:val="tx1"/>
                  </w14:solidFill>
                </w14:textFill>
              </w:rPr>
              <w:t>不外排</w:t>
            </w:r>
          </w:p>
        </w:tc>
      </w:tr>
      <w:tr w14:paraId="370D9AD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693" w:type="dxa"/>
            <w:gridSpan w:val="2"/>
            <w:vMerge w:val="continue"/>
            <w:vAlign w:val="center"/>
          </w:tcPr>
          <w:p w14:paraId="211D20B2">
            <w:pPr>
              <w:pStyle w:val="70"/>
              <w:rPr>
                <w:color w:val="000000" w:themeColor="text1"/>
                <w14:textFill>
                  <w14:solidFill>
                    <w14:schemeClr w14:val="tx1"/>
                  </w14:solidFill>
                </w14:textFill>
              </w:rPr>
            </w:pPr>
          </w:p>
        </w:tc>
        <w:tc>
          <w:tcPr>
            <w:tcW w:w="2381" w:type="dxa"/>
            <w:gridSpan w:val="4"/>
            <w:vMerge w:val="restart"/>
            <w:vAlign w:val="center"/>
          </w:tcPr>
          <w:p w14:paraId="14A5145E">
            <w:pPr>
              <w:pStyle w:val="70"/>
              <w:rPr>
                <w:color w:val="000000" w:themeColor="text1"/>
                <w14:textFill>
                  <w14:solidFill>
                    <w14:schemeClr w14:val="tx1"/>
                  </w14:solidFill>
                </w14:textFill>
              </w:rPr>
            </w:pPr>
            <w:r>
              <w:rPr>
                <w:color w:val="000000" w:themeColor="text1"/>
                <w:lang w:eastAsia="en-US"/>
                <w14:textFill>
                  <w14:solidFill>
                    <w14:schemeClr w14:val="tx1"/>
                  </w14:solidFill>
                </w14:textFill>
              </w:rPr>
              <w:t>船舶生活污水</w:t>
            </w:r>
          </w:p>
        </w:tc>
        <w:tc>
          <w:tcPr>
            <w:tcW w:w="454" w:type="dxa"/>
            <w:gridSpan w:val="2"/>
            <w:vAlign w:val="center"/>
          </w:tcPr>
          <w:p w14:paraId="75ACBC23">
            <w:pPr>
              <w:pStyle w:val="70"/>
              <w:rPr>
                <w:color w:val="000000" w:themeColor="text1"/>
                <w14:textFill>
                  <w14:solidFill>
                    <w14:schemeClr w14:val="tx1"/>
                  </w14:solidFill>
                </w14:textFill>
              </w:rPr>
            </w:pPr>
            <w:r>
              <w:rPr>
                <w:color w:val="000000" w:themeColor="text1"/>
                <w14:textFill>
                  <w14:solidFill>
                    <w14:schemeClr w14:val="tx1"/>
                  </w14:solidFill>
                </w14:textFill>
              </w:rPr>
              <w:t>COD</w:t>
            </w:r>
          </w:p>
        </w:tc>
        <w:tc>
          <w:tcPr>
            <w:tcW w:w="993" w:type="dxa"/>
            <w:gridSpan w:val="2"/>
            <w:vMerge w:val="continue"/>
            <w:vAlign w:val="center"/>
          </w:tcPr>
          <w:p w14:paraId="31106035">
            <w:pPr>
              <w:pStyle w:val="70"/>
              <w:rPr>
                <w:color w:val="000000" w:themeColor="text1"/>
                <w14:textFill>
                  <w14:solidFill>
                    <w14:schemeClr w14:val="tx1"/>
                  </w14:solidFill>
                </w14:textFill>
              </w:rPr>
            </w:pPr>
          </w:p>
        </w:tc>
        <w:tc>
          <w:tcPr>
            <w:tcW w:w="856" w:type="dxa"/>
            <w:gridSpan w:val="3"/>
            <w:vMerge w:val="restart"/>
            <w:vAlign w:val="center"/>
          </w:tcPr>
          <w:p w14:paraId="355D549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158.4</w:t>
            </w:r>
          </w:p>
        </w:tc>
        <w:tc>
          <w:tcPr>
            <w:tcW w:w="1326" w:type="dxa"/>
            <w:gridSpan w:val="2"/>
            <w:vAlign w:val="center"/>
          </w:tcPr>
          <w:p w14:paraId="26C1DDE9">
            <w:pPr>
              <w:pStyle w:val="70"/>
              <w:rPr>
                <w:color w:val="000000" w:themeColor="text1"/>
                <w14:textFill>
                  <w14:solidFill>
                    <w14:schemeClr w14:val="tx1"/>
                  </w14:solidFill>
                </w14:textFill>
              </w:rPr>
            </w:pPr>
            <w:r>
              <w:rPr>
                <w:color w:val="000000" w:themeColor="text1"/>
                <w14:textFill>
                  <w14:solidFill>
                    <w14:schemeClr w14:val="tx1"/>
                  </w14:solidFill>
                </w14:textFill>
              </w:rPr>
              <w:t>350</w:t>
            </w:r>
          </w:p>
        </w:tc>
        <w:tc>
          <w:tcPr>
            <w:tcW w:w="1078" w:type="dxa"/>
            <w:gridSpan w:val="2"/>
            <w:vAlign w:val="center"/>
          </w:tcPr>
          <w:p w14:paraId="7282063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0.055</w:t>
            </w:r>
          </w:p>
        </w:tc>
        <w:tc>
          <w:tcPr>
            <w:tcW w:w="1276" w:type="dxa"/>
            <w:vMerge w:val="continue"/>
            <w:vAlign w:val="center"/>
          </w:tcPr>
          <w:p w14:paraId="7E70F1B0">
            <w:pPr>
              <w:pStyle w:val="70"/>
              <w:rPr>
                <w:color w:val="000000" w:themeColor="text1"/>
                <w14:textFill>
                  <w14:solidFill>
                    <w14:schemeClr w14:val="tx1"/>
                  </w14:solidFill>
                </w14:textFill>
              </w:rPr>
            </w:pPr>
          </w:p>
        </w:tc>
        <w:tc>
          <w:tcPr>
            <w:tcW w:w="708" w:type="dxa"/>
            <w:vMerge w:val="continue"/>
            <w:vAlign w:val="center"/>
          </w:tcPr>
          <w:p w14:paraId="4C5E34CA">
            <w:pPr>
              <w:pStyle w:val="70"/>
              <w:rPr>
                <w:color w:val="000000" w:themeColor="text1"/>
                <w14:textFill>
                  <w14:solidFill>
                    <w14:schemeClr w14:val="tx1"/>
                  </w14:solidFill>
                </w14:textFill>
              </w:rPr>
            </w:pPr>
          </w:p>
        </w:tc>
        <w:tc>
          <w:tcPr>
            <w:tcW w:w="1595" w:type="dxa"/>
            <w:gridSpan w:val="4"/>
            <w:vAlign w:val="center"/>
          </w:tcPr>
          <w:p w14:paraId="2B4142A1">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963" w:type="dxa"/>
            <w:gridSpan w:val="3"/>
            <w:vAlign w:val="center"/>
          </w:tcPr>
          <w:p w14:paraId="1FBB37D6">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992" w:type="dxa"/>
            <w:gridSpan w:val="2"/>
            <w:vAlign w:val="center"/>
          </w:tcPr>
          <w:p w14:paraId="7ED6AF32">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895" w:type="dxa"/>
            <w:vMerge w:val="continue"/>
            <w:vAlign w:val="center"/>
          </w:tcPr>
          <w:p w14:paraId="6BF05F72">
            <w:pPr>
              <w:pStyle w:val="70"/>
              <w:rPr>
                <w:color w:val="000000" w:themeColor="text1"/>
                <w14:textFill>
                  <w14:solidFill>
                    <w14:schemeClr w14:val="tx1"/>
                  </w14:solidFill>
                </w14:textFill>
              </w:rPr>
            </w:pPr>
          </w:p>
        </w:tc>
      </w:tr>
      <w:tr w14:paraId="7900042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693" w:type="dxa"/>
            <w:gridSpan w:val="2"/>
            <w:vMerge w:val="continue"/>
            <w:vAlign w:val="center"/>
          </w:tcPr>
          <w:p w14:paraId="3BEE75F8">
            <w:pPr>
              <w:pStyle w:val="70"/>
              <w:rPr>
                <w:color w:val="000000" w:themeColor="text1"/>
                <w14:textFill>
                  <w14:solidFill>
                    <w14:schemeClr w14:val="tx1"/>
                  </w14:solidFill>
                </w14:textFill>
              </w:rPr>
            </w:pPr>
          </w:p>
        </w:tc>
        <w:tc>
          <w:tcPr>
            <w:tcW w:w="2381" w:type="dxa"/>
            <w:gridSpan w:val="4"/>
            <w:vMerge w:val="continue"/>
            <w:vAlign w:val="center"/>
          </w:tcPr>
          <w:p w14:paraId="1E311B10">
            <w:pPr>
              <w:pStyle w:val="70"/>
              <w:rPr>
                <w:color w:val="000000" w:themeColor="text1"/>
                <w:lang w:eastAsia="en-US"/>
                <w14:textFill>
                  <w14:solidFill>
                    <w14:schemeClr w14:val="tx1"/>
                  </w14:solidFill>
                </w14:textFill>
              </w:rPr>
            </w:pPr>
          </w:p>
        </w:tc>
        <w:tc>
          <w:tcPr>
            <w:tcW w:w="454" w:type="dxa"/>
            <w:gridSpan w:val="2"/>
            <w:vAlign w:val="center"/>
          </w:tcPr>
          <w:p w14:paraId="02973BF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氨氮</w:t>
            </w:r>
          </w:p>
        </w:tc>
        <w:tc>
          <w:tcPr>
            <w:tcW w:w="993" w:type="dxa"/>
            <w:gridSpan w:val="2"/>
            <w:vMerge w:val="continue"/>
            <w:vAlign w:val="center"/>
          </w:tcPr>
          <w:p w14:paraId="3A8FBFA2">
            <w:pPr>
              <w:pStyle w:val="70"/>
              <w:rPr>
                <w:color w:val="000000" w:themeColor="text1"/>
                <w14:textFill>
                  <w14:solidFill>
                    <w14:schemeClr w14:val="tx1"/>
                  </w14:solidFill>
                </w14:textFill>
              </w:rPr>
            </w:pPr>
          </w:p>
        </w:tc>
        <w:tc>
          <w:tcPr>
            <w:tcW w:w="856" w:type="dxa"/>
            <w:gridSpan w:val="3"/>
            <w:vMerge w:val="continue"/>
            <w:vAlign w:val="center"/>
          </w:tcPr>
          <w:p w14:paraId="4C69B29D">
            <w:pPr>
              <w:pStyle w:val="70"/>
              <w:rPr>
                <w:color w:val="000000" w:themeColor="text1"/>
                <w14:textFill>
                  <w14:solidFill>
                    <w14:schemeClr w14:val="tx1"/>
                  </w14:solidFill>
                </w14:textFill>
              </w:rPr>
            </w:pPr>
          </w:p>
        </w:tc>
        <w:tc>
          <w:tcPr>
            <w:tcW w:w="1326" w:type="dxa"/>
            <w:gridSpan w:val="2"/>
            <w:vAlign w:val="center"/>
          </w:tcPr>
          <w:p w14:paraId="1E334B5B">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35</w:t>
            </w:r>
          </w:p>
        </w:tc>
        <w:tc>
          <w:tcPr>
            <w:tcW w:w="1078" w:type="dxa"/>
            <w:gridSpan w:val="2"/>
            <w:vAlign w:val="center"/>
          </w:tcPr>
          <w:p w14:paraId="1D4F792F">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0.006</w:t>
            </w:r>
          </w:p>
        </w:tc>
        <w:tc>
          <w:tcPr>
            <w:tcW w:w="1276" w:type="dxa"/>
            <w:vMerge w:val="continue"/>
            <w:vAlign w:val="center"/>
          </w:tcPr>
          <w:p w14:paraId="23283968">
            <w:pPr>
              <w:pStyle w:val="70"/>
              <w:rPr>
                <w:color w:val="000000" w:themeColor="text1"/>
                <w14:textFill>
                  <w14:solidFill>
                    <w14:schemeClr w14:val="tx1"/>
                  </w14:solidFill>
                </w14:textFill>
              </w:rPr>
            </w:pPr>
          </w:p>
        </w:tc>
        <w:tc>
          <w:tcPr>
            <w:tcW w:w="708" w:type="dxa"/>
            <w:vMerge w:val="continue"/>
            <w:vAlign w:val="center"/>
          </w:tcPr>
          <w:p w14:paraId="099BF453">
            <w:pPr>
              <w:pStyle w:val="70"/>
              <w:rPr>
                <w:color w:val="000000" w:themeColor="text1"/>
                <w14:textFill>
                  <w14:solidFill>
                    <w14:schemeClr w14:val="tx1"/>
                  </w14:solidFill>
                </w14:textFill>
              </w:rPr>
            </w:pPr>
          </w:p>
        </w:tc>
        <w:tc>
          <w:tcPr>
            <w:tcW w:w="1595" w:type="dxa"/>
            <w:gridSpan w:val="4"/>
            <w:vAlign w:val="center"/>
          </w:tcPr>
          <w:p w14:paraId="2352799B">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963" w:type="dxa"/>
            <w:gridSpan w:val="3"/>
            <w:vAlign w:val="center"/>
          </w:tcPr>
          <w:p w14:paraId="494A5A07">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992" w:type="dxa"/>
            <w:gridSpan w:val="2"/>
            <w:vAlign w:val="center"/>
          </w:tcPr>
          <w:p w14:paraId="5D8D4B19">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895" w:type="dxa"/>
            <w:vMerge w:val="continue"/>
            <w:vAlign w:val="center"/>
          </w:tcPr>
          <w:p w14:paraId="645C7F31">
            <w:pPr>
              <w:pStyle w:val="70"/>
              <w:rPr>
                <w:color w:val="000000" w:themeColor="text1"/>
                <w14:textFill>
                  <w14:solidFill>
                    <w14:schemeClr w14:val="tx1"/>
                  </w14:solidFill>
                </w14:textFill>
              </w:rPr>
            </w:pPr>
          </w:p>
        </w:tc>
      </w:tr>
      <w:tr w14:paraId="66CD641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693" w:type="dxa"/>
            <w:gridSpan w:val="2"/>
            <w:vMerge w:val="continue"/>
            <w:vAlign w:val="center"/>
          </w:tcPr>
          <w:p w14:paraId="3F5ACFE4">
            <w:pPr>
              <w:pStyle w:val="70"/>
              <w:rPr>
                <w:color w:val="000000" w:themeColor="text1"/>
                <w14:textFill>
                  <w14:solidFill>
                    <w14:schemeClr w14:val="tx1"/>
                  </w14:solidFill>
                </w14:textFill>
              </w:rPr>
            </w:pPr>
          </w:p>
        </w:tc>
        <w:tc>
          <w:tcPr>
            <w:tcW w:w="2381" w:type="dxa"/>
            <w:gridSpan w:val="4"/>
            <w:vMerge w:val="continue"/>
            <w:vAlign w:val="center"/>
          </w:tcPr>
          <w:p w14:paraId="51CFBAF2">
            <w:pPr>
              <w:pStyle w:val="70"/>
              <w:rPr>
                <w:color w:val="000000" w:themeColor="text1"/>
                <w:lang w:eastAsia="en-US"/>
                <w14:textFill>
                  <w14:solidFill>
                    <w14:schemeClr w14:val="tx1"/>
                  </w14:solidFill>
                </w14:textFill>
              </w:rPr>
            </w:pPr>
          </w:p>
        </w:tc>
        <w:tc>
          <w:tcPr>
            <w:tcW w:w="454" w:type="dxa"/>
            <w:gridSpan w:val="2"/>
            <w:vAlign w:val="center"/>
          </w:tcPr>
          <w:p w14:paraId="13610BC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总氮</w:t>
            </w:r>
          </w:p>
        </w:tc>
        <w:tc>
          <w:tcPr>
            <w:tcW w:w="993" w:type="dxa"/>
            <w:gridSpan w:val="2"/>
            <w:vMerge w:val="continue"/>
            <w:vAlign w:val="center"/>
          </w:tcPr>
          <w:p w14:paraId="5C45AF1A">
            <w:pPr>
              <w:pStyle w:val="70"/>
              <w:rPr>
                <w:color w:val="000000" w:themeColor="text1"/>
                <w14:textFill>
                  <w14:solidFill>
                    <w14:schemeClr w14:val="tx1"/>
                  </w14:solidFill>
                </w14:textFill>
              </w:rPr>
            </w:pPr>
          </w:p>
        </w:tc>
        <w:tc>
          <w:tcPr>
            <w:tcW w:w="856" w:type="dxa"/>
            <w:gridSpan w:val="3"/>
            <w:vMerge w:val="continue"/>
            <w:vAlign w:val="center"/>
          </w:tcPr>
          <w:p w14:paraId="5E3F93BE">
            <w:pPr>
              <w:pStyle w:val="70"/>
              <w:rPr>
                <w:color w:val="000000" w:themeColor="text1"/>
                <w14:textFill>
                  <w14:solidFill>
                    <w14:schemeClr w14:val="tx1"/>
                  </w14:solidFill>
                </w14:textFill>
              </w:rPr>
            </w:pPr>
          </w:p>
        </w:tc>
        <w:tc>
          <w:tcPr>
            <w:tcW w:w="1326" w:type="dxa"/>
            <w:gridSpan w:val="2"/>
            <w:vAlign w:val="center"/>
          </w:tcPr>
          <w:p w14:paraId="5182848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45</w:t>
            </w:r>
          </w:p>
        </w:tc>
        <w:tc>
          <w:tcPr>
            <w:tcW w:w="1078" w:type="dxa"/>
            <w:gridSpan w:val="2"/>
            <w:vAlign w:val="center"/>
          </w:tcPr>
          <w:p w14:paraId="086AC48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0.071</w:t>
            </w:r>
          </w:p>
        </w:tc>
        <w:tc>
          <w:tcPr>
            <w:tcW w:w="1276" w:type="dxa"/>
            <w:vMerge w:val="continue"/>
            <w:vAlign w:val="center"/>
          </w:tcPr>
          <w:p w14:paraId="1E05BF22">
            <w:pPr>
              <w:pStyle w:val="70"/>
              <w:rPr>
                <w:color w:val="000000" w:themeColor="text1"/>
                <w14:textFill>
                  <w14:solidFill>
                    <w14:schemeClr w14:val="tx1"/>
                  </w14:solidFill>
                </w14:textFill>
              </w:rPr>
            </w:pPr>
          </w:p>
        </w:tc>
        <w:tc>
          <w:tcPr>
            <w:tcW w:w="708" w:type="dxa"/>
            <w:vMerge w:val="continue"/>
            <w:vAlign w:val="center"/>
          </w:tcPr>
          <w:p w14:paraId="133A2706">
            <w:pPr>
              <w:pStyle w:val="70"/>
              <w:rPr>
                <w:color w:val="000000" w:themeColor="text1"/>
                <w14:textFill>
                  <w14:solidFill>
                    <w14:schemeClr w14:val="tx1"/>
                  </w14:solidFill>
                </w14:textFill>
              </w:rPr>
            </w:pPr>
          </w:p>
        </w:tc>
        <w:tc>
          <w:tcPr>
            <w:tcW w:w="1595" w:type="dxa"/>
            <w:gridSpan w:val="4"/>
            <w:vAlign w:val="center"/>
          </w:tcPr>
          <w:p w14:paraId="64BB60B7">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963" w:type="dxa"/>
            <w:gridSpan w:val="3"/>
            <w:vAlign w:val="center"/>
          </w:tcPr>
          <w:p w14:paraId="72F92861">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992" w:type="dxa"/>
            <w:gridSpan w:val="2"/>
            <w:vAlign w:val="center"/>
          </w:tcPr>
          <w:p w14:paraId="0BCC2FD1">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895" w:type="dxa"/>
            <w:vMerge w:val="continue"/>
            <w:vAlign w:val="center"/>
          </w:tcPr>
          <w:p w14:paraId="4258FDB4">
            <w:pPr>
              <w:pStyle w:val="70"/>
              <w:rPr>
                <w:color w:val="000000" w:themeColor="text1"/>
                <w14:textFill>
                  <w14:solidFill>
                    <w14:schemeClr w14:val="tx1"/>
                  </w14:solidFill>
                </w14:textFill>
              </w:rPr>
            </w:pPr>
          </w:p>
        </w:tc>
      </w:tr>
      <w:tr w14:paraId="509E4C4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693" w:type="dxa"/>
            <w:gridSpan w:val="2"/>
            <w:vMerge w:val="continue"/>
            <w:vAlign w:val="center"/>
          </w:tcPr>
          <w:p w14:paraId="42B5F1FB">
            <w:pPr>
              <w:pStyle w:val="70"/>
              <w:rPr>
                <w:color w:val="000000" w:themeColor="text1"/>
                <w14:textFill>
                  <w14:solidFill>
                    <w14:schemeClr w14:val="tx1"/>
                  </w14:solidFill>
                </w14:textFill>
              </w:rPr>
            </w:pPr>
          </w:p>
        </w:tc>
        <w:tc>
          <w:tcPr>
            <w:tcW w:w="2381" w:type="dxa"/>
            <w:gridSpan w:val="4"/>
            <w:vMerge w:val="continue"/>
            <w:vAlign w:val="center"/>
          </w:tcPr>
          <w:p w14:paraId="2F6EF2B3">
            <w:pPr>
              <w:pStyle w:val="70"/>
              <w:rPr>
                <w:color w:val="000000" w:themeColor="text1"/>
                <w:lang w:eastAsia="en-US"/>
                <w14:textFill>
                  <w14:solidFill>
                    <w14:schemeClr w14:val="tx1"/>
                  </w14:solidFill>
                </w14:textFill>
              </w:rPr>
            </w:pPr>
          </w:p>
        </w:tc>
        <w:tc>
          <w:tcPr>
            <w:tcW w:w="454" w:type="dxa"/>
            <w:gridSpan w:val="2"/>
            <w:vAlign w:val="center"/>
          </w:tcPr>
          <w:p w14:paraId="2CFF8B1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总磷</w:t>
            </w:r>
          </w:p>
        </w:tc>
        <w:tc>
          <w:tcPr>
            <w:tcW w:w="993" w:type="dxa"/>
            <w:gridSpan w:val="2"/>
            <w:vMerge w:val="continue"/>
            <w:vAlign w:val="center"/>
          </w:tcPr>
          <w:p w14:paraId="603D482B">
            <w:pPr>
              <w:pStyle w:val="70"/>
              <w:rPr>
                <w:color w:val="000000" w:themeColor="text1"/>
                <w14:textFill>
                  <w14:solidFill>
                    <w14:schemeClr w14:val="tx1"/>
                  </w14:solidFill>
                </w14:textFill>
              </w:rPr>
            </w:pPr>
          </w:p>
        </w:tc>
        <w:tc>
          <w:tcPr>
            <w:tcW w:w="856" w:type="dxa"/>
            <w:gridSpan w:val="3"/>
            <w:vMerge w:val="continue"/>
            <w:vAlign w:val="center"/>
          </w:tcPr>
          <w:p w14:paraId="2DD3D90D">
            <w:pPr>
              <w:pStyle w:val="70"/>
              <w:rPr>
                <w:color w:val="000000" w:themeColor="text1"/>
                <w14:textFill>
                  <w14:solidFill>
                    <w14:schemeClr w14:val="tx1"/>
                  </w14:solidFill>
                </w14:textFill>
              </w:rPr>
            </w:pPr>
          </w:p>
        </w:tc>
        <w:tc>
          <w:tcPr>
            <w:tcW w:w="1326" w:type="dxa"/>
            <w:gridSpan w:val="2"/>
            <w:vAlign w:val="center"/>
          </w:tcPr>
          <w:p w14:paraId="7AE5942C">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1078" w:type="dxa"/>
            <w:gridSpan w:val="2"/>
            <w:vAlign w:val="center"/>
          </w:tcPr>
          <w:p w14:paraId="2AD8709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0.001</w:t>
            </w:r>
          </w:p>
        </w:tc>
        <w:tc>
          <w:tcPr>
            <w:tcW w:w="1276" w:type="dxa"/>
            <w:vMerge w:val="continue"/>
            <w:vAlign w:val="center"/>
          </w:tcPr>
          <w:p w14:paraId="0EF32CCB">
            <w:pPr>
              <w:pStyle w:val="70"/>
              <w:rPr>
                <w:color w:val="000000" w:themeColor="text1"/>
                <w14:textFill>
                  <w14:solidFill>
                    <w14:schemeClr w14:val="tx1"/>
                  </w14:solidFill>
                </w14:textFill>
              </w:rPr>
            </w:pPr>
          </w:p>
        </w:tc>
        <w:tc>
          <w:tcPr>
            <w:tcW w:w="708" w:type="dxa"/>
            <w:vMerge w:val="continue"/>
            <w:vAlign w:val="center"/>
          </w:tcPr>
          <w:p w14:paraId="7BCAB718">
            <w:pPr>
              <w:pStyle w:val="70"/>
              <w:rPr>
                <w:color w:val="000000" w:themeColor="text1"/>
                <w14:textFill>
                  <w14:solidFill>
                    <w14:schemeClr w14:val="tx1"/>
                  </w14:solidFill>
                </w14:textFill>
              </w:rPr>
            </w:pPr>
          </w:p>
        </w:tc>
        <w:tc>
          <w:tcPr>
            <w:tcW w:w="1595" w:type="dxa"/>
            <w:gridSpan w:val="4"/>
            <w:vAlign w:val="center"/>
          </w:tcPr>
          <w:p w14:paraId="53BFA746">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963" w:type="dxa"/>
            <w:gridSpan w:val="3"/>
            <w:vAlign w:val="center"/>
          </w:tcPr>
          <w:p w14:paraId="75545334">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992" w:type="dxa"/>
            <w:gridSpan w:val="2"/>
            <w:vAlign w:val="center"/>
          </w:tcPr>
          <w:p w14:paraId="0120B97D">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895" w:type="dxa"/>
            <w:vMerge w:val="continue"/>
            <w:vAlign w:val="center"/>
          </w:tcPr>
          <w:p w14:paraId="5A6B657F">
            <w:pPr>
              <w:pStyle w:val="70"/>
              <w:rPr>
                <w:color w:val="000000" w:themeColor="text1"/>
                <w14:textFill>
                  <w14:solidFill>
                    <w14:schemeClr w14:val="tx1"/>
                  </w14:solidFill>
                </w14:textFill>
              </w:rPr>
            </w:pPr>
          </w:p>
        </w:tc>
      </w:tr>
      <w:tr w14:paraId="79BC636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210" w:type="dxa"/>
            <w:gridSpan w:val="29"/>
            <w:vAlign w:val="center"/>
          </w:tcPr>
          <w:p w14:paraId="6726B07B">
            <w:pPr>
              <w:pStyle w:val="70"/>
              <w:rPr>
                <w:color w:val="000000" w:themeColor="text1"/>
                <w14:textFill>
                  <w14:solidFill>
                    <w14:schemeClr w14:val="tx1"/>
                  </w14:solidFill>
                </w14:textFill>
              </w:rPr>
            </w:pPr>
            <w:r>
              <w:rPr>
                <w:color w:val="000000" w:themeColor="text1"/>
                <w14:textFill>
                  <w14:solidFill>
                    <w14:schemeClr w14:val="tx1"/>
                  </w14:solidFill>
                </w14:textFill>
              </w:rPr>
              <w:t>（3）噪声产排污环节、污染物及污染治理设施清单</w:t>
            </w:r>
          </w:p>
        </w:tc>
      </w:tr>
      <w:tr w14:paraId="65DFB67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Before w:val="1"/>
          <w:wBefore w:w="7" w:type="dxa"/>
          <w:trHeight w:val="20" w:hRule="atLeast"/>
          <w:jc w:val="center"/>
        </w:trPr>
        <w:tc>
          <w:tcPr>
            <w:tcW w:w="1715" w:type="dxa"/>
            <w:gridSpan w:val="4"/>
            <w:vMerge w:val="restart"/>
            <w:vAlign w:val="center"/>
          </w:tcPr>
          <w:p w14:paraId="4640A65F">
            <w:pPr>
              <w:pStyle w:val="70"/>
              <w:rPr>
                <w:color w:val="000000" w:themeColor="text1"/>
                <w14:textFill>
                  <w14:solidFill>
                    <w14:schemeClr w14:val="tx1"/>
                  </w14:solidFill>
                </w14:textFill>
              </w:rPr>
            </w:pPr>
            <w:r>
              <w:rPr>
                <w:color w:val="000000" w:themeColor="text1"/>
                <w14:textFill>
                  <w14:solidFill>
                    <w14:schemeClr w14:val="tx1"/>
                  </w14:solidFill>
                </w14:textFill>
              </w:rPr>
              <w:t>装置</w:t>
            </w:r>
          </w:p>
        </w:tc>
        <w:tc>
          <w:tcPr>
            <w:tcW w:w="1579" w:type="dxa"/>
            <w:gridSpan w:val="2"/>
            <w:vMerge w:val="restart"/>
            <w:vAlign w:val="center"/>
          </w:tcPr>
          <w:p w14:paraId="42110322">
            <w:pPr>
              <w:pStyle w:val="70"/>
              <w:rPr>
                <w:color w:val="000000" w:themeColor="text1"/>
                <w14:textFill>
                  <w14:solidFill>
                    <w14:schemeClr w14:val="tx1"/>
                  </w14:solidFill>
                </w14:textFill>
              </w:rPr>
            </w:pPr>
            <w:r>
              <w:rPr>
                <w:color w:val="000000" w:themeColor="text1"/>
                <w14:textFill>
                  <w14:solidFill>
                    <w14:schemeClr w14:val="tx1"/>
                  </w14:solidFill>
                </w14:textFill>
              </w:rPr>
              <w:t>噪声源</w:t>
            </w:r>
          </w:p>
        </w:tc>
        <w:tc>
          <w:tcPr>
            <w:tcW w:w="835" w:type="dxa"/>
            <w:gridSpan w:val="2"/>
            <w:vMerge w:val="restart"/>
            <w:vAlign w:val="center"/>
          </w:tcPr>
          <w:p w14:paraId="123AA7A8">
            <w:pPr>
              <w:pStyle w:val="70"/>
              <w:rPr>
                <w:color w:val="000000" w:themeColor="text1"/>
                <w14:textFill>
                  <w14:solidFill>
                    <w14:schemeClr w14:val="tx1"/>
                  </w14:solidFill>
                </w14:textFill>
              </w:rPr>
            </w:pPr>
            <w:r>
              <w:rPr>
                <w:color w:val="000000" w:themeColor="text1"/>
                <w14:textFill>
                  <w14:solidFill>
                    <w14:schemeClr w14:val="tx1"/>
                  </w14:solidFill>
                </w14:textFill>
              </w:rPr>
              <w:t>数量</w:t>
            </w:r>
          </w:p>
        </w:tc>
        <w:tc>
          <w:tcPr>
            <w:tcW w:w="1084" w:type="dxa"/>
            <w:gridSpan w:val="3"/>
            <w:vMerge w:val="restart"/>
            <w:vAlign w:val="center"/>
          </w:tcPr>
          <w:p w14:paraId="580E0A4C">
            <w:pPr>
              <w:pStyle w:val="70"/>
              <w:rPr>
                <w:color w:val="000000" w:themeColor="text1"/>
                <w14:textFill>
                  <w14:solidFill>
                    <w14:schemeClr w14:val="tx1"/>
                  </w14:solidFill>
                </w14:textFill>
              </w:rPr>
            </w:pPr>
            <w:r>
              <w:rPr>
                <w:color w:val="000000" w:themeColor="text1"/>
                <w14:textFill>
                  <w14:solidFill>
                    <w14:schemeClr w14:val="tx1"/>
                  </w14:solidFill>
                </w14:textFill>
              </w:rPr>
              <w:t>声源类型</w:t>
            </w:r>
          </w:p>
        </w:tc>
        <w:tc>
          <w:tcPr>
            <w:tcW w:w="4834" w:type="dxa"/>
            <w:gridSpan w:val="8"/>
            <w:vMerge w:val="restart"/>
            <w:vAlign w:val="center"/>
          </w:tcPr>
          <w:p w14:paraId="51C7B7F6">
            <w:pPr>
              <w:pStyle w:val="70"/>
              <w:rPr>
                <w:color w:val="000000" w:themeColor="text1"/>
                <w14:textFill>
                  <w14:solidFill>
                    <w14:schemeClr w14:val="tx1"/>
                  </w14:solidFill>
                </w14:textFill>
              </w:rPr>
            </w:pPr>
            <w:r>
              <w:rPr>
                <w:color w:val="000000" w:themeColor="text1"/>
                <w14:textFill>
                  <w14:solidFill>
                    <w14:schemeClr w14:val="tx1"/>
                  </w14:solidFill>
                </w14:textFill>
              </w:rPr>
              <w:t>降噪措施</w:t>
            </w:r>
          </w:p>
        </w:tc>
        <w:tc>
          <w:tcPr>
            <w:tcW w:w="2702" w:type="dxa"/>
            <w:gridSpan w:val="7"/>
            <w:vAlign w:val="center"/>
          </w:tcPr>
          <w:p w14:paraId="0833B4B8">
            <w:pPr>
              <w:pStyle w:val="70"/>
              <w:rPr>
                <w:color w:val="000000" w:themeColor="text1"/>
                <w14:textFill>
                  <w14:solidFill>
                    <w14:schemeClr w14:val="tx1"/>
                  </w14:solidFill>
                </w14:textFill>
              </w:rPr>
            </w:pPr>
            <w:r>
              <w:rPr>
                <w:color w:val="000000" w:themeColor="text1"/>
                <w14:textFill>
                  <w14:solidFill>
                    <w14:schemeClr w14:val="tx1"/>
                  </w14:solidFill>
                </w14:textFill>
              </w:rPr>
              <w:t>噪声排放值</w:t>
            </w:r>
          </w:p>
        </w:tc>
        <w:tc>
          <w:tcPr>
            <w:tcW w:w="1464" w:type="dxa"/>
            <w:gridSpan w:val="3"/>
            <w:vMerge w:val="restart"/>
            <w:vAlign w:val="center"/>
          </w:tcPr>
          <w:p w14:paraId="34F016F7">
            <w:pPr>
              <w:pStyle w:val="70"/>
              <w:rPr>
                <w:color w:val="000000" w:themeColor="text1"/>
                <w14:textFill>
                  <w14:solidFill>
                    <w14:schemeClr w14:val="tx1"/>
                  </w14:solidFill>
                </w14:textFill>
              </w:rPr>
            </w:pPr>
            <w:r>
              <w:rPr>
                <w:color w:val="000000" w:themeColor="text1"/>
                <w14:textFill>
                  <w14:solidFill>
                    <w14:schemeClr w14:val="tx1"/>
                  </w14:solidFill>
                </w14:textFill>
              </w:rPr>
              <w:t>持续时间</w:t>
            </w:r>
          </w:p>
        </w:tc>
      </w:tr>
      <w:tr w14:paraId="31232C8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Before w:val="1"/>
          <w:wBefore w:w="7" w:type="dxa"/>
          <w:trHeight w:val="20" w:hRule="atLeast"/>
          <w:jc w:val="center"/>
        </w:trPr>
        <w:tc>
          <w:tcPr>
            <w:tcW w:w="1715" w:type="dxa"/>
            <w:gridSpan w:val="4"/>
            <w:vMerge w:val="continue"/>
            <w:vAlign w:val="center"/>
          </w:tcPr>
          <w:p w14:paraId="389D97DB">
            <w:pPr>
              <w:pStyle w:val="70"/>
              <w:rPr>
                <w:color w:val="000000" w:themeColor="text1"/>
                <w14:textFill>
                  <w14:solidFill>
                    <w14:schemeClr w14:val="tx1"/>
                  </w14:solidFill>
                </w14:textFill>
              </w:rPr>
            </w:pPr>
          </w:p>
        </w:tc>
        <w:tc>
          <w:tcPr>
            <w:tcW w:w="1579" w:type="dxa"/>
            <w:gridSpan w:val="2"/>
            <w:vMerge w:val="continue"/>
            <w:vAlign w:val="center"/>
          </w:tcPr>
          <w:p w14:paraId="3D822741">
            <w:pPr>
              <w:pStyle w:val="70"/>
              <w:rPr>
                <w:color w:val="000000" w:themeColor="text1"/>
                <w14:textFill>
                  <w14:solidFill>
                    <w14:schemeClr w14:val="tx1"/>
                  </w14:solidFill>
                </w14:textFill>
              </w:rPr>
            </w:pPr>
          </w:p>
        </w:tc>
        <w:tc>
          <w:tcPr>
            <w:tcW w:w="835" w:type="dxa"/>
            <w:gridSpan w:val="2"/>
            <w:vMerge w:val="continue"/>
            <w:vAlign w:val="center"/>
          </w:tcPr>
          <w:p w14:paraId="4F154141">
            <w:pPr>
              <w:pStyle w:val="70"/>
              <w:rPr>
                <w:color w:val="000000" w:themeColor="text1"/>
                <w14:textFill>
                  <w14:solidFill>
                    <w14:schemeClr w14:val="tx1"/>
                  </w14:solidFill>
                </w14:textFill>
              </w:rPr>
            </w:pPr>
          </w:p>
        </w:tc>
        <w:tc>
          <w:tcPr>
            <w:tcW w:w="1084" w:type="dxa"/>
            <w:gridSpan w:val="3"/>
            <w:vMerge w:val="continue"/>
            <w:vAlign w:val="center"/>
          </w:tcPr>
          <w:p w14:paraId="71B59C88">
            <w:pPr>
              <w:pStyle w:val="70"/>
              <w:rPr>
                <w:color w:val="000000" w:themeColor="text1"/>
                <w14:textFill>
                  <w14:solidFill>
                    <w14:schemeClr w14:val="tx1"/>
                  </w14:solidFill>
                </w14:textFill>
              </w:rPr>
            </w:pPr>
          </w:p>
        </w:tc>
        <w:tc>
          <w:tcPr>
            <w:tcW w:w="4834" w:type="dxa"/>
            <w:gridSpan w:val="8"/>
            <w:vMerge w:val="continue"/>
            <w:vAlign w:val="center"/>
          </w:tcPr>
          <w:p w14:paraId="4AB3D1B5">
            <w:pPr>
              <w:pStyle w:val="70"/>
              <w:rPr>
                <w:color w:val="000000" w:themeColor="text1"/>
                <w14:textFill>
                  <w14:solidFill>
                    <w14:schemeClr w14:val="tx1"/>
                  </w14:solidFill>
                </w14:textFill>
              </w:rPr>
            </w:pPr>
          </w:p>
        </w:tc>
        <w:tc>
          <w:tcPr>
            <w:tcW w:w="1754" w:type="dxa"/>
            <w:gridSpan w:val="5"/>
            <w:vAlign w:val="center"/>
          </w:tcPr>
          <w:p w14:paraId="56C51081">
            <w:pPr>
              <w:pStyle w:val="70"/>
              <w:rPr>
                <w:color w:val="000000" w:themeColor="text1"/>
                <w14:textFill>
                  <w14:solidFill>
                    <w14:schemeClr w14:val="tx1"/>
                  </w14:solidFill>
                </w14:textFill>
              </w:rPr>
            </w:pPr>
            <w:r>
              <w:rPr>
                <w:color w:val="000000" w:themeColor="text1"/>
                <w14:textFill>
                  <w14:solidFill>
                    <w14:schemeClr w14:val="tx1"/>
                  </w14:solidFill>
                </w14:textFill>
              </w:rPr>
              <w:t>核算方法</w:t>
            </w:r>
          </w:p>
        </w:tc>
        <w:tc>
          <w:tcPr>
            <w:tcW w:w="948" w:type="dxa"/>
            <w:gridSpan w:val="2"/>
            <w:vAlign w:val="center"/>
          </w:tcPr>
          <w:p w14:paraId="1A319564">
            <w:pPr>
              <w:pStyle w:val="70"/>
              <w:rPr>
                <w:color w:val="000000" w:themeColor="text1"/>
                <w14:textFill>
                  <w14:solidFill>
                    <w14:schemeClr w14:val="tx1"/>
                  </w14:solidFill>
                </w14:textFill>
              </w:rPr>
            </w:pPr>
            <w:r>
              <w:rPr>
                <w:color w:val="000000" w:themeColor="text1"/>
                <w14:textFill>
                  <w14:solidFill>
                    <w14:schemeClr w14:val="tx1"/>
                  </w14:solidFill>
                </w14:textFill>
              </w:rPr>
              <w:t>噪声值</w:t>
            </w:r>
          </w:p>
        </w:tc>
        <w:tc>
          <w:tcPr>
            <w:tcW w:w="1464" w:type="dxa"/>
            <w:gridSpan w:val="3"/>
            <w:vMerge w:val="continue"/>
            <w:vAlign w:val="center"/>
          </w:tcPr>
          <w:p w14:paraId="2926F902">
            <w:pPr>
              <w:pStyle w:val="70"/>
              <w:rPr>
                <w:color w:val="000000" w:themeColor="text1"/>
                <w14:textFill>
                  <w14:solidFill>
                    <w14:schemeClr w14:val="tx1"/>
                  </w14:solidFill>
                </w14:textFill>
              </w:rPr>
            </w:pPr>
          </w:p>
        </w:tc>
      </w:tr>
      <w:tr w14:paraId="14561B0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Before w:val="1"/>
          <w:wBefore w:w="7" w:type="dxa"/>
          <w:trHeight w:val="20" w:hRule="atLeast"/>
          <w:jc w:val="center"/>
        </w:trPr>
        <w:tc>
          <w:tcPr>
            <w:tcW w:w="1715" w:type="dxa"/>
            <w:gridSpan w:val="4"/>
            <w:vAlign w:val="center"/>
          </w:tcPr>
          <w:p w14:paraId="7AC0BB9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装卸臂液压站</w:t>
            </w:r>
          </w:p>
        </w:tc>
        <w:tc>
          <w:tcPr>
            <w:tcW w:w="1579" w:type="dxa"/>
            <w:gridSpan w:val="2"/>
            <w:vAlign w:val="center"/>
          </w:tcPr>
          <w:p w14:paraId="6814508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装卸臂</w:t>
            </w:r>
          </w:p>
        </w:tc>
        <w:tc>
          <w:tcPr>
            <w:tcW w:w="835" w:type="dxa"/>
            <w:gridSpan w:val="2"/>
            <w:vAlign w:val="center"/>
          </w:tcPr>
          <w:p w14:paraId="52EB8BC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084" w:type="dxa"/>
            <w:gridSpan w:val="3"/>
            <w:vAlign w:val="center"/>
          </w:tcPr>
          <w:p w14:paraId="3FAEC2F9">
            <w:pPr>
              <w:pStyle w:val="70"/>
              <w:rPr>
                <w:color w:val="000000" w:themeColor="text1"/>
                <w14:textFill>
                  <w14:solidFill>
                    <w14:schemeClr w14:val="tx1"/>
                  </w14:solidFill>
                </w14:textFill>
              </w:rPr>
            </w:pPr>
            <w:r>
              <w:rPr>
                <w:color w:val="000000" w:themeColor="text1"/>
                <w14:textFill>
                  <w14:solidFill>
                    <w14:schemeClr w14:val="tx1"/>
                  </w14:solidFill>
                </w14:textFill>
              </w:rPr>
              <w:t>频发</w:t>
            </w:r>
          </w:p>
        </w:tc>
        <w:tc>
          <w:tcPr>
            <w:tcW w:w="4834" w:type="dxa"/>
            <w:gridSpan w:val="8"/>
            <w:vAlign w:val="center"/>
          </w:tcPr>
          <w:p w14:paraId="360FBDCA">
            <w:pPr>
              <w:pStyle w:val="70"/>
              <w:rPr>
                <w:color w:val="000000" w:themeColor="text1"/>
                <w14:textFill>
                  <w14:solidFill>
                    <w14:schemeClr w14:val="tx1"/>
                  </w14:solidFill>
                </w14:textFill>
              </w:rPr>
            </w:pPr>
            <w:r>
              <w:rPr>
                <w:color w:val="000000" w:themeColor="text1"/>
                <w14:textFill>
                  <w14:solidFill>
                    <w14:schemeClr w14:val="tx1"/>
                  </w14:solidFill>
                </w14:textFill>
              </w:rPr>
              <w:t>消声、减振</w:t>
            </w:r>
          </w:p>
        </w:tc>
        <w:tc>
          <w:tcPr>
            <w:tcW w:w="1754" w:type="dxa"/>
            <w:gridSpan w:val="5"/>
            <w:vMerge w:val="restart"/>
            <w:vAlign w:val="center"/>
          </w:tcPr>
          <w:p w14:paraId="5B2F2E86">
            <w:pPr>
              <w:pStyle w:val="70"/>
              <w:rPr>
                <w:color w:val="000000" w:themeColor="text1"/>
                <w14:textFill>
                  <w14:solidFill>
                    <w14:schemeClr w14:val="tx1"/>
                  </w14:solidFill>
                </w14:textFill>
              </w:rPr>
            </w:pPr>
            <w:r>
              <w:rPr>
                <w:color w:val="000000" w:themeColor="text1"/>
                <w14:textFill>
                  <w14:solidFill>
                    <w14:schemeClr w14:val="tx1"/>
                  </w14:solidFill>
                </w14:textFill>
              </w:rPr>
              <w:t>类比法</w:t>
            </w:r>
          </w:p>
        </w:tc>
        <w:tc>
          <w:tcPr>
            <w:tcW w:w="948" w:type="dxa"/>
            <w:gridSpan w:val="2"/>
            <w:vAlign w:val="center"/>
          </w:tcPr>
          <w:p w14:paraId="1B386A75">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1464" w:type="dxa"/>
            <w:gridSpan w:val="3"/>
            <w:vAlign w:val="center"/>
          </w:tcPr>
          <w:p w14:paraId="6C4DD82F">
            <w:pPr>
              <w:pStyle w:val="70"/>
              <w:rPr>
                <w:color w:val="000000" w:themeColor="text1"/>
                <w14:textFill>
                  <w14:solidFill>
                    <w14:schemeClr w14:val="tx1"/>
                  </w14:solidFill>
                </w14:textFill>
              </w:rPr>
            </w:pPr>
            <w:r>
              <w:rPr>
                <w:color w:val="000000" w:themeColor="text1"/>
                <w14:textFill>
                  <w14:solidFill>
                    <w14:schemeClr w14:val="tx1"/>
                  </w14:solidFill>
                </w14:textFill>
              </w:rPr>
              <w:t>频发</w:t>
            </w:r>
          </w:p>
        </w:tc>
      </w:tr>
      <w:tr w14:paraId="6BB49FD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Before w:val="1"/>
          <w:wBefore w:w="7" w:type="dxa"/>
          <w:trHeight w:val="20" w:hRule="atLeast"/>
          <w:jc w:val="center"/>
        </w:trPr>
        <w:tc>
          <w:tcPr>
            <w:tcW w:w="1715" w:type="dxa"/>
            <w:gridSpan w:val="4"/>
            <w:vAlign w:val="center"/>
          </w:tcPr>
          <w:p w14:paraId="107A4FC7">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软管</w:t>
            </w:r>
          </w:p>
        </w:tc>
        <w:tc>
          <w:tcPr>
            <w:tcW w:w="1579" w:type="dxa"/>
            <w:gridSpan w:val="2"/>
            <w:vAlign w:val="center"/>
          </w:tcPr>
          <w:p w14:paraId="100C2811">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软管</w:t>
            </w:r>
          </w:p>
        </w:tc>
        <w:tc>
          <w:tcPr>
            <w:tcW w:w="835" w:type="dxa"/>
            <w:gridSpan w:val="2"/>
            <w:vAlign w:val="center"/>
          </w:tcPr>
          <w:p w14:paraId="02862A83">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084" w:type="dxa"/>
            <w:gridSpan w:val="3"/>
            <w:vAlign w:val="center"/>
          </w:tcPr>
          <w:p w14:paraId="5A639C67">
            <w:pPr>
              <w:pStyle w:val="70"/>
              <w:rPr>
                <w:color w:val="000000" w:themeColor="text1"/>
                <w14:textFill>
                  <w14:solidFill>
                    <w14:schemeClr w14:val="tx1"/>
                  </w14:solidFill>
                </w14:textFill>
              </w:rPr>
            </w:pPr>
            <w:r>
              <w:rPr>
                <w:color w:val="000000" w:themeColor="text1"/>
                <w14:textFill>
                  <w14:solidFill>
                    <w14:schemeClr w14:val="tx1"/>
                  </w14:solidFill>
                </w14:textFill>
              </w:rPr>
              <w:t>频发</w:t>
            </w:r>
          </w:p>
        </w:tc>
        <w:tc>
          <w:tcPr>
            <w:tcW w:w="4834" w:type="dxa"/>
            <w:gridSpan w:val="8"/>
            <w:vAlign w:val="center"/>
          </w:tcPr>
          <w:p w14:paraId="22044A07">
            <w:pPr>
              <w:pStyle w:val="70"/>
              <w:rPr>
                <w:color w:val="000000" w:themeColor="text1"/>
                <w14:textFill>
                  <w14:solidFill>
                    <w14:schemeClr w14:val="tx1"/>
                  </w14:solidFill>
                </w14:textFill>
              </w:rPr>
            </w:pPr>
            <w:r>
              <w:rPr>
                <w:color w:val="000000" w:themeColor="text1"/>
                <w14:textFill>
                  <w14:solidFill>
                    <w14:schemeClr w14:val="tx1"/>
                  </w14:solidFill>
                </w14:textFill>
              </w:rPr>
              <w:t>消声、减震</w:t>
            </w:r>
          </w:p>
        </w:tc>
        <w:tc>
          <w:tcPr>
            <w:tcW w:w="1754" w:type="dxa"/>
            <w:gridSpan w:val="5"/>
            <w:vMerge w:val="continue"/>
            <w:vAlign w:val="center"/>
          </w:tcPr>
          <w:p w14:paraId="3CD631D7">
            <w:pPr>
              <w:pStyle w:val="70"/>
              <w:rPr>
                <w:color w:val="000000" w:themeColor="text1"/>
                <w14:textFill>
                  <w14:solidFill>
                    <w14:schemeClr w14:val="tx1"/>
                  </w14:solidFill>
                </w14:textFill>
              </w:rPr>
            </w:pPr>
          </w:p>
        </w:tc>
        <w:tc>
          <w:tcPr>
            <w:tcW w:w="948" w:type="dxa"/>
            <w:gridSpan w:val="2"/>
            <w:vAlign w:val="center"/>
          </w:tcPr>
          <w:p w14:paraId="1484A04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55</w:t>
            </w:r>
          </w:p>
        </w:tc>
        <w:tc>
          <w:tcPr>
            <w:tcW w:w="1464" w:type="dxa"/>
            <w:gridSpan w:val="3"/>
            <w:vAlign w:val="center"/>
          </w:tcPr>
          <w:p w14:paraId="7914E534">
            <w:pPr>
              <w:pStyle w:val="70"/>
              <w:rPr>
                <w:color w:val="000000" w:themeColor="text1"/>
                <w14:textFill>
                  <w14:solidFill>
                    <w14:schemeClr w14:val="tx1"/>
                  </w14:solidFill>
                </w14:textFill>
              </w:rPr>
            </w:pPr>
            <w:r>
              <w:rPr>
                <w:color w:val="000000" w:themeColor="text1"/>
                <w14:textFill>
                  <w14:solidFill>
                    <w14:schemeClr w14:val="tx1"/>
                  </w14:solidFill>
                </w14:textFill>
              </w:rPr>
              <w:t>频发</w:t>
            </w:r>
          </w:p>
        </w:tc>
      </w:tr>
      <w:tr w14:paraId="5CB49A0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Before w:val="1"/>
          <w:wBefore w:w="7" w:type="dxa"/>
          <w:trHeight w:val="20" w:hRule="atLeast"/>
          <w:jc w:val="center"/>
        </w:trPr>
        <w:tc>
          <w:tcPr>
            <w:tcW w:w="14213" w:type="dxa"/>
            <w:gridSpan w:val="29"/>
            <w:vAlign w:val="center"/>
          </w:tcPr>
          <w:p w14:paraId="1665EDB3">
            <w:pPr>
              <w:pStyle w:val="70"/>
              <w:rPr>
                <w:color w:val="000000" w:themeColor="text1"/>
                <w14:textFill>
                  <w14:solidFill>
                    <w14:schemeClr w14:val="tx1"/>
                  </w14:solidFill>
                </w14:textFill>
              </w:rPr>
            </w:pPr>
            <w:r>
              <w:rPr>
                <w:color w:val="000000" w:themeColor="text1"/>
                <w14:textFill>
                  <w14:solidFill>
                    <w14:schemeClr w14:val="tx1"/>
                  </w14:solidFill>
                </w14:textFill>
              </w:rPr>
              <w:t>（4）固体废物产排污环节、污染物及污染治理设施清单</w:t>
            </w:r>
          </w:p>
        </w:tc>
      </w:tr>
      <w:tr w14:paraId="6697C79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Before w:val="1"/>
          <w:wBefore w:w="7" w:type="dxa"/>
          <w:trHeight w:val="20" w:hRule="atLeast"/>
          <w:jc w:val="center"/>
        </w:trPr>
        <w:tc>
          <w:tcPr>
            <w:tcW w:w="1136" w:type="dxa"/>
            <w:gridSpan w:val="2"/>
            <w:vMerge w:val="restart"/>
            <w:vAlign w:val="center"/>
          </w:tcPr>
          <w:p w14:paraId="0BE1D127">
            <w:pPr>
              <w:pStyle w:val="70"/>
              <w:rPr>
                <w:color w:val="000000" w:themeColor="text1"/>
                <w14:textFill>
                  <w14:solidFill>
                    <w14:schemeClr w14:val="tx1"/>
                  </w14:solidFill>
                </w14:textFill>
              </w:rPr>
            </w:pPr>
            <w:r>
              <w:rPr>
                <w:color w:val="000000" w:themeColor="text1"/>
                <w14:textFill>
                  <w14:solidFill>
                    <w14:schemeClr w14:val="tx1"/>
                  </w14:solidFill>
                </w14:textFill>
              </w:rPr>
              <w:t>装置</w:t>
            </w:r>
          </w:p>
        </w:tc>
        <w:tc>
          <w:tcPr>
            <w:tcW w:w="1931" w:type="dxa"/>
            <w:gridSpan w:val="3"/>
            <w:vMerge w:val="restart"/>
            <w:vAlign w:val="center"/>
          </w:tcPr>
          <w:p w14:paraId="21D2B6A5">
            <w:pPr>
              <w:pStyle w:val="70"/>
              <w:rPr>
                <w:color w:val="000000" w:themeColor="text1"/>
                <w14:textFill>
                  <w14:solidFill>
                    <w14:schemeClr w14:val="tx1"/>
                  </w14:solidFill>
                </w14:textFill>
              </w:rPr>
            </w:pPr>
            <w:r>
              <w:rPr>
                <w:color w:val="000000" w:themeColor="text1"/>
                <w14:textFill>
                  <w14:solidFill>
                    <w14:schemeClr w14:val="tx1"/>
                  </w14:solidFill>
                </w14:textFill>
              </w:rPr>
              <w:t>固体废物名称</w:t>
            </w:r>
          </w:p>
        </w:tc>
        <w:tc>
          <w:tcPr>
            <w:tcW w:w="1612" w:type="dxa"/>
            <w:gridSpan w:val="5"/>
            <w:vMerge w:val="restart"/>
            <w:vAlign w:val="center"/>
          </w:tcPr>
          <w:p w14:paraId="6A5546F5">
            <w:pPr>
              <w:pStyle w:val="70"/>
              <w:rPr>
                <w:color w:val="000000" w:themeColor="text1"/>
                <w14:textFill>
                  <w14:solidFill>
                    <w14:schemeClr w14:val="tx1"/>
                  </w14:solidFill>
                </w14:textFill>
              </w:rPr>
            </w:pPr>
            <w:r>
              <w:rPr>
                <w:color w:val="000000" w:themeColor="text1"/>
                <w14:textFill>
                  <w14:solidFill>
                    <w14:schemeClr w14:val="tx1"/>
                  </w14:solidFill>
                </w14:textFill>
              </w:rPr>
              <w:t>固废属性</w:t>
            </w:r>
          </w:p>
        </w:tc>
        <w:tc>
          <w:tcPr>
            <w:tcW w:w="2693" w:type="dxa"/>
            <w:gridSpan w:val="5"/>
            <w:vAlign w:val="center"/>
          </w:tcPr>
          <w:p w14:paraId="6EB7BE99">
            <w:pPr>
              <w:pStyle w:val="70"/>
              <w:rPr>
                <w:color w:val="000000" w:themeColor="text1"/>
                <w14:textFill>
                  <w14:solidFill>
                    <w14:schemeClr w14:val="tx1"/>
                  </w14:solidFill>
                </w14:textFill>
              </w:rPr>
            </w:pPr>
            <w:r>
              <w:rPr>
                <w:color w:val="000000" w:themeColor="text1"/>
                <w14:textFill>
                  <w14:solidFill>
                    <w14:schemeClr w14:val="tx1"/>
                  </w14:solidFill>
                </w14:textFill>
              </w:rPr>
              <w:t>产生情况</w:t>
            </w:r>
          </w:p>
        </w:tc>
        <w:tc>
          <w:tcPr>
            <w:tcW w:w="3860" w:type="dxa"/>
            <w:gridSpan w:val="6"/>
            <w:vAlign w:val="center"/>
          </w:tcPr>
          <w:p w14:paraId="2ECE2DD5">
            <w:pPr>
              <w:pStyle w:val="70"/>
              <w:rPr>
                <w:color w:val="000000" w:themeColor="text1"/>
                <w14:textFill>
                  <w14:solidFill>
                    <w14:schemeClr w14:val="tx1"/>
                  </w14:solidFill>
                </w14:textFill>
              </w:rPr>
            </w:pPr>
            <w:r>
              <w:rPr>
                <w:color w:val="000000" w:themeColor="text1"/>
                <w14:textFill>
                  <w14:solidFill>
                    <w14:schemeClr w14:val="tx1"/>
                  </w14:solidFill>
                </w14:textFill>
              </w:rPr>
              <w:t>处置措施</w:t>
            </w:r>
          </w:p>
        </w:tc>
        <w:tc>
          <w:tcPr>
            <w:tcW w:w="2981" w:type="dxa"/>
            <w:gridSpan w:val="8"/>
            <w:vMerge w:val="restart"/>
            <w:vAlign w:val="center"/>
          </w:tcPr>
          <w:p w14:paraId="0DB1BEB4">
            <w:pPr>
              <w:pStyle w:val="70"/>
              <w:rPr>
                <w:color w:val="000000" w:themeColor="text1"/>
                <w14:textFill>
                  <w14:solidFill>
                    <w14:schemeClr w14:val="tx1"/>
                  </w14:solidFill>
                </w14:textFill>
              </w:rPr>
            </w:pPr>
            <w:r>
              <w:rPr>
                <w:color w:val="000000" w:themeColor="text1"/>
                <w14:textFill>
                  <w14:solidFill>
                    <w14:schemeClr w14:val="tx1"/>
                  </w14:solidFill>
                </w14:textFill>
              </w:rPr>
              <w:t>最终去向</w:t>
            </w:r>
          </w:p>
        </w:tc>
      </w:tr>
      <w:tr w14:paraId="46D36D6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Before w:val="1"/>
          <w:wBefore w:w="7" w:type="dxa"/>
          <w:trHeight w:val="20" w:hRule="atLeast"/>
          <w:jc w:val="center"/>
        </w:trPr>
        <w:tc>
          <w:tcPr>
            <w:tcW w:w="1136" w:type="dxa"/>
            <w:gridSpan w:val="2"/>
            <w:vMerge w:val="continue"/>
            <w:vAlign w:val="center"/>
          </w:tcPr>
          <w:p w14:paraId="3FF4B27F">
            <w:pPr>
              <w:pStyle w:val="70"/>
              <w:rPr>
                <w:color w:val="000000" w:themeColor="text1"/>
                <w14:textFill>
                  <w14:solidFill>
                    <w14:schemeClr w14:val="tx1"/>
                  </w14:solidFill>
                </w14:textFill>
              </w:rPr>
            </w:pPr>
          </w:p>
        </w:tc>
        <w:tc>
          <w:tcPr>
            <w:tcW w:w="1931" w:type="dxa"/>
            <w:gridSpan w:val="3"/>
            <w:vMerge w:val="continue"/>
            <w:vAlign w:val="center"/>
          </w:tcPr>
          <w:p w14:paraId="05AAA1A3">
            <w:pPr>
              <w:pStyle w:val="70"/>
              <w:rPr>
                <w:color w:val="000000" w:themeColor="text1"/>
                <w14:textFill>
                  <w14:solidFill>
                    <w14:schemeClr w14:val="tx1"/>
                  </w14:solidFill>
                </w14:textFill>
              </w:rPr>
            </w:pPr>
          </w:p>
        </w:tc>
        <w:tc>
          <w:tcPr>
            <w:tcW w:w="1612" w:type="dxa"/>
            <w:gridSpan w:val="5"/>
            <w:vMerge w:val="continue"/>
            <w:vAlign w:val="center"/>
          </w:tcPr>
          <w:p w14:paraId="477827CB">
            <w:pPr>
              <w:pStyle w:val="70"/>
              <w:rPr>
                <w:color w:val="000000" w:themeColor="text1"/>
                <w14:textFill>
                  <w14:solidFill>
                    <w14:schemeClr w14:val="tx1"/>
                  </w14:solidFill>
                </w14:textFill>
              </w:rPr>
            </w:pPr>
          </w:p>
        </w:tc>
        <w:tc>
          <w:tcPr>
            <w:tcW w:w="691" w:type="dxa"/>
            <w:gridSpan w:val="2"/>
            <w:vAlign w:val="center"/>
          </w:tcPr>
          <w:p w14:paraId="2A364307">
            <w:pPr>
              <w:pStyle w:val="70"/>
              <w:rPr>
                <w:color w:val="000000" w:themeColor="text1"/>
                <w14:textFill>
                  <w14:solidFill>
                    <w14:schemeClr w14:val="tx1"/>
                  </w14:solidFill>
                </w14:textFill>
              </w:rPr>
            </w:pPr>
            <w:r>
              <w:rPr>
                <w:color w:val="000000" w:themeColor="text1"/>
                <w14:textFill>
                  <w14:solidFill>
                    <w14:schemeClr w14:val="tx1"/>
                  </w14:solidFill>
                </w14:textFill>
              </w:rPr>
              <w:t>核算方法</w:t>
            </w:r>
          </w:p>
        </w:tc>
        <w:tc>
          <w:tcPr>
            <w:tcW w:w="2002" w:type="dxa"/>
            <w:gridSpan w:val="3"/>
            <w:vAlign w:val="center"/>
          </w:tcPr>
          <w:p w14:paraId="1B0F85FC">
            <w:pPr>
              <w:pStyle w:val="70"/>
              <w:rPr>
                <w:color w:val="000000" w:themeColor="text1"/>
                <w14:textFill>
                  <w14:solidFill>
                    <w14:schemeClr w14:val="tx1"/>
                  </w14:solidFill>
                </w14:textFill>
              </w:rPr>
            </w:pPr>
            <w:r>
              <w:rPr>
                <w:color w:val="000000" w:themeColor="text1"/>
                <w14:textFill>
                  <w14:solidFill>
                    <w14:schemeClr w14:val="tx1"/>
                  </w14:solidFill>
                </w14:textFill>
              </w:rPr>
              <w:t>产生量（t/a）</w:t>
            </w:r>
          </w:p>
        </w:tc>
        <w:tc>
          <w:tcPr>
            <w:tcW w:w="2675" w:type="dxa"/>
            <w:gridSpan w:val="4"/>
            <w:vAlign w:val="center"/>
          </w:tcPr>
          <w:p w14:paraId="5020D271">
            <w:pPr>
              <w:pStyle w:val="70"/>
              <w:rPr>
                <w:color w:val="000000" w:themeColor="text1"/>
                <w14:textFill>
                  <w14:solidFill>
                    <w14:schemeClr w14:val="tx1"/>
                  </w14:solidFill>
                </w14:textFill>
              </w:rPr>
            </w:pPr>
            <w:r>
              <w:rPr>
                <w:color w:val="000000" w:themeColor="text1"/>
                <w14:textFill>
                  <w14:solidFill>
                    <w14:schemeClr w14:val="tx1"/>
                  </w14:solidFill>
                </w14:textFill>
              </w:rPr>
              <w:t>工艺</w:t>
            </w:r>
          </w:p>
        </w:tc>
        <w:tc>
          <w:tcPr>
            <w:tcW w:w="1185" w:type="dxa"/>
            <w:gridSpan w:val="2"/>
            <w:vAlign w:val="center"/>
          </w:tcPr>
          <w:p w14:paraId="147518B1">
            <w:pPr>
              <w:pStyle w:val="70"/>
              <w:rPr>
                <w:color w:val="000000" w:themeColor="text1"/>
                <w14:textFill>
                  <w14:solidFill>
                    <w14:schemeClr w14:val="tx1"/>
                  </w14:solidFill>
                </w14:textFill>
              </w:rPr>
            </w:pPr>
            <w:r>
              <w:rPr>
                <w:color w:val="000000" w:themeColor="text1"/>
                <w14:textFill>
                  <w14:solidFill>
                    <w14:schemeClr w14:val="tx1"/>
                  </w14:solidFill>
                </w14:textFill>
              </w:rPr>
              <w:t>处置量（t/a）</w:t>
            </w:r>
          </w:p>
        </w:tc>
        <w:tc>
          <w:tcPr>
            <w:tcW w:w="2981" w:type="dxa"/>
            <w:gridSpan w:val="8"/>
            <w:vMerge w:val="continue"/>
            <w:vAlign w:val="center"/>
          </w:tcPr>
          <w:p w14:paraId="09AEFDB7">
            <w:pPr>
              <w:pStyle w:val="70"/>
              <w:rPr>
                <w:color w:val="000000" w:themeColor="text1"/>
                <w14:textFill>
                  <w14:solidFill>
                    <w14:schemeClr w14:val="tx1"/>
                  </w14:solidFill>
                </w14:textFill>
              </w:rPr>
            </w:pPr>
          </w:p>
        </w:tc>
      </w:tr>
      <w:tr w14:paraId="2FA1045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Before w:val="1"/>
          <w:wBefore w:w="7" w:type="dxa"/>
          <w:trHeight w:val="20" w:hRule="atLeast"/>
          <w:jc w:val="center"/>
        </w:trPr>
        <w:tc>
          <w:tcPr>
            <w:tcW w:w="1136" w:type="dxa"/>
            <w:gridSpan w:val="2"/>
            <w:vMerge w:val="restart"/>
            <w:vAlign w:val="center"/>
          </w:tcPr>
          <w:p w14:paraId="412B7339">
            <w:pPr>
              <w:pStyle w:val="70"/>
              <w:rPr>
                <w:color w:val="000000" w:themeColor="text1"/>
                <w14:textFill>
                  <w14:solidFill>
                    <w14:schemeClr w14:val="tx1"/>
                  </w14:solidFill>
                </w14:textFill>
              </w:rPr>
            </w:pPr>
            <w:r>
              <w:rPr>
                <w:color w:val="000000" w:themeColor="text1"/>
                <w14:textFill>
                  <w14:solidFill>
                    <w14:schemeClr w14:val="tx1"/>
                  </w14:solidFill>
                </w14:textFill>
              </w:rPr>
              <w:t>生活垃圾</w:t>
            </w:r>
          </w:p>
        </w:tc>
        <w:tc>
          <w:tcPr>
            <w:tcW w:w="1931" w:type="dxa"/>
            <w:gridSpan w:val="3"/>
            <w:vAlign w:val="center"/>
          </w:tcPr>
          <w:p w14:paraId="2BBF9272">
            <w:pPr>
              <w:pStyle w:val="70"/>
              <w:rPr>
                <w:color w:val="000000" w:themeColor="text1"/>
                <w14:textFill>
                  <w14:solidFill>
                    <w14:schemeClr w14:val="tx1"/>
                  </w14:solidFill>
                </w14:textFill>
              </w:rPr>
            </w:pPr>
            <w:r>
              <w:rPr>
                <w:rFonts w:eastAsiaTheme="minorEastAsia"/>
                <w:color w:val="000000" w:themeColor="text1"/>
                <w:lang w:eastAsia="en-US"/>
                <w14:textFill>
                  <w14:solidFill>
                    <w14:schemeClr w14:val="tx1"/>
                  </w14:solidFill>
                </w14:textFill>
              </w:rPr>
              <w:t>陆域生活垃圾</w:t>
            </w:r>
          </w:p>
        </w:tc>
        <w:tc>
          <w:tcPr>
            <w:tcW w:w="1612" w:type="dxa"/>
            <w:gridSpan w:val="5"/>
            <w:vAlign w:val="center"/>
          </w:tcPr>
          <w:p w14:paraId="7589FDDD">
            <w:pPr>
              <w:pStyle w:val="70"/>
              <w:rPr>
                <w:color w:val="000000" w:themeColor="text1"/>
                <w14:textFill>
                  <w14:solidFill>
                    <w14:schemeClr w14:val="tx1"/>
                  </w14:solidFill>
                </w14:textFill>
              </w:rPr>
            </w:pPr>
            <w:r>
              <w:rPr>
                <w:color w:val="000000" w:themeColor="text1"/>
                <w14:textFill>
                  <w14:solidFill>
                    <w14:schemeClr w14:val="tx1"/>
                  </w14:solidFill>
                </w14:textFill>
              </w:rPr>
              <w:t>一般固体废物</w:t>
            </w:r>
          </w:p>
        </w:tc>
        <w:tc>
          <w:tcPr>
            <w:tcW w:w="691" w:type="dxa"/>
            <w:gridSpan w:val="2"/>
            <w:vMerge w:val="restart"/>
            <w:vAlign w:val="center"/>
          </w:tcPr>
          <w:p w14:paraId="0E59E001">
            <w:pPr>
              <w:pStyle w:val="70"/>
              <w:rPr>
                <w:color w:val="000000" w:themeColor="text1"/>
                <w14:textFill>
                  <w14:solidFill>
                    <w14:schemeClr w14:val="tx1"/>
                  </w14:solidFill>
                </w14:textFill>
              </w:rPr>
            </w:pPr>
            <w:r>
              <w:rPr>
                <w:color w:val="000000" w:themeColor="text1"/>
                <w14:textFill>
                  <w14:solidFill>
                    <w14:schemeClr w14:val="tx1"/>
                  </w14:solidFill>
                </w14:textFill>
              </w:rPr>
              <w:t>类比法</w:t>
            </w:r>
          </w:p>
        </w:tc>
        <w:tc>
          <w:tcPr>
            <w:tcW w:w="2002" w:type="dxa"/>
            <w:gridSpan w:val="3"/>
            <w:vAlign w:val="center"/>
          </w:tcPr>
          <w:p w14:paraId="5E93D4F2">
            <w:pPr>
              <w:pStyle w:val="70"/>
              <w:rPr>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0</w:t>
            </w:r>
          </w:p>
        </w:tc>
        <w:tc>
          <w:tcPr>
            <w:tcW w:w="2675" w:type="dxa"/>
            <w:gridSpan w:val="4"/>
            <w:vAlign w:val="center"/>
          </w:tcPr>
          <w:p w14:paraId="7FF29CC0">
            <w:pPr>
              <w:pStyle w:val="70"/>
              <w:rPr>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w:t>
            </w:r>
          </w:p>
        </w:tc>
        <w:tc>
          <w:tcPr>
            <w:tcW w:w="1185" w:type="dxa"/>
            <w:gridSpan w:val="2"/>
            <w:vAlign w:val="center"/>
          </w:tcPr>
          <w:p w14:paraId="7D8B21EA">
            <w:pPr>
              <w:pStyle w:val="70"/>
              <w:rPr>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0</w:t>
            </w:r>
          </w:p>
        </w:tc>
        <w:tc>
          <w:tcPr>
            <w:tcW w:w="2981" w:type="dxa"/>
            <w:gridSpan w:val="8"/>
            <w:vAlign w:val="center"/>
          </w:tcPr>
          <w:p w14:paraId="38B9E27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AE5DBD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Before w:val="1"/>
          <w:wBefore w:w="7" w:type="dxa"/>
          <w:trHeight w:val="255" w:hRule="atLeast"/>
          <w:jc w:val="center"/>
        </w:trPr>
        <w:tc>
          <w:tcPr>
            <w:tcW w:w="1136" w:type="dxa"/>
            <w:gridSpan w:val="2"/>
            <w:vMerge w:val="continue"/>
            <w:vAlign w:val="center"/>
          </w:tcPr>
          <w:p w14:paraId="65DDDC0F">
            <w:pPr>
              <w:pStyle w:val="70"/>
              <w:rPr>
                <w:color w:val="000000" w:themeColor="text1"/>
                <w14:textFill>
                  <w14:solidFill>
                    <w14:schemeClr w14:val="tx1"/>
                  </w14:solidFill>
                </w14:textFill>
              </w:rPr>
            </w:pPr>
          </w:p>
        </w:tc>
        <w:tc>
          <w:tcPr>
            <w:tcW w:w="1931" w:type="dxa"/>
            <w:gridSpan w:val="3"/>
            <w:vAlign w:val="center"/>
          </w:tcPr>
          <w:p w14:paraId="0F780866">
            <w:pPr>
              <w:pStyle w:val="70"/>
              <w:rPr>
                <w:color w:val="0000FF"/>
              </w:rPr>
            </w:pPr>
            <w:r>
              <w:rPr>
                <w:rFonts w:eastAsiaTheme="minorEastAsia"/>
                <w:color w:val="0000FF"/>
                <w:lang w:eastAsia="en-US"/>
              </w:rPr>
              <w:t>船舶生活垃圾</w:t>
            </w:r>
          </w:p>
        </w:tc>
        <w:tc>
          <w:tcPr>
            <w:tcW w:w="1612" w:type="dxa"/>
            <w:gridSpan w:val="5"/>
            <w:vAlign w:val="center"/>
          </w:tcPr>
          <w:p w14:paraId="09473464">
            <w:pPr>
              <w:pStyle w:val="70"/>
              <w:rPr>
                <w:color w:val="0000FF"/>
              </w:rPr>
            </w:pPr>
            <w:r>
              <w:rPr>
                <w:color w:val="0000FF"/>
              </w:rPr>
              <w:t>一般固体废物</w:t>
            </w:r>
          </w:p>
        </w:tc>
        <w:tc>
          <w:tcPr>
            <w:tcW w:w="691" w:type="dxa"/>
            <w:gridSpan w:val="2"/>
            <w:vMerge w:val="continue"/>
            <w:vAlign w:val="center"/>
          </w:tcPr>
          <w:p w14:paraId="05B66423">
            <w:pPr>
              <w:pStyle w:val="70"/>
              <w:rPr>
                <w:color w:val="0000FF"/>
              </w:rPr>
            </w:pPr>
          </w:p>
        </w:tc>
        <w:tc>
          <w:tcPr>
            <w:tcW w:w="2002" w:type="dxa"/>
            <w:gridSpan w:val="3"/>
            <w:vAlign w:val="center"/>
          </w:tcPr>
          <w:p w14:paraId="7FF0B937">
            <w:pPr>
              <w:pStyle w:val="70"/>
              <w:rPr>
                <w:color w:val="0000FF"/>
              </w:rPr>
            </w:pPr>
            <w:r>
              <w:rPr>
                <w:rFonts w:eastAsiaTheme="minorEastAsia"/>
                <w:color w:val="0000FF"/>
                <w:lang w:eastAsia="en-US"/>
              </w:rPr>
              <w:t>29.7</w:t>
            </w:r>
          </w:p>
        </w:tc>
        <w:tc>
          <w:tcPr>
            <w:tcW w:w="2675" w:type="dxa"/>
            <w:gridSpan w:val="4"/>
            <w:vAlign w:val="center"/>
          </w:tcPr>
          <w:p w14:paraId="71A02667">
            <w:pPr>
              <w:pStyle w:val="70"/>
              <w:rPr>
                <w:color w:val="0000FF"/>
              </w:rPr>
            </w:pPr>
            <w:r>
              <w:rPr>
                <w:rFonts w:eastAsiaTheme="minorEastAsia"/>
                <w:color w:val="0000FF"/>
              </w:rPr>
              <w:t>垃圾桶、塑料袋收集</w:t>
            </w:r>
          </w:p>
        </w:tc>
        <w:tc>
          <w:tcPr>
            <w:tcW w:w="1185" w:type="dxa"/>
            <w:gridSpan w:val="2"/>
            <w:vAlign w:val="center"/>
          </w:tcPr>
          <w:p w14:paraId="4A73552E">
            <w:pPr>
              <w:pStyle w:val="70"/>
              <w:rPr>
                <w:color w:val="0000FF"/>
              </w:rPr>
            </w:pPr>
            <w:r>
              <w:rPr>
                <w:rFonts w:eastAsiaTheme="minorEastAsia"/>
                <w:color w:val="0000FF"/>
                <w:lang w:eastAsia="en-US"/>
              </w:rPr>
              <w:t>29.7</w:t>
            </w:r>
          </w:p>
        </w:tc>
        <w:tc>
          <w:tcPr>
            <w:tcW w:w="2981" w:type="dxa"/>
            <w:gridSpan w:val="8"/>
            <w:vAlign w:val="center"/>
          </w:tcPr>
          <w:p w14:paraId="3F789AB0">
            <w:pPr>
              <w:pStyle w:val="70"/>
              <w:rPr>
                <w:rFonts w:hint="default" w:eastAsia="宋体"/>
                <w:color w:val="0000FF"/>
                <w:lang w:val="en-US" w:eastAsia="zh-CN"/>
              </w:rPr>
            </w:pPr>
            <w:r>
              <w:rPr>
                <w:rFonts w:hint="eastAsia" w:eastAsiaTheme="minorEastAsia"/>
                <w:color w:val="0000FF"/>
                <w:lang w:val="en-US" w:eastAsia="zh-CN"/>
              </w:rPr>
              <w:t>有资质单位接收处理</w:t>
            </w:r>
          </w:p>
        </w:tc>
      </w:tr>
      <w:tr w14:paraId="7F8A180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Before w:val="1"/>
          <w:wBefore w:w="7" w:type="dxa"/>
          <w:trHeight w:val="20" w:hRule="atLeast"/>
          <w:jc w:val="center"/>
        </w:trPr>
        <w:tc>
          <w:tcPr>
            <w:tcW w:w="1136" w:type="dxa"/>
            <w:gridSpan w:val="2"/>
            <w:vMerge w:val="continue"/>
            <w:vAlign w:val="center"/>
          </w:tcPr>
          <w:p w14:paraId="2DED8AF2">
            <w:pPr>
              <w:pStyle w:val="70"/>
              <w:rPr>
                <w:color w:val="000000" w:themeColor="text1"/>
                <w14:textFill>
                  <w14:solidFill>
                    <w14:schemeClr w14:val="tx1"/>
                  </w14:solidFill>
                </w14:textFill>
              </w:rPr>
            </w:pPr>
          </w:p>
        </w:tc>
        <w:tc>
          <w:tcPr>
            <w:tcW w:w="1931" w:type="dxa"/>
            <w:gridSpan w:val="3"/>
            <w:vAlign w:val="center"/>
          </w:tcPr>
          <w:p w14:paraId="29F7A43E">
            <w:pPr>
              <w:pStyle w:val="70"/>
              <w:rPr>
                <w:color w:val="0000FF"/>
              </w:rPr>
            </w:pPr>
            <w:r>
              <w:rPr>
                <w:rFonts w:hint="eastAsia" w:asciiTheme="minorHAnsi" w:hAnsiTheme="minorHAnsi" w:eastAsiaTheme="minorEastAsia" w:cstheme="minorBidi"/>
                <w:color w:val="0000FF"/>
                <w:lang w:eastAsia="en-US"/>
              </w:rPr>
              <w:t>含油废布及</w:t>
            </w:r>
            <w:r>
              <w:rPr>
                <w:rFonts w:asciiTheme="minorHAnsi" w:hAnsiTheme="minorHAnsi" w:eastAsiaTheme="minorEastAsia" w:cstheme="minorBidi"/>
                <w:color w:val="0000FF"/>
                <w:lang w:eastAsia="en-US"/>
              </w:rPr>
              <w:t>棉纱</w:t>
            </w:r>
          </w:p>
        </w:tc>
        <w:tc>
          <w:tcPr>
            <w:tcW w:w="1612" w:type="dxa"/>
            <w:gridSpan w:val="5"/>
            <w:vAlign w:val="center"/>
          </w:tcPr>
          <w:p w14:paraId="744EC444">
            <w:pPr>
              <w:pStyle w:val="70"/>
              <w:rPr>
                <w:color w:val="0000FF"/>
              </w:rPr>
            </w:pPr>
            <w:r>
              <w:rPr>
                <w:rFonts w:eastAsiaTheme="minorEastAsia"/>
                <w:color w:val="0000FF"/>
                <w:lang w:eastAsia="en-US"/>
              </w:rPr>
              <w:t>HW49</w:t>
            </w:r>
          </w:p>
        </w:tc>
        <w:tc>
          <w:tcPr>
            <w:tcW w:w="691" w:type="dxa"/>
            <w:gridSpan w:val="2"/>
            <w:vMerge w:val="continue"/>
            <w:vAlign w:val="center"/>
          </w:tcPr>
          <w:p w14:paraId="28379ED4">
            <w:pPr>
              <w:pStyle w:val="70"/>
              <w:rPr>
                <w:color w:val="0000FF"/>
              </w:rPr>
            </w:pPr>
          </w:p>
        </w:tc>
        <w:tc>
          <w:tcPr>
            <w:tcW w:w="2002" w:type="dxa"/>
            <w:gridSpan w:val="3"/>
            <w:vAlign w:val="center"/>
          </w:tcPr>
          <w:p w14:paraId="5DD2B5FD">
            <w:pPr>
              <w:pStyle w:val="70"/>
              <w:rPr>
                <w:color w:val="0000FF"/>
              </w:rPr>
            </w:pPr>
            <w:r>
              <w:rPr>
                <w:rFonts w:hint="eastAsia" w:eastAsiaTheme="minorEastAsia"/>
                <w:color w:val="0000FF"/>
                <w:w w:val="99"/>
              </w:rPr>
              <w:t>0.05</w:t>
            </w:r>
          </w:p>
        </w:tc>
        <w:tc>
          <w:tcPr>
            <w:tcW w:w="2675" w:type="dxa"/>
            <w:gridSpan w:val="4"/>
            <w:vAlign w:val="center"/>
          </w:tcPr>
          <w:p w14:paraId="71AC355F">
            <w:pPr>
              <w:pStyle w:val="70"/>
              <w:rPr>
                <w:color w:val="0000FF"/>
              </w:rPr>
            </w:pPr>
            <w:r>
              <w:rPr>
                <w:rFonts w:hint="eastAsia"/>
                <w:color w:val="0000FF"/>
              </w:rPr>
              <w:t>危废暂存间暂存</w:t>
            </w:r>
          </w:p>
        </w:tc>
        <w:tc>
          <w:tcPr>
            <w:tcW w:w="1185" w:type="dxa"/>
            <w:gridSpan w:val="2"/>
            <w:vAlign w:val="center"/>
          </w:tcPr>
          <w:p w14:paraId="15C3B8F7">
            <w:pPr>
              <w:pStyle w:val="70"/>
              <w:rPr>
                <w:color w:val="0000FF"/>
              </w:rPr>
            </w:pPr>
            <w:r>
              <w:rPr>
                <w:rFonts w:hint="eastAsia" w:eastAsiaTheme="minorEastAsia"/>
                <w:color w:val="0000FF"/>
                <w:w w:val="99"/>
              </w:rPr>
              <w:t>0.05</w:t>
            </w:r>
          </w:p>
        </w:tc>
        <w:tc>
          <w:tcPr>
            <w:tcW w:w="2981" w:type="dxa"/>
            <w:gridSpan w:val="8"/>
            <w:vAlign w:val="center"/>
          </w:tcPr>
          <w:p w14:paraId="215AADAD">
            <w:pPr>
              <w:pStyle w:val="70"/>
              <w:rPr>
                <w:color w:val="0000FF"/>
              </w:rPr>
            </w:pPr>
            <w:r>
              <w:rPr>
                <w:rFonts w:hint="eastAsia"/>
                <w:color w:val="0000FF"/>
              </w:rPr>
              <w:t>委托有资质单位处置</w:t>
            </w:r>
          </w:p>
        </w:tc>
      </w:tr>
    </w:tbl>
    <w:p w14:paraId="0AFDD410">
      <w:pPr>
        <w:ind w:firstLine="480"/>
        <w:rPr>
          <w:color w:val="000000" w:themeColor="text1"/>
          <w14:textFill>
            <w14:solidFill>
              <w14:schemeClr w14:val="tx1"/>
            </w14:solidFill>
          </w14:textFill>
        </w:rPr>
      </w:pPr>
    </w:p>
    <w:p w14:paraId="10C20C76">
      <w:pPr>
        <w:ind w:firstLine="480"/>
        <w:rPr>
          <w:color w:val="000000" w:themeColor="text1"/>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720" w:num="1"/>
          <w:docGrid w:type="lines" w:linePitch="326" w:charSpace="0"/>
        </w:sectPr>
      </w:pPr>
    </w:p>
    <w:p w14:paraId="6CF0F2CE">
      <w:pPr>
        <w:pStyle w:val="4"/>
        <w:rPr>
          <w:color w:val="000000" w:themeColor="text1"/>
          <w14:textFill>
            <w14:solidFill>
              <w14:schemeClr w14:val="tx1"/>
            </w14:solidFill>
          </w14:textFill>
        </w:rPr>
      </w:pPr>
      <w:bookmarkStart w:id="846" w:name="_Toc135090317"/>
      <w:bookmarkStart w:id="847" w:name="_Toc136878581"/>
      <w:bookmarkStart w:id="848" w:name="_Toc29131922"/>
      <w:bookmarkStart w:id="849" w:name="_Toc216103491"/>
      <w:bookmarkStart w:id="850" w:name="_Toc26910109"/>
      <w:bookmarkStart w:id="851" w:name="_Toc216620650"/>
      <w:bookmarkStart w:id="852" w:name="_Toc25437062"/>
      <w:r>
        <w:rPr>
          <w:color w:val="000000" w:themeColor="text1"/>
          <w14:textFill>
            <w14:solidFill>
              <w14:schemeClr w14:val="tx1"/>
            </w14:solidFill>
          </w14:textFill>
        </w:rPr>
        <w:t>污染物总量控制指标</w:t>
      </w:r>
      <w:bookmarkEnd w:id="846"/>
      <w:bookmarkEnd w:id="847"/>
      <w:bookmarkEnd w:id="848"/>
      <w:bookmarkEnd w:id="849"/>
      <w:bookmarkEnd w:id="850"/>
      <w:bookmarkEnd w:id="851"/>
    </w:p>
    <w:p w14:paraId="7244AA2A">
      <w:pPr>
        <w:ind w:firstLine="480"/>
        <w:rPr>
          <w:color w:val="000000" w:themeColor="text1"/>
          <w14:textFill>
            <w14:solidFill>
              <w14:schemeClr w14:val="tx1"/>
            </w14:solidFill>
          </w14:textFill>
        </w:rPr>
      </w:pPr>
      <w:r>
        <w:rPr>
          <w:color w:val="000000" w:themeColor="text1"/>
          <w14:textFill>
            <w14:solidFill>
              <w14:schemeClr w14:val="tx1"/>
            </w14:solidFill>
          </w14:textFill>
        </w:rPr>
        <w:t>根据中华人民共和国生态环境部办公厅《关于印发《主要污染物总量减排核算技术指南(2022 年修订)》的通知》（环办综合函〔2022〕 350号），实施总量控制的主要污染物是指的化学需氧量(COD) 、氨氮(NH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-N)、氮氧化物 (NO</w:t>
      </w:r>
      <w:r>
        <w:rPr>
          <w:color w:val="000000" w:themeColor="text1"/>
          <w:vertAlign w:val="subscript"/>
          <w14:textFill>
            <w14:solidFill>
              <w14:schemeClr w14:val="tx1"/>
            </w14:solidFill>
          </w14:textFill>
        </w:rPr>
        <w:t>x</w:t>
      </w:r>
      <w:r>
        <w:rPr>
          <w:color w:val="000000" w:themeColor="text1"/>
          <w14:textFill>
            <w14:solidFill>
              <w14:schemeClr w14:val="tx1"/>
            </w14:solidFill>
          </w14:textFill>
        </w:rPr>
        <w:t>)、挥发性有机物(VOCs)等4项污染物。</w:t>
      </w:r>
    </w:p>
    <w:p w14:paraId="60006E65">
      <w:pPr>
        <w:ind w:firstLine="480"/>
        <w:rPr>
          <w:color w:val="000000" w:themeColor="text1"/>
          <w14:textFill>
            <w14:solidFill>
              <w14:schemeClr w14:val="tx1"/>
            </w14:solidFill>
          </w14:textFill>
        </w:rPr>
      </w:pPr>
      <w:r>
        <w:rPr>
          <w:color w:val="0000FF"/>
        </w:rPr>
        <w:t>本项目</w:t>
      </w:r>
      <w:r>
        <w:rPr>
          <w:rFonts w:hint="eastAsia"/>
          <w:color w:val="0000FF"/>
          <w:lang w:val="en-US" w:eastAsia="zh-CN"/>
        </w:rPr>
        <w:t>不新增劳动定员、不新增生活污水</w:t>
      </w:r>
      <w:r>
        <w:rPr>
          <w:color w:val="0000FF"/>
        </w:rPr>
        <w:t>，项目不提出废水总量控制指标；</w:t>
      </w:r>
      <w:r>
        <w:rPr>
          <w:rFonts w:hint="eastAsia"/>
          <w:color w:val="0000FF"/>
          <w:lang w:val="en-US" w:eastAsia="zh-CN"/>
        </w:rPr>
        <w:t>氮氧化物</w:t>
      </w:r>
      <w:r>
        <w:rPr>
          <w:rFonts w:hint="eastAsia"/>
          <w:color w:val="0000FF"/>
        </w:rPr>
        <w:t>为到港船舶排放尾气，排放量极少，不提出氮氧化物总量控制指标</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因此本项目仅对</w:t>
      </w:r>
      <w:r>
        <w:rPr>
          <w:rFonts w:hint="eastAsia"/>
          <w:color w:val="0000FF"/>
          <w:lang w:val="en-US" w:eastAsia="zh-CN"/>
        </w:rPr>
        <w:t>新增</w:t>
      </w:r>
      <w:r>
        <w:rPr>
          <w:color w:val="000000" w:themeColor="text1"/>
          <w14:textFill>
            <w14:solidFill>
              <w14:schemeClr w14:val="tx1"/>
            </w14:solidFill>
          </w14:textFill>
        </w:rPr>
        <w:t>主要污染物VOCs提出总量控制指标，即</w:t>
      </w:r>
      <w:r>
        <w:rPr>
          <w:rFonts w:hint="eastAsia"/>
          <w:color w:val="0000FF"/>
          <w:lang w:val="en-US" w:eastAsia="zh-CN"/>
        </w:rPr>
        <w:t>新增</w:t>
      </w:r>
      <w:r>
        <w:rPr>
          <w:color w:val="000000" w:themeColor="text1"/>
          <w14:textFill>
            <w14:solidFill>
              <w14:schemeClr w14:val="tx1"/>
            </w14:solidFill>
          </w14:textFill>
        </w:rPr>
        <w:t>VOCs总量控制指标为</w:t>
      </w:r>
      <w:r>
        <w:rPr>
          <w:rFonts w:hint="eastAsia"/>
          <w:color w:val="000000" w:themeColor="text1"/>
          <w14:textFill>
            <w14:solidFill>
              <w14:schemeClr w14:val="tx1"/>
            </w14:solidFill>
          </w14:textFill>
        </w:rPr>
        <w:t>0.0141</w:t>
      </w:r>
      <w:r>
        <w:rPr>
          <w:color w:val="000000" w:themeColor="text1"/>
          <w14:textFill>
            <w14:solidFill>
              <w14:schemeClr w14:val="tx1"/>
            </w14:solidFill>
          </w14:textFill>
        </w:rPr>
        <w:t>t/a。</w:t>
      </w:r>
    </w:p>
    <w:p w14:paraId="4E253763">
      <w:pPr>
        <w:pStyle w:val="4"/>
        <w:keepNext w:val="0"/>
        <w:keepLines w:val="0"/>
        <w:rPr>
          <w:color w:val="000000" w:themeColor="text1"/>
          <w14:textFill>
            <w14:solidFill>
              <w14:schemeClr w14:val="tx1"/>
            </w14:solidFill>
          </w14:textFill>
        </w:rPr>
      </w:pPr>
      <w:bookmarkStart w:id="853" w:name="_Toc136878582"/>
      <w:bookmarkStart w:id="854" w:name="_Toc216103492"/>
      <w:bookmarkStart w:id="855" w:name="_Toc216620651"/>
      <w:bookmarkStart w:id="856" w:name="_Toc135090318"/>
      <w:r>
        <w:rPr>
          <w:color w:val="000000" w:themeColor="text1"/>
          <w14:textFill>
            <w14:solidFill>
              <w14:schemeClr w14:val="tx1"/>
            </w14:solidFill>
          </w14:textFill>
        </w:rPr>
        <w:t>排污许可相关要求</w:t>
      </w:r>
      <w:bookmarkEnd w:id="853"/>
      <w:bookmarkEnd w:id="854"/>
      <w:bookmarkEnd w:id="855"/>
      <w:bookmarkEnd w:id="856"/>
    </w:p>
    <w:p w14:paraId="48F13984">
      <w:pPr>
        <w:pStyle w:val="74"/>
        <w:rPr>
          <w:color w:val="000000" w:themeColor="text1"/>
          <w14:textFill>
            <w14:solidFill>
              <w14:schemeClr w14:val="tx1"/>
            </w14:solidFill>
          </w14:textFill>
        </w:rPr>
      </w:pPr>
      <w:r>
        <w:rPr>
          <w:color w:val="000000" w:themeColor="text1"/>
          <w14:textFill>
            <w14:solidFill>
              <w14:schemeClr w14:val="tx1"/>
            </w14:solidFill>
          </w14:textFill>
        </w:rPr>
        <w:t>根据《国务院办公厅关于印发控制污染物排放许可制实施方案的通知》（国办发[2016]81 号）、《固定污染源排污许可分类管理名录（2019 年版）》等相关文件要求，企业事业单位和其他生产经营者应该按照名录的规定，在实施时限内申请排污许可证。</w:t>
      </w:r>
    </w:p>
    <w:p w14:paraId="735FFFFA">
      <w:pPr>
        <w:pStyle w:val="74"/>
        <w:rPr>
          <w:color w:val="000000" w:themeColor="text1"/>
          <w14:textFill>
            <w14:solidFill>
              <w14:schemeClr w14:val="tx1"/>
            </w14:solidFill>
          </w14:textFill>
        </w:rPr>
      </w:pPr>
      <w:r>
        <w:rPr>
          <w:color w:val="000000" w:themeColor="text1"/>
          <w14:textFill>
            <w14:solidFill>
              <w14:schemeClr w14:val="tx1"/>
            </w14:solidFill>
          </w14:textFill>
        </w:rPr>
        <w:t>根据《固定污染源排污许可分类管理名录（2019 年版）》，本项目属于“四十四、装卸搬运和仓储业·102 危险品仓储-总容量 10 万立方米及以上的油库（含油品码头后方配套油库， 不含储备油库）”，本项目应根据环保要求申请办理排污许可证。</w:t>
      </w:r>
    </w:p>
    <w:bookmarkEnd w:id="852"/>
    <w:p w14:paraId="10549860">
      <w:pPr>
        <w:pStyle w:val="4"/>
        <w:rPr>
          <w:color w:val="000000" w:themeColor="text1"/>
          <w14:textFill>
            <w14:solidFill>
              <w14:schemeClr w14:val="tx1"/>
            </w14:solidFill>
          </w14:textFill>
        </w:rPr>
      </w:pPr>
      <w:bookmarkStart w:id="857" w:name="_Toc136878583"/>
      <w:bookmarkStart w:id="858" w:name="_Toc25437063"/>
      <w:bookmarkStart w:id="859" w:name="_Toc216103493"/>
      <w:bookmarkStart w:id="860" w:name="_Toc216620652"/>
      <w:bookmarkStart w:id="861" w:name="_Toc135090319"/>
      <w:bookmarkStart w:id="862" w:name="_Toc29131924"/>
      <w:bookmarkStart w:id="863" w:name="_Toc26910111"/>
      <w:r>
        <w:rPr>
          <w:color w:val="000000" w:themeColor="text1"/>
          <w14:textFill>
            <w14:solidFill>
              <w14:schemeClr w14:val="tx1"/>
            </w14:solidFill>
          </w14:textFill>
        </w:rPr>
        <w:t>应向社会公开的信息</w:t>
      </w:r>
      <w:bookmarkEnd w:id="857"/>
      <w:bookmarkEnd w:id="858"/>
      <w:bookmarkEnd w:id="859"/>
      <w:bookmarkEnd w:id="860"/>
      <w:bookmarkEnd w:id="861"/>
      <w:bookmarkEnd w:id="862"/>
      <w:bookmarkEnd w:id="863"/>
    </w:p>
    <w:p w14:paraId="2FE27820">
      <w:pPr>
        <w:ind w:firstLine="480"/>
        <w:rPr>
          <w:color w:val="000000" w:themeColor="text1"/>
          <w14:textFill>
            <w14:solidFill>
              <w14:schemeClr w14:val="tx1"/>
            </w14:solidFill>
          </w14:textFill>
        </w:rPr>
      </w:pPr>
      <w:r>
        <w:rPr>
          <w:color w:val="000000" w:themeColor="text1"/>
          <w14:textFill>
            <w14:solidFill>
              <w14:schemeClr w14:val="tx1"/>
            </w14:solidFill>
          </w14:textFill>
        </w:rPr>
        <w:t>根据《企业事业单位环境信息公开办法》（环境保护部令 第31号），建设单位应向社会公开如下环境信息：</w:t>
      </w:r>
    </w:p>
    <w:p w14:paraId="06284039">
      <w:pPr>
        <w:ind w:firstLine="480"/>
        <w:rPr>
          <w:color w:val="000000" w:themeColor="text1"/>
          <w14:textFill>
            <w14:solidFill>
              <w14:schemeClr w14:val="tx1"/>
            </w14:solidFill>
          </w14:textFill>
        </w:rPr>
      </w:pPr>
      <w:r>
        <w:rPr>
          <w:color w:val="000000" w:themeColor="text1"/>
          <w14:textFill>
            <w14:solidFill>
              <w14:schemeClr w14:val="tx1"/>
            </w14:solidFill>
          </w14:textFill>
        </w:rPr>
        <w:t>（1）基础信息，包括单位名称、组织机构代码、法定代表人、生产地址、联系方式，以及生产经营和管理服务的主要内容、产品及规模；</w:t>
      </w:r>
    </w:p>
    <w:p w14:paraId="6A70FB60">
      <w:pPr>
        <w:ind w:firstLine="480"/>
        <w:rPr>
          <w:color w:val="000000" w:themeColor="text1"/>
          <w14:textFill>
            <w14:solidFill>
              <w14:schemeClr w14:val="tx1"/>
            </w14:solidFill>
          </w14:textFill>
        </w:rPr>
      </w:pPr>
      <w:r>
        <w:rPr>
          <w:color w:val="000000" w:themeColor="text1"/>
          <w14:textFill>
            <w14:solidFill>
              <w14:schemeClr w14:val="tx1"/>
            </w14:solidFill>
          </w14:textFill>
        </w:rPr>
        <w:t>（2）排污信息，包括主要污染物及特征污染物的名称、排放方式、排放口数量和分布情况、排放浓度和总量、超标情况，以及执行的污染物排放标准、核定的排放总量；</w:t>
      </w:r>
    </w:p>
    <w:p w14:paraId="51F07EA9">
      <w:pPr>
        <w:ind w:firstLine="480"/>
        <w:rPr>
          <w:color w:val="000000" w:themeColor="text1"/>
          <w14:textFill>
            <w14:solidFill>
              <w14:schemeClr w14:val="tx1"/>
            </w14:solidFill>
          </w14:textFill>
        </w:rPr>
      </w:pPr>
      <w:r>
        <w:rPr>
          <w:color w:val="000000" w:themeColor="text1"/>
          <w14:textFill>
            <w14:solidFill>
              <w14:schemeClr w14:val="tx1"/>
            </w14:solidFill>
          </w14:textFill>
        </w:rPr>
        <w:t>（3）防治污染设施的建设和运行情况；</w:t>
      </w:r>
    </w:p>
    <w:p w14:paraId="61D5E38F">
      <w:pPr>
        <w:ind w:firstLine="480"/>
        <w:rPr>
          <w:color w:val="000000" w:themeColor="text1"/>
          <w14:textFill>
            <w14:solidFill>
              <w14:schemeClr w14:val="tx1"/>
            </w14:solidFill>
          </w14:textFill>
        </w:rPr>
      </w:pPr>
      <w:r>
        <w:rPr>
          <w:color w:val="000000" w:themeColor="text1"/>
          <w14:textFill>
            <w14:solidFill>
              <w14:schemeClr w14:val="tx1"/>
            </w14:solidFill>
          </w14:textFill>
        </w:rPr>
        <w:t>（4）建设项目环境影响评价及其他环境保护行政许可情况；</w:t>
      </w:r>
    </w:p>
    <w:p w14:paraId="7C8252D6">
      <w:pPr>
        <w:ind w:firstLine="480"/>
        <w:rPr>
          <w:color w:val="000000" w:themeColor="text1"/>
          <w14:textFill>
            <w14:solidFill>
              <w14:schemeClr w14:val="tx1"/>
            </w14:solidFill>
          </w14:textFill>
        </w:rPr>
      </w:pPr>
      <w:r>
        <w:rPr>
          <w:color w:val="000000" w:themeColor="text1"/>
          <w14:textFill>
            <w14:solidFill>
              <w14:schemeClr w14:val="tx1"/>
            </w14:solidFill>
          </w14:textFill>
        </w:rPr>
        <w:t>（5）突发环境事件应急预案；</w:t>
      </w:r>
    </w:p>
    <w:p w14:paraId="248B815F">
      <w:pPr>
        <w:ind w:firstLine="480"/>
        <w:rPr>
          <w:color w:val="000000" w:themeColor="text1"/>
          <w14:textFill>
            <w14:solidFill>
              <w14:schemeClr w14:val="tx1"/>
            </w14:solidFill>
          </w14:textFill>
        </w:rPr>
      </w:pPr>
      <w:r>
        <w:rPr>
          <w:color w:val="000000" w:themeColor="text1"/>
          <w14:textFill>
            <w14:solidFill>
              <w14:schemeClr w14:val="tx1"/>
            </w14:solidFill>
          </w14:textFill>
        </w:rPr>
        <w:t>（6）其他应当公开的环境信息。</w:t>
      </w:r>
    </w:p>
    <w:p w14:paraId="4F03896A">
      <w:pPr>
        <w:pStyle w:val="5"/>
        <w:rPr>
          <w:color w:val="000000" w:themeColor="text1"/>
          <w14:textFill>
            <w14:solidFill>
              <w14:schemeClr w14:val="tx1"/>
            </w14:solidFill>
          </w14:textFill>
        </w:rPr>
      </w:pPr>
      <w:bookmarkStart w:id="864" w:name="_Toc216620653"/>
      <w:r>
        <w:rPr>
          <w:color w:val="000000" w:themeColor="text1"/>
          <w14:textFill>
            <w14:solidFill>
              <w14:schemeClr w14:val="tx1"/>
            </w14:solidFill>
          </w14:textFill>
        </w:rPr>
        <w:t>环境监测</w:t>
      </w:r>
      <w:bookmarkEnd w:id="864"/>
    </w:p>
    <w:p w14:paraId="06C948A0">
      <w:pPr>
        <w:ind w:firstLine="480"/>
        <w:rPr>
          <w:color w:val="000000" w:themeColor="text1"/>
          <w14:textFill>
            <w14:solidFill>
              <w14:schemeClr w14:val="tx1"/>
            </w14:solidFill>
          </w14:textFill>
        </w:rPr>
      </w:pPr>
      <w:r>
        <w:rPr>
          <w:color w:val="000000" w:themeColor="text1"/>
          <w14:textFill>
            <w14:solidFill>
              <w14:schemeClr w14:val="tx1"/>
            </w14:solidFill>
          </w14:textFill>
        </w:rPr>
        <w:t>实施环境监测的目的是为了及时了解建设项目在其施工期和运营期对所在区域的环境质量影响，以便对可能产生较大环境影响的关键环节事先进行制度性的监测，使可能造成环境影响的因素得以及时发现，为项目环境管理提供科学依据。同时，实施环境监测也是企业制定环境保护规划、判断环境治理效果、开展有效的环境管理的重要依据。</w:t>
      </w:r>
    </w:p>
    <w:p w14:paraId="25145749">
      <w:pPr>
        <w:pStyle w:val="4"/>
        <w:rPr>
          <w:color w:val="000000" w:themeColor="text1"/>
          <w14:textFill>
            <w14:solidFill>
              <w14:schemeClr w14:val="tx1"/>
            </w14:solidFill>
          </w14:textFill>
        </w:rPr>
      </w:pPr>
      <w:bookmarkStart w:id="865" w:name="_Toc26910113"/>
      <w:bookmarkStart w:id="866" w:name="_Toc25437065"/>
      <w:bookmarkStart w:id="867" w:name="_Toc216620654"/>
      <w:bookmarkStart w:id="868" w:name="_Toc136878585"/>
      <w:bookmarkStart w:id="869" w:name="_Toc135090321"/>
      <w:bookmarkStart w:id="870" w:name="_Toc29131926"/>
      <w:bookmarkStart w:id="871" w:name="_Toc216103495"/>
      <w:r>
        <w:rPr>
          <w:color w:val="000000" w:themeColor="text1"/>
          <w14:textFill>
            <w14:solidFill>
              <w14:schemeClr w14:val="tx1"/>
            </w14:solidFill>
          </w14:textFill>
        </w:rPr>
        <w:t>施工期环境监测计划</w:t>
      </w:r>
      <w:bookmarkEnd w:id="865"/>
      <w:bookmarkEnd w:id="866"/>
      <w:bookmarkEnd w:id="867"/>
      <w:bookmarkEnd w:id="868"/>
      <w:bookmarkEnd w:id="869"/>
      <w:bookmarkEnd w:id="870"/>
      <w:bookmarkEnd w:id="871"/>
    </w:p>
    <w:p w14:paraId="25C24143">
      <w:pPr>
        <w:ind w:firstLine="480"/>
        <w:rPr>
          <w:color w:val="000000" w:themeColor="text1"/>
          <w14:textFill>
            <w14:solidFill>
              <w14:schemeClr w14:val="tx1"/>
            </w14:solidFill>
          </w14:textFill>
        </w:rPr>
      </w:pPr>
      <w:r>
        <w:rPr>
          <w:color w:val="000000" w:themeColor="text1"/>
          <w14:textFill>
            <w14:solidFill>
              <w14:schemeClr w14:val="tx1"/>
            </w14:solidFill>
          </w14:textFill>
        </w:rPr>
        <w:t>项目施工期造成的环境影响主要为：</w:t>
      </w: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码头施工产生的扬尘、噪声对周围环境的影响。依据《建设项目海洋环境影响跟踪监测技术规程》（国家海洋局2002年4月），制定如下监测计划，具体内容见表8.3-1。</w:t>
      </w:r>
    </w:p>
    <w:p w14:paraId="0581061F">
      <w:pPr>
        <w:pStyle w:val="7"/>
        <w:rPr>
          <w:color w:val="000000" w:themeColor="text1"/>
          <w14:textFill>
            <w14:solidFill>
              <w14:schemeClr w14:val="tx1"/>
            </w14:solidFill>
          </w14:textFill>
        </w:rPr>
      </w:pPr>
      <w:r>
        <w:rPr>
          <w:color w:val="000000" w:themeColor="text1"/>
          <w14:textFill>
            <w14:solidFill>
              <w14:schemeClr w14:val="tx1"/>
            </w14:solidFill>
          </w14:textFill>
        </w:rPr>
        <w:t>施工期环境监测计划</w:t>
      </w:r>
    </w:p>
    <w:tbl>
      <w:tblPr>
        <w:tblStyle w:val="43"/>
        <w:tblW w:w="82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68"/>
        <w:gridCol w:w="3064"/>
        <w:gridCol w:w="1852"/>
        <w:gridCol w:w="2092"/>
      </w:tblGrid>
      <w:tr w14:paraId="17824F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68" w:type="dxa"/>
          </w:tcPr>
          <w:p w14:paraId="72F7FE6E">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环境影响</w:t>
            </w:r>
          </w:p>
        </w:tc>
        <w:tc>
          <w:tcPr>
            <w:tcW w:w="3064" w:type="dxa"/>
          </w:tcPr>
          <w:p w14:paraId="6CC01D1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监测项目</w:t>
            </w:r>
          </w:p>
        </w:tc>
        <w:tc>
          <w:tcPr>
            <w:tcW w:w="1852" w:type="dxa"/>
          </w:tcPr>
          <w:p w14:paraId="7CCB6D98">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监测点位</w:t>
            </w:r>
          </w:p>
        </w:tc>
        <w:tc>
          <w:tcPr>
            <w:tcW w:w="2092" w:type="dxa"/>
          </w:tcPr>
          <w:p w14:paraId="5AD0097B">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监测频次</w:t>
            </w:r>
          </w:p>
        </w:tc>
      </w:tr>
      <w:tr w14:paraId="1FBD49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68" w:type="dxa"/>
            <w:vAlign w:val="center"/>
          </w:tcPr>
          <w:p w14:paraId="77FF82D4">
            <w:pPr>
              <w:pStyle w:val="70"/>
              <w:rPr>
                <w:color w:val="000000" w:themeColor="text1"/>
                <w14:textFill>
                  <w14:solidFill>
                    <w14:schemeClr w14:val="tx1"/>
                  </w14:solidFill>
                </w14:textFill>
              </w:rPr>
            </w:pPr>
            <w:r>
              <w:rPr>
                <w:color w:val="000000" w:themeColor="text1"/>
                <w14:textFill>
                  <w14:solidFill>
                    <w14:schemeClr w14:val="tx1"/>
                  </w14:solidFill>
                </w14:textFill>
              </w:rPr>
              <w:t>环境空气</w:t>
            </w:r>
          </w:p>
        </w:tc>
        <w:tc>
          <w:tcPr>
            <w:tcW w:w="3064" w:type="dxa"/>
            <w:vAlign w:val="center"/>
          </w:tcPr>
          <w:p w14:paraId="6A58E30A">
            <w:pPr>
              <w:pStyle w:val="70"/>
              <w:rPr>
                <w:color w:val="000000" w:themeColor="text1"/>
                <w14:textFill>
                  <w14:solidFill>
                    <w14:schemeClr w14:val="tx1"/>
                  </w14:solidFill>
                </w14:textFill>
              </w:rPr>
            </w:pPr>
            <w:r>
              <w:rPr>
                <w:color w:val="000000" w:themeColor="text1"/>
                <w14:textFill>
                  <w14:solidFill>
                    <w14:schemeClr w14:val="tx1"/>
                  </w14:solidFill>
                </w14:textFill>
              </w:rPr>
              <w:t>TSP</w:t>
            </w:r>
          </w:p>
        </w:tc>
        <w:tc>
          <w:tcPr>
            <w:tcW w:w="1852" w:type="dxa"/>
            <w:vAlign w:val="center"/>
          </w:tcPr>
          <w:p w14:paraId="7B6D3AAC">
            <w:pPr>
              <w:pStyle w:val="70"/>
              <w:rPr>
                <w:color w:val="000000" w:themeColor="text1"/>
                <w14:textFill>
                  <w14:solidFill>
                    <w14:schemeClr w14:val="tx1"/>
                  </w14:solidFill>
                </w14:textFill>
              </w:rPr>
            </w:pPr>
            <w:r>
              <w:rPr>
                <w:color w:val="000000" w:themeColor="text1"/>
                <w14:textFill>
                  <w14:solidFill>
                    <w14:schemeClr w14:val="tx1"/>
                  </w14:solidFill>
                </w14:textFill>
              </w:rPr>
              <w:t>施工场区四周</w:t>
            </w:r>
          </w:p>
        </w:tc>
        <w:tc>
          <w:tcPr>
            <w:tcW w:w="2092" w:type="dxa"/>
            <w:vAlign w:val="center"/>
          </w:tcPr>
          <w:p w14:paraId="1567483B">
            <w:pPr>
              <w:pStyle w:val="70"/>
              <w:rPr>
                <w:color w:val="000000" w:themeColor="text1"/>
                <w14:textFill>
                  <w14:solidFill>
                    <w14:schemeClr w14:val="tx1"/>
                  </w14:solidFill>
                </w14:textFill>
              </w:rPr>
            </w:pPr>
            <w:r>
              <w:rPr>
                <w:color w:val="000000" w:themeColor="text1"/>
                <w14:textFill>
                  <w14:solidFill>
                    <w14:schemeClr w14:val="tx1"/>
                  </w14:solidFill>
                </w14:textFill>
              </w:rPr>
              <w:t>施工中期监测1次</w:t>
            </w:r>
          </w:p>
        </w:tc>
      </w:tr>
      <w:tr w14:paraId="07D811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68" w:type="dxa"/>
            <w:vAlign w:val="center"/>
          </w:tcPr>
          <w:p w14:paraId="4EEC722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噪声</w:t>
            </w:r>
          </w:p>
        </w:tc>
        <w:tc>
          <w:tcPr>
            <w:tcW w:w="3064" w:type="dxa"/>
            <w:vAlign w:val="center"/>
          </w:tcPr>
          <w:p w14:paraId="13EA60AC">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等效连续A声级</w:t>
            </w:r>
          </w:p>
        </w:tc>
        <w:tc>
          <w:tcPr>
            <w:tcW w:w="1852" w:type="dxa"/>
            <w:vAlign w:val="center"/>
          </w:tcPr>
          <w:p w14:paraId="0288A9EC">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厂界四周</w:t>
            </w:r>
          </w:p>
        </w:tc>
        <w:tc>
          <w:tcPr>
            <w:tcW w:w="2092" w:type="dxa"/>
            <w:vAlign w:val="center"/>
          </w:tcPr>
          <w:p w14:paraId="10FE7F7E">
            <w:pPr>
              <w:pStyle w:val="70"/>
              <w:rPr>
                <w:color w:val="000000" w:themeColor="text1"/>
                <w14:textFill>
                  <w14:solidFill>
                    <w14:schemeClr w14:val="tx1"/>
                  </w14:solidFill>
                </w14:textFill>
              </w:rPr>
            </w:pPr>
            <w:r>
              <w:rPr>
                <w:color w:val="000000" w:themeColor="text1"/>
                <w14:textFill>
                  <w14:solidFill>
                    <w14:schemeClr w14:val="tx1"/>
                  </w14:solidFill>
                </w14:textFill>
              </w:rPr>
              <w:t>施工中期监测1次</w:t>
            </w:r>
          </w:p>
        </w:tc>
      </w:tr>
    </w:tbl>
    <w:p w14:paraId="14D7175B">
      <w:pPr>
        <w:spacing w:line="240" w:lineRule="exact"/>
        <w:ind w:firstLine="36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注：具体监测频次和监测点位，应根据工程施工进度与强度作适当调整。</w:t>
      </w:r>
    </w:p>
    <w:p w14:paraId="3F5F0647">
      <w:pPr>
        <w:ind w:firstLine="480"/>
        <w:rPr>
          <w:color w:val="000000" w:themeColor="text1"/>
          <w14:textFill>
            <w14:solidFill>
              <w14:schemeClr w14:val="tx1"/>
            </w14:solidFill>
          </w14:textFill>
        </w:rPr>
      </w:pPr>
      <w:r>
        <w:rPr>
          <w:color w:val="000000" w:themeColor="text1"/>
          <w14:textFill>
            <w14:solidFill>
              <w14:schemeClr w14:val="tx1"/>
            </w14:solidFill>
          </w14:textFill>
        </w:rPr>
        <w:t>监测工作应委托有资质监测单位承担，按照《海洋监测规范》（GB17378-2007）规定的有关方法进行。</w:t>
      </w:r>
    </w:p>
    <w:p w14:paraId="727DE32E">
      <w:pPr>
        <w:pStyle w:val="4"/>
        <w:rPr>
          <w:color w:val="000000" w:themeColor="text1"/>
          <w14:textFill>
            <w14:solidFill>
              <w14:schemeClr w14:val="tx1"/>
            </w14:solidFill>
          </w14:textFill>
        </w:rPr>
      </w:pPr>
      <w:bookmarkStart w:id="872" w:name="_Toc216620655"/>
      <w:bookmarkStart w:id="873" w:name="_Toc25437066"/>
      <w:bookmarkStart w:id="874" w:name="_Toc29131927"/>
      <w:bookmarkStart w:id="875" w:name="_Toc216103496"/>
      <w:bookmarkStart w:id="876" w:name="_Toc26910114"/>
      <w:bookmarkStart w:id="877" w:name="_Toc136878586"/>
      <w:bookmarkStart w:id="878" w:name="_Toc135090322"/>
      <w:r>
        <w:rPr>
          <w:color w:val="000000" w:themeColor="text1"/>
          <w14:textFill>
            <w14:solidFill>
              <w14:schemeClr w14:val="tx1"/>
            </w14:solidFill>
          </w14:textFill>
        </w:rPr>
        <w:t>运营期环境监测计划</w:t>
      </w:r>
      <w:bookmarkEnd w:id="872"/>
      <w:bookmarkEnd w:id="873"/>
      <w:bookmarkEnd w:id="874"/>
      <w:bookmarkEnd w:id="875"/>
      <w:bookmarkEnd w:id="876"/>
      <w:bookmarkEnd w:id="877"/>
      <w:bookmarkEnd w:id="878"/>
    </w:p>
    <w:p w14:paraId="2AD1A5E6">
      <w:pPr>
        <w:ind w:firstLine="480"/>
        <w:rPr>
          <w:color w:val="000000" w:themeColor="text1"/>
          <w:u w:val="single"/>
          <w14:textFill>
            <w14:solidFill>
              <w14:schemeClr w14:val="tx1"/>
            </w14:solidFill>
          </w14:textFill>
        </w:rPr>
      </w:pPr>
      <w:bookmarkStart w:id="879" w:name="_Toc135090323"/>
      <w:bookmarkStart w:id="880" w:name="_Toc26910115"/>
      <w:bookmarkStart w:id="881" w:name="_Toc216103497"/>
      <w:bookmarkStart w:id="882" w:name="_Toc29131928"/>
      <w:bookmarkStart w:id="883" w:name="_Toc136878587"/>
      <w:bookmarkStart w:id="884" w:name="_Toc25437067"/>
      <w:r>
        <w:rPr>
          <w:color w:val="000000" w:themeColor="text1"/>
          <w:u w:val="single"/>
          <w14:textFill>
            <w14:solidFill>
              <w14:schemeClr w14:val="tx1"/>
            </w14:solidFill>
          </w14:textFill>
        </w:rPr>
        <w:t>根据《排污单位自行监测技术指南 总则》（HJ 819-2017）、《建设项目海洋环境影响跟踪监测技术规程》等文件要求，结合本项目运营期对环境的影响，确定对海洋环境、大气环境进行监测。监测计划见表8.3-2。</w:t>
      </w:r>
    </w:p>
    <w:p w14:paraId="18FB20E6">
      <w:pPr>
        <w:pStyle w:val="7"/>
        <w:rPr>
          <w:color w:val="000000" w:themeColor="text1"/>
          <w:u w:val="single"/>
          <w14:textFill>
            <w14:solidFill>
              <w14:schemeClr w14:val="tx1"/>
            </w14:solidFill>
          </w14:textFill>
        </w:rPr>
      </w:pPr>
      <w:r>
        <w:rPr>
          <w:color w:val="000000" w:themeColor="text1"/>
          <w:u w:val="single"/>
          <w14:textFill>
            <w14:solidFill>
              <w14:schemeClr w14:val="tx1"/>
            </w14:solidFill>
          </w14:textFill>
        </w:rPr>
        <w:t>运营期环境监测计划</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851"/>
        <w:gridCol w:w="1970"/>
        <w:gridCol w:w="4396"/>
        <w:gridCol w:w="1059"/>
      </w:tblGrid>
      <w:tr w14:paraId="2A1944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tblHeader/>
          <w:jc w:val="center"/>
        </w:trPr>
        <w:tc>
          <w:tcPr>
            <w:tcW w:w="851" w:type="dxa"/>
            <w:vAlign w:val="center"/>
          </w:tcPr>
          <w:p w14:paraId="6193044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类别</w:t>
            </w:r>
          </w:p>
        </w:tc>
        <w:tc>
          <w:tcPr>
            <w:tcW w:w="1970" w:type="dxa"/>
            <w:vAlign w:val="center"/>
          </w:tcPr>
          <w:p w14:paraId="1CA86E5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监测站位</w:t>
            </w:r>
          </w:p>
        </w:tc>
        <w:tc>
          <w:tcPr>
            <w:tcW w:w="4396" w:type="dxa"/>
            <w:vAlign w:val="center"/>
          </w:tcPr>
          <w:p w14:paraId="6313602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监测项目</w:t>
            </w:r>
          </w:p>
        </w:tc>
        <w:tc>
          <w:tcPr>
            <w:tcW w:w="1059" w:type="dxa"/>
            <w:vAlign w:val="center"/>
          </w:tcPr>
          <w:p w14:paraId="29607669">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监测频次</w:t>
            </w:r>
          </w:p>
        </w:tc>
      </w:tr>
      <w:tr w14:paraId="534315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jc w:val="center"/>
        </w:trPr>
        <w:tc>
          <w:tcPr>
            <w:tcW w:w="851" w:type="dxa"/>
            <w:vAlign w:val="center"/>
          </w:tcPr>
          <w:p w14:paraId="7E2C5338">
            <w:pPr>
              <w:pStyle w:val="70"/>
              <w:rPr>
                <w:color w:val="000000" w:themeColor="text1"/>
                <w14:textFill>
                  <w14:solidFill>
                    <w14:schemeClr w14:val="tx1"/>
                  </w14:solidFill>
                </w14:textFill>
              </w:rPr>
            </w:pPr>
            <w:r>
              <w:rPr>
                <w:color w:val="000000" w:themeColor="text1"/>
                <w14:textFill>
                  <w14:solidFill>
                    <w14:schemeClr w14:val="tx1"/>
                  </w14:solidFill>
                </w14:textFill>
              </w:rPr>
              <w:t>无组织大气</w:t>
            </w:r>
          </w:p>
        </w:tc>
        <w:tc>
          <w:tcPr>
            <w:tcW w:w="1970" w:type="dxa"/>
            <w:vAlign w:val="center"/>
          </w:tcPr>
          <w:p w14:paraId="07C6D031">
            <w:pPr>
              <w:pStyle w:val="70"/>
              <w:rPr>
                <w:color w:val="000000" w:themeColor="text1"/>
                <w14:textFill>
                  <w14:solidFill>
                    <w14:schemeClr w14:val="tx1"/>
                  </w14:solidFill>
                </w14:textFill>
              </w:rPr>
            </w:pPr>
            <w:r>
              <w:rPr>
                <w:color w:val="000000" w:themeColor="text1"/>
                <w14:textFill>
                  <w14:solidFill>
                    <w14:schemeClr w14:val="tx1"/>
                  </w14:solidFill>
                </w14:textFill>
              </w:rPr>
              <w:t>企业边界</w:t>
            </w:r>
          </w:p>
        </w:tc>
        <w:tc>
          <w:tcPr>
            <w:tcW w:w="4396" w:type="dxa"/>
            <w:vAlign w:val="center"/>
          </w:tcPr>
          <w:p w14:paraId="6AF6B201">
            <w:pPr>
              <w:pStyle w:val="70"/>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、CO、</w:t>
            </w:r>
            <w:r>
              <w:rPr>
                <w:snapToGrid w:val="0"/>
                <w:color w:val="000000" w:themeColor="text1"/>
                <w:kern w:val="0"/>
                <w14:textFill>
                  <w14:solidFill>
                    <w14:schemeClr w14:val="tx1"/>
                  </w14:solidFill>
                </w14:textFill>
              </w:rPr>
              <w:t>苯乙烯、硫酸、非甲烷总烃</w:t>
            </w:r>
          </w:p>
        </w:tc>
        <w:tc>
          <w:tcPr>
            <w:tcW w:w="1059" w:type="dxa"/>
            <w:vAlign w:val="center"/>
          </w:tcPr>
          <w:p w14:paraId="5750BCDF">
            <w:pPr>
              <w:pStyle w:val="70"/>
              <w:rPr>
                <w:color w:val="000000" w:themeColor="text1"/>
                <w14:textFill>
                  <w14:solidFill>
                    <w14:schemeClr w14:val="tx1"/>
                  </w14:solidFill>
                </w14:textFill>
              </w:rPr>
            </w:pPr>
            <w:r>
              <w:rPr>
                <w:color w:val="000000" w:themeColor="text1"/>
                <w14:textFill>
                  <w14:solidFill>
                    <w14:schemeClr w14:val="tx1"/>
                  </w14:solidFill>
                </w14:textFill>
              </w:rPr>
              <w:t>1次/年</w:t>
            </w:r>
          </w:p>
        </w:tc>
      </w:tr>
      <w:tr w14:paraId="7B948F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jc w:val="center"/>
        </w:trPr>
        <w:tc>
          <w:tcPr>
            <w:tcW w:w="851" w:type="dxa"/>
            <w:vAlign w:val="center"/>
          </w:tcPr>
          <w:p w14:paraId="388365C7">
            <w:pPr>
              <w:pStyle w:val="70"/>
              <w:rPr>
                <w:color w:val="000000" w:themeColor="text1"/>
                <w14:textFill>
                  <w14:solidFill>
                    <w14:schemeClr w14:val="tx1"/>
                  </w14:solidFill>
                </w14:textFill>
              </w:rPr>
            </w:pPr>
            <w:r>
              <w:rPr>
                <w:color w:val="000000" w:themeColor="text1"/>
                <w14:textFill>
                  <w14:solidFill>
                    <w14:schemeClr w14:val="tx1"/>
                  </w14:solidFill>
                </w14:textFill>
              </w:rPr>
              <w:t>海洋生态</w:t>
            </w:r>
          </w:p>
        </w:tc>
        <w:tc>
          <w:tcPr>
            <w:tcW w:w="1970" w:type="dxa"/>
            <w:vAlign w:val="center"/>
          </w:tcPr>
          <w:p w14:paraId="349FF4A5">
            <w:pPr>
              <w:pStyle w:val="70"/>
              <w:rPr>
                <w:color w:val="000000" w:themeColor="text1"/>
                <w14:textFill>
                  <w14:solidFill>
                    <w14:schemeClr w14:val="tx1"/>
                  </w14:solidFill>
                </w14:textFill>
              </w:rPr>
            </w:pPr>
            <w:r>
              <w:rPr>
                <w:color w:val="000000" w:themeColor="text1"/>
                <w14:textFill>
                  <w14:solidFill>
                    <w14:schemeClr w14:val="tx1"/>
                  </w14:solidFill>
                </w14:textFill>
              </w:rPr>
              <w:t>水质监测</w:t>
            </w:r>
          </w:p>
        </w:tc>
        <w:tc>
          <w:tcPr>
            <w:tcW w:w="4396" w:type="dxa"/>
            <w:vAlign w:val="center"/>
          </w:tcPr>
          <w:p w14:paraId="4CC5946D">
            <w:pPr>
              <w:pStyle w:val="70"/>
              <w:rPr>
                <w:color w:val="000000" w:themeColor="text1"/>
                <w14:textFill>
                  <w14:solidFill>
                    <w14:schemeClr w14:val="tx1"/>
                  </w14:solidFill>
                </w14:textFill>
              </w:rPr>
            </w:pPr>
            <w:r>
              <w:rPr>
                <w:color w:val="000000" w:themeColor="text1"/>
                <w14:textFill>
                  <w14:solidFill>
                    <w14:schemeClr w14:val="tx1"/>
                  </w14:solidFill>
                </w14:textFill>
              </w:rPr>
              <w:t>盐度、悬浮物、pH、化学需氧量、无机氮、活性磷酸盐、石油类、铜、铅、镉、总铬、汞、砷</w:t>
            </w:r>
          </w:p>
        </w:tc>
        <w:tc>
          <w:tcPr>
            <w:tcW w:w="1059" w:type="dxa"/>
            <w:vAlign w:val="center"/>
          </w:tcPr>
          <w:p w14:paraId="4048EB76">
            <w:pPr>
              <w:pStyle w:val="70"/>
              <w:rPr>
                <w:color w:val="000000" w:themeColor="text1"/>
                <w14:textFill>
                  <w14:solidFill>
                    <w14:schemeClr w14:val="tx1"/>
                  </w14:solidFill>
                </w14:textFill>
              </w:rPr>
            </w:pPr>
            <w:r>
              <w:rPr>
                <w:color w:val="000000" w:themeColor="text1"/>
                <w14:textFill>
                  <w14:solidFill>
                    <w14:schemeClr w14:val="tx1"/>
                  </w14:solidFill>
                </w14:textFill>
              </w:rPr>
              <w:t>每年春、秋两季进行调查</w:t>
            </w:r>
          </w:p>
        </w:tc>
      </w:tr>
    </w:tbl>
    <w:p w14:paraId="133536C4">
      <w:pPr>
        <w:spacing w:line="240" w:lineRule="exact"/>
        <w:ind w:firstLine="42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注：具体监测频次和监测点位，应根据项目实际运营情况作适当调整。</w:t>
      </w:r>
    </w:p>
    <w:p w14:paraId="05A83298">
      <w:pPr>
        <w:pStyle w:val="4"/>
        <w:rPr>
          <w:color w:val="000000" w:themeColor="text1"/>
          <w14:textFill>
            <w14:solidFill>
              <w14:schemeClr w14:val="tx1"/>
            </w14:solidFill>
          </w14:textFill>
        </w:rPr>
      </w:pPr>
      <w:bookmarkStart w:id="885" w:name="_Toc216620656"/>
      <w:r>
        <w:rPr>
          <w:color w:val="000000" w:themeColor="text1"/>
          <w14:textFill>
            <w14:solidFill>
              <w14:schemeClr w14:val="tx1"/>
            </w14:solidFill>
          </w14:textFill>
        </w:rPr>
        <w:t>环境风险事故监测计划</w:t>
      </w:r>
      <w:bookmarkEnd w:id="879"/>
      <w:bookmarkEnd w:id="880"/>
      <w:bookmarkEnd w:id="881"/>
      <w:bookmarkEnd w:id="882"/>
      <w:bookmarkEnd w:id="883"/>
      <w:bookmarkEnd w:id="884"/>
      <w:bookmarkEnd w:id="885"/>
    </w:p>
    <w:p w14:paraId="2505073E">
      <w:pPr>
        <w:ind w:firstLine="480"/>
        <w:rPr>
          <w:color w:val="000000" w:themeColor="text1"/>
          <w14:textFill>
            <w14:solidFill>
              <w14:schemeClr w14:val="tx1"/>
            </w14:solidFill>
          </w14:textFill>
        </w:rPr>
      </w:pPr>
      <w:r>
        <w:rPr>
          <w:color w:val="000000" w:themeColor="text1"/>
          <w14:textFill>
            <w14:solidFill>
              <w14:schemeClr w14:val="tx1"/>
            </w14:solidFill>
          </w14:textFill>
        </w:rPr>
        <w:t>建设单位应按照《突发环境事件应急监测技术规范》（HJ 589-2021）制定应急监测计划。应配备应急设备及人员，随时接受来自项目总调度室、各部门及社会人员的污染事故信息，及时采取应急监测方案，出动应急监测人员和分析人员，配合生态环境部门进行事故污染源的调查与处置。公司内部不能完成监测时应委托有资质的监测机构实施应急监测。</w:t>
      </w:r>
    </w:p>
    <w:p w14:paraId="11A3945E">
      <w:pPr>
        <w:ind w:firstLine="480"/>
        <w:rPr>
          <w:color w:val="000000" w:themeColor="text1"/>
          <w14:textFill>
            <w14:solidFill>
              <w14:schemeClr w14:val="tx1"/>
            </w14:solidFill>
          </w14:textFill>
        </w:rPr>
      </w:pPr>
      <w:r>
        <w:rPr>
          <w:color w:val="000000" w:themeColor="text1"/>
          <w14:textFill>
            <w14:solidFill>
              <w14:schemeClr w14:val="tx1"/>
            </w14:solidFill>
          </w14:textFill>
        </w:rPr>
        <w:t>在发生环境事故时，首先启动应急预案。监测人员应携带大气和水质等监测必要设备及时到达现场，对受污染影响的大气环境及相关水体进行监测。根据事故类型，对相关地点进行紧急高频次监测，根据事故情况选择检测项目，随时监测事故源动态和周围环境变化状况，为应急指挥提供依据。</w:t>
      </w:r>
    </w:p>
    <w:p w14:paraId="71A4ED7C">
      <w:pPr>
        <w:ind w:firstLine="480"/>
        <w:rPr>
          <w:color w:val="000000" w:themeColor="text1"/>
          <w14:textFill>
            <w14:solidFill>
              <w14:schemeClr w14:val="tx1"/>
            </w14:solidFill>
          </w14:textFill>
        </w:rPr>
      </w:pPr>
      <w:r>
        <w:rPr>
          <w:color w:val="000000" w:themeColor="text1"/>
          <w14:textFill>
            <w14:solidFill>
              <w14:schemeClr w14:val="tx1"/>
            </w14:solidFill>
          </w14:textFill>
        </w:rPr>
        <w:t>突发环境事件应急监测结果应以电话、传真、监测快报等形式立即上报，跟踪监测结果以监测简报形式监测次日报送。事故处理完毕后，应出具应急监测报告，上报当地生态环境部门监管，重大和特大突发环境事故还应报上一级环境监测部门。</w:t>
      </w:r>
    </w:p>
    <w:p w14:paraId="32A4069B">
      <w:pPr>
        <w:ind w:firstLine="480"/>
        <w:rPr>
          <w:color w:val="000000" w:themeColor="text1"/>
          <w14:textFill>
            <w14:solidFill>
              <w14:schemeClr w14:val="tx1"/>
            </w14:solidFill>
          </w14:textFill>
        </w:rPr>
      </w:pPr>
      <w:r>
        <w:rPr>
          <w:color w:val="000000" w:themeColor="text1"/>
          <w14:textFill>
            <w14:solidFill>
              <w14:schemeClr w14:val="tx1"/>
            </w14:solidFill>
          </w14:textFill>
        </w:rPr>
        <w:t>根据本项目特点，可能发生的事故为</w:t>
      </w:r>
      <w:r>
        <w:rPr>
          <w:color w:val="0000FF"/>
        </w:rPr>
        <w:t>船舶事故溢油</w:t>
      </w:r>
      <w:r>
        <w:rPr>
          <w:rFonts w:hint="eastAsia"/>
          <w:color w:val="0000FF"/>
          <w:lang w:eastAsia="zh-CN"/>
        </w:rPr>
        <w:t>、</w:t>
      </w:r>
      <w:r>
        <w:rPr>
          <w:rFonts w:hint="eastAsia"/>
          <w:color w:val="0000FF"/>
          <w:lang w:val="en-US" w:eastAsia="zh-CN"/>
        </w:rPr>
        <w:t>船舶化学品泄漏</w:t>
      </w:r>
      <w:r>
        <w:rPr>
          <w:color w:val="0000FF"/>
        </w:rPr>
        <w:t>和管道泄漏，</w:t>
      </w:r>
      <w:r>
        <w:rPr>
          <w:color w:val="000000" w:themeColor="text1"/>
          <w14:textFill>
            <w14:solidFill>
              <w14:schemeClr w14:val="tx1"/>
            </w14:solidFill>
          </w14:textFill>
        </w:rPr>
        <w:t>制定如下监测计划：</w:t>
      </w:r>
    </w:p>
    <w:p w14:paraId="1DC89486">
      <w:pPr>
        <w:pStyle w:val="7"/>
        <w:rPr>
          <w:color w:val="000000" w:themeColor="text1"/>
          <w14:textFill>
            <w14:solidFill>
              <w14:schemeClr w14:val="tx1"/>
            </w14:solidFill>
          </w14:textFill>
        </w:rPr>
      </w:pPr>
      <w:r>
        <w:rPr>
          <w:color w:val="000000" w:themeColor="text1"/>
          <w14:textFill>
            <w14:solidFill>
              <w14:schemeClr w14:val="tx1"/>
            </w14:solidFill>
          </w14:textFill>
        </w:rPr>
        <w:t>事故应急监测计划表</w:t>
      </w:r>
    </w:p>
    <w:tbl>
      <w:tblPr>
        <w:tblStyle w:val="43"/>
        <w:tblW w:w="82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09"/>
        <w:gridCol w:w="1273"/>
        <w:gridCol w:w="2290"/>
        <w:gridCol w:w="1652"/>
        <w:gridCol w:w="1652"/>
      </w:tblGrid>
      <w:tr w14:paraId="694E45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09" w:type="dxa"/>
            <w:vAlign w:val="center"/>
          </w:tcPr>
          <w:p w14:paraId="377CB85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事故</w:t>
            </w:r>
          </w:p>
        </w:tc>
        <w:tc>
          <w:tcPr>
            <w:tcW w:w="1273" w:type="dxa"/>
            <w:vAlign w:val="center"/>
          </w:tcPr>
          <w:p w14:paraId="66470A8B">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环境要素</w:t>
            </w:r>
          </w:p>
        </w:tc>
        <w:tc>
          <w:tcPr>
            <w:tcW w:w="2290" w:type="dxa"/>
            <w:vAlign w:val="center"/>
          </w:tcPr>
          <w:p w14:paraId="04871064">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监测项目</w:t>
            </w:r>
          </w:p>
        </w:tc>
        <w:tc>
          <w:tcPr>
            <w:tcW w:w="1652" w:type="dxa"/>
            <w:vAlign w:val="center"/>
          </w:tcPr>
          <w:p w14:paraId="2A43C3F9">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监测点位</w:t>
            </w:r>
          </w:p>
        </w:tc>
        <w:tc>
          <w:tcPr>
            <w:tcW w:w="1652" w:type="dxa"/>
            <w:vAlign w:val="center"/>
          </w:tcPr>
          <w:p w14:paraId="4D64CA38">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监测频次</w:t>
            </w:r>
          </w:p>
        </w:tc>
      </w:tr>
      <w:tr w14:paraId="170821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09" w:type="dxa"/>
            <w:vAlign w:val="center"/>
          </w:tcPr>
          <w:p w14:paraId="09F58CB3">
            <w:pPr>
              <w:pStyle w:val="70"/>
              <w:rPr>
                <w:color w:val="000000" w:themeColor="text1"/>
                <w14:textFill>
                  <w14:solidFill>
                    <w14:schemeClr w14:val="tx1"/>
                  </w14:solidFill>
                </w14:textFill>
              </w:rPr>
            </w:pPr>
            <w:r>
              <w:rPr>
                <w:color w:val="000000" w:themeColor="text1"/>
                <w14:textFill>
                  <w14:solidFill>
                    <w14:schemeClr w14:val="tx1"/>
                  </w14:solidFill>
                </w14:textFill>
              </w:rPr>
              <w:t>船舶溢油</w:t>
            </w:r>
          </w:p>
        </w:tc>
        <w:tc>
          <w:tcPr>
            <w:tcW w:w="1273" w:type="dxa"/>
            <w:vAlign w:val="center"/>
          </w:tcPr>
          <w:p w14:paraId="78D414CB">
            <w:pPr>
              <w:pStyle w:val="70"/>
              <w:rPr>
                <w:color w:val="000000" w:themeColor="text1"/>
                <w14:textFill>
                  <w14:solidFill>
                    <w14:schemeClr w14:val="tx1"/>
                  </w14:solidFill>
                </w14:textFill>
              </w:rPr>
            </w:pPr>
            <w:r>
              <w:rPr>
                <w:color w:val="000000" w:themeColor="text1"/>
                <w14:textFill>
                  <w14:solidFill>
                    <w14:schemeClr w14:val="tx1"/>
                  </w14:solidFill>
                </w14:textFill>
              </w:rPr>
              <w:t>水质</w:t>
            </w:r>
          </w:p>
        </w:tc>
        <w:tc>
          <w:tcPr>
            <w:tcW w:w="2290" w:type="dxa"/>
            <w:vAlign w:val="center"/>
          </w:tcPr>
          <w:p w14:paraId="71F69660">
            <w:pPr>
              <w:pStyle w:val="70"/>
              <w:rPr>
                <w:color w:val="000000" w:themeColor="text1"/>
                <w14:textFill>
                  <w14:solidFill>
                    <w14:schemeClr w14:val="tx1"/>
                  </w14:solidFill>
                </w14:textFill>
              </w:rPr>
            </w:pPr>
            <w:r>
              <w:rPr>
                <w:color w:val="000000" w:themeColor="text1"/>
                <w14:textFill>
                  <w14:solidFill>
                    <w14:schemeClr w14:val="tx1"/>
                  </w14:solidFill>
                </w14:textFill>
              </w:rPr>
              <w:t>COD、DO、石油类、泄漏化学物</w:t>
            </w:r>
          </w:p>
        </w:tc>
        <w:tc>
          <w:tcPr>
            <w:tcW w:w="1652" w:type="dxa"/>
            <w:vAlign w:val="center"/>
          </w:tcPr>
          <w:p w14:paraId="7D0519DD">
            <w:pPr>
              <w:pStyle w:val="70"/>
              <w:rPr>
                <w:color w:val="000000" w:themeColor="text1"/>
                <w14:textFill>
                  <w14:solidFill>
                    <w14:schemeClr w14:val="tx1"/>
                  </w14:solidFill>
                </w14:textFill>
              </w:rPr>
            </w:pPr>
            <w:r>
              <w:rPr>
                <w:color w:val="000000" w:themeColor="text1"/>
                <w14:textFill>
                  <w14:solidFill>
                    <w14:schemeClr w14:val="tx1"/>
                  </w14:solidFill>
                </w14:textFill>
              </w:rPr>
              <w:t>事故区周围设6个监测点</w:t>
            </w:r>
          </w:p>
        </w:tc>
        <w:tc>
          <w:tcPr>
            <w:tcW w:w="1652" w:type="dxa"/>
            <w:vAlign w:val="center"/>
          </w:tcPr>
          <w:p w14:paraId="0B8F67D2">
            <w:pPr>
              <w:pStyle w:val="70"/>
              <w:rPr>
                <w:color w:val="000000" w:themeColor="text1"/>
                <w14:textFill>
                  <w14:solidFill>
                    <w14:schemeClr w14:val="tx1"/>
                  </w14:solidFill>
                </w14:textFill>
              </w:rPr>
            </w:pPr>
            <w:r>
              <w:rPr>
                <w:color w:val="000000" w:themeColor="text1"/>
                <w14:textFill>
                  <w14:solidFill>
                    <w14:schemeClr w14:val="tx1"/>
                  </w14:solidFill>
                </w14:textFill>
              </w:rPr>
              <w:t>每4小时采样一次直至达标</w:t>
            </w:r>
          </w:p>
        </w:tc>
      </w:tr>
      <w:tr w14:paraId="0C6147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09" w:type="dxa"/>
            <w:vAlign w:val="center"/>
          </w:tcPr>
          <w:p w14:paraId="0D3410AB">
            <w:pPr>
              <w:pStyle w:val="70"/>
              <w:rPr>
                <w:color w:val="000000" w:themeColor="text1"/>
                <w14:textFill>
                  <w14:solidFill>
                    <w14:schemeClr w14:val="tx1"/>
                  </w14:solidFill>
                </w14:textFill>
              </w:rPr>
            </w:pPr>
            <w:r>
              <w:rPr>
                <w:color w:val="000000" w:themeColor="text1"/>
                <w14:textFill>
                  <w14:solidFill>
                    <w14:schemeClr w14:val="tx1"/>
                  </w14:solidFill>
                </w14:textFill>
              </w:rPr>
              <w:t>化学品泄漏</w:t>
            </w:r>
          </w:p>
        </w:tc>
        <w:tc>
          <w:tcPr>
            <w:tcW w:w="1273" w:type="dxa"/>
            <w:vAlign w:val="center"/>
          </w:tcPr>
          <w:p w14:paraId="010220E2">
            <w:pPr>
              <w:pStyle w:val="70"/>
              <w:rPr>
                <w:color w:val="000000" w:themeColor="text1"/>
                <w14:textFill>
                  <w14:solidFill>
                    <w14:schemeClr w14:val="tx1"/>
                  </w14:solidFill>
                </w14:textFill>
              </w:rPr>
            </w:pPr>
            <w:r>
              <w:rPr>
                <w:color w:val="000000" w:themeColor="text1"/>
                <w14:textFill>
                  <w14:solidFill>
                    <w14:schemeClr w14:val="tx1"/>
                  </w14:solidFill>
                </w14:textFill>
              </w:rPr>
              <w:t>环境空气</w:t>
            </w:r>
          </w:p>
        </w:tc>
        <w:tc>
          <w:tcPr>
            <w:tcW w:w="2290" w:type="dxa"/>
            <w:vAlign w:val="center"/>
          </w:tcPr>
          <w:p w14:paraId="3EC81AF8">
            <w:pPr>
              <w:pStyle w:val="70"/>
              <w:rPr>
                <w:color w:val="000000" w:themeColor="text1"/>
                <w14:textFill>
                  <w14:solidFill>
                    <w14:schemeClr w14:val="tx1"/>
                  </w14:solidFill>
                </w14:textFill>
              </w:rPr>
            </w:pPr>
            <w:r>
              <w:rPr>
                <w:color w:val="000000" w:themeColor="text1"/>
                <w14:textFill>
                  <w14:solidFill>
                    <w14:schemeClr w14:val="tx1"/>
                  </w14:solidFill>
                </w14:textFill>
              </w:rPr>
              <w:t>非甲烷总烃、泄漏化学物</w:t>
            </w:r>
          </w:p>
        </w:tc>
        <w:tc>
          <w:tcPr>
            <w:tcW w:w="1652" w:type="dxa"/>
            <w:vAlign w:val="center"/>
          </w:tcPr>
          <w:p w14:paraId="60199D8D">
            <w:pPr>
              <w:pStyle w:val="70"/>
              <w:rPr>
                <w:color w:val="000000" w:themeColor="text1"/>
                <w14:textFill>
                  <w14:solidFill>
                    <w14:schemeClr w14:val="tx1"/>
                  </w14:solidFill>
                </w14:textFill>
              </w:rPr>
            </w:pPr>
            <w:r>
              <w:rPr>
                <w:color w:val="000000" w:themeColor="text1"/>
                <w14:textFill>
                  <w14:solidFill>
                    <w14:schemeClr w14:val="tx1"/>
                  </w14:solidFill>
                </w14:textFill>
              </w:rPr>
              <w:t>事故区周围设3个监测点</w:t>
            </w:r>
          </w:p>
        </w:tc>
        <w:tc>
          <w:tcPr>
            <w:tcW w:w="1652" w:type="dxa"/>
            <w:vAlign w:val="center"/>
          </w:tcPr>
          <w:p w14:paraId="6379A376">
            <w:pPr>
              <w:pStyle w:val="70"/>
              <w:rPr>
                <w:color w:val="000000" w:themeColor="text1"/>
                <w14:textFill>
                  <w14:solidFill>
                    <w14:schemeClr w14:val="tx1"/>
                  </w14:solidFill>
                </w14:textFill>
              </w:rPr>
            </w:pPr>
            <w:r>
              <w:rPr>
                <w:color w:val="000000" w:themeColor="text1"/>
                <w14:textFill>
                  <w14:solidFill>
                    <w14:schemeClr w14:val="tx1"/>
                  </w14:solidFill>
                </w14:textFill>
              </w:rPr>
              <w:t>每小时采样1次直至达标</w:t>
            </w:r>
          </w:p>
        </w:tc>
      </w:tr>
    </w:tbl>
    <w:p w14:paraId="1C873D7E">
      <w:pPr>
        <w:pStyle w:val="5"/>
        <w:rPr>
          <w:color w:val="000000" w:themeColor="text1"/>
          <w14:textFill>
            <w14:solidFill>
              <w14:schemeClr w14:val="tx1"/>
            </w14:solidFill>
          </w14:textFill>
        </w:rPr>
      </w:pPr>
      <w:bookmarkStart w:id="886" w:name="_Toc25437068"/>
      <w:bookmarkStart w:id="887" w:name="_Toc216620657"/>
      <w:r>
        <w:rPr>
          <w:color w:val="000000" w:themeColor="text1"/>
          <w14:textFill>
            <w14:solidFill>
              <w14:schemeClr w14:val="tx1"/>
            </w14:solidFill>
          </w14:textFill>
        </w:rPr>
        <w:t>环境保护“三同时”验收一览表</w:t>
      </w:r>
      <w:bookmarkEnd w:id="886"/>
      <w:bookmarkEnd w:id="887"/>
    </w:p>
    <w:p w14:paraId="26ECFEAF">
      <w:pPr>
        <w:ind w:firstLine="480"/>
        <w:rPr>
          <w:color w:val="000000" w:themeColor="text1"/>
          <w14:textFill>
            <w14:solidFill>
              <w14:schemeClr w14:val="tx1"/>
            </w14:solidFill>
          </w14:textFill>
        </w:rPr>
      </w:pPr>
      <w:r>
        <w:rPr>
          <w:color w:val="000000" w:themeColor="text1"/>
          <w14:textFill>
            <w14:solidFill>
              <w14:schemeClr w14:val="tx1"/>
            </w14:solidFill>
          </w14:textFill>
        </w:rPr>
        <w:t>根据《关于发布《建设项目竣工环境保护验收暂行办法》的公告》（国环规环评〔2017〕4 号）、《建设项目竣工环境保护验收技术规范 港口》（HJ436-2008），项目建设中应严格执行环境保护“三同时”制度，并进行环境保护设施验收。</w:t>
      </w:r>
    </w:p>
    <w:p w14:paraId="0A638A56">
      <w:pPr>
        <w:ind w:firstLine="480"/>
        <w:rPr>
          <w:color w:val="000000" w:themeColor="text1"/>
          <w14:textFill>
            <w14:solidFill>
              <w14:schemeClr w14:val="tx1"/>
            </w14:solidFill>
          </w14:textFill>
        </w:rPr>
      </w:pPr>
    </w:p>
    <w:p w14:paraId="0ACEEE7B">
      <w:pPr>
        <w:ind w:firstLine="480"/>
        <w:rPr>
          <w:color w:val="000000" w:themeColor="text1"/>
          <w14:textFill>
            <w14:solidFill>
              <w14:schemeClr w14:val="tx1"/>
            </w14:solidFill>
          </w14:textFill>
        </w:rPr>
      </w:pPr>
    </w:p>
    <w:p w14:paraId="5F6CF540">
      <w:pPr>
        <w:ind w:firstLine="480"/>
        <w:rPr>
          <w:color w:val="000000" w:themeColor="text1"/>
          <w14:textFill>
            <w14:solidFill>
              <w14:schemeClr w14:val="tx1"/>
            </w14:solidFill>
          </w14:textFill>
        </w:rPr>
      </w:pPr>
    </w:p>
    <w:p w14:paraId="63B1A86E">
      <w:pPr>
        <w:ind w:firstLine="480"/>
        <w:rPr>
          <w:color w:val="000000" w:themeColor="text1"/>
          <w14:textFill>
            <w14:solidFill>
              <w14:schemeClr w14:val="tx1"/>
            </w14:solidFill>
          </w14:textFill>
        </w:rPr>
      </w:pPr>
    </w:p>
    <w:p w14:paraId="363EB8B7">
      <w:pPr>
        <w:ind w:firstLine="480"/>
        <w:rPr>
          <w:color w:val="000000" w:themeColor="text1"/>
          <w14:textFill>
            <w14:solidFill>
              <w14:schemeClr w14:val="tx1"/>
            </w14:solidFill>
          </w14:textFill>
        </w:rPr>
      </w:pPr>
    </w:p>
    <w:p w14:paraId="20E0634B">
      <w:pPr>
        <w:ind w:firstLine="480"/>
        <w:rPr>
          <w:color w:val="000000" w:themeColor="text1"/>
          <w14:textFill>
            <w14:solidFill>
              <w14:schemeClr w14:val="tx1"/>
            </w14:solidFill>
          </w14:textFill>
        </w:rPr>
      </w:pPr>
    </w:p>
    <w:p w14:paraId="0DF5690F">
      <w:pPr>
        <w:ind w:firstLine="480"/>
        <w:rPr>
          <w:color w:val="000000" w:themeColor="text1"/>
          <w14:textFill>
            <w14:solidFill>
              <w14:schemeClr w14:val="tx1"/>
            </w14:solidFill>
          </w14:textFill>
        </w:rPr>
      </w:pPr>
    </w:p>
    <w:p w14:paraId="02F14F8A">
      <w:pPr>
        <w:ind w:firstLine="480"/>
        <w:rPr>
          <w:color w:val="000000" w:themeColor="text1"/>
          <w14:textFill>
            <w14:solidFill>
              <w14:schemeClr w14:val="tx1"/>
            </w14:solidFill>
          </w14:textFill>
        </w:rPr>
      </w:pPr>
    </w:p>
    <w:p w14:paraId="5EBC5647">
      <w:pPr>
        <w:pStyle w:val="7"/>
        <w:rPr>
          <w:color w:val="000000" w:themeColor="text1"/>
          <w14:textFill>
            <w14:solidFill>
              <w14:schemeClr w14:val="tx1"/>
            </w14:solidFill>
          </w14:textFill>
        </w:rPr>
      </w:pPr>
      <w:r>
        <w:rPr>
          <w:color w:val="000000" w:themeColor="text1"/>
          <w14:textFill>
            <w14:solidFill>
              <w14:schemeClr w14:val="tx1"/>
            </w14:solidFill>
          </w14:textFill>
        </w:rPr>
        <w:t>环保设施竣工验收一览表</w:t>
      </w:r>
    </w:p>
    <w:tbl>
      <w:tblPr>
        <w:tblStyle w:val="43"/>
        <w:tblW w:w="8446" w:type="dxa"/>
        <w:jc w:val="right"/>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87"/>
        <w:gridCol w:w="460"/>
        <w:gridCol w:w="315"/>
        <w:gridCol w:w="948"/>
        <w:gridCol w:w="3059"/>
        <w:gridCol w:w="1236"/>
        <w:gridCol w:w="1841"/>
      </w:tblGrid>
      <w:tr w14:paraId="470137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blHeader/>
          <w:jc w:val="right"/>
        </w:trPr>
        <w:tc>
          <w:tcPr>
            <w:tcW w:w="587" w:type="dxa"/>
            <w:tcMar>
              <w:left w:w="0" w:type="dxa"/>
              <w:right w:w="0" w:type="dxa"/>
            </w:tcMar>
            <w:vAlign w:val="center"/>
          </w:tcPr>
          <w:p w14:paraId="78C4B27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项目</w:t>
            </w:r>
          </w:p>
        </w:tc>
        <w:tc>
          <w:tcPr>
            <w:tcW w:w="1723" w:type="dxa"/>
            <w:gridSpan w:val="3"/>
            <w:tcMar>
              <w:left w:w="0" w:type="dxa"/>
              <w:right w:w="0" w:type="dxa"/>
            </w:tcMar>
            <w:vAlign w:val="center"/>
          </w:tcPr>
          <w:p w14:paraId="3F35D17E">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污染源</w:t>
            </w:r>
          </w:p>
        </w:tc>
        <w:tc>
          <w:tcPr>
            <w:tcW w:w="3059" w:type="dxa"/>
            <w:tcMar>
              <w:left w:w="0" w:type="dxa"/>
              <w:right w:w="0" w:type="dxa"/>
            </w:tcMar>
            <w:vAlign w:val="center"/>
          </w:tcPr>
          <w:p w14:paraId="122B0FBA">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主要环保措施</w:t>
            </w:r>
          </w:p>
        </w:tc>
        <w:tc>
          <w:tcPr>
            <w:tcW w:w="1236" w:type="dxa"/>
            <w:tcMar>
              <w:left w:w="0" w:type="dxa"/>
              <w:right w:w="0" w:type="dxa"/>
            </w:tcMar>
            <w:vAlign w:val="center"/>
          </w:tcPr>
          <w:p w14:paraId="4F9FF08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措施效果</w:t>
            </w:r>
          </w:p>
        </w:tc>
        <w:tc>
          <w:tcPr>
            <w:tcW w:w="1841" w:type="dxa"/>
            <w:tcMar>
              <w:left w:w="0" w:type="dxa"/>
              <w:right w:w="0" w:type="dxa"/>
            </w:tcMar>
            <w:vAlign w:val="center"/>
          </w:tcPr>
          <w:p w14:paraId="579B68DA">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验收要求</w:t>
            </w:r>
          </w:p>
        </w:tc>
      </w:tr>
      <w:tr w14:paraId="6313FD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587" w:type="dxa"/>
            <w:tcMar>
              <w:left w:w="0" w:type="dxa"/>
              <w:right w:w="0" w:type="dxa"/>
            </w:tcMar>
            <w:vAlign w:val="center"/>
          </w:tcPr>
          <w:p w14:paraId="31C8CD3D">
            <w:pPr>
              <w:pStyle w:val="70"/>
              <w:rPr>
                <w:color w:val="000000" w:themeColor="text1"/>
                <w14:textFill>
                  <w14:solidFill>
                    <w14:schemeClr w14:val="tx1"/>
                  </w14:solidFill>
                </w14:textFill>
              </w:rPr>
            </w:pPr>
            <w:r>
              <w:rPr>
                <w:color w:val="000000" w:themeColor="text1"/>
                <w14:textFill>
                  <w14:solidFill>
                    <w14:schemeClr w14:val="tx1"/>
                  </w14:solidFill>
                </w14:textFill>
              </w:rPr>
              <w:t>大气</w:t>
            </w:r>
          </w:p>
        </w:tc>
        <w:tc>
          <w:tcPr>
            <w:tcW w:w="1723" w:type="dxa"/>
            <w:gridSpan w:val="3"/>
            <w:tcMar>
              <w:left w:w="0" w:type="dxa"/>
              <w:right w:w="0" w:type="dxa"/>
            </w:tcMar>
            <w:vAlign w:val="center"/>
          </w:tcPr>
          <w:p w14:paraId="40A3B08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装卸废气</w:t>
            </w:r>
          </w:p>
        </w:tc>
        <w:tc>
          <w:tcPr>
            <w:tcW w:w="3059" w:type="dxa"/>
            <w:tcMar>
              <w:left w:w="0" w:type="dxa"/>
              <w:right w:w="0" w:type="dxa"/>
            </w:tcMar>
            <w:vAlign w:val="center"/>
          </w:tcPr>
          <w:p w14:paraId="5A1C5883">
            <w:pPr>
              <w:pStyle w:val="7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选用环保型高效装卸机械，加强维护保养</w:t>
            </w:r>
          </w:p>
        </w:tc>
        <w:tc>
          <w:tcPr>
            <w:tcW w:w="1236" w:type="dxa"/>
            <w:tcMar>
              <w:left w:w="0" w:type="dxa"/>
              <w:right w:w="0" w:type="dxa"/>
            </w:tcMar>
            <w:vAlign w:val="center"/>
          </w:tcPr>
          <w:p w14:paraId="1A8D0284">
            <w:pPr>
              <w:pStyle w:val="7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综合废气处理效率为95%。</w:t>
            </w:r>
          </w:p>
        </w:tc>
        <w:tc>
          <w:tcPr>
            <w:tcW w:w="1841" w:type="dxa"/>
            <w:tcMar>
              <w:left w:w="0" w:type="dxa"/>
              <w:right w:w="0" w:type="dxa"/>
            </w:tcMar>
            <w:vAlign w:val="center"/>
          </w:tcPr>
          <w:p w14:paraId="78C5FF7A">
            <w:pPr>
              <w:pStyle w:val="70"/>
              <w:jc w:val="both"/>
              <w:rPr>
                <w:color w:val="000000" w:themeColor="text1"/>
                <w14:textFill>
                  <w14:solidFill>
                    <w14:schemeClr w14:val="tx1"/>
                  </w14:solidFill>
                </w14:textFill>
              </w:rPr>
            </w:pPr>
            <w:r>
              <w:rPr>
                <w:color w:val="000000" w:themeColor="text1"/>
                <w14:textFill>
                  <w14:solidFill>
                    <w14:schemeClr w14:val="tx1"/>
                  </w14:solidFill>
                </w14:textFill>
              </w:rPr>
              <w:t>《大气污染物综合排放标准》（GB16297—1996）</w:t>
            </w:r>
          </w:p>
        </w:tc>
      </w:tr>
      <w:tr w14:paraId="202DCF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587" w:type="dxa"/>
            <w:vMerge w:val="restart"/>
            <w:tcMar>
              <w:left w:w="0" w:type="dxa"/>
              <w:right w:w="0" w:type="dxa"/>
            </w:tcMar>
            <w:vAlign w:val="center"/>
          </w:tcPr>
          <w:p w14:paraId="22346DDB">
            <w:pPr>
              <w:pStyle w:val="70"/>
              <w:rPr>
                <w:color w:val="000000" w:themeColor="text1"/>
                <w14:textFill>
                  <w14:solidFill>
                    <w14:schemeClr w14:val="tx1"/>
                  </w14:solidFill>
                </w14:textFill>
              </w:rPr>
            </w:pPr>
            <w:r>
              <w:rPr>
                <w:color w:val="000000" w:themeColor="text1"/>
                <w14:textFill>
                  <w14:solidFill>
                    <w14:schemeClr w14:val="tx1"/>
                  </w14:solidFill>
                </w14:textFill>
              </w:rPr>
              <w:t>废水</w:t>
            </w:r>
          </w:p>
        </w:tc>
        <w:tc>
          <w:tcPr>
            <w:tcW w:w="1723" w:type="dxa"/>
            <w:gridSpan w:val="3"/>
            <w:tcMar>
              <w:left w:w="0" w:type="dxa"/>
              <w:right w:w="0" w:type="dxa"/>
            </w:tcMar>
            <w:vAlign w:val="center"/>
          </w:tcPr>
          <w:p w14:paraId="60E4701C">
            <w:pPr>
              <w:pStyle w:val="70"/>
              <w:rPr>
                <w:color w:val="000000" w:themeColor="text1"/>
                <w14:textFill>
                  <w14:solidFill>
                    <w14:schemeClr w14:val="tx1"/>
                  </w14:solidFill>
                </w14:textFill>
              </w:rPr>
            </w:pPr>
            <w:r>
              <w:rPr>
                <w:color w:val="000000" w:themeColor="text1"/>
                <w14:textFill>
                  <w14:solidFill>
                    <w14:schemeClr w14:val="tx1"/>
                  </w14:solidFill>
                </w14:textFill>
              </w:rPr>
              <w:t>生活污水</w:t>
            </w:r>
          </w:p>
        </w:tc>
        <w:tc>
          <w:tcPr>
            <w:tcW w:w="3059" w:type="dxa"/>
            <w:tcMar>
              <w:left w:w="0" w:type="dxa"/>
              <w:right w:w="0" w:type="dxa"/>
            </w:tcMar>
            <w:vAlign w:val="center"/>
          </w:tcPr>
          <w:p w14:paraId="608B46C1">
            <w:pPr>
              <w:pStyle w:val="70"/>
              <w:rPr>
                <w:rFonts w:hint="eastAsia" w:eastAsia="宋体"/>
                <w:color w:val="000000" w:themeColor="text1"/>
                <w:lang w:eastAsia="zh-CN"/>
                <w14:textFill>
                  <w14:solidFill>
                    <w14:schemeClr w14:val="tx1"/>
                  </w14:solidFill>
                </w14:textFill>
              </w:rPr>
            </w:pPr>
            <w:r>
              <w:rPr>
                <w:rFonts w:hint="eastAsia"/>
                <w:color w:val="0000FF"/>
                <w:lang w:val="en-US" w:eastAsia="zh-CN"/>
              </w:rPr>
              <w:t>不新增</w:t>
            </w:r>
          </w:p>
        </w:tc>
        <w:tc>
          <w:tcPr>
            <w:tcW w:w="1236" w:type="dxa"/>
            <w:vMerge w:val="restart"/>
            <w:tcMar>
              <w:left w:w="0" w:type="dxa"/>
              <w:right w:w="0" w:type="dxa"/>
            </w:tcMar>
            <w:vAlign w:val="center"/>
          </w:tcPr>
          <w:p w14:paraId="58CDC7E1">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841" w:type="dxa"/>
            <w:vMerge w:val="restart"/>
            <w:tcMar>
              <w:left w:w="0" w:type="dxa"/>
              <w:right w:w="0" w:type="dxa"/>
            </w:tcMar>
            <w:vAlign w:val="center"/>
          </w:tcPr>
          <w:p w14:paraId="76BC7857">
            <w:pPr>
              <w:pStyle w:val="70"/>
              <w:rPr>
                <w:color w:val="000000" w:themeColor="text1"/>
                <w14:textFill>
                  <w14:solidFill>
                    <w14:schemeClr w14:val="tx1"/>
                  </w14:solidFill>
                </w14:textFill>
              </w:rPr>
            </w:pPr>
            <w:r>
              <w:rPr>
                <w:color w:val="000000" w:themeColor="text1"/>
                <w14:textFill>
                  <w14:solidFill>
                    <w14:schemeClr w14:val="tx1"/>
                  </w14:solidFill>
                </w14:textFill>
              </w:rPr>
              <w:t>满足污水处理厂进水水质要求</w:t>
            </w:r>
          </w:p>
        </w:tc>
      </w:tr>
      <w:tr w14:paraId="380825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587" w:type="dxa"/>
            <w:vMerge w:val="continue"/>
            <w:tcMar>
              <w:left w:w="0" w:type="dxa"/>
              <w:right w:w="0" w:type="dxa"/>
            </w:tcMar>
            <w:vAlign w:val="center"/>
          </w:tcPr>
          <w:p w14:paraId="2CADB990">
            <w:pPr>
              <w:pStyle w:val="70"/>
              <w:rPr>
                <w:color w:val="000000" w:themeColor="text1"/>
                <w:lang w:val="zh-CN"/>
                <w14:textFill>
                  <w14:solidFill>
                    <w14:schemeClr w14:val="tx1"/>
                  </w14:solidFill>
                </w14:textFill>
              </w:rPr>
            </w:pPr>
          </w:p>
        </w:tc>
        <w:tc>
          <w:tcPr>
            <w:tcW w:w="775" w:type="dxa"/>
            <w:gridSpan w:val="2"/>
            <w:vMerge w:val="restart"/>
            <w:tcMar>
              <w:left w:w="0" w:type="dxa"/>
              <w:right w:w="0" w:type="dxa"/>
            </w:tcMar>
            <w:vAlign w:val="center"/>
          </w:tcPr>
          <w:p w14:paraId="140F8D43">
            <w:pPr>
              <w:pStyle w:val="70"/>
              <w:rPr>
                <w:color w:val="000000" w:themeColor="text1"/>
                <w14:textFill>
                  <w14:solidFill>
                    <w14:schemeClr w14:val="tx1"/>
                  </w14:solidFill>
                </w14:textFill>
              </w:rPr>
            </w:pPr>
            <w:r>
              <w:rPr>
                <w:color w:val="000000" w:themeColor="text1"/>
                <w14:textFill>
                  <w14:solidFill>
                    <w14:schemeClr w14:val="tx1"/>
                  </w14:solidFill>
                </w14:textFill>
              </w:rPr>
              <w:t>生产废水</w:t>
            </w:r>
          </w:p>
        </w:tc>
        <w:tc>
          <w:tcPr>
            <w:tcW w:w="948" w:type="dxa"/>
            <w:tcMar>
              <w:left w:w="0" w:type="dxa"/>
              <w:right w:w="0" w:type="dxa"/>
            </w:tcMar>
            <w:vAlign w:val="center"/>
          </w:tcPr>
          <w:p w14:paraId="2B34C080">
            <w:pPr>
              <w:pStyle w:val="70"/>
              <w:rPr>
                <w:color w:val="000000" w:themeColor="text1"/>
                <w14:textFill>
                  <w14:solidFill>
                    <w14:schemeClr w14:val="tx1"/>
                  </w14:solidFill>
                </w14:textFill>
              </w:rPr>
            </w:pPr>
            <w:r>
              <w:rPr>
                <w:color w:val="000000" w:themeColor="text1"/>
                <w14:textFill>
                  <w14:solidFill>
                    <w14:schemeClr w14:val="tx1"/>
                  </w14:solidFill>
                </w14:textFill>
              </w:rPr>
              <w:t>码头冲洗废水、初期雨水等</w:t>
            </w:r>
          </w:p>
        </w:tc>
        <w:tc>
          <w:tcPr>
            <w:tcW w:w="3059" w:type="dxa"/>
            <w:tcMar>
              <w:left w:w="0" w:type="dxa"/>
              <w:right w:w="0" w:type="dxa"/>
            </w:tcMar>
            <w:vAlign w:val="center"/>
          </w:tcPr>
          <w:p w14:paraId="00C12CE9">
            <w:pPr>
              <w:pStyle w:val="70"/>
              <w:rPr>
                <w:color w:val="000000" w:themeColor="text1"/>
                <w:lang w:val="zh-CN"/>
                <w14:textFill>
                  <w14:solidFill>
                    <w14:schemeClr w14:val="tx1"/>
                  </w14:solidFill>
                </w14:textFill>
              </w:rPr>
            </w:pPr>
            <w:r>
              <w:rPr>
                <w:rFonts w:hint="eastAsia"/>
                <w:color w:val="000000" w:themeColor="text1"/>
                <w:lang w:val="en-US" w:eastAsia="zh-CN"/>
                <w14:textFill>
                  <w14:solidFill>
                    <w14:schemeClr w14:val="tx1"/>
                  </w14:solidFill>
                </w14:textFill>
              </w:rPr>
              <w:t>不新增</w:t>
            </w:r>
            <w:r>
              <w:rPr>
                <w:color w:val="000000" w:themeColor="text1"/>
                <w14:textFill>
                  <w14:solidFill>
                    <w14:schemeClr w14:val="tx1"/>
                  </w14:solidFill>
                </w14:textFill>
              </w:rPr>
              <w:t>冲洗废水、初期雨水</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码头冲洗废水、初期雨水</w:t>
            </w:r>
            <w:r>
              <w:rPr>
                <w:color w:val="000000" w:themeColor="text1"/>
                <w14:textFill>
                  <w14:solidFill>
                    <w14:schemeClr w14:val="tx1"/>
                  </w14:solidFill>
                </w14:textFill>
              </w:rPr>
              <w:t>依托</w:t>
            </w:r>
            <w:r>
              <w:rPr>
                <w:rFonts w:hint="eastAsia"/>
                <w:color w:val="000000" w:themeColor="text1"/>
                <w:lang w:val="en-US" w:eastAsia="zh-CN"/>
                <w14:textFill>
                  <w14:solidFill>
                    <w14:schemeClr w14:val="tx1"/>
                  </w14:solidFill>
                </w14:textFill>
              </w:rPr>
              <w:t>集污池、初期雨水池及</w:t>
            </w:r>
            <w:r>
              <w:rPr>
                <w:color w:val="000000" w:themeColor="text1"/>
                <w14:textFill>
                  <w14:solidFill>
                    <w14:schemeClr w14:val="tx1"/>
                  </w14:solidFill>
                </w14:textFill>
              </w:rPr>
              <w:t>广西恒逸污水处理厂进行处理。</w:t>
            </w:r>
          </w:p>
        </w:tc>
        <w:tc>
          <w:tcPr>
            <w:tcW w:w="1236" w:type="dxa"/>
            <w:vMerge w:val="continue"/>
            <w:tcMar>
              <w:left w:w="0" w:type="dxa"/>
              <w:right w:w="0" w:type="dxa"/>
            </w:tcMar>
            <w:vAlign w:val="center"/>
          </w:tcPr>
          <w:p w14:paraId="26E6AE82">
            <w:pPr>
              <w:pStyle w:val="70"/>
              <w:rPr>
                <w:color w:val="000000" w:themeColor="text1"/>
                <w:lang w:val="zh-CN"/>
                <w14:textFill>
                  <w14:solidFill>
                    <w14:schemeClr w14:val="tx1"/>
                  </w14:solidFill>
                </w14:textFill>
              </w:rPr>
            </w:pPr>
          </w:p>
        </w:tc>
        <w:tc>
          <w:tcPr>
            <w:tcW w:w="1841" w:type="dxa"/>
            <w:vMerge w:val="continue"/>
            <w:tcMar>
              <w:left w:w="0" w:type="dxa"/>
              <w:right w:w="0" w:type="dxa"/>
            </w:tcMar>
            <w:vAlign w:val="center"/>
          </w:tcPr>
          <w:p w14:paraId="2462EFEB">
            <w:pPr>
              <w:pStyle w:val="70"/>
              <w:rPr>
                <w:color w:val="000000" w:themeColor="text1"/>
                <w:lang w:val="zh-CN"/>
                <w14:textFill>
                  <w14:solidFill>
                    <w14:schemeClr w14:val="tx1"/>
                  </w14:solidFill>
                </w14:textFill>
              </w:rPr>
            </w:pPr>
          </w:p>
        </w:tc>
      </w:tr>
      <w:tr w14:paraId="37528A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587" w:type="dxa"/>
            <w:vMerge w:val="continue"/>
            <w:tcMar>
              <w:left w:w="0" w:type="dxa"/>
              <w:right w:w="0" w:type="dxa"/>
            </w:tcMar>
            <w:vAlign w:val="center"/>
          </w:tcPr>
          <w:p w14:paraId="2B3BA499">
            <w:pPr>
              <w:pStyle w:val="70"/>
              <w:rPr>
                <w:color w:val="000000" w:themeColor="text1"/>
                <w:lang w:val="zh-CN"/>
                <w14:textFill>
                  <w14:solidFill>
                    <w14:schemeClr w14:val="tx1"/>
                  </w14:solidFill>
                </w14:textFill>
              </w:rPr>
            </w:pPr>
          </w:p>
        </w:tc>
        <w:tc>
          <w:tcPr>
            <w:tcW w:w="775" w:type="dxa"/>
            <w:gridSpan w:val="2"/>
            <w:vMerge w:val="continue"/>
            <w:tcMar>
              <w:left w:w="0" w:type="dxa"/>
              <w:right w:w="0" w:type="dxa"/>
            </w:tcMar>
            <w:vAlign w:val="center"/>
          </w:tcPr>
          <w:p w14:paraId="1B5497FD">
            <w:pPr>
              <w:pStyle w:val="70"/>
              <w:rPr>
                <w:color w:val="000000" w:themeColor="text1"/>
                <w:lang w:val="zh-CN"/>
                <w14:textFill>
                  <w14:solidFill>
                    <w14:schemeClr w14:val="tx1"/>
                  </w14:solidFill>
                </w14:textFill>
              </w:rPr>
            </w:pPr>
          </w:p>
        </w:tc>
        <w:tc>
          <w:tcPr>
            <w:tcW w:w="948" w:type="dxa"/>
            <w:tcMar>
              <w:left w:w="0" w:type="dxa"/>
              <w:right w:w="0" w:type="dxa"/>
            </w:tcMar>
            <w:vAlign w:val="center"/>
          </w:tcPr>
          <w:p w14:paraId="1E58681B">
            <w:pPr>
              <w:pStyle w:val="70"/>
              <w:rPr>
                <w:color w:val="000000" w:themeColor="text1"/>
                <w14:textFill>
                  <w14:solidFill>
                    <w14:schemeClr w14:val="tx1"/>
                  </w14:solidFill>
                </w14:textFill>
              </w:rPr>
            </w:pPr>
            <w:r>
              <w:rPr>
                <w:color w:val="000000" w:themeColor="text1"/>
                <w14:textFill>
                  <w14:solidFill>
                    <w14:schemeClr w14:val="tx1"/>
                  </w14:solidFill>
                </w14:textFill>
              </w:rPr>
              <w:t>来港船舶船舱油污水、船舶洗舱水、船舶生活污水</w:t>
            </w:r>
          </w:p>
        </w:tc>
        <w:tc>
          <w:tcPr>
            <w:tcW w:w="3059" w:type="dxa"/>
            <w:tcMar>
              <w:left w:w="0" w:type="dxa"/>
              <w:right w:w="0" w:type="dxa"/>
            </w:tcMar>
            <w:vAlign w:val="center"/>
          </w:tcPr>
          <w:p w14:paraId="42E4FE8D">
            <w:pPr>
              <w:pStyle w:val="70"/>
              <w:rPr>
                <w:color w:val="000000" w:themeColor="text1"/>
                <w14:textFill>
                  <w14:solidFill>
                    <w14:schemeClr w14:val="tx1"/>
                  </w14:solidFill>
                </w14:textFill>
              </w:rPr>
            </w:pPr>
            <w:r>
              <w:rPr>
                <w:color w:val="000000" w:themeColor="text1"/>
                <w14:textFill>
                  <w14:solidFill>
                    <w14:schemeClr w14:val="tx1"/>
                  </w14:solidFill>
                </w14:textFill>
              </w:rPr>
              <w:t>由具有相关资质的单位接收</w:t>
            </w:r>
          </w:p>
        </w:tc>
        <w:tc>
          <w:tcPr>
            <w:tcW w:w="1236" w:type="dxa"/>
            <w:tcMar>
              <w:left w:w="0" w:type="dxa"/>
              <w:right w:w="0" w:type="dxa"/>
            </w:tcMar>
            <w:vAlign w:val="center"/>
          </w:tcPr>
          <w:p w14:paraId="761E3D0E">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841" w:type="dxa"/>
            <w:tcMar>
              <w:left w:w="0" w:type="dxa"/>
              <w:right w:w="0" w:type="dxa"/>
            </w:tcMar>
            <w:vAlign w:val="center"/>
          </w:tcPr>
          <w:p w14:paraId="1B09A10A">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7AD0CE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587" w:type="dxa"/>
            <w:tcMar>
              <w:left w:w="0" w:type="dxa"/>
              <w:right w:w="0" w:type="dxa"/>
            </w:tcMar>
            <w:vAlign w:val="center"/>
          </w:tcPr>
          <w:p w14:paraId="6390DC9F">
            <w:pPr>
              <w:pStyle w:val="70"/>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1723" w:type="dxa"/>
            <w:gridSpan w:val="3"/>
            <w:tcMar>
              <w:left w:w="0" w:type="dxa"/>
              <w:right w:w="0" w:type="dxa"/>
            </w:tcMar>
            <w:vAlign w:val="center"/>
          </w:tcPr>
          <w:p w14:paraId="59B260F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设备噪声、船舶噪声</w:t>
            </w:r>
          </w:p>
        </w:tc>
        <w:tc>
          <w:tcPr>
            <w:tcW w:w="3059" w:type="dxa"/>
            <w:tcMar>
              <w:left w:w="0" w:type="dxa"/>
              <w:right w:w="0" w:type="dxa"/>
            </w:tcMar>
            <w:vAlign w:val="center"/>
          </w:tcPr>
          <w:p w14:paraId="350422B7">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使用先进的、噪声小的装卸机械和泵设备，并对噪声、振动较大的设备采取消声、减振措施；禁止船舶使用汽笛</w:t>
            </w:r>
          </w:p>
        </w:tc>
        <w:tc>
          <w:tcPr>
            <w:tcW w:w="1236" w:type="dxa"/>
            <w:tcMar>
              <w:left w:w="0" w:type="dxa"/>
              <w:right w:w="0" w:type="dxa"/>
            </w:tcMar>
            <w:vAlign w:val="center"/>
          </w:tcPr>
          <w:p w14:paraId="7625EC0F">
            <w:pPr>
              <w:pStyle w:val="70"/>
              <w:rPr>
                <w:color w:val="000000" w:themeColor="text1"/>
                <w14:textFill>
                  <w14:solidFill>
                    <w14:schemeClr w14:val="tx1"/>
                  </w14:solidFill>
                </w14:textFill>
              </w:rPr>
            </w:pPr>
            <w:r>
              <w:rPr>
                <w:color w:val="000000" w:themeColor="text1"/>
                <w14:textFill>
                  <w14:solidFill>
                    <w14:schemeClr w14:val="tx1"/>
                  </w14:solidFill>
                </w14:textFill>
              </w:rPr>
              <w:t>港界噪声</w:t>
            </w:r>
          </w:p>
          <w:p w14:paraId="1E294A81">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c>
          <w:tcPr>
            <w:tcW w:w="1841" w:type="dxa"/>
            <w:tcMar>
              <w:left w:w="0" w:type="dxa"/>
              <w:right w:w="0" w:type="dxa"/>
            </w:tcMar>
            <w:vAlign w:val="center"/>
          </w:tcPr>
          <w:p w14:paraId="33B9D9B9">
            <w:pPr>
              <w:pStyle w:val="70"/>
              <w:rPr>
                <w:color w:val="000000" w:themeColor="text1"/>
                <w14:textFill>
                  <w14:solidFill>
                    <w14:schemeClr w14:val="tx1"/>
                  </w14:solidFill>
                </w14:textFill>
              </w:rPr>
            </w:pPr>
            <w:r>
              <w:rPr>
                <w:color w:val="000000" w:themeColor="text1"/>
                <w14:textFill>
                  <w14:solidFill>
                    <w14:schemeClr w14:val="tx1"/>
                  </w14:solidFill>
                </w14:textFill>
              </w:rPr>
              <w:t>《工业企业厂界环境噪声排放标准》(GB12348-2008)中的3类标准</w:t>
            </w:r>
          </w:p>
        </w:tc>
      </w:tr>
      <w:tr w14:paraId="08F04C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587" w:type="dxa"/>
            <w:vMerge w:val="restart"/>
            <w:tcMar>
              <w:left w:w="0" w:type="dxa"/>
              <w:right w:w="0" w:type="dxa"/>
            </w:tcMar>
            <w:vAlign w:val="center"/>
          </w:tcPr>
          <w:p w14:paraId="3E6E3A55">
            <w:pPr>
              <w:pStyle w:val="70"/>
              <w:rPr>
                <w:color w:val="000000" w:themeColor="text1"/>
                <w14:textFill>
                  <w14:solidFill>
                    <w14:schemeClr w14:val="tx1"/>
                  </w14:solidFill>
                </w14:textFill>
              </w:rPr>
            </w:pPr>
            <w:r>
              <w:rPr>
                <w:color w:val="000000" w:themeColor="text1"/>
                <w14:textFill>
                  <w14:solidFill>
                    <w14:schemeClr w14:val="tx1"/>
                  </w14:solidFill>
                </w14:textFill>
              </w:rPr>
              <w:t>固体废物</w:t>
            </w:r>
          </w:p>
        </w:tc>
        <w:tc>
          <w:tcPr>
            <w:tcW w:w="1723" w:type="dxa"/>
            <w:gridSpan w:val="3"/>
            <w:tcMar>
              <w:left w:w="0" w:type="dxa"/>
              <w:right w:w="0" w:type="dxa"/>
            </w:tcMar>
            <w:vAlign w:val="center"/>
          </w:tcPr>
          <w:p w14:paraId="62881E6F">
            <w:pPr>
              <w:pStyle w:val="70"/>
              <w:rPr>
                <w:color w:val="0000FF"/>
              </w:rPr>
            </w:pPr>
            <w:r>
              <w:rPr>
                <w:color w:val="0000FF"/>
              </w:rPr>
              <w:t>船舶垃圾</w:t>
            </w:r>
          </w:p>
        </w:tc>
        <w:tc>
          <w:tcPr>
            <w:tcW w:w="3059" w:type="dxa"/>
            <w:tcMar>
              <w:left w:w="0" w:type="dxa"/>
              <w:right w:w="0" w:type="dxa"/>
            </w:tcMar>
            <w:vAlign w:val="center"/>
          </w:tcPr>
          <w:p w14:paraId="0018159B">
            <w:pPr>
              <w:pStyle w:val="70"/>
              <w:rPr>
                <w:rFonts w:hint="default" w:eastAsia="宋体"/>
                <w:color w:val="0000FF"/>
                <w:lang w:val="en-US" w:eastAsia="zh-CN"/>
              </w:rPr>
            </w:pPr>
            <w:r>
              <w:rPr>
                <w:rFonts w:hint="eastAsia"/>
                <w:color w:val="0000FF"/>
                <w:lang w:val="en-US" w:eastAsia="zh-CN"/>
              </w:rPr>
              <w:t>有资质单位接收</w:t>
            </w:r>
          </w:p>
        </w:tc>
        <w:tc>
          <w:tcPr>
            <w:tcW w:w="1236" w:type="dxa"/>
            <w:vMerge w:val="restart"/>
            <w:tcMar>
              <w:left w:w="0" w:type="dxa"/>
              <w:right w:w="0" w:type="dxa"/>
            </w:tcMar>
            <w:vAlign w:val="center"/>
          </w:tcPr>
          <w:p w14:paraId="620BDB2E">
            <w:pPr>
              <w:pStyle w:val="70"/>
              <w:rPr>
                <w:color w:val="0000FF"/>
              </w:rPr>
            </w:pPr>
            <w:r>
              <w:rPr>
                <w:color w:val="0000FF"/>
              </w:rPr>
              <w:t>固体废物均能得到有效处理</w:t>
            </w:r>
          </w:p>
        </w:tc>
        <w:tc>
          <w:tcPr>
            <w:tcW w:w="1841" w:type="dxa"/>
            <w:tcMar>
              <w:left w:w="0" w:type="dxa"/>
              <w:right w:w="0" w:type="dxa"/>
            </w:tcMar>
            <w:vAlign w:val="center"/>
          </w:tcPr>
          <w:p w14:paraId="3CCC4992">
            <w:pPr>
              <w:pStyle w:val="70"/>
              <w:rPr>
                <w:color w:val="0000FF"/>
              </w:rPr>
            </w:pPr>
            <w:r>
              <w:rPr>
                <w:rFonts w:hint="eastAsia"/>
                <w:color w:val="0000FF"/>
                <w:lang w:val="en-US" w:eastAsia="zh-CN"/>
              </w:rPr>
              <w:t>有资质单位接收</w:t>
            </w:r>
          </w:p>
        </w:tc>
      </w:tr>
      <w:tr w14:paraId="0A4648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587" w:type="dxa"/>
            <w:vMerge w:val="continue"/>
            <w:tcMar>
              <w:left w:w="0" w:type="dxa"/>
              <w:right w:w="0" w:type="dxa"/>
            </w:tcMar>
            <w:vAlign w:val="center"/>
          </w:tcPr>
          <w:p w14:paraId="6CE6AAF8">
            <w:pPr>
              <w:pStyle w:val="70"/>
              <w:rPr>
                <w:color w:val="000000" w:themeColor="text1"/>
                <w14:textFill>
                  <w14:solidFill>
                    <w14:schemeClr w14:val="tx1"/>
                  </w14:solidFill>
                </w14:textFill>
              </w:rPr>
            </w:pPr>
          </w:p>
        </w:tc>
        <w:tc>
          <w:tcPr>
            <w:tcW w:w="460" w:type="dxa"/>
            <w:tcMar>
              <w:left w:w="0" w:type="dxa"/>
              <w:right w:w="0" w:type="dxa"/>
            </w:tcMar>
            <w:vAlign w:val="center"/>
          </w:tcPr>
          <w:p w14:paraId="2303C256">
            <w:pPr>
              <w:pStyle w:val="70"/>
              <w:rPr>
                <w:color w:val="000000" w:themeColor="text1"/>
                <w14:textFill>
                  <w14:solidFill>
                    <w14:schemeClr w14:val="tx1"/>
                  </w14:solidFill>
                </w14:textFill>
              </w:rPr>
            </w:pPr>
            <w:r>
              <w:rPr>
                <w:color w:val="000000" w:themeColor="text1"/>
                <w14:textFill>
                  <w14:solidFill>
                    <w14:schemeClr w14:val="tx1"/>
                  </w14:solidFill>
                </w14:textFill>
              </w:rPr>
              <w:t>危险废物</w:t>
            </w:r>
          </w:p>
        </w:tc>
        <w:tc>
          <w:tcPr>
            <w:tcW w:w="1263" w:type="dxa"/>
            <w:gridSpan w:val="2"/>
            <w:tcMar>
              <w:left w:w="0" w:type="dxa"/>
              <w:right w:w="0" w:type="dxa"/>
            </w:tcMar>
            <w:vAlign w:val="center"/>
          </w:tcPr>
          <w:p w14:paraId="36F3982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含油或化学品的废布及棉纱</w:t>
            </w:r>
          </w:p>
        </w:tc>
        <w:tc>
          <w:tcPr>
            <w:tcW w:w="3059" w:type="dxa"/>
            <w:tcMar>
              <w:left w:w="0" w:type="dxa"/>
              <w:right w:w="0" w:type="dxa"/>
            </w:tcMar>
            <w:vAlign w:val="center"/>
          </w:tcPr>
          <w:p w14:paraId="3FB1CC8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暂存于项目危废暂存间，定期交由钦州时昌再生资源有限公司接收处置</w:t>
            </w:r>
          </w:p>
        </w:tc>
        <w:tc>
          <w:tcPr>
            <w:tcW w:w="1236" w:type="dxa"/>
            <w:vMerge w:val="continue"/>
            <w:tcMar>
              <w:left w:w="0" w:type="dxa"/>
              <w:right w:w="0" w:type="dxa"/>
            </w:tcMar>
            <w:vAlign w:val="center"/>
          </w:tcPr>
          <w:p w14:paraId="2F6C7A54">
            <w:pPr>
              <w:pStyle w:val="70"/>
              <w:rPr>
                <w:color w:val="000000" w:themeColor="text1"/>
                <w:lang w:val="zh-CN"/>
                <w14:textFill>
                  <w14:solidFill>
                    <w14:schemeClr w14:val="tx1"/>
                  </w14:solidFill>
                </w14:textFill>
              </w:rPr>
            </w:pPr>
          </w:p>
        </w:tc>
        <w:tc>
          <w:tcPr>
            <w:tcW w:w="1841" w:type="dxa"/>
            <w:tcMar>
              <w:left w:w="0" w:type="dxa"/>
              <w:right w:w="0" w:type="dxa"/>
            </w:tcMar>
            <w:vAlign w:val="center"/>
          </w:tcPr>
          <w:p w14:paraId="206759EF">
            <w:pPr>
              <w:pStyle w:val="70"/>
              <w:rPr>
                <w:color w:val="000000" w:themeColor="text1"/>
                <w14:textFill>
                  <w14:solidFill>
                    <w14:schemeClr w14:val="tx1"/>
                  </w14:solidFill>
                </w14:textFill>
              </w:rPr>
            </w:pPr>
            <w:r>
              <w:rPr>
                <w:rFonts w:eastAsiaTheme="minorEastAsia"/>
                <w:color w:val="000000" w:themeColor="text1"/>
                <w14:textFill>
                  <w14:solidFill>
                    <w14:schemeClr w14:val="tx1"/>
                  </w14:solidFill>
                </w14:textFill>
              </w:rPr>
              <w:t>《危险废物贮存污染控制标准》（GB18597-2023）</w:t>
            </w:r>
          </w:p>
        </w:tc>
      </w:tr>
      <w:tr w14:paraId="6BCA24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587" w:type="dxa"/>
            <w:tcMar>
              <w:left w:w="0" w:type="dxa"/>
              <w:right w:w="0" w:type="dxa"/>
            </w:tcMar>
            <w:vAlign w:val="center"/>
          </w:tcPr>
          <w:p w14:paraId="046C5865">
            <w:pPr>
              <w:pStyle w:val="70"/>
              <w:rPr>
                <w:color w:val="000000" w:themeColor="text1"/>
                <w14:textFill>
                  <w14:solidFill>
                    <w14:schemeClr w14:val="tx1"/>
                  </w14:solidFill>
                </w14:textFill>
              </w:rPr>
            </w:pPr>
            <w:r>
              <w:rPr>
                <w:color w:val="000000" w:themeColor="text1"/>
                <w14:textFill>
                  <w14:solidFill>
                    <w14:schemeClr w14:val="tx1"/>
                  </w14:solidFill>
                </w14:textFill>
              </w:rPr>
              <w:t>风险</w:t>
            </w:r>
          </w:p>
        </w:tc>
        <w:tc>
          <w:tcPr>
            <w:tcW w:w="1723" w:type="dxa"/>
            <w:gridSpan w:val="3"/>
            <w:tcMar>
              <w:left w:w="0" w:type="dxa"/>
              <w:right w:w="0" w:type="dxa"/>
            </w:tcMar>
            <w:vAlign w:val="center"/>
          </w:tcPr>
          <w:p w14:paraId="521A7B5A">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3059" w:type="dxa"/>
            <w:tcMar>
              <w:left w:w="0" w:type="dxa"/>
              <w:right w:w="0" w:type="dxa"/>
            </w:tcMar>
            <w:vAlign w:val="center"/>
          </w:tcPr>
          <w:p w14:paraId="1DCA4128">
            <w:pPr>
              <w:pStyle w:val="70"/>
              <w:rPr>
                <w:color w:val="000000" w:themeColor="text1"/>
                <w14:textFill>
                  <w14:solidFill>
                    <w14:schemeClr w14:val="tx1"/>
                  </w14:solidFill>
                </w14:textFill>
              </w:rPr>
            </w:pPr>
            <w:r>
              <w:rPr>
                <w:rFonts w:hint="eastAsia"/>
                <w:color w:val="0000FF"/>
                <w:lang w:val="en-US" w:eastAsia="zh-CN"/>
              </w:rPr>
              <w:t>依托</w:t>
            </w:r>
            <w:r>
              <w:rPr>
                <w:rFonts w:hint="eastAsia"/>
                <w:color w:val="0000FF"/>
              </w:rPr>
              <w:t>陆域厂区东北侧设置</w:t>
            </w:r>
            <w:r>
              <w:rPr>
                <w:rFonts w:hint="eastAsia"/>
                <w:color w:val="0000FF"/>
                <w:lang w:val="en-US" w:eastAsia="zh-CN"/>
              </w:rPr>
              <w:t>的</w:t>
            </w:r>
            <w:r>
              <w:rPr>
                <w:rFonts w:hint="eastAsia"/>
                <w:color w:val="0000FF"/>
              </w:rPr>
              <w:t>初期雨水池</w:t>
            </w:r>
            <w:r>
              <w:rPr>
                <w:rFonts w:hint="eastAsia"/>
                <w:color w:val="000000" w:themeColor="text1"/>
                <w14:textFill>
                  <w14:solidFill>
                    <w14:schemeClr w14:val="tx1"/>
                  </w14:solidFill>
                </w14:textFill>
              </w:rPr>
              <w:t>、事故应急池各1座，在码头作业平台装卸区设置围堰（长宽高：29.5m×13.3m×0.2m，有效容积78m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），围堰内设置集污池（有效容积2m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于陆域厂区南部、引桥旁设置应急物资库1座码头操作区域设置有毒及可燃气体监测仪、紧急阀门，每隔一定距离设置火灾报警按钮。码头前方装卸平台上设置一体化防爆摄像机，在陆域消防控制室设置监视器。同时，在码头外侧设置溢油报警、检测器，并在水域设置1段640m长度的永久布放型围油栏</w:t>
            </w:r>
          </w:p>
        </w:tc>
        <w:tc>
          <w:tcPr>
            <w:tcW w:w="1236" w:type="dxa"/>
            <w:tcMar>
              <w:left w:w="0" w:type="dxa"/>
              <w:right w:w="0" w:type="dxa"/>
            </w:tcMar>
            <w:vAlign w:val="center"/>
          </w:tcPr>
          <w:p w14:paraId="1823F70E">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841" w:type="dxa"/>
            <w:tcMar>
              <w:left w:w="0" w:type="dxa"/>
              <w:right w:w="0" w:type="dxa"/>
            </w:tcMar>
            <w:vAlign w:val="center"/>
          </w:tcPr>
          <w:p w14:paraId="0F6116B6">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36838F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587" w:type="dxa"/>
            <w:tcMar>
              <w:left w:w="0" w:type="dxa"/>
              <w:right w:w="0" w:type="dxa"/>
            </w:tcMar>
            <w:vAlign w:val="center"/>
          </w:tcPr>
          <w:p w14:paraId="235D01F6">
            <w:pPr>
              <w:pStyle w:val="70"/>
              <w:rPr>
                <w:color w:val="000000" w:themeColor="text1"/>
                <w14:textFill>
                  <w14:solidFill>
                    <w14:schemeClr w14:val="tx1"/>
                  </w14:solidFill>
                </w14:textFill>
              </w:rPr>
            </w:pPr>
            <w:r>
              <w:rPr>
                <w:color w:val="000000" w:themeColor="text1"/>
                <w14:textFill>
                  <w14:solidFill>
                    <w14:schemeClr w14:val="tx1"/>
                  </w14:solidFill>
                </w14:textFill>
              </w:rPr>
              <w:t>监测监理</w:t>
            </w:r>
          </w:p>
        </w:tc>
        <w:tc>
          <w:tcPr>
            <w:tcW w:w="1723" w:type="dxa"/>
            <w:gridSpan w:val="3"/>
            <w:tcMar>
              <w:left w:w="0" w:type="dxa"/>
              <w:right w:w="0" w:type="dxa"/>
            </w:tcMar>
            <w:vAlign w:val="center"/>
          </w:tcPr>
          <w:p w14:paraId="1620FDF3">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3059" w:type="dxa"/>
            <w:tcMar>
              <w:left w:w="0" w:type="dxa"/>
              <w:right w:w="0" w:type="dxa"/>
            </w:tcMar>
            <w:vAlign w:val="center"/>
          </w:tcPr>
          <w:p w14:paraId="301DD05A">
            <w:pPr>
              <w:pStyle w:val="70"/>
              <w:rPr>
                <w:color w:val="000000" w:themeColor="text1"/>
                <w14:textFill>
                  <w14:solidFill>
                    <w14:schemeClr w14:val="tx1"/>
                  </w14:solidFill>
                </w14:textFill>
              </w:rPr>
            </w:pPr>
            <w:r>
              <w:rPr>
                <w:color w:val="000000" w:themeColor="text1"/>
                <w14:textFill>
                  <w14:solidFill>
                    <w14:schemeClr w14:val="tx1"/>
                  </w14:solidFill>
                </w14:textFill>
              </w:rPr>
              <w:t>开展施工期环境监测与监理，编制施工期环境监理报告</w:t>
            </w:r>
          </w:p>
        </w:tc>
        <w:tc>
          <w:tcPr>
            <w:tcW w:w="1236" w:type="dxa"/>
            <w:tcMar>
              <w:left w:w="0" w:type="dxa"/>
              <w:right w:w="0" w:type="dxa"/>
            </w:tcMar>
            <w:vAlign w:val="center"/>
          </w:tcPr>
          <w:p w14:paraId="08CA40F8">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841" w:type="dxa"/>
            <w:tcMar>
              <w:left w:w="0" w:type="dxa"/>
              <w:right w:w="0" w:type="dxa"/>
            </w:tcMar>
            <w:vAlign w:val="center"/>
          </w:tcPr>
          <w:p w14:paraId="1A699201">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bl>
    <w:p w14:paraId="04A2D98A">
      <w:pPr>
        <w:ind w:firstLine="480"/>
        <w:rPr>
          <w:color w:val="000000" w:themeColor="text1"/>
          <w14:textFill>
            <w14:solidFill>
              <w14:schemeClr w14:val="tx1"/>
            </w14:solidFill>
          </w14:textFill>
        </w:rPr>
        <w:sectPr>
          <w:pgSz w:w="11906" w:h="16838"/>
          <w:pgMar w:top="1440" w:right="1800" w:bottom="1440" w:left="1800" w:header="851" w:footer="680" w:gutter="0"/>
          <w:pgBorders>
            <w:top w:val="none" w:sz="0" w:space="0"/>
            <w:left w:val="none" w:sz="0" w:space="0"/>
            <w:bottom w:val="none" w:sz="0" w:space="0"/>
            <w:right w:val="none" w:sz="0" w:space="0"/>
          </w:pgBorders>
          <w:pgNumType w:fmt="numberInDash"/>
          <w:cols w:space="720" w:num="1"/>
          <w:docGrid w:type="lines" w:linePitch="312" w:charSpace="0"/>
        </w:sectPr>
      </w:pPr>
    </w:p>
    <w:p w14:paraId="6E6BE9FB">
      <w:pPr>
        <w:pStyle w:val="3"/>
        <w:rPr>
          <w:color w:val="000000" w:themeColor="text1"/>
          <w14:textFill>
            <w14:solidFill>
              <w14:schemeClr w14:val="tx1"/>
            </w14:solidFill>
          </w14:textFill>
        </w:rPr>
      </w:pPr>
      <w:bookmarkStart w:id="888" w:name="_Toc216620658"/>
      <w:bookmarkStart w:id="889" w:name="_Toc22716725"/>
      <w:r>
        <w:rPr>
          <w:color w:val="000000" w:themeColor="text1"/>
          <w14:textFill>
            <w14:solidFill>
              <w14:schemeClr w14:val="tx1"/>
            </w14:solidFill>
          </w14:textFill>
        </w:rPr>
        <w:t>环境影响评价结论</w:t>
      </w:r>
      <w:bookmarkEnd w:id="888"/>
      <w:bookmarkEnd w:id="889"/>
    </w:p>
    <w:p w14:paraId="2CA48E03">
      <w:pPr>
        <w:pStyle w:val="5"/>
        <w:rPr>
          <w:color w:val="000000" w:themeColor="text1"/>
          <w14:textFill>
            <w14:solidFill>
              <w14:schemeClr w14:val="tx1"/>
            </w14:solidFill>
          </w14:textFill>
        </w:rPr>
      </w:pPr>
      <w:bookmarkStart w:id="890" w:name="_Toc216620659"/>
      <w:bookmarkStart w:id="891" w:name="_Toc25437070"/>
      <w:bookmarkStart w:id="892" w:name="_Toc22716726"/>
      <w:r>
        <w:rPr>
          <w:color w:val="000000" w:themeColor="text1"/>
          <w14:textFill>
            <w14:solidFill>
              <w14:schemeClr w14:val="tx1"/>
            </w14:solidFill>
          </w14:textFill>
        </w:rPr>
        <w:t>项目概况</w:t>
      </w:r>
      <w:bookmarkEnd w:id="890"/>
      <w:bookmarkEnd w:id="891"/>
      <w:bookmarkEnd w:id="892"/>
    </w:p>
    <w:p w14:paraId="45129EB9">
      <w:pPr>
        <w:ind w:firstLine="480"/>
        <w:rPr>
          <w:iCs/>
          <w:color w:val="000000" w:themeColor="text1"/>
          <w:szCs w:val="28"/>
          <w:u w:val="single"/>
          <w14:textFill>
            <w14:solidFill>
              <w14:schemeClr w14:val="tx1"/>
            </w14:solidFill>
          </w14:textFill>
        </w:rPr>
      </w:pPr>
      <w:r>
        <w:rPr>
          <w:rFonts w:hint="eastAsia"/>
          <w:color w:val="000000" w:themeColor="text1"/>
          <w:szCs w:val="28"/>
          <w14:textFill>
            <w14:solidFill>
              <w14:schemeClr w14:val="tx1"/>
            </w14:solidFill>
          </w14:textFill>
        </w:rPr>
        <w:t>北</w:t>
      </w:r>
      <w:r>
        <w:rPr>
          <w:rFonts w:hint="eastAsia"/>
          <w:color w:val="000000" w:themeColor="text1"/>
          <w:szCs w:val="28"/>
          <w:u w:val="single"/>
          <w14:textFill>
            <w14:solidFill>
              <w14:schemeClr w14:val="tx1"/>
            </w14:solidFill>
          </w14:textFill>
        </w:rPr>
        <w:t>部湾港钦州港域金谷港区金鼓江作业区14号泊位扩建工程（新增液硫、苯乙烯等装卸设施）</w:t>
      </w:r>
      <w:r>
        <w:rPr>
          <w:color w:val="000000" w:themeColor="text1"/>
          <w:szCs w:val="28"/>
          <w:u w:val="single"/>
          <w14:textFill>
            <w14:solidFill>
              <w14:schemeClr w14:val="tx1"/>
            </w14:solidFill>
          </w14:textFill>
        </w:rPr>
        <w:t>位于</w:t>
      </w:r>
      <w:r>
        <w:rPr>
          <w:color w:val="000000" w:themeColor="text1"/>
          <w:u w:val="single"/>
          <w14:textFill>
            <w14:solidFill>
              <w14:schemeClr w14:val="tx1"/>
            </w14:solidFill>
          </w14:textFill>
        </w:rPr>
        <w:t>钦州港金鼓江西岸</w:t>
      </w:r>
      <w:r>
        <w:rPr>
          <w:iCs/>
          <w:color w:val="000000" w:themeColor="text1"/>
          <w:szCs w:val="28"/>
          <w:u w:val="single"/>
          <w14:textFill>
            <w14:solidFill>
              <w14:schemeClr w14:val="tx1"/>
            </w14:solidFill>
          </w14:textFill>
        </w:rPr>
        <w:t>规划的13#和1</w:t>
      </w:r>
      <w:r>
        <w:rPr>
          <w:rFonts w:hint="eastAsia"/>
          <w:iCs/>
          <w:color w:val="000000" w:themeColor="text1"/>
          <w:szCs w:val="28"/>
          <w:u w:val="single"/>
          <w14:textFill>
            <w14:solidFill>
              <w14:schemeClr w14:val="tx1"/>
            </w14:solidFill>
          </w14:textFill>
        </w:rPr>
        <w:t>5</w:t>
      </w:r>
      <w:r>
        <w:rPr>
          <w:iCs/>
          <w:color w:val="000000" w:themeColor="text1"/>
          <w:szCs w:val="28"/>
          <w:u w:val="single"/>
          <w14:textFill>
            <w14:solidFill>
              <w14:schemeClr w14:val="tx1"/>
            </w14:solidFill>
          </w14:textFill>
        </w:rPr>
        <w:t>#泊位之间。</w:t>
      </w:r>
    </w:p>
    <w:p w14:paraId="73B0A5DD">
      <w:pPr>
        <w:ind w:firstLine="480"/>
        <w:rPr>
          <w:rFonts w:ascii="宋体" w:hAnsi="宋体"/>
          <w:color w:val="000000" w:themeColor="text1"/>
          <w:u w:val="single"/>
          <w14:textFill>
            <w14:solidFill>
              <w14:schemeClr w14:val="tx1"/>
            </w14:solidFill>
          </w14:textFill>
        </w:rPr>
      </w:pPr>
      <w:r>
        <w:rPr>
          <w:rFonts w:hint="eastAsia"/>
          <w:iCs/>
          <w:color w:val="000000" w:themeColor="text1"/>
          <w:szCs w:val="28"/>
          <w:u w:val="single"/>
          <w14:textFill>
            <w14:solidFill>
              <w14:schemeClr w14:val="tx1"/>
            </w14:solidFill>
          </w14:textFill>
        </w:rPr>
        <w:t>项目在现有基础上</w:t>
      </w:r>
      <w:r>
        <w:rPr>
          <w:rFonts w:hint="eastAsia" w:ascii="宋体" w:hAnsi="宋体"/>
          <w:color w:val="000000" w:themeColor="text1"/>
          <w:u w:val="single"/>
          <w14:textFill>
            <w14:solidFill>
              <w14:schemeClr w14:val="tx1"/>
            </w14:solidFill>
          </w14:textFill>
        </w:rPr>
        <w:t>新增苯乙烯利用现有装卸臂进行装卸，均为卸船后经管道至后方</w:t>
      </w:r>
      <w:r>
        <w:rPr>
          <w:rFonts w:hint="eastAsia"/>
          <w:color w:val="000000" w:themeColor="text1"/>
          <w:u w:val="single"/>
          <w14:textFill>
            <w14:solidFill>
              <w14:schemeClr w14:val="tx1"/>
            </w14:solidFill>
          </w14:textFill>
        </w:rPr>
        <w:t>台湾见龙钦州高端聚苯乙烯新材料项目</w:t>
      </w:r>
      <w:r>
        <w:rPr>
          <w:rFonts w:hint="eastAsia" w:ascii="宋体" w:hAnsi="宋体"/>
          <w:color w:val="000000" w:themeColor="text1"/>
          <w:u w:val="single"/>
          <w14:textFill>
            <w14:solidFill>
              <w14:schemeClr w14:val="tx1"/>
            </w14:solidFill>
          </w14:textFill>
        </w:rPr>
        <w:t>厂区。</w:t>
      </w:r>
      <w:r>
        <w:rPr>
          <w:rFonts w:hint="eastAsia"/>
          <w:color w:val="000000" w:themeColor="text1"/>
          <w:u w:val="single"/>
          <w14:textFill>
            <w14:solidFill>
              <w14:schemeClr w14:val="tx1"/>
            </w14:solidFill>
          </w14:textFill>
        </w:rPr>
        <w:t>棕榈酸化油、脂肪酸混合物由</w:t>
      </w:r>
      <w:r>
        <w:rPr>
          <w:rFonts w:hint="eastAsia" w:ascii="宋体" w:hAnsi="宋体"/>
          <w:color w:val="000000" w:themeColor="text1"/>
          <w:u w:val="single"/>
          <w14:textFill>
            <w14:solidFill>
              <w14:schemeClr w14:val="tx1"/>
            </w14:solidFill>
          </w14:textFill>
        </w:rPr>
        <w:t>新建装卸臂</w:t>
      </w:r>
      <w:r>
        <w:rPr>
          <w:rFonts w:hint="eastAsia"/>
          <w:color w:val="000000" w:themeColor="text1"/>
          <w:u w:val="single"/>
          <w14:textFill>
            <w14:solidFill>
              <w14:schemeClr w14:val="tx1"/>
            </w14:solidFill>
          </w14:textFill>
        </w:rPr>
        <w:t>卸船至后方欧德年产 30 万吨生物柴油生产线项目厂区。</w:t>
      </w:r>
      <w:r>
        <w:rPr>
          <w:rFonts w:hint="eastAsia" w:ascii="宋体" w:hAnsi="宋体"/>
          <w:color w:val="000000" w:themeColor="text1"/>
          <w:u w:val="single"/>
          <w14:textFill>
            <w14:solidFill>
              <w14:schemeClr w14:val="tx1"/>
            </w14:solidFill>
          </w14:textFill>
        </w:rPr>
        <w:t>裂解C9、工业级混合油、脂肪酸甲酯、纯生物柴油、航空煤油由后方厂区及公共管廊至码头管廊后至新建装卸臂进行装船。液硫、碱液、发烟硫酸、硫酸经卸船经管道至后方陆域罐区（新增罐区环境影响评价报告</w:t>
      </w:r>
      <w:r>
        <w:rPr>
          <w:rFonts w:hint="eastAsia" w:ascii="宋体" w:hAnsi="宋体"/>
          <w:color w:val="000000" w:themeColor="text1"/>
          <w:u w:val="single"/>
          <w:lang w:eastAsia="zh-CN"/>
          <w14:textFill>
            <w14:solidFill>
              <w14:schemeClr w14:val="tx1"/>
            </w14:solidFill>
          </w14:textFill>
        </w:rPr>
        <w:t>同步进行</w:t>
      </w:r>
      <w:r>
        <w:rPr>
          <w:rFonts w:hint="eastAsia" w:ascii="宋体" w:hAnsi="宋体"/>
          <w:color w:val="000000" w:themeColor="text1"/>
          <w:u w:val="single"/>
          <w14:textFill>
            <w14:solidFill>
              <w14:schemeClr w14:val="tx1"/>
            </w14:solidFill>
          </w14:textFill>
        </w:rPr>
        <w:t>）</w:t>
      </w:r>
    </w:p>
    <w:p w14:paraId="4DCDE20E">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新增吞吐货运量84万吨/年，方案同时调整了原来的装卸量，具体见概述“表1”，调整后码头251万吨/年。满足设计吞吐量276万吨/年、设计年通过能力300万吨/年的要求</w:t>
      </w:r>
    </w:p>
    <w:p w14:paraId="10EA8773">
      <w:pPr>
        <w:ind w:firstLine="480"/>
        <w:rPr>
          <w:iCs/>
          <w:color w:val="000000" w:themeColor="text1"/>
          <w:szCs w:val="28"/>
          <w:u w:val="single"/>
          <w14:textFill>
            <w14:solidFill>
              <w14:schemeClr w14:val="tx1"/>
            </w14:solidFill>
          </w14:textFill>
        </w:rPr>
      </w:pPr>
      <w:r>
        <w:rPr>
          <w:color w:val="000000" w:themeColor="text1"/>
          <w:u w:val="single"/>
          <w14:textFill>
            <w14:solidFill>
              <w14:schemeClr w14:val="tx1"/>
            </w14:solidFill>
          </w14:textFill>
        </w:rPr>
        <w:t>建设内容：</w:t>
      </w:r>
      <w:r>
        <w:rPr>
          <w:color w:val="000000" w:themeColor="text1"/>
          <w:szCs w:val="28"/>
          <w:u w:val="single"/>
          <w14:textFill>
            <w14:solidFill>
              <w14:schemeClr w14:val="tx1"/>
            </w14:solidFill>
          </w14:textFill>
        </w:rPr>
        <w:t>装卸臂、管道工程等。</w:t>
      </w:r>
    </w:p>
    <w:p w14:paraId="5B3FADE9">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工程总投资</w:t>
      </w:r>
      <w:r>
        <w:rPr>
          <w:rFonts w:hint="eastAsia"/>
          <w:color w:val="000000" w:themeColor="text1"/>
          <w:u w:val="single"/>
          <w14:textFill>
            <w14:solidFill>
              <w14:schemeClr w14:val="tx1"/>
            </w14:solidFill>
          </w14:textFill>
        </w:rPr>
        <w:t>750</w:t>
      </w:r>
      <w:r>
        <w:rPr>
          <w:color w:val="000000" w:themeColor="text1"/>
          <w:u w:val="single"/>
          <w14:textFill>
            <w14:solidFill>
              <w14:schemeClr w14:val="tx1"/>
            </w14:solidFill>
          </w14:textFill>
        </w:rPr>
        <w:t>万元，环保设施投资</w:t>
      </w:r>
      <w:r>
        <w:rPr>
          <w:rFonts w:hint="eastAsia"/>
          <w:color w:val="000000" w:themeColor="text1"/>
          <w:u w:val="single"/>
          <w14:textFill>
            <w14:solidFill>
              <w14:schemeClr w14:val="tx1"/>
            </w14:solidFill>
          </w14:textFill>
        </w:rPr>
        <w:t>96.0</w:t>
      </w:r>
      <w:r>
        <w:rPr>
          <w:color w:val="000000" w:themeColor="text1"/>
          <w:u w:val="single"/>
          <w14:textFill>
            <w14:solidFill>
              <w14:schemeClr w14:val="tx1"/>
            </w14:solidFill>
          </w14:textFill>
        </w:rPr>
        <w:t>万元，环保投资占总投资的比例为</w:t>
      </w:r>
      <w:r>
        <w:rPr>
          <w:rFonts w:hint="eastAsia"/>
          <w:color w:val="000000" w:themeColor="text1"/>
          <w:u w:val="single"/>
          <w14:textFill>
            <w14:solidFill>
              <w14:schemeClr w14:val="tx1"/>
            </w14:solidFill>
          </w14:textFill>
        </w:rPr>
        <w:t>12.8</w:t>
      </w:r>
      <w:r>
        <w:rPr>
          <w:color w:val="000000" w:themeColor="text1"/>
          <w:u w:val="single"/>
          <w14:textFill>
            <w14:solidFill>
              <w14:schemeClr w14:val="tx1"/>
            </w14:solidFill>
          </w14:textFill>
        </w:rPr>
        <w:t>%。</w:t>
      </w:r>
    </w:p>
    <w:p w14:paraId="6AB5AAB0">
      <w:pPr>
        <w:pStyle w:val="5"/>
        <w:rPr>
          <w:color w:val="000000" w:themeColor="text1"/>
          <w14:textFill>
            <w14:solidFill>
              <w14:schemeClr w14:val="tx1"/>
            </w14:solidFill>
          </w14:textFill>
        </w:rPr>
      </w:pPr>
      <w:bookmarkStart w:id="893" w:name="_Toc22716727"/>
      <w:bookmarkStart w:id="894" w:name="_Toc25437071"/>
      <w:bookmarkStart w:id="895" w:name="_Toc216620660"/>
      <w:r>
        <w:rPr>
          <w:color w:val="000000" w:themeColor="text1"/>
          <w14:textFill>
            <w14:solidFill>
              <w14:schemeClr w14:val="tx1"/>
            </w14:solidFill>
          </w14:textFill>
        </w:rPr>
        <w:t>环境质量现状</w:t>
      </w:r>
      <w:bookmarkEnd w:id="893"/>
      <w:bookmarkEnd w:id="894"/>
      <w:bookmarkEnd w:id="895"/>
    </w:p>
    <w:p w14:paraId="5B277DCA">
      <w:pPr>
        <w:pStyle w:val="4"/>
        <w:rPr>
          <w:color w:val="000000" w:themeColor="text1"/>
          <w14:textFill>
            <w14:solidFill>
              <w14:schemeClr w14:val="tx1"/>
            </w14:solidFill>
          </w14:textFill>
        </w:rPr>
      </w:pPr>
      <w:bookmarkStart w:id="896" w:name="_Toc136878592"/>
      <w:bookmarkStart w:id="897" w:name="_Toc135090328"/>
      <w:bookmarkStart w:id="898" w:name="_Toc29131933"/>
      <w:bookmarkStart w:id="899" w:name="_Toc216103502"/>
      <w:bookmarkStart w:id="900" w:name="_Toc26910120"/>
      <w:bookmarkStart w:id="901" w:name="_Toc216620661"/>
      <w:bookmarkStart w:id="902" w:name="_Toc25437072"/>
      <w:r>
        <w:rPr>
          <w:color w:val="000000" w:themeColor="text1"/>
          <w14:textFill>
            <w14:solidFill>
              <w14:schemeClr w14:val="tx1"/>
            </w14:solidFill>
          </w14:textFill>
        </w:rPr>
        <w:t>环境空气质量现状</w:t>
      </w:r>
      <w:bookmarkEnd w:id="896"/>
      <w:bookmarkEnd w:id="897"/>
      <w:bookmarkEnd w:id="898"/>
      <w:bookmarkEnd w:id="899"/>
      <w:bookmarkEnd w:id="900"/>
      <w:bookmarkEnd w:id="901"/>
      <w:bookmarkEnd w:id="902"/>
    </w:p>
    <w:p w14:paraId="3C205BF2">
      <w:pPr>
        <w:ind w:firstLine="480"/>
        <w:rPr>
          <w:color w:val="000000" w:themeColor="text1"/>
          <w14:textFill>
            <w14:solidFill>
              <w14:schemeClr w14:val="tx1"/>
            </w14:solidFill>
          </w14:textFill>
        </w:rPr>
      </w:pPr>
      <w:r>
        <w:rPr>
          <w:color w:val="000000" w:themeColor="text1"/>
          <w14:textFill>
            <w14:solidFill>
              <w14:schemeClr w14:val="tx1"/>
            </w14:solidFill>
          </w14:textFill>
        </w:rPr>
        <w:t>根据《自治区生态环境厅关于通报202</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年设区城市及各县（市、区）环境空气质量的函》（桂环函〔2021〕40号）中，</w:t>
      </w:r>
      <w:r>
        <w:rPr>
          <w:color w:val="000000" w:themeColor="text1"/>
          <w:lang w:bidi="zh-CN"/>
          <w14:textFill>
            <w14:solidFill>
              <w14:schemeClr w14:val="tx1"/>
            </w14:solidFill>
          </w14:textFill>
        </w:rPr>
        <w:t>202</w:t>
      </w:r>
      <w:r>
        <w:rPr>
          <w:rFonts w:hint="eastAsia"/>
          <w:color w:val="000000" w:themeColor="text1"/>
          <w:lang w:bidi="zh-CN"/>
          <w14:textFill>
            <w14:solidFill>
              <w14:schemeClr w14:val="tx1"/>
            </w14:solidFill>
          </w14:textFill>
        </w:rPr>
        <w:t>3</w:t>
      </w:r>
      <w:r>
        <w:rPr>
          <w:color w:val="000000" w:themeColor="text1"/>
          <w:lang w:bidi="zh-CN"/>
          <w14:textFill>
            <w14:solidFill>
              <w14:schemeClr w14:val="tx1"/>
            </w14:solidFill>
          </w14:textFill>
        </w:rPr>
        <w:t>年钦州市自贸区钦州港片区环境空气中 SO</w:t>
      </w:r>
      <w:r>
        <w:rPr>
          <w:color w:val="000000" w:themeColor="text1"/>
          <w:vertAlign w:val="subscript"/>
          <w:lang w:bidi="zh-CN"/>
          <w14:textFill>
            <w14:solidFill>
              <w14:schemeClr w14:val="tx1"/>
            </w14:solidFill>
          </w14:textFill>
        </w:rPr>
        <w:t>2</w:t>
      </w:r>
      <w:r>
        <w:rPr>
          <w:color w:val="000000" w:themeColor="text1"/>
          <w:lang w:bidi="zh-CN"/>
          <w14:textFill>
            <w14:solidFill>
              <w14:schemeClr w14:val="tx1"/>
            </w14:solidFill>
          </w14:textFill>
        </w:rPr>
        <w:t>、 NO</w:t>
      </w:r>
      <w:r>
        <w:rPr>
          <w:color w:val="000000" w:themeColor="text1"/>
          <w:vertAlign w:val="subscript"/>
          <w:lang w:bidi="zh-CN"/>
          <w14:textFill>
            <w14:solidFill>
              <w14:schemeClr w14:val="tx1"/>
            </w14:solidFill>
          </w14:textFill>
        </w:rPr>
        <w:t>2</w:t>
      </w:r>
      <w:r>
        <w:rPr>
          <w:color w:val="000000" w:themeColor="text1"/>
          <w:lang w:bidi="zh-CN"/>
          <w14:textFill>
            <w14:solidFill>
              <w14:schemeClr w14:val="tx1"/>
            </w14:solidFill>
          </w14:textFill>
        </w:rPr>
        <w:t xml:space="preserve"> 年平均及24 小时平均第98 百分位数浓度达到《环境空气质量标准》（GB3095-2012） 二级标准；PM</w:t>
      </w:r>
      <w:r>
        <w:rPr>
          <w:color w:val="000000" w:themeColor="text1"/>
          <w:vertAlign w:val="subscript"/>
          <w:lang w:bidi="zh-CN"/>
          <w14:textFill>
            <w14:solidFill>
              <w14:schemeClr w14:val="tx1"/>
            </w14:solidFill>
          </w14:textFill>
        </w:rPr>
        <w:t>10</w:t>
      </w:r>
      <w:r>
        <w:rPr>
          <w:color w:val="000000" w:themeColor="text1"/>
          <w:lang w:bidi="zh-CN"/>
          <w14:textFill>
            <w14:solidFill>
              <w14:schemeClr w14:val="tx1"/>
            </w14:solidFill>
          </w14:textFill>
        </w:rPr>
        <w:t xml:space="preserve"> 、PM</w:t>
      </w:r>
      <w:r>
        <w:rPr>
          <w:color w:val="000000" w:themeColor="text1"/>
          <w:vertAlign w:val="subscript"/>
          <w:lang w:bidi="zh-CN"/>
          <w14:textFill>
            <w14:solidFill>
              <w14:schemeClr w14:val="tx1"/>
            </w14:solidFill>
          </w14:textFill>
        </w:rPr>
        <w:t>2.5</w:t>
      </w:r>
      <w:r>
        <w:rPr>
          <w:color w:val="000000" w:themeColor="text1"/>
          <w:lang w:bidi="zh-CN"/>
          <w14:textFill>
            <w14:solidFill>
              <w14:schemeClr w14:val="tx1"/>
            </w14:solidFill>
          </w14:textFill>
        </w:rPr>
        <w:t xml:space="preserve"> 年平均及 24 小时平均第 95 百分位数浓度达到《环境空气质量标准》（GB3095-2012）二级标准；CO </w:t>
      </w:r>
      <w:r>
        <w:rPr>
          <w:color w:val="000000" w:themeColor="text1"/>
          <w:vertAlign w:val="subscript"/>
          <w:lang w:bidi="zh-CN"/>
          <w14:textFill>
            <w14:solidFill>
              <w14:schemeClr w14:val="tx1"/>
            </w14:solidFill>
          </w14:textFill>
        </w:rPr>
        <w:t xml:space="preserve">24 </w:t>
      </w:r>
      <w:r>
        <w:rPr>
          <w:color w:val="000000" w:themeColor="text1"/>
          <w:lang w:bidi="zh-CN"/>
          <w14:textFill>
            <w14:solidFill>
              <w14:schemeClr w14:val="tx1"/>
            </w14:solidFill>
          </w14:textFill>
        </w:rPr>
        <w:t>小时平均第 95 百分位数、O</w:t>
      </w:r>
      <w:r>
        <w:rPr>
          <w:color w:val="000000" w:themeColor="text1"/>
          <w:vertAlign w:val="subscript"/>
          <w:lang w:bidi="zh-CN"/>
          <w14:textFill>
            <w14:solidFill>
              <w14:schemeClr w14:val="tx1"/>
            </w14:solidFill>
          </w14:textFill>
        </w:rPr>
        <w:t>3</w:t>
      </w:r>
      <w:r>
        <w:rPr>
          <w:color w:val="000000" w:themeColor="text1"/>
          <w:lang w:bidi="zh-CN"/>
          <w14:textFill>
            <w14:solidFill>
              <w14:schemeClr w14:val="tx1"/>
            </w14:solidFill>
          </w14:textFill>
        </w:rPr>
        <w:t xml:space="preserve"> 日最大 8 小时平均第 90 百分位数浓度达到《环境空气质量标准》（GB3095-2012）二级标准。</w:t>
      </w:r>
    </w:p>
    <w:p w14:paraId="358C68EB">
      <w:pPr>
        <w:ind w:firstLine="480"/>
        <w:rPr>
          <w:color w:val="000000" w:themeColor="text1"/>
          <w14:textFill>
            <w14:solidFill>
              <w14:schemeClr w14:val="tx1"/>
            </w14:solidFill>
          </w14:textFill>
        </w:rPr>
      </w:pPr>
      <w:r>
        <w:rPr>
          <w:color w:val="000000" w:themeColor="text1"/>
          <w14:textFill>
            <w14:solidFill>
              <w14:schemeClr w14:val="tx1"/>
            </w14:solidFill>
          </w14:textFill>
        </w:rPr>
        <w:t>根据补充监测结果，各特征因子均能满足《环境影响评价技术导则 大气环境》（HJ2.2-2018）中附录D空气质量浓度参考限值和《大气污染物综合排放标准详解》相关要求。</w:t>
      </w:r>
    </w:p>
    <w:p w14:paraId="26E885C7">
      <w:pPr>
        <w:pStyle w:val="4"/>
        <w:rPr>
          <w:color w:val="000000" w:themeColor="text1"/>
          <w14:textFill>
            <w14:solidFill>
              <w14:schemeClr w14:val="tx1"/>
            </w14:solidFill>
          </w14:textFill>
        </w:rPr>
      </w:pPr>
      <w:bookmarkStart w:id="903" w:name="_Toc136878593"/>
      <w:bookmarkStart w:id="904" w:name="_Toc26910122"/>
      <w:bookmarkStart w:id="905" w:name="_Toc135090330"/>
      <w:bookmarkStart w:id="906" w:name="_Toc216103503"/>
      <w:bookmarkStart w:id="907" w:name="_Toc216620662"/>
      <w:bookmarkStart w:id="908" w:name="_Toc29131935"/>
      <w:bookmarkStart w:id="909" w:name="_Toc25437074"/>
      <w:bookmarkStart w:id="910" w:name="_Toc26910121"/>
      <w:bookmarkStart w:id="911" w:name="_Toc135090329"/>
      <w:bookmarkStart w:id="912" w:name="_Toc25437073"/>
      <w:bookmarkStart w:id="913" w:name="_Toc29131934"/>
      <w:r>
        <w:rPr>
          <w:color w:val="000000" w:themeColor="text1"/>
          <w14:textFill>
            <w14:solidFill>
              <w14:schemeClr w14:val="tx1"/>
            </w14:solidFill>
          </w14:textFill>
        </w:rPr>
        <w:t>地下水环境质量现状</w:t>
      </w:r>
      <w:bookmarkEnd w:id="903"/>
      <w:bookmarkEnd w:id="904"/>
      <w:bookmarkEnd w:id="905"/>
      <w:bookmarkEnd w:id="906"/>
      <w:bookmarkEnd w:id="907"/>
      <w:bookmarkEnd w:id="908"/>
      <w:bookmarkEnd w:id="909"/>
    </w:p>
    <w:p w14:paraId="0319897F">
      <w:pPr>
        <w:ind w:firstLine="480"/>
        <w:rPr>
          <w:color w:val="000000" w:themeColor="text1"/>
          <w14:textFill>
            <w14:solidFill>
              <w14:schemeClr w14:val="tx1"/>
            </w14:solidFill>
          </w14:textFill>
        </w:rPr>
      </w:pPr>
      <w:r>
        <w:rPr>
          <w:color w:val="000000" w:themeColor="text1"/>
          <w14:textFill>
            <w14:solidFill>
              <w14:schemeClr w14:val="tx1"/>
            </w14:solidFill>
          </w14:textFill>
        </w:rPr>
        <w:t>由地下水监测结果可</w:t>
      </w:r>
      <w:r>
        <w:rPr>
          <w:color w:val="000000" w:themeColor="text1"/>
          <w:u w:val="none"/>
          <w14:textFill>
            <w14:solidFill>
              <w14:schemeClr w14:val="tx1"/>
            </w14:solidFill>
          </w14:textFill>
        </w:rPr>
        <w:t>知</w:t>
      </w:r>
      <w:r>
        <w:rPr>
          <w:color w:val="FF0000"/>
          <w:u w:val="none"/>
        </w:rPr>
        <w:t>：</w:t>
      </w:r>
      <w:r>
        <w:rPr>
          <w:rFonts w:hint="eastAsia"/>
          <w:color w:val="FF0000"/>
          <w:kern w:val="0"/>
          <w:szCs w:val="22"/>
          <w:u w:val="none"/>
        </w:rPr>
        <w:t>D1</w:t>
      </w:r>
      <w:r>
        <w:rPr>
          <w:color w:val="FF0000"/>
          <w:kern w:val="0"/>
          <w:szCs w:val="22"/>
          <w:u w:val="none"/>
        </w:rPr>
        <w:t>监测点出现</w:t>
      </w:r>
      <w:r>
        <w:rPr>
          <w:rFonts w:hint="eastAsia"/>
          <w:color w:val="FF0000"/>
          <w:kern w:val="0"/>
          <w:szCs w:val="22"/>
          <w:u w:val="none"/>
        </w:rPr>
        <w:t>氟化物</w:t>
      </w:r>
      <w:r>
        <w:rPr>
          <w:color w:val="FF0000"/>
          <w:kern w:val="0"/>
          <w:szCs w:val="22"/>
          <w:u w:val="none"/>
        </w:rPr>
        <w:t>超标现象</w:t>
      </w:r>
      <w:r>
        <w:rPr>
          <w:rFonts w:hint="eastAsia"/>
          <w:color w:val="FF0000"/>
          <w:kern w:val="0"/>
          <w:szCs w:val="22"/>
          <w:u w:val="none"/>
        </w:rPr>
        <w:t>，</w:t>
      </w:r>
      <w:r>
        <w:rPr>
          <w:rFonts w:hint="eastAsia"/>
          <w:b w:val="0"/>
          <w:bCs w:val="0"/>
          <w:color w:val="FF0000"/>
          <w:kern w:val="0"/>
          <w:szCs w:val="22"/>
          <w:u w:val="none"/>
          <w:lang w:val="en-US" w:eastAsia="zh-CN"/>
        </w:rPr>
        <w:t>初步推断为上游企业撒漏，随地表径流下渗引起的氟化物浓度超标</w:t>
      </w:r>
      <w:r>
        <w:rPr>
          <w:rFonts w:hint="eastAsia"/>
          <w:b w:val="0"/>
          <w:bCs w:val="0"/>
          <w:color w:val="FF0000"/>
          <w:kern w:val="0"/>
          <w:szCs w:val="22"/>
          <w:u w:val="none"/>
        </w:rPr>
        <w:t>。</w:t>
      </w:r>
      <w:r>
        <w:rPr>
          <w:color w:val="000000" w:themeColor="text1"/>
          <w:kern w:val="0"/>
          <w:szCs w:val="22"/>
          <w14:textFill>
            <w14:solidFill>
              <w14:schemeClr w14:val="tx1"/>
            </w14:solidFill>
          </w14:textFill>
        </w:rPr>
        <w:t>其余监测指标均能满足《地下水质量标准》（GB/T14848-2017）Ⅲ类标准要求。超标原因可能是由于区域存在生活污水下渗</w:t>
      </w:r>
      <w:r>
        <w:rPr>
          <w:color w:val="000000" w:themeColor="text1"/>
          <w14:textFill>
            <w14:solidFill>
              <w14:schemeClr w14:val="tx1"/>
            </w14:solidFill>
          </w14:textFill>
        </w:rPr>
        <w:t>。</w:t>
      </w:r>
    </w:p>
    <w:p w14:paraId="07165D2C">
      <w:pPr>
        <w:pStyle w:val="4"/>
        <w:rPr>
          <w:color w:val="000000" w:themeColor="text1"/>
          <w14:textFill>
            <w14:solidFill>
              <w14:schemeClr w14:val="tx1"/>
            </w14:solidFill>
          </w14:textFill>
        </w:rPr>
      </w:pPr>
      <w:bookmarkStart w:id="914" w:name="_Toc26910123"/>
      <w:bookmarkStart w:id="915" w:name="_Toc135090331"/>
      <w:bookmarkStart w:id="916" w:name="_Toc216103504"/>
      <w:bookmarkStart w:id="917" w:name="_Toc216620663"/>
      <w:bookmarkStart w:id="918" w:name="_Toc136878594"/>
      <w:bookmarkStart w:id="919" w:name="_Toc29131936"/>
      <w:bookmarkStart w:id="920" w:name="_Toc25437075"/>
      <w:r>
        <w:rPr>
          <w:color w:val="000000" w:themeColor="text1"/>
          <w14:textFill>
            <w14:solidFill>
              <w14:schemeClr w14:val="tx1"/>
            </w14:solidFill>
          </w14:textFill>
        </w:rPr>
        <w:t>声环境质量现状</w:t>
      </w:r>
      <w:bookmarkEnd w:id="914"/>
      <w:bookmarkEnd w:id="915"/>
      <w:bookmarkEnd w:id="916"/>
      <w:bookmarkEnd w:id="917"/>
      <w:bookmarkEnd w:id="918"/>
      <w:bookmarkEnd w:id="919"/>
      <w:bookmarkEnd w:id="920"/>
    </w:p>
    <w:p w14:paraId="7EEB1ED0">
      <w:pPr>
        <w:ind w:firstLine="480"/>
        <w:rPr>
          <w:color w:val="000000" w:themeColor="text1"/>
          <w14:textFill>
            <w14:solidFill>
              <w14:schemeClr w14:val="tx1"/>
            </w14:solidFill>
          </w14:textFill>
        </w:rPr>
      </w:pPr>
      <w:r>
        <w:rPr>
          <w:color w:val="000000" w:themeColor="text1"/>
          <w14:textFill>
            <w14:solidFill>
              <w14:schemeClr w14:val="tx1"/>
            </w14:solidFill>
          </w14:textFill>
        </w:rPr>
        <w:t>由声环境监测结果可知：项目厂界四周监测期间昼间、夜间噪声值均符合</w:t>
      </w:r>
      <w:r>
        <w:rPr>
          <w:color w:val="0000FF"/>
          <w:u w:val="none"/>
        </w:rPr>
        <w:t>《工业企业场界环境噪声排放标准》（GB12348-2008）</w:t>
      </w:r>
      <w:r>
        <w:rPr>
          <w:color w:val="000000" w:themeColor="text1"/>
          <w14:textFill>
            <w14:solidFill>
              <w14:schemeClr w14:val="tx1"/>
            </w14:solidFill>
          </w14:textFill>
        </w:rPr>
        <w:t>3类标准要求。</w:t>
      </w:r>
    </w:p>
    <w:p w14:paraId="7DF2D6E5">
      <w:pPr>
        <w:pStyle w:val="4"/>
        <w:rPr>
          <w:color w:val="000000" w:themeColor="text1"/>
          <w14:textFill>
            <w14:solidFill>
              <w14:schemeClr w14:val="tx1"/>
            </w14:solidFill>
          </w14:textFill>
        </w:rPr>
      </w:pPr>
      <w:bookmarkStart w:id="921" w:name="_Toc136878595"/>
      <w:bookmarkStart w:id="922" w:name="_Toc216103505"/>
      <w:bookmarkStart w:id="923" w:name="_Toc216620664"/>
      <w:r>
        <w:rPr>
          <w:color w:val="000000" w:themeColor="text1"/>
          <w14:textFill>
            <w14:solidFill>
              <w14:schemeClr w14:val="tx1"/>
            </w14:solidFill>
          </w14:textFill>
        </w:rPr>
        <w:t>土壤环境质量现状</w:t>
      </w:r>
      <w:bookmarkEnd w:id="921"/>
      <w:bookmarkEnd w:id="922"/>
      <w:bookmarkEnd w:id="923"/>
    </w:p>
    <w:p w14:paraId="113187A4">
      <w:pPr>
        <w:ind w:firstLine="480"/>
        <w:rPr>
          <w:color w:val="000000" w:themeColor="text1"/>
          <w14:textFill>
            <w14:solidFill>
              <w14:schemeClr w14:val="tx1"/>
            </w14:solidFill>
          </w14:textFill>
        </w:rPr>
      </w:pPr>
      <w:r>
        <w:rPr>
          <w:color w:val="000000" w:themeColor="text1"/>
          <w14:textFill>
            <w14:solidFill>
              <w14:schemeClr w14:val="tx1"/>
            </w14:solidFill>
          </w14:textFill>
        </w:rPr>
        <w:t>根据土壤环境现状监测统计结果，项目土壤现状各指标均满足《土壤环境质量建设用地土壤污染风险管控标准（试行）》（GB36600-2018）中第二类用地筛选值限制要求。</w:t>
      </w:r>
    </w:p>
    <w:p w14:paraId="5A7F5B23">
      <w:pPr>
        <w:pStyle w:val="4"/>
        <w:rPr>
          <w:color w:val="000000" w:themeColor="text1"/>
          <w14:textFill>
            <w14:solidFill>
              <w14:schemeClr w14:val="tx1"/>
            </w14:solidFill>
          </w14:textFill>
        </w:rPr>
      </w:pPr>
      <w:bookmarkStart w:id="924" w:name="_Toc216103506"/>
      <w:bookmarkStart w:id="925" w:name="_Toc216620665"/>
      <w:bookmarkStart w:id="926" w:name="_Toc136878596"/>
      <w:r>
        <w:rPr>
          <w:color w:val="000000" w:themeColor="text1"/>
          <w14:textFill>
            <w14:solidFill>
              <w14:schemeClr w14:val="tx1"/>
            </w14:solidFill>
          </w14:textFill>
        </w:rPr>
        <w:t>海洋环境质量现状</w:t>
      </w:r>
      <w:bookmarkEnd w:id="910"/>
      <w:bookmarkEnd w:id="911"/>
      <w:bookmarkEnd w:id="912"/>
      <w:bookmarkEnd w:id="913"/>
      <w:bookmarkEnd w:id="924"/>
      <w:bookmarkEnd w:id="925"/>
      <w:bookmarkEnd w:id="926"/>
    </w:p>
    <w:p w14:paraId="63BBECC8">
      <w:pPr>
        <w:pStyle w:val="6"/>
        <w:rPr>
          <w:color w:val="000000" w:themeColor="text1"/>
          <w14:textFill>
            <w14:solidFill>
              <w14:schemeClr w14:val="tx1"/>
            </w14:solidFill>
          </w14:textFill>
        </w:rPr>
      </w:pPr>
      <w:r>
        <w:rPr>
          <w:color w:val="000000" w:themeColor="text1"/>
          <w14:textFill>
            <w14:solidFill>
              <w14:schemeClr w14:val="tx1"/>
            </w14:solidFill>
          </w14:textFill>
        </w:rPr>
        <w:t>海洋水质</w:t>
      </w:r>
    </w:p>
    <w:p w14:paraId="61B63116">
      <w:pPr>
        <w:ind w:firstLine="480"/>
        <w:rPr>
          <w:color w:val="000000" w:themeColor="text1"/>
          <w:u w:val="single"/>
          <w:lang w:bidi="zh-CN"/>
          <w14:textFill>
            <w14:solidFill>
              <w14:schemeClr w14:val="tx1"/>
            </w14:solidFill>
          </w14:textFill>
        </w:rPr>
      </w:pPr>
      <w:r>
        <w:rPr>
          <w:rFonts w:hint="eastAsia"/>
          <w:color w:val="000000" w:themeColor="text1"/>
          <w:lang w:val="zh-CN" w:bidi="zh-CN"/>
          <w14:textFill>
            <w14:solidFill>
              <w14:schemeClr w14:val="tx1"/>
            </w14:solidFill>
          </w14:textFill>
        </w:rPr>
        <w:t>根据海水水质监测结果，区域海水水质除S1、S2、S5点位的活性磷酸盐，S5点位的无机氮指标超标外，其余指标均能满足《海水水质标准》（GB3097-1997）相应标准限值。</w:t>
      </w:r>
    </w:p>
    <w:p w14:paraId="6A695B24">
      <w:pPr>
        <w:pStyle w:val="6"/>
        <w:rPr>
          <w:color w:val="000000" w:themeColor="text1"/>
          <w14:textFill>
            <w14:solidFill>
              <w14:schemeClr w14:val="tx1"/>
            </w14:solidFill>
          </w14:textFill>
        </w:rPr>
      </w:pPr>
      <w:r>
        <w:rPr>
          <w:color w:val="000000" w:themeColor="text1"/>
          <w14:textFill>
            <w14:solidFill>
              <w14:schemeClr w14:val="tx1"/>
            </w14:solidFill>
          </w14:textFill>
        </w:rPr>
        <w:t>海洋沉积物</w:t>
      </w:r>
    </w:p>
    <w:p w14:paraId="3E628AB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监测，测站的铜、铅、锌、镉、铬、砷、油类、有机碳、硫化物等评价因子的标准指数小于1，各测站海洋沉积物环境质量现状均符合《海洋沉积物质量》（GB18668-2002）中的第一类或第三类（35#、40#测站）评价标准</w:t>
      </w:r>
      <w:r>
        <w:rPr>
          <w:rFonts w:hint="eastAsia"/>
          <w:color w:val="000000" w:themeColor="text1"/>
          <w:lang w:eastAsia="zh-CN"/>
          <w14:textFill>
            <w14:solidFill>
              <w14:schemeClr w14:val="tx1"/>
            </w14:solidFill>
          </w14:textFill>
        </w:rPr>
        <w:t>。</w:t>
      </w:r>
      <w:r>
        <w:rPr>
          <w:rFonts w:hint="eastAsia"/>
          <w:color w:val="0000FF"/>
          <w:lang w:val="en-US" w:eastAsia="zh-CN"/>
        </w:rPr>
        <w:t>S4、S5站位汞出现超标，</w:t>
      </w:r>
      <w:r>
        <w:rPr>
          <w:rFonts w:hint="eastAsia"/>
          <w:color w:val="0000FF"/>
          <w:u w:val="single"/>
        </w:rPr>
        <w:t>汞超标站位</w:t>
      </w:r>
      <w:r>
        <w:rPr>
          <w:rFonts w:hint="eastAsia"/>
          <w:color w:val="0000FF"/>
          <w:u w:val="single"/>
          <w:lang w:val="en-US" w:eastAsia="zh-CN"/>
        </w:rPr>
        <w:t>均</w:t>
      </w:r>
      <w:r>
        <w:rPr>
          <w:rFonts w:hint="eastAsia"/>
          <w:color w:val="0000FF"/>
          <w:u w:val="single"/>
        </w:rPr>
        <w:t>为一类海域，其水质要求较高，受内陆河流带入污染物后容易出现超标现象。</w:t>
      </w:r>
      <w:r>
        <w:rPr>
          <w:rFonts w:hint="eastAsia"/>
          <w:color w:val="000000" w:themeColor="text1"/>
          <w14:textFill>
            <w14:solidFill>
              <w14:schemeClr w14:val="tx1"/>
            </w14:solidFill>
          </w14:textFill>
        </w:rPr>
        <w:t>符合相应环境功能区环境保护目标要求。</w:t>
      </w:r>
    </w:p>
    <w:p w14:paraId="08D7CF88">
      <w:pPr>
        <w:pStyle w:val="6"/>
        <w:rPr>
          <w:color w:val="000000" w:themeColor="text1"/>
          <w14:textFill>
            <w14:solidFill>
              <w14:schemeClr w14:val="tx1"/>
            </w14:solidFill>
          </w14:textFill>
        </w:rPr>
      </w:pPr>
      <w:r>
        <w:rPr>
          <w:color w:val="000000" w:themeColor="text1"/>
          <w14:textFill>
            <w14:solidFill>
              <w14:schemeClr w14:val="tx1"/>
            </w14:solidFill>
          </w14:textFill>
        </w:rPr>
        <w:t>海洋生物质量</w:t>
      </w:r>
    </w:p>
    <w:p w14:paraId="5969705A">
      <w:pPr>
        <w:ind w:firstLine="480"/>
        <w:rPr>
          <w:color w:val="000000" w:themeColor="text1"/>
          <w:szCs w:val="22"/>
          <w:lang w:val="zh-CN" w:bidi="zh-CN"/>
          <w14:textFill>
            <w14:solidFill>
              <w14:schemeClr w14:val="tx1"/>
            </w14:solidFill>
          </w14:textFill>
        </w:rPr>
      </w:pPr>
      <w:r>
        <w:rPr>
          <w:rFonts w:hint="eastAsia"/>
          <w:color w:val="000000" w:themeColor="text1"/>
          <w:szCs w:val="22"/>
          <w:lang w:val="zh-CN" w:bidi="zh-CN"/>
          <w14:textFill>
            <w14:solidFill>
              <w14:schemeClr w14:val="tx1"/>
            </w14:solidFill>
          </w14:textFill>
        </w:rPr>
        <w:t xml:space="preserve">1、浮游植物调查结果 </w:t>
      </w:r>
    </w:p>
    <w:p w14:paraId="51D3A76A">
      <w:pPr>
        <w:overflowPunct w:val="0"/>
        <w:spacing w:after="160"/>
        <w:ind w:firstLine="480"/>
        <w:rPr>
          <w:color w:val="000000" w:themeColor="text1"/>
          <w:szCs w:val="22"/>
          <w:u w:val="single"/>
          <w:lang w:val="zh-CN" w:bidi="zh-CN"/>
          <w14:textFill>
            <w14:solidFill>
              <w14:schemeClr w14:val="tx1"/>
            </w14:solidFill>
          </w14:textFill>
        </w:rPr>
      </w:pPr>
      <w:r>
        <w:rPr>
          <w:rFonts w:hint="eastAsia"/>
          <w:color w:val="000000" w:themeColor="text1"/>
          <w:szCs w:val="22"/>
          <w:u w:val="single"/>
          <w:lang w:val="zh-CN" w:bidi="zh-CN"/>
          <w14:textFill>
            <w14:solidFill>
              <w14:schemeClr w14:val="tx1"/>
            </w14:solidFill>
          </w14:textFill>
        </w:rPr>
        <w:t>调查海域的5个站位中，浮游植物的种数最多的是 S3 站，为 34 种；S1 站和 S4 站次之，均为 32 种；最少的是 S2 站和 S5 站，均为 26 种。根据各站位物种密度累加计算，调查海域5个站位的浮游植物平均密度为 172,983.4 个/L。最高密度站位：S4 站密度最高，总密度达 705,400 个/L（主要由旋链角毛藻 和柔弱管藻</w:t>
      </w:r>
      <w:r>
        <w:rPr>
          <w:rFonts w:hint="eastAsia"/>
          <w:color w:val="000000" w:themeColor="text1"/>
          <w:szCs w:val="22"/>
          <w:u w:val="single"/>
          <w:lang w:bidi="zh-CN"/>
          <w14:textFill>
            <w14:solidFill>
              <w14:schemeClr w14:val="tx1"/>
            </w14:solidFill>
          </w14:textFill>
        </w:rPr>
        <w:t>贡</w:t>
      </w:r>
      <w:r>
        <w:rPr>
          <w:rFonts w:hint="eastAsia"/>
          <w:color w:val="000000" w:themeColor="text1"/>
          <w:szCs w:val="22"/>
          <w:u w:val="single"/>
          <w:lang w:val="zh-CN" w:bidi="zh-CN"/>
          <w14:textFill>
            <w14:solidFill>
              <w14:schemeClr w14:val="tx1"/>
            </w14:solidFill>
          </w14:textFill>
        </w:rPr>
        <w:t>献）。S5 站密度最低，总密度为 20,339 个/L。S1站为 57,560 个/L，S3站为 52,618 个/L，S2站为 29,000 个/L。单个物种的密度变化范围为 175 个/L（如S5站的多个物种）至 284,000 个/L（S4站的旋链角毛藻）。</w:t>
      </w:r>
    </w:p>
    <w:p w14:paraId="0BF2EC17">
      <w:pPr>
        <w:ind w:firstLine="480"/>
        <w:rPr>
          <w:bCs/>
          <w:color w:val="000000" w:themeColor="text1"/>
          <w:u w:val="single"/>
          <w:lang w:bidi="zh-CN"/>
          <w14:textFill>
            <w14:solidFill>
              <w14:schemeClr w14:val="tx1"/>
            </w14:solidFill>
          </w14:textFill>
        </w:rPr>
      </w:pPr>
      <w:r>
        <w:rPr>
          <w:rFonts w:hint="eastAsia"/>
          <w:bCs/>
          <w:color w:val="000000" w:themeColor="text1"/>
          <w:u w:val="single"/>
          <w:lang w:bidi="zh-CN"/>
          <w14:textFill>
            <w14:solidFill>
              <w14:schemeClr w14:val="tx1"/>
            </w14:solidFill>
          </w14:textFill>
        </w:rPr>
        <w:t>2、</w:t>
      </w:r>
      <w:r>
        <w:rPr>
          <w:bCs/>
          <w:color w:val="000000" w:themeColor="text1"/>
          <w:u w:val="single"/>
          <w:lang w:bidi="zh-CN"/>
          <w14:textFill>
            <w14:solidFill>
              <w14:schemeClr w14:val="tx1"/>
            </w14:solidFill>
          </w14:textFill>
        </w:rPr>
        <w:t xml:space="preserve">浮游动物 </w:t>
      </w:r>
    </w:p>
    <w:p w14:paraId="2F65FA64">
      <w:pPr>
        <w:pStyle w:val="41"/>
        <w:ind w:firstLine="240"/>
        <w:rPr>
          <w:color w:val="000000" w:themeColor="text1"/>
          <w:szCs w:val="21"/>
          <w:u w:val="single"/>
          <w14:textFill>
            <w14:solidFill>
              <w14:schemeClr w14:val="tx1"/>
            </w14:solidFill>
          </w14:textFill>
        </w:rPr>
      </w:pPr>
      <w:r>
        <w:rPr>
          <w:rFonts w:hint="eastAsia"/>
          <w:color w:val="000000" w:themeColor="text1"/>
          <w:u w:val="single"/>
          <w14:textFill>
            <w14:solidFill>
              <w14:schemeClr w14:val="tx1"/>
            </w14:solidFill>
          </w14:textFill>
        </w:rPr>
        <w:t>本次调查共鉴定出浮游动物成体 16种，浮游幼体 3类，其中桡足类种类最多（10种），其次为毛颚类（2种）。各测站浮游动物种类数在 6～15种 之间。其中 S4站 种类数最多，为 15 种；S1站次之，为 14 种；S2、S5站 种类数最少，均为 6 种。调查期间，各测站浮游动物的总密度介于 935.9 ~ 2067.2 个/m³ 之间，总体平均密度为 1355.2 个/m³。最高密度出现在 S4站，为 2067.2 个/m³；最低密度出现在 S2站，为 935.9 个/m³。调查期间，各测站浮游动物生物量变化范围为 95.8 ~ 345 mg/m³，平均值为 188.76 mg/m³。最大值出现在 S4站（345 mg/m³）；最小值出现在 S2站（95.8 mg/m³）。</w:t>
      </w:r>
    </w:p>
    <w:p w14:paraId="4B4E6325">
      <w:pPr>
        <w:ind w:firstLine="480"/>
        <w:rPr>
          <w:bCs/>
          <w:color w:val="000000" w:themeColor="text1"/>
          <w:u w:val="single"/>
          <w:lang w:bidi="zh-CN"/>
          <w14:textFill>
            <w14:solidFill>
              <w14:schemeClr w14:val="tx1"/>
            </w14:solidFill>
          </w14:textFill>
        </w:rPr>
      </w:pPr>
      <w:r>
        <w:rPr>
          <w:rFonts w:hint="eastAsia"/>
          <w:bCs/>
          <w:color w:val="000000" w:themeColor="text1"/>
          <w:u w:val="single"/>
          <w:lang w:bidi="zh-CN"/>
          <w14:textFill>
            <w14:solidFill>
              <w14:schemeClr w14:val="tx1"/>
            </w14:solidFill>
          </w14:textFill>
        </w:rPr>
        <w:t>3、</w:t>
      </w:r>
      <w:r>
        <w:rPr>
          <w:bCs/>
          <w:color w:val="000000" w:themeColor="text1"/>
          <w:u w:val="single"/>
          <w:lang w:bidi="zh-CN"/>
          <w14:textFill>
            <w14:solidFill>
              <w14:schemeClr w14:val="tx1"/>
            </w14:solidFill>
          </w14:textFill>
        </w:rPr>
        <w:t xml:space="preserve">大型底栖动物 </w:t>
      </w:r>
    </w:p>
    <w:p w14:paraId="0596BB0E">
      <w:pPr>
        <w:pStyle w:val="41"/>
        <w:ind w:firstLine="24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本次调查共鉴定出底栖生物4大类群（环节动物多毛类、软体动物、脊索动物、棘皮动物），其中，多毛类种类数最多（8种/类）。调查海域5个测站中，S5站采集到的底栖生物种类数最多，为4种；S1、S2站次之，均采集到3种；S3、S4站最少，均仅采集到1种。调查海域底栖生物的总密度变化范围为 3.0 ~ 43.0 个/m²，平均密度为 19.6 个/m²。密度最高站位为S4站，为 43.0 个/m²；密度最低的站位为S3站，为 3.0 个/m²。调查海域底栖生物的总生物量变化范围为 0.27 ~ 2.80 g/m²，平均生物量为 1.24 g/m²。生物量最高的站位为S1站，为 2.80 g/m²；生物量最低的站位：S3站，为 0.27 g/m²。</w:t>
      </w:r>
    </w:p>
    <w:p w14:paraId="525B6BCB">
      <w:pPr>
        <w:ind w:firstLine="480"/>
        <w:rPr>
          <w:bCs/>
          <w:color w:val="000000" w:themeColor="text1"/>
          <w:lang w:bidi="zh-CN"/>
          <w14:textFill>
            <w14:solidFill>
              <w14:schemeClr w14:val="tx1"/>
            </w14:solidFill>
          </w14:textFill>
        </w:rPr>
      </w:pPr>
      <w:r>
        <w:rPr>
          <w:rFonts w:hint="eastAsia"/>
          <w:bCs/>
          <w:color w:val="000000" w:themeColor="text1"/>
          <w:lang w:bidi="zh-CN"/>
          <w14:textFill>
            <w14:solidFill>
              <w14:schemeClr w14:val="tx1"/>
            </w14:solidFill>
          </w14:textFill>
        </w:rPr>
        <w:t>4、游泳动物</w:t>
      </w:r>
    </w:p>
    <w:p w14:paraId="4BE70CB1">
      <w:pPr>
        <w:ind w:firstLine="480"/>
        <w:rPr>
          <w:color w:val="000000" w:themeColor="text1"/>
          <w:lang w:val="zh-CN" w:bidi="zh-CN"/>
          <w14:textFill>
            <w14:solidFill>
              <w14:schemeClr w14:val="tx1"/>
            </w14:solidFill>
          </w14:textFill>
        </w:rPr>
      </w:pPr>
      <w:r>
        <w:rPr>
          <w:color w:val="000000" w:themeColor="text1"/>
          <w14:textFill>
            <w14:solidFill>
              <w14:schemeClr w14:val="tx1"/>
            </w14:solidFill>
          </w14:textFill>
        </w:rPr>
        <w:t>本次调查</w:t>
      </w:r>
      <w:r>
        <w:rPr>
          <w:rFonts w:hint="eastAsia"/>
          <w:color w:val="000000" w:themeColor="text1"/>
          <w14:textFill>
            <w14:solidFill>
              <w14:schemeClr w14:val="tx1"/>
            </w14:solidFill>
          </w14:textFill>
        </w:rPr>
        <w:t>共采集到渔获物18种，其中鱼类14种，蟹类3种，头足类1种。</w:t>
      </w:r>
    </w:p>
    <w:p w14:paraId="03662962">
      <w:pPr>
        <w:pStyle w:val="5"/>
        <w:rPr>
          <w:color w:val="000000" w:themeColor="text1"/>
          <w14:textFill>
            <w14:solidFill>
              <w14:schemeClr w14:val="tx1"/>
            </w14:solidFill>
          </w14:textFill>
        </w:rPr>
      </w:pPr>
      <w:bookmarkStart w:id="927" w:name="_Toc22716728"/>
      <w:bookmarkStart w:id="928" w:name="_Toc216620666"/>
      <w:r>
        <w:rPr>
          <w:color w:val="000000" w:themeColor="text1"/>
          <w14:textFill>
            <w14:solidFill>
              <w14:schemeClr w14:val="tx1"/>
            </w14:solidFill>
          </w14:textFill>
        </w:rPr>
        <w:t>环境影响</w:t>
      </w:r>
      <w:bookmarkEnd w:id="927"/>
      <w:r>
        <w:rPr>
          <w:color w:val="000000" w:themeColor="text1"/>
          <w14:textFill>
            <w14:solidFill>
              <w14:schemeClr w14:val="tx1"/>
            </w14:solidFill>
          </w14:textFill>
        </w:rPr>
        <w:t>预测与评价结论</w:t>
      </w:r>
      <w:bookmarkEnd w:id="928"/>
    </w:p>
    <w:p w14:paraId="44B868BD">
      <w:pPr>
        <w:pStyle w:val="4"/>
        <w:rPr>
          <w:color w:val="000000" w:themeColor="text1"/>
          <w14:textFill>
            <w14:solidFill>
              <w14:schemeClr w14:val="tx1"/>
            </w14:solidFill>
          </w14:textFill>
        </w:rPr>
      </w:pPr>
      <w:bookmarkStart w:id="929" w:name="_Toc216620667"/>
      <w:bookmarkStart w:id="930" w:name="_Toc29131938"/>
      <w:bookmarkStart w:id="931" w:name="_Toc25437077"/>
      <w:bookmarkStart w:id="932" w:name="_Toc26910125"/>
      <w:bookmarkStart w:id="933" w:name="_Toc135090333"/>
      <w:bookmarkStart w:id="934" w:name="_Toc136878605"/>
      <w:bookmarkStart w:id="935" w:name="_Toc135090341"/>
      <w:bookmarkStart w:id="936" w:name="_Toc29131946"/>
      <w:bookmarkStart w:id="937" w:name="_Toc216103515"/>
      <w:bookmarkStart w:id="938" w:name="_Toc26910133"/>
      <w:r>
        <w:rPr>
          <w:color w:val="000000" w:themeColor="text1"/>
          <w14:textFill>
            <w14:solidFill>
              <w14:schemeClr w14:val="tx1"/>
            </w14:solidFill>
          </w14:textFill>
        </w:rPr>
        <w:t>水环境影响分析</w:t>
      </w:r>
      <w:bookmarkEnd w:id="929"/>
    </w:p>
    <w:p w14:paraId="51F044E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①施工期</w:t>
      </w:r>
    </w:p>
    <w:p w14:paraId="754D65E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工程管道施工结束后进行清管和试压，试压前应采用清管器进行清管。试压废水产生量较小，主要污染物为少量铁锈和泥沙等悬浮物，经沉淀后即可去除。</w:t>
      </w:r>
    </w:p>
    <w:p w14:paraId="596C04D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根据以往施工经验，施工营地一般租用沿线居民房，生活污水中的粪便污水经居民房自设的化粪池处理后用作有机肥，洗涤、洗漱等生活污水回用于场地洒水降尘，处理后对水环境影响较小。</w:t>
      </w:r>
    </w:p>
    <w:p w14:paraId="07B8419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②营运期</w:t>
      </w:r>
    </w:p>
    <w:p w14:paraId="1439B7E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本项目无新增定员，不增加生活污水。</w:t>
      </w:r>
    </w:p>
    <w:p w14:paraId="5C9BF7CD">
      <w:pPr>
        <w:ind w:firstLine="480"/>
        <w:rPr>
          <w:color w:val="000000" w:themeColor="text1"/>
          <w14:textFill>
            <w14:solidFill>
              <w14:schemeClr w14:val="tx1"/>
            </w14:solidFill>
          </w14:textFill>
        </w:rPr>
      </w:pPr>
      <w:r>
        <w:rPr>
          <w:rFonts w:hint="eastAsia"/>
          <w:color w:val="0000FF"/>
        </w:rPr>
        <w:t>本项目</w:t>
      </w:r>
      <w:r>
        <w:rPr>
          <w:rFonts w:hint="eastAsia"/>
          <w:color w:val="0000FF"/>
          <w:lang w:val="en-US" w:eastAsia="zh-CN"/>
        </w:rPr>
        <w:t>无新增码头面积，不新增初期雨水及码头冲洗废水，初期雨水及码头冲洗废水</w:t>
      </w:r>
      <w:r>
        <w:rPr>
          <w:rFonts w:hint="eastAsia"/>
          <w:color w:val="0000FF"/>
        </w:rPr>
        <w:t>经</w:t>
      </w:r>
      <w:r>
        <w:rPr>
          <w:color w:val="0000FF"/>
        </w:rPr>
        <w:t>围堰内设置集污池（有效容积2m</w:t>
      </w:r>
      <w:r>
        <w:rPr>
          <w:color w:val="0000FF"/>
          <w:vertAlign w:val="superscript"/>
        </w:rPr>
        <w:t>3</w:t>
      </w:r>
      <w:r>
        <w:rPr>
          <w:color w:val="0000FF"/>
        </w:rPr>
        <w:t>），收集初期雨水和地面冲洗废水后进入初期雨水池；码头区域废水通过污水泵与经化粪池处理后的陆域区生活污水，一起排入污水管后进入恒逸污水处理厂处理</w:t>
      </w:r>
      <w:r>
        <w:rPr>
          <w:rFonts w:hint="eastAsia"/>
          <w:color w:val="0000FF"/>
        </w:rPr>
        <w:t>。</w:t>
      </w:r>
      <w:r>
        <w:rPr>
          <w:rFonts w:hint="eastAsia"/>
          <w:color w:val="000000" w:themeColor="text1"/>
          <w14:textFill>
            <w14:solidFill>
              <w14:schemeClr w14:val="tx1"/>
            </w14:solidFill>
          </w14:textFill>
        </w:rPr>
        <w:t>本项目到港船舶生活污水和机舱油污水由钦州市桂通船舶服务有限公司接收处置。</w:t>
      </w:r>
    </w:p>
    <w:p w14:paraId="252C2493">
      <w:pPr>
        <w:pStyle w:val="4"/>
        <w:rPr>
          <w:color w:val="000000" w:themeColor="text1"/>
          <w14:textFill>
            <w14:solidFill>
              <w14:schemeClr w14:val="tx1"/>
            </w14:solidFill>
          </w14:textFill>
        </w:rPr>
      </w:pPr>
      <w:bookmarkStart w:id="939" w:name="_Toc216620668"/>
      <w:bookmarkStart w:id="940" w:name="_Toc136878599"/>
      <w:r>
        <w:rPr>
          <w:color w:val="000000" w:themeColor="text1"/>
          <w14:textFill>
            <w14:solidFill>
              <w14:schemeClr w14:val="tx1"/>
            </w14:solidFill>
          </w14:textFill>
        </w:rPr>
        <w:t>大气环境影响</w:t>
      </w:r>
      <w:bookmarkEnd w:id="930"/>
      <w:bookmarkEnd w:id="931"/>
      <w:bookmarkEnd w:id="932"/>
      <w:bookmarkEnd w:id="933"/>
      <w:r>
        <w:rPr>
          <w:color w:val="000000" w:themeColor="text1"/>
          <w14:textFill>
            <w14:solidFill>
              <w14:schemeClr w14:val="tx1"/>
            </w14:solidFill>
          </w14:textFill>
        </w:rPr>
        <w:t>评价</w:t>
      </w:r>
      <w:bookmarkEnd w:id="939"/>
      <w:bookmarkEnd w:id="940"/>
    </w:p>
    <w:p w14:paraId="6633F755">
      <w:pPr>
        <w:numPr>
          <w:ilvl w:val="0"/>
          <w:numId w:val="18"/>
        </w:numPr>
        <w:ind w:firstLine="480"/>
        <w:rPr>
          <w:color w:val="000000" w:themeColor="text1"/>
          <w14:textFill>
            <w14:solidFill>
              <w14:schemeClr w14:val="tx1"/>
            </w14:solidFill>
          </w14:textFill>
        </w:rPr>
      </w:pPr>
      <w:r>
        <w:rPr>
          <w:color w:val="000000" w:themeColor="text1"/>
          <w14:textFill>
            <w14:solidFill>
              <w14:schemeClr w14:val="tx1"/>
            </w14:solidFill>
          </w14:textFill>
        </w:rPr>
        <w:t>施工期</w:t>
      </w:r>
    </w:p>
    <w:p w14:paraId="0DA3C90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r>
        <w:rPr>
          <w:color w:val="000000" w:themeColor="text1"/>
          <w14:textFill>
            <w14:solidFill>
              <w14:schemeClr w14:val="tx1"/>
            </w14:solidFill>
          </w14:textFill>
        </w:rPr>
        <w:t>主要大气污染源为施工扬尘和施工机械、船舶废气等，</w:t>
      </w:r>
      <w:r>
        <w:rPr>
          <w:rFonts w:hint="eastAsia"/>
          <w:color w:val="000000" w:themeColor="text1"/>
          <w14:textFill>
            <w14:solidFill>
              <w14:schemeClr w14:val="tx1"/>
            </w14:solidFill>
          </w14:textFill>
        </w:rPr>
        <w:t>本项目所在区域地势开阔，有利于空气的扩散，同时空气污染源具有间歇性和流动性，因此对局部地区的环境影响较轻。同时，这些不利影响也会随着工程结束而消失。</w:t>
      </w:r>
    </w:p>
    <w:p w14:paraId="4E76CF6B">
      <w:pPr>
        <w:numPr>
          <w:ilvl w:val="0"/>
          <w:numId w:val="18"/>
        </w:num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营运</w:t>
      </w:r>
      <w:r>
        <w:rPr>
          <w:color w:val="000000" w:themeColor="text1"/>
          <w14:textFill>
            <w14:solidFill>
              <w14:schemeClr w14:val="tx1"/>
            </w14:solidFill>
          </w14:textFill>
        </w:rPr>
        <w:t>期</w:t>
      </w:r>
    </w:p>
    <w:p w14:paraId="593F2C1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本项目营运期大气污染源无组织废气为管线密封点溢出废气、装船废气及扫线废气、船舶废气。经过预测，苯乙烯最大预测浓度0.329ug/m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,浓度占标率3.29%，硫酸雾最大预测浓度4.45ug/m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,浓度占标率1.48%，VOCs最大预测浓度5.31ug/m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,浓度占标率0.44%，均能达到《大气污染物综合排放标准》（GB 16297-1996）相应标准限值。</w:t>
      </w:r>
    </w:p>
    <w:p w14:paraId="14B898DE">
      <w:pPr>
        <w:pStyle w:val="4"/>
        <w:rPr>
          <w:color w:val="000000" w:themeColor="text1"/>
          <w14:textFill>
            <w14:solidFill>
              <w14:schemeClr w14:val="tx1"/>
            </w14:solidFill>
          </w14:textFill>
        </w:rPr>
      </w:pPr>
      <w:bookmarkStart w:id="941" w:name="_Toc25437080"/>
      <w:bookmarkStart w:id="942" w:name="_Toc29131941"/>
      <w:bookmarkStart w:id="943" w:name="_Toc135090336"/>
      <w:bookmarkStart w:id="944" w:name="_Toc26910128"/>
      <w:bookmarkStart w:id="945" w:name="_Toc136878600"/>
      <w:bookmarkStart w:id="946" w:name="_Toc216620669"/>
      <w:r>
        <w:rPr>
          <w:color w:val="000000" w:themeColor="text1"/>
          <w14:textFill>
            <w14:solidFill>
              <w14:schemeClr w14:val="tx1"/>
            </w14:solidFill>
          </w14:textFill>
        </w:rPr>
        <w:t>噪声环境影响</w:t>
      </w:r>
      <w:bookmarkEnd w:id="941"/>
      <w:bookmarkEnd w:id="942"/>
      <w:bookmarkEnd w:id="943"/>
      <w:bookmarkEnd w:id="944"/>
      <w:r>
        <w:rPr>
          <w:color w:val="000000" w:themeColor="text1"/>
          <w14:textFill>
            <w14:solidFill>
              <w14:schemeClr w14:val="tx1"/>
            </w14:solidFill>
          </w14:textFill>
        </w:rPr>
        <w:t>评价</w:t>
      </w:r>
      <w:bookmarkEnd w:id="945"/>
      <w:bookmarkEnd w:id="946"/>
    </w:p>
    <w:p w14:paraId="21B4BD89">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本项目运营期厂界噪声预测贡献值</w:t>
      </w:r>
      <w:r>
        <w:rPr>
          <w:rFonts w:hint="eastAsia"/>
          <w:color w:val="000000" w:themeColor="text1"/>
          <w14:textFill>
            <w14:solidFill>
              <w14:schemeClr w14:val="tx1"/>
            </w14:solidFill>
          </w14:textFill>
        </w:rPr>
        <w:t>均</w:t>
      </w:r>
      <w:r>
        <w:rPr>
          <w:color w:val="000000" w:themeColor="text1"/>
          <w14:textFill>
            <w14:solidFill>
              <w14:schemeClr w14:val="tx1"/>
            </w14:solidFill>
          </w14:textFill>
        </w:rPr>
        <w:t>可以达到《工业企业厂界环境噪声排放标准》（GB12348-2008）3类噪声排放限值要求，噪声评价范围内无敏感点，噪声排放对周围环境影响不大。</w:t>
      </w:r>
    </w:p>
    <w:p w14:paraId="112313EA">
      <w:pPr>
        <w:pStyle w:val="4"/>
        <w:rPr>
          <w:color w:val="000000" w:themeColor="text1"/>
          <w14:textFill>
            <w14:solidFill>
              <w14:schemeClr w14:val="tx1"/>
            </w14:solidFill>
          </w14:textFill>
        </w:rPr>
      </w:pPr>
      <w:bookmarkStart w:id="947" w:name="_Toc26910129"/>
      <w:bookmarkStart w:id="948" w:name="_Toc25437081"/>
      <w:bookmarkStart w:id="949" w:name="_Toc29131942"/>
      <w:bookmarkStart w:id="950" w:name="_Toc135090337"/>
      <w:bookmarkStart w:id="951" w:name="_Toc216620670"/>
      <w:bookmarkStart w:id="952" w:name="_Toc136878601"/>
      <w:r>
        <w:rPr>
          <w:color w:val="000000" w:themeColor="text1"/>
          <w14:textFill>
            <w14:solidFill>
              <w14:schemeClr w14:val="tx1"/>
            </w14:solidFill>
          </w14:textFill>
        </w:rPr>
        <w:t>固体</w:t>
      </w:r>
      <w:bookmarkEnd w:id="947"/>
      <w:bookmarkEnd w:id="948"/>
      <w:bookmarkEnd w:id="949"/>
      <w:bookmarkEnd w:id="950"/>
      <w:r>
        <w:rPr>
          <w:color w:val="000000" w:themeColor="text1"/>
          <w14:textFill>
            <w14:solidFill>
              <w14:schemeClr w14:val="tx1"/>
            </w14:solidFill>
          </w14:textFill>
        </w:rPr>
        <w:t>废物影响评价</w:t>
      </w:r>
      <w:bookmarkEnd w:id="951"/>
      <w:bookmarkEnd w:id="952"/>
    </w:p>
    <w:p w14:paraId="1F077402">
      <w:pPr>
        <w:ind w:firstLine="480"/>
        <w:rPr>
          <w:color w:val="000000" w:themeColor="text1"/>
          <w14:textFill>
            <w14:solidFill>
              <w14:schemeClr w14:val="tx1"/>
            </w14:solidFill>
          </w14:textFill>
        </w:rPr>
      </w:pPr>
      <w:r>
        <w:rPr>
          <w:color w:val="000000" w:themeColor="text1"/>
          <w14:textFill>
            <w14:solidFill>
              <w14:schemeClr w14:val="tx1"/>
            </w14:solidFill>
          </w14:textFill>
        </w:rPr>
        <w:t>项目船舶污染物交资质单位接收处置；生活垃圾由环卫部门统一清运。危险废物暂存在危废暂存间，交有资质单位定期转运处置。项目产生的固废</w:t>
      </w:r>
      <w:r>
        <w:rPr>
          <w:rFonts w:hint="eastAsia"/>
          <w:color w:val="000000" w:themeColor="text1"/>
          <w14:textFill>
            <w14:solidFill>
              <w14:schemeClr w14:val="tx1"/>
            </w14:solidFill>
          </w14:textFill>
        </w:rPr>
        <w:t>经</w:t>
      </w:r>
      <w:r>
        <w:rPr>
          <w:color w:val="000000" w:themeColor="text1"/>
          <w14:textFill>
            <w14:solidFill>
              <w14:schemeClr w14:val="tx1"/>
            </w14:solidFill>
          </w14:textFill>
        </w:rPr>
        <w:t>妥善处置，</w:t>
      </w:r>
      <w:r>
        <w:rPr>
          <w:rFonts w:hint="eastAsia"/>
          <w:color w:val="000000" w:themeColor="text1"/>
          <w14:textFill>
            <w14:solidFill>
              <w14:schemeClr w14:val="tx1"/>
            </w14:solidFill>
          </w14:textFill>
        </w:rPr>
        <w:t>对</w:t>
      </w:r>
      <w:r>
        <w:rPr>
          <w:color w:val="000000" w:themeColor="text1"/>
          <w14:textFill>
            <w14:solidFill>
              <w14:schemeClr w14:val="tx1"/>
            </w14:solidFill>
          </w14:textFill>
        </w:rPr>
        <w:t>环境影响不大。</w:t>
      </w:r>
    </w:p>
    <w:p w14:paraId="15891E05">
      <w:pPr>
        <w:pStyle w:val="4"/>
        <w:rPr>
          <w:color w:val="000000" w:themeColor="text1"/>
          <w14:textFill>
            <w14:solidFill>
              <w14:schemeClr w14:val="tx1"/>
            </w14:solidFill>
          </w14:textFill>
        </w:rPr>
      </w:pPr>
      <w:bookmarkStart w:id="953" w:name="_Toc136878602"/>
      <w:bookmarkStart w:id="954" w:name="_Toc26910130"/>
      <w:bookmarkStart w:id="955" w:name="_Toc25437082"/>
      <w:bookmarkStart w:id="956" w:name="_Toc135090338"/>
      <w:bookmarkStart w:id="957" w:name="_Toc216620671"/>
      <w:bookmarkStart w:id="958" w:name="_Toc29131943"/>
      <w:r>
        <w:rPr>
          <w:color w:val="000000" w:themeColor="text1"/>
          <w14:textFill>
            <w14:solidFill>
              <w14:schemeClr w14:val="tx1"/>
            </w14:solidFill>
          </w14:textFill>
        </w:rPr>
        <w:t>生态环境影响</w:t>
      </w:r>
      <w:bookmarkEnd w:id="953"/>
      <w:bookmarkEnd w:id="954"/>
      <w:bookmarkEnd w:id="955"/>
      <w:bookmarkEnd w:id="956"/>
      <w:bookmarkEnd w:id="957"/>
      <w:bookmarkEnd w:id="958"/>
    </w:p>
    <w:p w14:paraId="5B2573B8">
      <w:pPr>
        <w:pStyle w:val="6"/>
        <w:rPr>
          <w:color w:val="000000" w:themeColor="text1"/>
          <w14:textFill>
            <w14:solidFill>
              <w14:schemeClr w14:val="tx1"/>
            </w14:solidFill>
          </w14:textFill>
        </w:rPr>
      </w:pPr>
      <w:r>
        <w:rPr>
          <w:color w:val="000000" w:themeColor="text1"/>
          <w14:textFill>
            <w14:solidFill>
              <w14:schemeClr w14:val="tx1"/>
            </w14:solidFill>
          </w14:textFill>
        </w:rPr>
        <w:t>施工期</w:t>
      </w:r>
    </w:p>
    <w:p w14:paraId="5A1AEE8D">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不涉及水上施工及陆地施工，仅在现有泊位增加装卸臂和软管，对生态环境影响很小</w:t>
      </w:r>
      <w:r>
        <w:rPr>
          <w:color w:val="000000" w:themeColor="text1"/>
          <w14:textFill>
            <w14:solidFill>
              <w14:schemeClr w14:val="tx1"/>
            </w14:solidFill>
          </w14:textFill>
        </w:rPr>
        <w:t>。</w:t>
      </w:r>
    </w:p>
    <w:p w14:paraId="71C37757">
      <w:pPr>
        <w:pStyle w:val="6"/>
        <w:rPr>
          <w:color w:val="000000" w:themeColor="text1"/>
          <w14:textFill>
            <w14:solidFill>
              <w14:schemeClr w14:val="tx1"/>
            </w14:solidFill>
          </w14:textFill>
        </w:rPr>
      </w:pPr>
      <w:r>
        <w:rPr>
          <w:color w:val="000000" w:themeColor="text1"/>
          <w14:textFill>
            <w14:solidFill>
              <w14:schemeClr w14:val="tx1"/>
            </w14:solidFill>
          </w14:textFill>
        </w:rPr>
        <w:t>运营期</w:t>
      </w:r>
    </w:p>
    <w:p w14:paraId="39D3C34E">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本项目建成后，</w:t>
      </w:r>
      <w:r>
        <w:rPr>
          <w:rFonts w:hint="eastAsia"/>
          <w:color w:val="000000" w:themeColor="text1"/>
          <w14:textFill>
            <w14:solidFill>
              <w14:schemeClr w14:val="tx1"/>
            </w14:solidFill>
          </w14:textFill>
        </w:rPr>
        <w:t>由于码头作业、船舶运行的密度增加及相关污染物排放会对水域的生态环境质量造成一定影响。</w:t>
      </w:r>
      <w:r>
        <w:rPr>
          <w:color w:val="000000" w:themeColor="text1"/>
          <w14:textFill>
            <w14:solidFill>
              <w14:schemeClr w14:val="tx1"/>
            </w14:solidFill>
          </w14:textFill>
        </w:rPr>
        <w:t>船舶污水由资质单位接收处置；码头生活污水、初期雨水、冲洗废水</w:t>
      </w:r>
      <w:r>
        <w:rPr>
          <w:snapToGrid w:val="0"/>
          <w:color w:val="000000" w:themeColor="text1"/>
          <w:kern w:val="0"/>
          <w14:textFill>
            <w14:solidFill>
              <w14:schemeClr w14:val="tx1"/>
            </w14:solidFill>
          </w14:textFill>
        </w:rPr>
        <w:t>设置集污池收集后，排放至</w:t>
      </w:r>
      <w:r>
        <w:rPr>
          <w:color w:val="000000" w:themeColor="text1"/>
          <w14:textFill>
            <w14:solidFill>
              <w14:schemeClr w14:val="tx1"/>
            </w14:solidFill>
          </w14:textFill>
        </w:rPr>
        <w:t>广西恒逸污水处理厂</w:t>
      </w:r>
      <w:r>
        <w:rPr>
          <w:snapToGrid w:val="0"/>
          <w:color w:val="000000" w:themeColor="text1"/>
          <w:kern w:val="0"/>
          <w14:textFill>
            <w14:solidFill>
              <w14:schemeClr w14:val="tx1"/>
            </w14:solidFill>
          </w14:textFill>
        </w:rPr>
        <w:t>处理后排放，</w:t>
      </w:r>
      <w:r>
        <w:rPr>
          <w:color w:val="000000" w:themeColor="text1"/>
          <w14:textFill>
            <w14:solidFill>
              <w14:schemeClr w14:val="tx1"/>
            </w14:solidFill>
          </w14:textFill>
        </w:rPr>
        <w:t>不会对周边海域水环境造成影响</w:t>
      </w:r>
      <w:r>
        <w:rPr>
          <w:snapToGrid w:val="0"/>
          <w:color w:val="000000" w:themeColor="text1"/>
          <w:kern w:val="0"/>
          <w14:textFill>
            <w14:solidFill>
              <w14:schemeClr w14:val="tx1"/>
            </w14:solidFill>
          </w14:textFill>
        </w:rPr>
        <w:t>。</w:t>
      </w:r>
      <w:r>
        <w:rPr>
          <w:color w:val="000000" w:themeColor="text1"/>
          <w14:textFill>
            <w14:solidFill>
              <w14:schemeClr w14:val="tx1"/>
            </w14:solidFill>
          </w14:textFill>
        </w:rPr>
        <w:t>船舶污染物交资质单位接收处置；生活垃圾由环卫部门统一清运。危险废物暂存在危废暂存间，交有资质单位定期转运处置。项目产生的固废</w:t>
      </w:r>
      <w:r>
        <w:rPr>
          <w:rFonts w:hint="eastAsia"/>
          <w:color w:val="000000" w:themeColor="text1"/>
          <w14:textFill>
            <w14:solidFill>
              <w14:schemeClr w14:val="tx1"/>
            </w14:solidFill>
          </w14:textFill>
        </w:rPr>
        <w:t>经</w:t>
      </w:r>
      <w:r>
        <w:rPr>
          <w:color w:val="000000" w:themeColor="text1"/>
          <w14:textFill>
            <w14:solidFill>
              <w14:schemeClr w14:val="tx1"/>
            </w14:solidFill>
          </w14:textFill>
        </w:rPr>
        <w:t>妥善处置，</w:t>
      </w:r>
      <w:r>
        <w:rPr>
          <w:rFonts w:hint="eastAsia"/>
          <w:color w:val="000000" w:themeColor="text1"/>
          <w14:textFill>
            <w14:solidFill>
              <w14:schemeClr w14:val="tx1"/>
            </w14:solidFill>
          </w14:textFill>
        </w:rPr>
        <w:t>对</w:t>
      </w:r>
      <w:r>
        <w:rPr>
          <w:color w:val="000000" w:themeColor="text1"/>
          <w14:textFill>
            <w14:solidFill>
              <w14:schemeClr w14:val="tx1"/>
            </w14:solidFill>
          </w14:textFill>
        </w:rPr>
        <w:t>环境影响不大。</w:t>
      </w:r>
      <w:r>
        <w:rPr>
          <w:rFonts w:hint="eastAsia"/>
          <w:color w:val="000000" w:themeColor="text1"/>
          <w14:textFill>
            <w14:solidFill>
              <w14:schemeClr w14:val="tx1"/>
            </w14:solidFill>
          </w14:textFill>
        </w:rPr>
        <w:t>因此在落实各项环境保护措施后，本项目</w:t>
      </w:r>
      <w:r>
        <w:rPr>
          <w:color w:val="000000" w:themeColor="text1"/>
          <w14:textFill>
            <w14:solidFill>
              <w14:schemeClr w14:val="tx1"/>
            </w14:solidFill>
          </w14:textFill>
        </w:rPr>
        <w:t>对海洋生态环境响</w:t>
      </w:r>
      <w:r>
        <w:rPr>
          <w:rFonts w:hint="eastAsia"/>
          <w:color w:val="000000" w:themeColor="text1"/>
          <w14:textFill>
            <w14:solidFill>
              <w14:schemeClr w14:val="tx1"/>
            </w14:solidFill>
          </w14:textFill>
        </w:rPr>
        <w:t>不大</w:t>
      </w:r>
      <w:r>
        <w:rPr>
          <w:color w:val="000000" w:themeColor="text1"/>
          <w14:textFill>
            <w14:solidFill>
              <w14:schemeClr w14:val="tx1"/>
            </w14:solidFill>
          </w14:textFill>
        </w:rPr>
        <w:t>。</w:t>
      </w:r>
    </w:p>
    <w:p w14:paraId="556D8BCA">
      <w:pPr>
        <w:pStyle w:val="5"/>
        <w:rPr>
          <w:color w:val="000000" w:themeColor="text1"/>
          <w14:textFill>
            <w14:solidFill>
              <w14:schemeClr w14:val="tx1"/>
            </w14:solidFill>
          </w14:textFill>
        </w:rPr>
      </w:pPr>
      <w:bookmarkStart w:id="959" w:name="_Toc136878603"/>
      <w:bookmarkStart w:id="960" w:name="_Toc216620672"/>
      <w:bookmarkStart w:id="961" w:name="_Toc25433663"/>
      <w:bookmarkStart w:id="962" w:name="_Toc22716729"/>
      <w:r>
        <w:rPr>
          <w:color w:val="000000" w:themeColor="text1"/>
          <w14:textFill>
            <w14:solidFill>
              <w14:schemeClr w14:val="tx1"/>
            </w14:solidFill>
          </w14:textFill>
        </w:rPr>
        <w:t>环境保护措施</w:t>
      </w:r>
      <w:bookmarkEnd w:id="959"/>
      <w:bookmarkEnd w:id="960"/>
      <w:bookmarkEnd w:id="961"/>
      <w:bookmarkEnd w:id="962"/>
    </w:p>
    <w:p w14:paraId="7BD44453">
      <w:pPr>
        <w:pStyle w:val="4"/>
        <w:rPr>
          <w:color w:val="000000" w:themeColor="text1"/>
          <w14:textFill>
            <w14:solidFill>
              <w14:schemeClr w14:val="tx1"/>
            </w14:solidFill>
          </w14:textFill>
        </w:rPr>
      </w:pPr>
      <w:bookmarkStart w:id="963" w:name="_Toc216620673"/>
      <w:bookmarkStart w:id="964" w:name="_Toc136878604"/>
      <w:bookmarkStart w:id="965" w:name="_Toc29131945"/>
      <w:bookmarkStart w:id="966" w:name="_Toc26910132"/>
      <w:bookmarkStart w:id="967" w:name="_Toc135090340"/>
      <w:r>
        <w:rPr>
          <w:color w:val="000000" w:themeColor="text1"/>
          <w14:textFill>
            <w14:solidFill>
              <w14:schemeClr w14:val="tx1"/>
            </w14:solidFill>
          </w14:textFill>
        </w:rPr>
        <w:t>大气污染防治措施</w:t>
      </w:r>
      <w:bookmarkEnd w:id="963"/>
      <w:bookmarkEnd w:id="964"/>
      <w:bookmarkEnd w:id="965"/>
      <w:bookmarkEnd w:id="966"/>
      <w:bookmarkEnd w:id="967"/>
    </w:p>
    <w:p w14:paraId="0B90B3C8">
      <w:pPr>
        <w:numPr>
          <w:ilvl w:val="0"/>
          <w:numId w:val="19"/>
        </w:numPr>
        <w:ind w:firstLine="480"/>
        <w:rPr>
          <w:color w:val="000000" w:themeColor="text1"/>
          <w14:textFill>
            <w14:solidFill>
              <w14:schemeClr w14:val="tx1"/>
            </w14:solidFill>
          </w14:textFill>
        </w:rPr>
      </w:pPr>
      <w:r>
        <w:rPr>
          <w:color w:val="000000" w:themeColor="text1"/>
          <w14:textFill>
            <w14:solidFill>
              <w14:schemeClr w14:val="tx1"/>
            </w14:solidFill>
          </w14:textFill>
        </w:rPr>
        <w:t>船舶废气</w:t>
      </w:r>
    </w:p>
    <w:p w14:paraId="4A96DA78">
      <w:pPr>
        <w:ind w:firstLine="480"/>
        <w:rPr>
          <w:color w:val="000000" w:themeColor="text1"/>
          <w14:textFill>
            <w14:solidFill>
              <w14:schemeClr w14:val="tx1"/>
            </w14:solidFill>
          </w14:textFill>
        </w:rPr>
      </w:pPr>
      <w:r>
        <w:rPr>
          <w:color w:val="000000" w:themeColor="text1"/>
          <w14:textFill>
            <w14:solidFill>
              <w14:schemeClr w14:val="tx1"/>
            </w14:solidFill>
          </w14:textFill>
        </w:rPr>
        <w:t>污染物严格按照《Marpol73/78公约》附则VI的规定执行；选用含硫量低的燃料，控制燃料的含硫量；尽可能降低辅机运转负荷，停泊时尽量启用单辅机发电，减少耗油量；船舶应优先选用功率大、转速快的发动机。</w:t>
      </w:r>
    </w:p>
    <w:p w14:paraId="3B3FE763">
      <w:pPr>
        <w:ind w:firstLine="480"/>
        <w:rPr>
          <w:snapToGrid w:val="0"/>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snapToGrid w:val="0"/>
          <w:color w:val="000000" w:themeColor="text1"/>
          <w14:textFill>
            <w14:solidFill>
              <w14:schemeClr w14:val="tx1"/>
            </w14:solidFill>
          </w14:textFill>
        </w:rPr>
        <w:t>无组织废气</w:t>
      </w:r>
    </w:p>
    <w:p w14:paraId="6E98B6A2">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项目没有有组织废气产生，主要是依托后方的厂区进行处理。</w:t>
      </w:r>
    </w:p>
    <w:p w14:paraId="5B2BC2B0">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苯乙烯为卸船送至后方台湾见龙钦州高端聚苯乙烯新材料项目，其产生的废气依托台湾见龙钦州高端聚苯乙烯新材料项目进行处置。</w:t>
      </w:r>
    </w:p>
    <w:p w14:paraId="6B3C22A6">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根据《台湾见龙钦州高端聚苯乙烯新材料项目环境影响报告书》（报批稿）及环评批复（中马园审批环[2025]15号） “苯乙烯储罐呼吸废气以及危险废物暂存间废气经 2 套 RTO 装置处 理后分别由 2 根 28.4m 高排气筒（DA001~DA002）排放；苯乙烯执行《合成树脂工业污染物排放标准》（GB31572-2015，含 2024 年修改单）表 4 中大气污染物排放限值”。</w:t>
      </w:r>
    </w:p>
    <w:p w14:paraId="03DEE1A7">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棕榈酸化油、脂肪酸混合物为卸船至后方欧德年产 30 万吨生物柴油生产线项目，其产生废气依托欧德年产 30 万吨生物柴油生产线项目进行处置。</w:t>
      </w:r>
    </w:p>
    <w:p w14:paraId="1F2EFC17">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根据《欧德年产 30 万吨生物柴油生产线项目环境影响报告书》（报批稿）及环评批复（中马园审批环[2025]33号） “项目运营期生产线工艺废气和储罐大小呼吸废气经 RCO 催化燃烧装置处理后，通过 30m 高排气筒（DA001）排放，DA001 排气筒排放的非甲烷总烃执行《石油炼制工业污染物排放标准》（GB31570-2015，含 2024 年修改单）表 3 大气污染物排放限值要求，氨、硫化氢、臭气浓度执行《恶臭污染物排放标准》（GB14554-1993）表 2 恶臭污染物排放标准值，甲醇执行《大气污染物综合排放标准》（GB16297-1996）表 2 二级标准限值”。</w:t>
      </w:r>
    </w:p>
    <w:p w14:paraId="6F7D5764">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裂解C9、工业级混合油、脂肪酸甲酯、纯生物柴油、航空煤油由后方厂区通过管道输送至码头前沿装船，其产生装船废气，通过现有气相管回到广西恒逸新材料有限公司（广西恒逸新材料有限公司年产120万吨己内酰胺—聚酰胺产业一体化及配套工程项目）进行处理（采用“RTO蓄热式焚烧炉”工艺）。经调查，广西恒逸新材料有限公司RTO蓄热式焚烧炉排气筒高35m，尾气排放执行《石油化学工业污染物排放标准》（GB 31571-2015）及修改单要求。</w:t>
      </w:r>
    </w:p>
    <w:p w14:paraId="05919DBE">
      <w:pPr>
        <w:ind w:firstLine="480"/>
        <w:rPr>
          <w:color w:val="000000" w:themeColor="text1"/>
          <w:u w:val="single"/>
          <w14:textFill>
            <w14:solidFill>
              <w14:schemeClr w14:val="tx1"/>
            </w14:solidFill>
          </w14:textFill>
        </w:rPr>
      </w:pPr>
      <w:r>
        <w:rPr>
          <w:rFonts w:hint="eastAsia" w:ascii="宋体" w:hAnsi="宋体"/>
          <w:color w:val="000000" w:themeColor="text1"/>
          <w:u w:val="single"/>
          <w14:textFill>
            <w14:solidFill>
              <w14:schemeClr w14:val="tx1"/>
            </w14:solidFill>
          </w14:textFill>
        </w:rPr>
        <w:t>液硫、碱液、发烟硫酸（硫酸）依托后方罐区（同步进行环境影响评价、同步建设）的环保措施处置。</w:t>
      </w:r>
    </w:p>
    <w:p w14:paraId="3199EAB9">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加强设备维护保养，严格执行操作规程。所有管道、阀门等连接部位，运转部位和静密封点部位都应连接牢固，做到严密、不渗、不漏、不跑气；做到定期检查、清洗和校验</w:t>
      </w:r>
      <w:r>
        <w:rPr>
          <w:rFonts w:hint="eastAsia"/>
          <w:color w:val="000000" w:themeColor="text1"/>
          <w:u w:val="single"/>
          <w14:textFill>
            <w14:solidFill>
              <w14:schemeClr w14:val="tx1"/>
            </w14:solidFill>
          </w14:textFill>
        </w:rPr>
        <w:t>。</w:t>
      </w:r>
    </w:p>
    <w:p w14:paraId="74707962">
      <w:pPr>
        <w:ind w:firstLine="480"/>
        <w:rPr>
          <w:color w:val="000000" w:themeColor="text1"/>
          <w14:textFill>
            <w14:solidFill>
              <w14:schemeClr w14:val="tx1"/>
            </w14:solidFill>
          </w14:textFill>
        </w:rPr>
      </w:pPr>
      <w:r>
        <w:rPr>
          <w:color w:val="000000" w:themeColor="text1"/>
          <w14:textFill>
            <w14:solidFill>
              <w14:schemeClr w14:val="tx1"/>
            </w14:solidFill>
          </w14:textFill>
        </w:rPr>
        <w:t>加强管理、控制操作工艺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严格按照《危险化学品码头安全管理制度》等规定或标准的要求</w:t>
      </w:r>
      <w:r>
        <w:rPr>
          <w:rFonts w:hint="eastAsia"/>
          <w:color w:val="000000" w:themeColor="text1"/>
          <w14:textFill>
            <w14:solidFill>
              <w14:schemeClr w14:val="tx1"/>
            </w14:solidFill>
          </w14:textFill>
        </w:rPr>
        <w:t>。</w:t>
      </w:r>
    </w:p>
    <w:p w14:paraId="70E5811C">
      <w:pPr>
        <w:ind w:firstLine="480"/>
        <w:rPr>
          <w:color w:val="000000" w:themeColor="text1"/>
          <w14:textFill>
            <w14:solidFill>
              <w14:schemeClr w14:val="tx1"/>
            </w14:solidFill>
          </w14:textFill>
        </w:rPr>
      </w:pPr>
      <w:r>
        <w:rPr>
          <w:color w:val="000000" w:themeColor="text1"/>
          <w14:textFill>
            <w14:solidFill>
              <w14:schemeClr w14:val="tx1"/>
            </w14:solidFill>
          </w14:textFill>
        </w:rPr>
        <w:t>定期检查管道、阀门及所有监控设备的工作状况，一旦发现有损坏的，应及时更换，保证系统正常安全运行。</w:t>
      </w:r>
    </w:p>
    <w:p w14:paraId="5CD5A62C">
      <w:pPr>
        <w:pStyle w:val="4"/>
        <w:rPr>
          <w:color w:val="000000" w:themeColor="text1"/>
          <w14:textFill>
            <w14:solidFill>
              <w14:schemeClr w14:val="tx1"/>
            </w14:solidFill>
          </w14:textFill>
        </w:rPr>
      </w:pPr>
      <w:bookmarkStart w:id="968" w:name="_Toc216620674"/>
      <w:r>
        <w:rPr>
          <w:color w:val="000000" w:themeColor="text1"/>
          <w14:textFill>
            <w14:solidFill>
              <w14:schemeClr w14:val="tx1"/>
            </w14:solidFill>
          </w14:textFill>
        </w:rPr>
        <w:t>地表水污染防治措施</w:t>
      </w:r>
      <w:bookmarkEnd w:id="934"/>
      <w:bookmarkEnd w:id="935"/>
      <w:bookmarkEnd w:id="936"/>
      <w:bookmarkEnd w:id="937"/>
      <w:bookmarkEnd w:id="938"/>
      <w:bookmarkEnd w:id="968"/>
    </w:p>
    <w:p w14:paraId="477B3278">
      <w:pPr>
        <w:ind w:firstLine="480"/>
        <w:rPr>
          <w:color w:val="000000" w:themeColor="text1"/>
          <w14:textFill>
            <w14:solidFill>
              <w14:schemeClr w14:val="tx1"/>
            </w14:solidFill>
          </w14:textFill>
        </w:rPr>
      </w:pPr>
      <w:r>
        <w:rPr>
          <w:color w:val="000000" w:themeColor="text1"/>
          <w14:textFill>
            <w14:solidFill>
              <w14:schemeClr w14:val="tx1"/>
            </w14:solidFill>
          </w14:textFill>
        </w:rPr>
        <w:t>船舶污水由资质单位接收处置。</w:t>
      </w:r>
      <w:r>
        <w:rPr>
          <w:rFonts w:hint="eastAsia"/>
          <w:color w:val="000000" w:themeColor="text1"/>
          <w:lang w:val="en-US" w:eastAsia="zh-CN"/>
          <w14:textFill>
            <w14:solidFill>
              <w14:schemeClr w14:val="tx1"/>
            </w14:solidFill>
          </w14:textFill>
        </w:rPr>
        <w:t>不新增</w:t>
      </w:r>
      <w:r>
        <w:rPr>
          <w:color w:val="000000" w:themeColor="text1"/>
          <w14:textFill>
            <w14:solidFill>
              <w14:schemeClr w14:val="tx1"/>
            </w14:solidFill>
          </w14:textFill>
        </w:rPr>
        <w:t>生活污水</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冲洗废水及初期雨水</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码头</w:t>
      </w:r>
      <w:r>
        <w:rPr>
          <w:color w:val="000000" w:themeColor="text1"/>
          <w14:textFill>
            <w14:solidFill>
              <w14:schemeClr w14:val="tx1"/>
            </w14:solidFill>
          </w14:textFill>
        </w:rPr>
        <w:t>洗废水及初期雨水</w:t>
      </w:r>
      <w:r>
        <w:rPr>
          <w:rFonts w:hint="eastAsia"/>
          <w:color w:val="000000" w:themeColor="text1"/>
          <w:lang w:val="en-US" w:eastAsia="zh-CN"/>
          <w14:textFill>
            <w14:solidFill>
              <w14:schemeClr w14:val="tx1"/>
            </w14:solidFill>
          </w14:textFill>
        </w:rPr>
        <w:t>经集污池和初期雨水池收集后进入</w:t>
      </w:r>
      <w:r>
        <w:rPr>
          <w:color w:val="000000" w:themeColor="text1"/>
          <w14:textFill>
            <w14:solidFill>
              <w14:schemeClr w14:val="tx1"/>
            </w14:solidFill>
          </w14:textFill>
        </w:rPr>
        <w:t>广西恒逸污水处理厂进行处理，最终达到《石油化学工业污染物排放标准》（GB31571-2015）标准及《污水综合排放标准》（GB8978-1996）一级标准后排放。</w:t>
      </w:r>
    </w:p>
    <w:p w14:paraId="3874966D">
      <w:pPr>
        <w:pStyle w:val="4"/>
        <w:rPr>
          <w:color w:val="000000" w:themeColor="text1"/>
          <w14:textFill>
            <w14:solidFill>
              <w14:schemeClr w14:val="tx1"/>
            </w14:solidFill>
          </w14:textFill>
        </w:rPr>
      </w:pPr>
      <w:bookmarkStart w:id="969" w:name="_Toc135090342"/>
      <w:bookmarkStart w:id="970" w:name="_Toc216103516"/>
      <w:bookmarkStart w:id="971" w:name="_Toc136878606"/>
      <w:bookmarkStart w:id="972" w:name="_Toc216620675"/>
      <w:bookmarkStart w:id="973" w:name="_Toc29131947"/>
      <w:bookmarkStart w:id="974" w:name="_Toc26910134"/>
      <w:r>
        <w:rPr>
          <w:color w:val="000000" w:themeColor="text1"/>
          <w14:textFill>
            <w14:solidFill>
              <w14:schemeClr w14:val="tx1"/>
            </w14:solidFill>
          </w14:textFill>
        </w:rPr>
        <w:t>噪声污染防治措施</w:t>
      </w:r>
      <w:bookmarkEnd w:id="969"/>
      <w:bookmarkEnd w:id="970"/>
      <w:bookmarkEnd w:id="971"/>
      <w:bookmarkEnd w:id="972"/>
      <w:bookmarkEnd w:id="973"/>
      <w:bookmarkEnd w:id="974"/>
    </w:p>
    <w:p w14:paraId="00017ED4">
      <w:pPr>
        <w:ind w:firstLine="480"/>
        <w:rPr>
          <w:color w:val="000000" w:themeColor="text1"/>
          <w14:textFill>
            <w14:solidFill>
              <w14:schemeClr w14:val="tx1"/>
            </w14:solidFill>
          </w14:textFill>
        </w:rPr>
      </w:pPr>
      <w:r>
        <w:rPr>
          <w:color w:val="000000" w:themeColor="text1"/>
          <w14:textFill>
            <w14:solidFill>
              <w14:schemeClr w14:val="tx1"/>
            </w14:solidFill>
          </w14:textFill>
        </w:rPr>
        <w:t>尽可能选择低</w:t>
      </w:r>
      <w:bookmarkStart w:id="991" w:name="_GoBack"/>
      <w:r>
        <w:rPr>
          <w:color w:val="000000" w:themeColor="text1"/>
          <w14:textFill>
            <w14:solidFill>
              <w14:schemeClr w14:val="tx1"/>
            </w14:solidFill>
          </w14:textFill>
        </w:rPr>
        <w:t>噪</w:t>
      </w:r>
      <w:bookmarkEnd w:id="991"/>
      <w:r>
        <w:rPr>
          <w:color w:val="000000" w:themeColor="text1"/>
          <w14:textFill>
            <w14:solidFill>
              <w14:schemeClr w14:val="tx1"/>
            </w14:solidFill>
          </w14:textFill>
        </w:rPr>
        <w:t>设备或有降噪设计的设备，并采用吸声、隔声、减振等技术措施，控制机械、动力设备噪声；加强机械设备的维护，减少因不良运行产生的噪声。</w:t>
      </w:r>
    </w:p>
    <w:p w14:paraId="5556B278">
      <w:pPr>
        <w:pStyle w:val="4"/>
        <w:rPr>
          <w:color w:val="000000" w:themeColor="text1"/>
          <w14:textFill>
            <w14:solidFill>
              <w14:schemeClr w14:val="tx1"/>
            </w14:solidFill>
          </w14:textFill>
        </w:rPr>
      </w:pPr>
      <w:bookmarkStart w:id="975" w:name="_Toc26910135"/>
      <w:bookmarkStart w:id="976" w:name="_Toc29131948"/>
      <w:bookmarkStart w:id="977" w:name="_Toc136878607"/>
      <w:bookmarkStart w:id="978" w:name="_Toc216103517"/>
      <w:bookmarkStart w:id="979" w:name="_Toc135090343"/>
      <w:bookmarkStart w:id="980" w:name="_Toc216620676"/>
      <w:r>
        <w:rPr>
          <w:color w:val="000000" w:themeColor="text1"/>
          <w14:textFill>
            <w14:solidFill>
              <w14:schemeClr w14:val="tx1"/>
            </w14:solidFill>
          </w14:textFill>
        </w:rPr>
        <w:t>固体废物污染防治措施</w:t>
      </w:r>
      <w:bookmarkEnd w:id="975"/>
      <w:bookmarkEnd w:id="976"/>
      <w:bookmarkEnd w:id="977"/>
      <w:bookmarkEnd w:id="978"/>
      <w:bookmarkEnd w:id="979"/>
      <w:bookmarkEnd w:id="980"/>
    </w:p>
    <w:p w14:paraId="20DC15D6">
      <w:pPr>
        <w:ind w:firstLine="480"/>
        <w:rPr>
          <w:color w:val="0000FF"/>
        </w:rPr>
      </w:pPr>
      <w:r>
        <w:rPr>
          <w:color w:val="0000FF"/>
        </w:rPr>
        <w:t>船舶垃圾由有资质单位接收处理。项目产生的危险废物统一收集后暂存在项目危废暂存间，由有资质的单位进厂回收。</w:t>
      </w:r>
    </w:p>
    <w:p w14:paraId="3C6E8425">
      <w:pPr>
        <w:pStyle w:val="5"/>
        <w:rPr>
          <w:color w:val="000000" w:themeColor="text1"/>
          <w14:textFill>
            <w14:solidFill>
              <w14:schemeClr w14:val="tx1"/>
            </w14:solidFill>
          </w14:textFill>
        </w:rPr>
      </w:pPr>
      <w:bookmarkStart w:id="981" w:name="_Toc22716730"/>
      <w:bookmarkStart w:id="982" w:name="_Toc216620677"/>
      <w:r>
        <w:rPr>
          <w:color w:val="000000" w:themeColor="text1"/>
          <w14:textFill>
            <w14:solidFill>
              <w14:schemeClr w14:val="tx1"/>
            </w14:solidFill>
          </w14:textFill>
        </w:rPr>
        <w:t>环境风险评价结论</w:t>
      </w:r>
      <w:bookmarkEnd w:id="981"/>
      <w:bookmarkEnd w:id="982"/>
    </w:p>
    <w:p w14:paraId="6AA60512">
      <w:pPr>
        <w:ind w:firstLine="480"/>
        <w:rPr>
          <w:color w:val="000000" w:themeColor="text1"/>
          <w14:textFill>
            <w14:solidFill>
              <w14:schemeClr w14:val="tx1"/>
            </w14:solidFill>
          </w14:textFill>
        </w:rPr>
      </w:pPr>
      <w:bookmarkStart w:id="983" w:name="_Toc22716731"/>
      <w:r>
        <w:rPr>
          <w:color w:val="000000" w:themeColor="text1"/>
          <w14:textFill>
            <w14:solidFill>
              <w14:schemeClr w14:val="tx1"/>
            </w14:solidFill>
          </w14:textFill>
        </w:rPr>
        <w:t>项目风险防范措施及应急预案合理、可行，应急预案应在企业现有应急预案的基础上，应急预案的重点关注内容应包括完整的环境风险应急体系、监控与预警、应急疏散救援以及应急监测等，纳入园区环境风险防控体系和管理的衔接要求，实现厂内与园区环境风险防控设施及管理的有效联动，有效防控环境风险。本项目的重点防范区域为码头区，重点应急区域为码头职工区域以及周边环境敏感点等区域。</w:t>
      </w:r>
    </w:p>
    <w:p w14:paraId="46528BB8">
      <w:pPr>
        <w:ind w:firstLine="480"/>
        <w:rPr>
          <w:color w:val="000000" w:themeColor="text1"/>
          <w14:textFill>
            <w14:solidFill>
              <w14:schemeClr w14:val="tx1"/>
            </w14:solidFill>
          </w14:textFill>
        </w:rPr>
      </w:pPr>
      <w:r>
        <w:rPr>
          <w:color w:val="000000" w:themeColor="text1"/>
          <w14:textFill>
            <w14:solidFill>
              <w14:schemeClr w14:val="tx1"/>
            </w14:solidFill>
          </w14:textFill>
        </w:rPr>
        <w:t>企业在严格执行的同时仍需认真做好对其他可能出现的风险的防范，以期尽可能</w:t>
      </w:r>
      <w:r>
        <w:rPr>
          <w:rFonts w:hint="eastAsia"/>
          <w:color w:val="000000" w:themeColor="text1"/>
          <w:lang w:eastAsia="zh-CN"/>
          <w14:textFill>
            <w14:solidFill>
              <w14:schemeClr w14:val="tx1"/>
            </w14:solidFill>
          </w14:textFill>
        </w:rPr>
        <w:t>地</w:t>
      </w:r>
      <w:r>
        <w:rPr>
          <w:color w:val="000000" w:themeColor="text1"/>
          <w14:textFill>
            <w14:solidFill>
              <w14:schemeClr w14:val="tx1"/>
            </w14:solidFill>
          </w14:textFill>
        </w:rPr>
        <w:t>避免风险事故的发生。</w:t>
      </w:r>
    </w:p>
    <w:p w14:paraId="0192168C">
      <w:pPr>
        <w:pStyle w:val="5"/>
        <w:rPr>
          <w:color w:val="000000" w:themeColor="text1"/>
          <w14:textFill>
            <w14:solidFill>
              <w14:schemeClr w14:val="tx1"/>
            </w14:solidFill>
          </w14:textFill>
        </w:rPr>
      </w:pPr>
      <w:bookmarkStart w:id="984" w:name="_Toc216620678"/>
      <w:r>
        <w:rPr>
          <w:color w:val="000000" w:themeColor="text1"/>
          <w14:textFill>
            <w14:solidFill>
              <w14:schemeClr w14:val="tx1"/>
            </w14:solidFill>
          </w14:textFill>
        </w:rPr>
        <w:t>环境影响经济损益分析</w:t>
      </w:r>
      <w:bookmarkEnd w:id="983"/>
      <w:bookmarkEnd w:id="984"/>
    </w:p>
    <w:p w14:paraId="4A7730C8">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本项目环保投资经济合理，所采取的环保措施在经济上是合理可行的，各项环保措施不仅较大程度</w:t>
      </w:r>
      <w:r>
        <w:rPr>
          <w:rFonts w:hint="eastAsia"/>
          <w:color w:val="000000" w:themeColor="text1"/>
          <w:lang w:eastAsia="zh-CN"/>
          <w14:textFill>
            <w14:solidFill>
              <w14:schemeClr w14:val="tx1"/>
            </w14:solidFill>
          </w14:textFill>
        </w:rPr>
        <w:t>地</w:t>
      </w:r>
      <w:r>
        <w:rPr>
          <w:color w:val="000000" w:themeColor="text1"/>
          <w14:textFill>
            <w14:solidFill>
              <w14:schemeClr w14:val="tx1"/>
            </w14:solidFill>
          </w14:textFill>
        </w:rPr>
        <w:t>减缓项目对环境产生的不利影响，还可以产生经济效益，其环境效益较显著。从环境经济观点的角度看，项目环保措施是合理可行的。</w:t>
      </w:r>
    </w:p>
    <w:p w14:paraId="568002C1">
      <w:pPr>
        <w:pStyle w:val="5"/>
        <w:rPr>
          <w:color w:val="000000" w:themeColor="text1"/>
          <w14:textFill>
            <w14:solidFill>
              <w14:schemeClr w14:val="tx1"/>
            </w14:solidFill>
          </w14:textFill>
        </w:rPr>
      </w:pPr>
      <w:bookmarkStart w:id="985" w:name="_Toc22716732"/>
      <w:bookmarkStart w:id="986" w:name="_Toc216620679"/>
      <w:r>
        <w:rPr>
          <w:color w:val="000000" w:themeColor="text1"/>
          <w14:textFill>
            <w14:solidFill>
              <w14:schemeClr w14:val="tx1"/>
            </w14:solidFill>
          </w14:textFill>
        </w:rPr>
        <w:t>环境管理与监测计划</w:t>
      </w:r>
      <w:bookmarkEnd w:id="985"/>
      <w:bookmarkEnd w:id="986"/>
    </w:p>
    <w:p w14:paraId="4FF74B5D">
      <w:pPr>
        <w:ind w:firstLine="480"/>
        <w:rPr>
          <w:color w:val="000000" w:themeColor="text1"/>
          <w14:textFill>
            <w14:solidFill>
              <w14:schemeClr w14:val="tx1"/>
            </w14:solidFill>
          </w14:textFill>
        </w:rPr>
      </w:pPr>
      <w:r>
        <w:rPr>
          <w:color w:val="000000" w:themeColor="text1"/>
          <w14:textFill>
            <w14:solidFill>
              <w14:schemeClr w14:val="tx1"/>
            </w14:solidFill>
          </w14:textFill>
        </w:rPr>
        <w:t>各有关管理机构及建设单位要根据《关于印发&lt;建设项目环境保护事中事后监督管理办法（试行）&gt;的通知》（环发﹝2015﹞163号）的要求做好项目的事中事后监督管理。同时根据本报告提出的监测点位、因子、频次对项目建设过程和运营过程中污染源进行监测。</w:t>
      </w:r>
    </w:p>
    <w:p w14:paraId="0860D96F">
      <w:pPr>
        <w:pStyle w:val="5"/>
        <w:rPr>
          <w:color w:val="000000" w:themeColor="text1"/>
          <w14:textFill>
            <w14:solidFill>
              <w14:schemeClr w14:val="tx1"/>
            </w14:solidFill>
          </w14:textFill>
        </w:rPr>
      </w:pPr>
      <w:bookmarkStart w:id="987" w:name="_Toc22716733"/>
      <w:bookmarkStart w:id="988" w:name="_Toc216620680"/>
      <w:r>
        <w:rPr>
          <w:color w:val="000000" w:themeColor="text1"/>
          <w14:textFill>
            <w14:solidFill>
              <w14:schemeClr w14:val="tx1"/>
            </w14:solidFill>
          </w14:textFill>
        </w:rPr>
        <w:t>公众意见采纳情况</w:t>
      </w:r>
      <w:bookmarkEnd w:id="987"/>
      <w:bookmarkEnd w:id="988"/>
    </w:p>
    <w:p w14:paraId="757B4377">
      <w:pPr>
        <w:ind w:firstLine="480"/>
        <w:rPr>
          <w:color w:val="000000" w:themeColor="text1"/>
          <w14:textFill>
            <w14:solidFill>
              <w14:schemeClr w14:val="tx1"/>
            </w14:solidFill>
          </w14:textFill>
        </w:rPr>
      </w:pPr>
      <w:r>
        <w:rPr>
          <w:color w:val="000000" w:themeColor="text1"/>
          <w14:textFill>
            <w14:solidFill>
              <w14:schemeClr w14:val="tx1"/>
            </w14:solidFill>
          </w14:textFill>
        </w:rPr>
        <w:t>从公告发布至收集意见的截止日期，均未收到公众以电话、信件或电子邮件等形式发回对本项目环保方面的反馈意见。</w:t>
      </w:r>
    </w:p>
    <w:p w14:paraId="1641C02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广西自贸区逸海港务</w:t>
      </w:r>
      <w:r>
        <w:rPr>
          <w:color w:val="000000" w:themeColor="text1"/>
          <w14:textFill>
            <w14:solidFill>
              <w14:schemeClr w14:val="tx1"/>
            </w14:solidFill>
          </w14:textFill>
        </w:rPr>
        <w:t>有限</w:t>
      </w:r>
      <w:r>
        <w:rPr>
          <w:rFonts w:hint="eastAsia"/>
          <w:color w:val="000000" w:themeColor="text1"/>
          <w14:textFill>
            <w14:solidFill>
              <w14:schemeClr w14:val="tx1"/>
            </w14:solidFill>
          </w14:textFill>
        </w:rPr>
        <w:t>责任</w:t>
      </w:r>
      <w:r>
        <w:rPr>
          <w:color w:val="000000" w:themeColor="text1"/>
          <w14:textFill>
            <w14:solidFill>
              <w14:schemeClr w14:val="tx1"/>
            </w14:solidFill>
          </w14:textFill>
        </w:rPr>
        <w:t>公司应在项目建设运营过程中严格落实各项环保措施，确保各项污染物达标排放，将本项目对环境造成的不利影响降至最低。</w:t>
      </w:r>
    </w:p>
    <w:p w14:paraId="249B9C33">
      <w:pPr>
        <w:pStyle w:val="5"/>
        <w:rPr>
          <w:color w:val="000000" w:themeColor="text1"/>
          <w14:textFill>
            <w14:solidFill>
              <w14:schemeClr w14:val="tx1"/>
            </w14:solidFill>
          </w14:textFill>
        </w:rPr>
      </w:pPr>
      <w:bookmarkStart w:id="989" w:name="_Toc22716734"/>
      <w:bookmarkStart w:id="990" w:name="_Toc216620681"/>
      <w:r>
        <w:rPr>
          <w:color w:val="000000" w:themeColor="text1"/>
          <w14:textFill>
            <w14:solidFill>
              <w14:schemeClr w14:val="tx1"/>
            </w14:solidFill>
          </w14:textFill>
        </w:rPr>
        <w:t>结论与建议</w:t>
      </w:r>
      <w:bookmarkEnd w:id="989"/>
      <w:bookmarkEnd w:id="990"/>
    </w:p>
    <w:p w14:paraId="074AEBB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北部湾港钦州港域金谷港区金鼓江作业区14号泊位扩建工程（新增液硫、苯乙烯等装卸设施）</w:t>
      </w:r>
      <w:r>
        <w:rPr>
          <w:color w:val="000000" w:themeColor="text1"/>
          <w14:textFill>
            <w14:solidFill>
              <w14:schemeClr w14:val="tx1"/>
            </w14:solidFill>
          </w14:textFill>
        </w:rPr>
        <w:t>符合国家产业政策，符合</w:t>
      </w:r>
      <w:r>
        <w:rPr>
          <w:rFonts w:hint="eastAsia"/>
          <w:color w:val="000000" w:themeColor="text1"/>
          <w14:textFill>
            <w14:solidFill>
              <w14:schemeClr w14:val="tx1"/>
            </w14:solidFill>
          </w14:textFill>
        </w:rPr>
        <w:t>《北部湾港总体规划（</w:t>
      </w:r>
      <w:r>
        <w:rPr>
          <w:color w:val="000000" w:themeColor="text1"/>
          <w14:textFill>
            <w14:solidFill>
              <w14:schemeClr w14:val="tx1"/>
            </w14:solidFill>
          </w14:textFill>
        </w:rPr>
        <w:t>2035</w:t>
      </w:r>
      <w:r>
        <w:rPr>
          <w:rFonts w:hint="eastAsia"/>
          <w:color w:val="000000" w:themeColor="text1"/>
          <w14:textFill>
            <w14:solidFill>
              <w14:schemeClr w14:val="tx1"/>
            </w14:solidFill>
          </w14:textFill>
        </w:rPr>
        <w:t>年）》</w:t>
      </w:r>
      <w:r>
        <w:rPr>
          <w:rFonts w:hint="eastAsia" w:cs="宋体"/>
          <w:color w:val="000000" w:themeColor="text1"/>
          <w:kern w:val="0"/>
          <w:lang w:bidi="ar"/>
          <w14:textFill>
            <w14:solidFill>
              <w14:schemeClr w14:val="tx1"/>
            </w14:solidFill>
          </w14:textFill>
        </w:rPr>
        <w:t>《广西壮族自治区国土空间规划（</w:t>
      </w:r>
      <w:r>
        <w:rPr>
          <w:color w:val="000000" w:themeColor="text1"/>
          <w:kern w:val="0"/>
          <w:lang w:bidi="ar"/>
          <w14:textFill>
            <w14:solidFill>
              <w14:schemeClr w14:val="tx1"/>
            </w14:solidFill>
          </w14:textFill>
        </w:rPr>
        <w:t>2021-2035</w:t>
      </w:r>
      <w:r>
        <w:rPr>
          <w:rFonts w:hint="eastAsia" w:cs="宋体"/>
          <w:color w:val="000000" w:themeColor="text1"/>
          <w:kern w:val="0"/>
          <w:lang w:bidi="ar"/>
          <w14:textFill>
            <w14:solidFill>
              <w14:schemeClr w14:val="tx1"/>
            </w14:solidFill>
          </w14:textFill>
        </w:rPr>
        <w:t>年）》、</w:t>
      </w:r>
      <w:r>
        <w:rPr>
          <w:rFonts w:hint="eastAsia"/>
          <w:color w:val="000000" w:themeColor="text1"/>
          <w14:textFill>
            <w14:solidFill>
              <w14:schemeClr w14:val="tx1"/>
            </w14:solidFill>
          </w14:textFill>
        </w:rPr>
        <w:t>《广西钦州石化产业园总体发展规划（2020-2035）》等</w:t>
      </w:r>
      <w:r>
        <w:rPr>
          <w:color w:val="000000" w:themeColor="text1"/>
          <w14:textFill>
            <w14:solidFill>
              <w14:schemeClr w14:val="tx1"/>
            </w14:solidFill>
          </w14:textFill>
        </w:rPr>
        <w:t>规划要求</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项目实施后具有明显的社会经济效益，</w:t>
      </w:r>
      <w:r>
        <w:rPr>
          <w:rFonts w:hint="eastAsia"/>
          <w:color w:val="000000" w:themeColor="text1"/>
          <w14:textFill>
            <w14:solidFill>
              <w14:schemeClr w14:val="tx1"/>
            </w14:solidFill>
          </w14:textFill>
        </w:rPr>
        <w:t>对打造国家级钦州石化产业基地、形成北部湾石化产业集群、推动北部湾经济区快速增长、加快实现千亿石化产业园目标有着重大意义。</w:t>
      </w:r>
    </w:p>
    <w:p w14:paraId="0D86C368">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项目施工期和运营期不可避免</w:t>
      </w:r>
      <w:r>
        <w:rPr>
          <w:rFonts w:hint="eastAsia"/>
          <w:color w:val="000000" w:themeColor="text1"/>
          <w:u w:val="single"/>
          <w14:textFill>
            <w14:solidFill>
              <w14:schemeClr w14:val="tx1"/>
            </w14:solidFill>
          </w14:textFill>
        </w:rPr>
        <w:t>地</w:t>
      </w:r>
      <w:r>
        <w:rPr>
          <w:color w:val="000000" w:themeColor="text1"/>
          <w:u w:val="single"/>
          <w14:textFill>
            <w14:solidFill>
              <w14:schemeClr w14:val="tx1"/>
            </w14:solidFill>
          </w14:textFill>
        </w:rPr>
        <w:t>对该码头有限范围的生态环境、水环境、声环境、环境空气产生一定程度的干扰和负面影响，在运行过程中存在一定的环境风险，但其影响和风险是可以接受的。项目的</w:t>
      </w:r>
      <w:r>
        <w:rPr>
          <w:rFonts w:hint="eastAsia"/>
          <w:color w:val="000000" w:themeColor="text1"/>
          <w:u w:val="single"/>
          <w14:textFill>
            <w14:solidFill>
              <w14:schemeClr w14:val="tx1"/>
            </w14:solidFill>
          </w14:textFill>
        </w:rPr>
        <w:t>苯乙烯输送台湾见龙钦州高端聚苯乙烯新材料项目，棕榈酸化油、脂肪酸混合物输送欧德年产 30 万吨生物柴油生产线项目，需上述两个项目大气处置措施稳定达标排放后方可装卸货物。</w:t>
      </w:r>
    </w:p>
    <w:p w14:paraId="5E648925">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只要在建设和生产过程中切实做好</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三同时</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工作，认真落实评价中提出的生态环境保护措施、污染防治措施、事故预防措施及应急预案，就可以将本工程对环境的不利影响降到最低程度，实现经济、社会和环境的可持续发展。因此，在落实各项污染防治措施、生态保护措施及风险控制措施和应急预案后，从环境保护角度考虑，本项目是可行的。</w:t>
      </w:r>
    </w:p>
    <w:p w14:paraId="4F241A17">
      <w:pPr>
        <w:ind w:firstLine="480"/>
        <w:rPr>
          <w:color w:val="000000" w:themeColor="text1"/>
          <w14:textFill>
            <w14:solidFill>
              <w14:schemeClr w14:val="tx1"/>
            </w14:solidFill>
          </w14:textFill>
        </w:rPr>
      </w:pPr>
    </w:p>
    <w:sectPr>
      <w:headerReference r:id="rId36" w:type="default"/>
      <w:pgSz w:w="11906" w:h="16838"/>
      <w:pgMar w:top="1440" w:right="1800" w:bottom="1440" w:left="1800" w:header="851" w:footer="680" w:gutter="0"/>
      <w:pgBorders>
        <w:top w:val="none" w:sz="0" w:space="0"/>
        <w:left w:val="none" w:sz="0" w:space="0"/>
        <w:bottom w:val="none" w:sz="0" w:space="0"/>
        <w:right w:val="none" w:sz="0" w:space="0"/>
      </w:pgBorders>
      <w:pgNumType w:fmt="numberInDash"/>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AFF" w:usb1="C0007841"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CIDFont+F1">
    <w:altName w:val="Cambria"/>
    <w:panose1 w:val="00000000000000000000"/>
    <w:charset w:val="00"/>
    <w:family w:val="roman"/>
    <w:pitch w:val="default"/>
    <w:sig w:usb0="00000000" w:usb1="00000000" w:usb2="00000000" w:usb3="00000000" w:csb0="00000000" w:csb1="00000000"/>
  </w:font>
  <w:font w:name="CIDFont+F2">
    <w:altName w:val="Cambria"/>
    <w:panose1 w:val="00000000000000000000"/>
    <w:charset w:val="00"/>
    <w:family w:val="roman"/>
    <w:pitch w:val="default"/>
    <w:sig w:usb0="00000000" w:usb1="00000000" w:usb2="00000000" w:usb3="00000000" w:csb0="00000000" w:csb1="00000000"/>
  </w:font>
  <w:font w:name="Tahoma">
    <w:panose1 w:val="020B0604030504040204"/>
    <w:charset w:val="00"/>
    <w:family w:val="swiss"/>
    <w:pitch w:val="default"/>
    <w:sig w:usb0="E1002EFF" w:usb1="C000605B" w:usb2="00000029" w:usb3="00000000" w:csb0="200101FF" w:csb1="20280000"/>
  </w:font>
  <w:font w:name="仿宋_GB2312">
    <w:altName w:val="仿宋"/>
    <w:panose1 w:val="02010609030101010101"/>
    <w:charset w:val="86"/>
    <w:family w:val="modern"/>
    <w:pitch w:val="default"/>
    <w:sig w:usb0="00000000" w:usb1="00000000" w:usb2="00000000" w:usb3="00000000" w:csb0="00040000" w:csb1="00000000"/>
  </w:font>
  <w:font w:name="华文中宋">
    <w:altName w:val="宋体"/>
    <w:panose1 w:val="02010600040101010101"/>
    <w:charset w:val="86"/>
    <w:family w:val="auto"/>
    <w:pitch w:val="default"/>
    <w:sig w:usb0="00000000" w:usb1="00000000" w:usb2="00000000" w:usb3="00000000" w:csb0="0004009F" w:csb1="DFD70000"/>
  </w:font>
  <w:font w:name="方正大标宋简体">
    <w:altName w:val="微软雅黑"/>
    <w:panose1 w:val="00000000000000000000"/>
    <w:charset w:val="86"/>
    <w:family w:val="script"/>
    <w:pitch w:val="default"/>
    <w:sig w:usb0="00000000" w:usb1="0000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Cambria Math">
    <w:panose1 w:val="02040503050406030204"/>
    <w:charset w:val="00"/>
    <w:family w:val="roman"/>
    <w:pitch w:val="default"/>
    <w:sig w:usb0="E00002FF" w:usb1="420024FF" w:usb2="00000000" w:usb3="00000000" w:csb0="2000019F" w:csb1="00000000"/>
  </w:font>
  <w:font w:name="Wingdings 2">
    <w:altName w:val="Wingdings"/>
    <w:panose1 w:val="05020102010507070707"/>
    <w:charset w:val="02"/>
    <w:family w:val="roman"/>
    <w:pitch w:val="default"/>
    <w:sig w:usb0="00000000" w:usb1="00000000" w:usb2="00000000" w:usb3="00000000" w:csb0="80000000" w:csb1="00000000"/>
  </w:font>
  <w:font w:name="华文新魏">
    <w:altName w:val="宋体"/>
    <w:panose1 w:val="02010800040101010101"/>
    <w:charset w:val="86"/>
    <w:family w:val="auto"/>
    <w:pitch w:val="default"/>
    <w:sig w:usb0="00000000" w:usb1="00000000" w:usb2="00000000" w:usb3="00000000" w:csb0="00040000" w:csb1="00000000"/>
  </w:font>
  <w:font w:name="FZFSK--GBK1-0">
    <w:altName w:val="Cambria"/>
    <w:panose1 w:val="00000000000000000000"/>
    <w:charset w:val="00"/>
    <w:family w:val="roman"/>
    <w:pitch w:val="default"/>
    <w:sig w:usb0="00000000" w:usb1="00000000" w:usb2="00000000" w:usb3="00000000" w:csb0="00000000" w:csb1="00000000"/>
  </w:font>
  <w:font w:name="等线">
    <w:altName w:val="微软雅黑"/>
    <w:panose1 w:val="02010600030101010101"/>
    <w:charset w:val="86"/>
    <w:family w:val="auto"/>
    <w:pitch w:val="default"/>
    <w:sig w:usb0="00000000" w:usb1="00000000" w:usb2="00000016" w:usb3="00000000" w:csb0="0004000F" w:csb1="00000000"/>
  </w:font>
  <w:font w:name="瀹嬩綋">
    <w:altName w:val="Segoe Print"/>
    <w:panose1 w:val="00000000000000000000"/>
    <w:charset w:val="00"/>
    <w:family w:val="auto"/>
    <w:pitch w:val="default"/>
    <w:sig w:usb0="00000000" w:usb1="00000000" w:usb2="00000000" w:usb3="00000000" w:csb0="00040001" w:csb1="00000000"/>
  </w:font>
  <w:font w:name="Segoe Print">
    <w:panose1 w:val="02000600000000000000"/>
    <w:charset w:val="00"/>
    <w:family w:val="auto"/>
    <w:pitch w:val="default"/>
    <w:sig w:usb0="0000028F" w:usb1="00000000" w:usb2="00000000" w:usb3="00000000" w:csb0="2000009F" w:csb1="47010000"/>
  </w:font>
  <w:font w:name="华文行楷">
    <w:altName w:val="微软雅黑"/>
    <w:panose1 w:val="02010800040101010101"/>
    <w:charset w:val="86"/>
    <w:family w:val="auto"/>
    <w:pitch w:val="default"/>
    <w:sig w:usb0="00000000" w:usb1="00000000" w:usb2="00000000" w:usb3="00000000" w:csb0="00040000" w:csb1="00000000"/>
  </w:font>
  <w:font w:name="MSTT311e5bd572t00">
    <w:altName w:val="黑体"/>
    <w:panose1 w:val="00000000000000000000"/>
    <w:charset w:val="86"/>
    <w:family w:val="auto"/>
    <w:pitch w:val="default"/>
    <w:sig w:usb0="00000000" w:usb1="00000000" w:usb2="00000010" w:usb3="00000000" w:csb0="00040000" w:csb1="00000000"/>
  </w:font>
  <w:font w:name="Wingdings">
    <w:panose1 w:val="05000000000000000000"/>
    <w:charset w:val="00"/>
    <w:family w:val="auto"/>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 w:name="Gulim">
    <w:panose1 w:val="020B0600000101010101"/>
    <w:charset w:val="81"/>
    <w:family w:val="auto"/>
    <w:pitch w:val="default"/>
    <w:sig w:usb0="B00002AF" w:usb1="69D77CFB" w:usb2="00000030" w:usb3="00000000" w:csb0="4008009F" w:csb1="DFD7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964E4E">
    <w:pPr>
      <w:ind w:firstLine="48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22CA82">
    <w:pPr>
      <w:tabs>
        <w:tab w:val="center" w:pos="4153"/>
        <w:tab w:val="right" w:pos="8306"/>
      </w:tabs>
      <w:ind w:firstLine="48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EE3471">
    <w:pPr>
      <w:tabs>
        <w:tab w:val="center" w:pos="4153"/>
        <w:tab w:val="right" w:pos="8306"/>
      </w:tabs>
      <w:ind w:firstLine="48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04F43B">
    <w:pPr>
      <w:ind w:firstLine="480"/>
    </w:pPr>
  </w:p>
  <w:p w14:paraId="6CEFFECC">
    <w:pPr>
      <w:ind w:firstLine="480"/>
    </w:pPr>
  </w:p>
  <w:p w14:paraId="334B9459">
    <w:pPr>
      <w:ind w:firstLine="4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E9E241">
    <w:pPr>
      <w:ind w:firstLine="480"/>
    </w:pPr>
  </w:p>
  <w:p w14:paraId="4B44C666">
    <w:pPr>
      <w:ind w:firstLine="480"/>
    </w:pPr>
  </w:p>
  <w:p w14:paraId="44A3D40E">
    <w:pPr>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20713035"/>
    </w:sdtPr>
    <w:sdtContent>
      <w:p w14:paraId="13903972">
        <w:pPr>
          <w:pStyle w:val="29"/>
          <w:ind w:firstLine="480"/>
          <w:jc w:val="center"/>
          <w:rPr>
            <w:lang w:val="en-US"/>
          </w:rPr>
        </w:pPr>
        <w:r>
          <w:fldChar w:fldCharType="begin"/>
        </w:r>
        <w:r>
          <w:rPr>
            <w:lang w:val="en-US"/>
          </w:rPr>
          <w:instrText xml:space="preserve">PAGE   \* MERGEFORMAT</w:instrText>
        </w:r>
        <w:r>
          <w:fldChar w:fldCharType="separate"/>
        </w:r>
        <w:r>
          <w:rPr>
            <w:lang w:val="en-US"/>
          </w:rPr>
          <w:t>V</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81730"/>
    </w:sdtPr>
    <w:sdtContent>
      <w:p w14:paraId="1267F8DC">
        <w:pPr>
          <w:pStyle w:val="29"/>
          <w:ind w:firstLine="480"/>
          <w:jc w:val="center"/>
          <w:rPr>
            <w:lang w:val="en-US"/>
          </w:rPr>
        </w:pPr>
        <w:r>
          <w:fldChar w:fldCharType="begin"/>
        </w:r>
        <w:r>
          <w:rPr>
            <w:lang w:val="en-US"/>
          </w:rPr>
          <w:instrText xml:space="preserve">PAGE   \* MERGEFORMAT</w:instrText>
        </w:r>
        <w:r>
          <w:fldChar w:fldCharType="separate"/>
        </w:r>
        <w:r>
          <w:rPr>
            <w:lang w:val="en-US"/>
          </w:rPr>
          <w:t>VI</w:t>
        </w:r>
        <w: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Fonts w:ascii="宋体" w:hAnsi="宋体" w:cs="宋体"/>
        <w:kern w:val="0"/>
        <w:sz w:val="18"/>
        <w:szCs w:val="18"/>
        <w:lang w:val="zh-CN" w:bidi="zh-CN"/>
      </w:rPr>
      <w:id w:val="187111728"/>
      <w:showingPlcHdr/>
    </w:sdtPr>
    <w:sdtEndPr>
      <w:rPr>
        <w:rFonts w:ascii="宋体" w:hAnsi="宋体" w:cs="宋体"/>
        <w:b/>
        <w:kern w:val="0"/>
        <w:sz w:val="18"/>
        <w:szCs w:val="18"/>
        <w:lang w:val="zh-CN" w:bidi="zh-CN"/>
      </w:rPr>
    </w:sdtEndPr>
    <w:sdtContent>
      <w:p w14:paraId="5C15303E">
        <w:pPr>
          <w:pBdr>
            <w:top w:val="thickThinSmallGap" w:color="auto" w:sz="12" w:space="1"/>
          </w:pBdr>
          <w:spacing w:line="240" w:lineRule="exact"/>
          <w:ind w:firstLine="0" w:firstLineChars="0"/>
          <w:jc w:val="center"/>
          <w:rPr>
            <w:b/>
          </w:rPr>
        </w:pPr>
        <w:r>
          <w:rPr>
            <w:rFonts w:ascii="宋体" w:hAnsi="宋体" w:cs="宋体"/>
            <w:kern w:val="0"/>
            <w:sz w:val="18"/>
            <w:szCs w:val="18"/>
            <w:lang w:val="zh-CN" w:bidi="zh-CN"/>
          </w:rPr>
          <w:t xml:space="preserve">     </w:t>
        </w:r>
      </w:p>
    </w:sdtContent>
  </w:sdt>
  <w:p w14:paraId="469C708C">
    <w:pPr>
      <w:ind w:firstLine="48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Fonts w:ascii="宋体" w:hAnsi="宋体" w:cs="宋体"/>
        <w:kern w:val="0"/>
        <w:sz w:val="18"/>
        <w:szCs w:val="18"/>
        <w:lang w:val="zh-CN" w:bidi="zh-CN"/>
      </w:rPr>
      <w:id w:val="-1036109407"/>
    </w:sdtPr>
    <w:sdtEndPr>
      <w:rPr>
        <w:rFonts w:ascii="宋体" w:hAnsi="宋体" w:cs="宋体"/>
        <w:b/>
        <w:kern w:val="0"/>
        <w:sz w:val="18"/>
        <w:szCs w:val="18"/>
        <w:lang w:val="zh-CN" w:bidi="zh-CN"/>
      </w:rPr>
    </w:sdtEndPr>
    <w:sdtContent>
      <w:p w14:paraId="1115E565">
        <w:pPr>
          <w:pBdr>
            <w:top w:val="thickThinSmallGap" w:color="auto" w:sz="12" w:space="1"/>
          </w:pBdr>
          <w:spacing w:line="240" w:lineRule="exact"/>
          <w:ind w:firstLine="0" w:firstLineChars="0"/>
          <w:jc w:val="center"/>
          <w:rPr>
            <w:b/>
          </w:rPr>
        </w:pPr>
        <w:r>
          <w:rPr>
            <w:b/>
          </w:rPr>
          <w:fldChar w:fldCharType="begin"/>
        </w:r>
        <w:r>
          <w:rPr>
            <w:b/>
          </w:rPr>
          <w:instrText xml:space="preserve">PAGE   \* MERGEFORMAT</w:instrText>
        </w:r>
        <w:r>
          <w:rPr>
            <w:b/>
          </w:rPr>
          <w:fldChar w:fldCharType="separate"/>
        </w:r>
        <w:r>
          <w:rPr>
            <w:b/>
          </w:rPr>
          <w:t>- 271 -</w:t>
        </w:r>
        <w:r>
          <w:rPr>
            <w:b/>
          </w:rPr>
          <w:fldChar w:fldCharType="end"/>
        </w:r>
      </w:p>
    </w:sdtContent>
  </w:sdt>
  <w:p w14:paraId="1AD38FFA">
    <w:pPr>
      <w:ind w:firstLine="48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61BA18">
    <w:pPr>
      <w:ind w:firstLine="48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B53934">
    <w:pPr>
      <w:ind w:firstLine="48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C0748D">
    <w:pPr>
      <w:pStyle w:val="30"/>
      <w:pBdr>
        <w:bottom w:val="none" w:color="auto" w:sz="0" w:space="0"/>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704006">
    <w:pPr>
      <w:pStyle w:val="30"/>
      <w:pBdr>
        <w:bottom w:val="thinThickSmallGap" w:color="auto" w:sz="24" w:space="1"/>
      </w:pBdr>
      <w:jc w:val="distribute"/>
      <w:rPr>
        <w:rFonts w:ascii="华文新魏" w:eastAsia="华文新魏"/>
      </w:rPr>
    </w:pPr>
    <w:r>
      <w:rPr>
        <w:rFonts w:hint="eastAsia" w:ascii="华文新魏" w:eastAsia="华文新魏"/>
      </w:rPr>
      <w:t>北部湾港钦州港域金谷港区金鼓江作业区14号泊位扩建工程（新增液、乙等装卸设施）环境影响报告书</w:t>
    </w:r>
  </w:p>
  <w:p w14:paraId="038EF1C8">
    <w:pPr>
      <w:pStyle w:val="30"/>
      <w:pBdr>
        <w:bottom w:val="thinThickSmallGap" w:color="auto" w:sz="24" w:space="1"/>
      </w:pBdr>
      <w:jc w:val="distribute"/>
      <w:rPr>
        <w:rFonts w:ascii="华文新魏" w:eastAsia="华文新魏"/>
        <w:lang w:val="en-US"/>
      </w:rPr>
    </w:pPr>
    <w:r>
      <w:rPr>
        <w:rFonts w:hint="eastAsia" w:ascii="华文新魏" w:eastAsia="华文新魏"/>
      </w:rPr>
      <w:t xml:space="preserve">                                                                         </w:t>
    </w:r>
    <w:r>
      <w:rPr>
        <w:rFonts w:hint="eastAsia" w:ascii="华文新魏" w:eastAsia="华文新魏"/>
        <w:lang w:val="en-US"/>
      </w:rPr>
      <w:t xml:space="preserve">       3 环境现状调查与评价</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0DD6AB">
    <w:pPr>
      <w:pStyle w:val="30"/>
      <w:pBdr>
        <w:bottom w:val="thinThickSmallGap" w:color="auto" w:sz="24" w:space="1"/>
      </w:pBdr>
      <w:jc w:val="distribute"/>
      <w:rPr>
        <w:rFonts w:ascii="华文新魏" w:eastAsia="华文新魏"/>
      </w:rPr>
    </w:pPr>
    <w:r>
      <w:rPr>
        <w:rFonts w:hint="eastAsia" w:ascii="华文新魏" w:eastAsia="华文新魏"/>
      </w:rPr>
      <w:t>北部湾港钦州港域金谷港区金鼓江作业区14号泊位扩建工程（新增液、乙等装卸设施）环境影响报告书</w:t>
    </w:r>
  </w:p>
  <w:p w14:paraId="61BDA3E2">
    <w:pPr>
      <w:pStyle w:val="30"/>
      <w:pBdr>
        <w:bottom w:val="thinThickSmallGap" w:color="auto" w:sz="24" w:space="1"/>
      </w:pBdr>
      <w:jc w:val="distribute"/>
      <w:rPr>
        <w:rFonts w:ascii="华文新魏" w:eastAsia="华文新魏"/>
        <w:lang w:val="en-US"/>
      </w:rPr>
    </w:pPr>
    <w:r>
      <w:rPr>
        <w:rFonts w:hint="eastAsia" w:ascii="华文新魏" w:eastAsia="华文新魏"/>
      </w:rPr>
      <w:t xml:space="preserve">                                                                      </w:t>
    </w:r>
    <w:r>
      <w:rPr>
        <w:rFonts w:hint="eastAsia" w:ascii="华文新魏" w:eastAsia="华文新魏"/>
        <w:lang w:val="en-US"/>
      </w:rPr>
      <w:t xml:space="preserve">  3 环境现状调查与评价</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E348DB">
    <w:pPr>
      <w:tabs>
        <w:tab w:val="center" w:pos="4153"/>
        <w:tab w:val="right" w:pos="8306"/>
      </w:tabs>
      <w:ind w:firstLine="480"/>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FD4BAA">
    <w:pPr>
      <w:tabs>
        <w:tab w:val="center" w:pos="4153"/>
        <w:tab w:val="right" w:pos="8306"/>
      </w:tabs>
      <w:ind w:firstLine="480"/>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D07629">
    <w:pPr>
      <w:pStyle w:val="30"/>
      <w:pBdr>
        <w:bottom w:val="thinThickSmallGap" w:color="auto" w:sz="24" w:space="1"/>
      </w:pBdr>
      <w:jc w:val="distribute"/>
      <w:rPr>
        <w:rFonts w:ascii="华文新魏" w:eastAsia="华文新魏"/>
      </w:rPr>
    </w:pPr>
    <w:r>
      <w:rPr>
        <w:rFonts w:hint="eastAsia" w:ascii="华文新魏" w:eastAsia="华文新魏"/>
      </w:rPr>
      <w:t>北部湾港钦州港域金谷港区金鼓江作业区14号泊位扩建工程（新增液、乙等装卸设施）环境影响报告书</w:t>
    </w:r>
  </w:p>
  <w:p w14:paraId="5EB77F30">
    <w:pPr>
      <w:pStyle w:val="30"/>
      <w:pBdr>
        <w:bottom w:val="thinThickSmallGap" w:color="auto" w:sz="24" w:space="1"/>
      </w:pBdr>
      <w:jc w:val="distribute"/>
      <w:rPr>
        <w:rFonts w:ascii="华文新魏" w:eastAsia="华文新魏"/>
        <w:lang w:val="en-US"/>
      </w:rPr>
    </w:pPr>
    <w:r>
      <w:rPr>
        <w:rFonts w:hint="eastAsia" w:ascii="华文新魏" w:eastAsia="华文新魏"/>
      </w:rPr>
      <w:t xml:space="preserve">                                                                      </w:t>
    </w:r>
    <w:r>
      <w:rPr>
        <w:rFonts w:hint="eastAsia" w:ascii="华文新魏" w:eastAsia="华文新魏"/>
        <w:lang w:val="en-US"/>
      </w:rPr>
      <w:t xml:space="preserve"> 3 环境现状调查与评价</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71EBC4">
    <w:pPr>
      <w:pStyle w:val="30"/>
      <w:pBdr>
        <w:bottom w:val="thinThickSmallGap" w:color="auto" w:sz="24" w:space="1"/>
      </w:pBdr>
      <w:jc w:val="distribute"/>
      <w:rPr>
        <w:rFonts w:ascii="华文新魏" w:eastAsia="华文新魏"/>
      </w:rPr>
    </w:pPr>
    <w:r>
      <w:rPr>
        <w:rFonts w:hint="eastAsia" w:ascii="华文新魏" w:eastAsia="华文新魏"/>
      </w:rPr>
      <w:t>北部湾港钦州港域金谷港区金鼓江作业区14号泊位扩建工程（新增液、乙等装卸设施）环境影响报告书</w:t>
    </w:r>
  </w:p>
  <w:p w14:paraId="6790A0E1">
    <w:pPr>
      <w:pStyle w:val="30"/>
      <w:pBdr>
        <w:bottom w:val="thinThickSmallGap" w:color="auto" w:sz="24" w:space="1"/>
      </w:pBdr>
      <w:jc w:val="distribute"/>
      <w:rPr>
        <w:rFonts w:ascii="华文新魏" w:eastAsia="华文新魏"/>
        <w:lang w:val="en-US"/>
      </w:rPr>
    </w:pPr>
    <w:r>
      <w:rPr>
        <w:rFonts w:hint="eastAsia" w:ascii="华文新魏" w:eastAsia="华文新魏"/>
      </w:rPr>
      <w:t xml:space="preserve">                                                                      </w:t>
    </w:r>
    <w:r>
      <w:rPr>
        <w:rFonts w:hint="eastAsia" w:ascii="华文新魏" w:eastAsia="华文新魏"/>
        <w:lang w:val="en-US"/>
      </w:rPr>
      <w:t xml:space="preserve">  4 环境影响预测与评价</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2ED764">
    <w:pPr>
      <w:pStyle w:val="30"/>
      <w:pBdr>
        <w:bottom w:val="thinThickSmallGap" w:color="auto" w:sz="24" w:space="1"/>
      </w:pBdr>
      <w:jc w:val="distribute"/>
      <w:rPr>
        <w:rFonts w:ascii="华文新魏" w:eastAsia="华文新魏"/>
      </w:rPr>
    </w:pPr>
    <w:r>
      <w:rPr>
        <w:rFonts w:hint="eastAsia" w:ascii="华文新魏" w:eastAsia="华文新魏"/>
      </w:rPr>
      <w:t>北部湾港钦州港域金谷港区金鼓江作业区14号泊位扩建工程（新增液、乙等装卸设施）环境影响报告书</w:t>
    </w:r>
  </w:p>
  <w:p w14:paraId="69AD8F4B">
    <w:pPr>
      <w:pStyle w:val="30"/>
      <w:pBdr>
        <w:bottom w:val="thinThickSmallGap" w:color="auto" w:sz="24" w:space="1"/>
      </w:pBdr>
      <w:jc w:val="distribute"/>
      <w:rPr>
        <w:rFonts w:ascii="华文新魏" w:eastAsia="华文新魏"/>
        <w:lang w:val="en-US"/>
      </w:rPr>
    </w:pPr>
    <w:r>
      <w:rPr>
        <w:rFonts w:hint="eastAsia" w:ascii="华文新魏" w:eastAsia="华文新魏"/>
        <w:lang w:val="en-US"/>
      </w:rPr>
      <w:t xml:space="preserve">                                                                            5 环境风险评价</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67280D">
    <w:pPr>
      <w:pStyle w:val="30"/>
      <w:pBdr>
        <w:bottom w:val="thinThickSmallGap" w:color="auto" w:sz="24" w:space="1"/>
      </w:pBdr>
      <w:jc w:val="distribute"/>
      <w:rPr>
        <w:rFonts w:ascii="华文新魏" w:eastAsia="华文新魏"/>
      </w:rPr>
    </w:pPr>
    <w:r>
      <w:rPr>
        <w:rFonts w:hint="eastAsia" w:ascii="华文新魏" w:eastAsia="华文新魏"/>
      </w:rPr>
      <w:t>北部湾港钦州港域金谷港区金鼓江作业区14号泊位扩建工程（新增液、乙等装卸设施）环境影响报告书</w:t>
    </w:r>
  </w:p>
  <w:p w14:paraId="1D1BF9CF">
    <w:pPr>
      <w:pStyle w:val="30"/>
      <w:pBdr>
        <w:bottom w:val="thinThickSmallGap" w:color="auto" w:sz="24" w:space="1"/>
      </w:pBdr>
      <w:jc w:val="distribute"/>
    </w:pPr>
    <w:r>
      <w:rPr>
        <w:rFonts w:hint="eastAsia" w:ascii="华文新魏" w:eastAsia="华文新魏"/>
        <w:lang w:val="en-US"/>
      </w:rPr>
      <w:t xml:space="preserve">                                                                            5 环境风险评价</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0A5E79">
    <w:pPr>
      <w:pStyle w:val="30"/>
      <w:pBdr>
        <w:bottom w:val="thinThickSmallGap" w:color="auto" w:sz="24" w:space="1"/>
      </w:pBdr>
      <w:jc w:val="distribute"/>
      <w:rPr>
        <w:rFonts w:ascii="华文新魏" w:eastAsia="华文新魏"/>
      </w:rPr>
    </w:pPr>
    <w:r>
      <w:rPr>
        <w:rFonts w:hint="eastAsia" w:ascii="华文新魏" w:eastAsia="华文新魏"/>
      </w:rPr>
      <w:t>北部湾港钦州港域金谷港区金鼓江作业区14号泊位扩建工程（新增液、乙等装卸设施）环境影响报告书</w:t>
    </w:r>
  </w:p>
  <w:p w14:paraId="34E84C27">
    <w:pPr>
      <w:pStyle w:val="30"/>
      <w:pBdr>
        <w:bottom w:val="thinThickSmallGap" w:color="auto" w:sz="24" w:space="1"/>
      </w:pBdr>
      <w:jc w:val="distribute"/>
      <w:rPr>
        <w:rFonts w:ascii="华文新魏" w:eastAsia="华文新魏"/>
        <w:sz w:val="15"/>
        <w:szCs w:val="15"/>
        <w:lang w:val="en-US"/>
      </w:rPr>
    </w:pPr>
    <w:r>
      <w:rPr>
        <w:rFonts w:hint="eastAsia" w:ascii="华文新魏" w:eastAsia="华文新魏"/>
        <w:lang w:val="en-US"/>
      </w:rPr>
      <w:t xml:space="preserve">                                                                6 环境保护措施及其可行性论证</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386941">
    <w:pPr>
      <w:pStyle w:val="30"/>
      <w:pBdr>
        <w:bottom w:val="thinThickSmallGap" w:color="auto" w:sz="24" w:space="1"/>
      </w:pBdr>
      <w:jc w:val="distribute"/>
      <w:rPr>
        <w:rFonts w:ascii="华文新魏" w:eastAsia="华文新魏"/>
      </w:rPr>
    </w:pPr>
    <w:r>
      <w:rPr>
        <w:rFonts w:hint="eastAsia" w:ascii="华文新魏" w:eastAsia="华文新魏"/>
      </w:rPr>
      <w:t>北部湾港钦州港域金谷港区金鼓江作业区14号泊位扩建工程（新增液、乙等装卸设施）环境影响报告书</w:t>
    </w:r>
  </w:p>
  <w:p w14:paraId="5F565E8E">
    <w:pPr>
      <w:pStyle w:val="30"/>
      <w:pBdr>
        <w:bottom w:val="thinThickSmallGap" w:color="auto" w:sz="24" w:space="1"/>
      </w:pBdr>
      <w:jc w:val="distribute"/>
      <w:rPr>
        <w:rFonts w:ascii="华文新魏" w:eastAsia="华文新魏"/>
        <w:sz w:val="15"/>
        <w:szCs w:val="15"/>
        <w:lang w:val="en-US"/>
      </w:rPr>
    </w:pPr>
    <w:r>
      <w:rPr>
        <w:rFonts w:hint="eastAsia" w:ascii="华文新魏" w:eastAsia="华文新魏"/>
        <w:lang w:val="en-US"/>
      </w:rPr>
      <w:t xml:space="preserve">                                                                7 环境保经济损益分析</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B18B6C">
    <w:pPr>
      <w:ind w:firstLine="480"/>
    </w:pPr>
  </w:p>
  <w:p w14:paraId="43D94874">
    <w:pPr>
      <w:ind w:firstLine="480"/>
    </w:pPr>
  </w:p>
  <w:p w14:paraId="1B238B85">
    <w:pPr>
      <w:ind w:firstLine="480"/>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CCD398">
    <w:pPr>
      <w:pStyle w:val="30"/>
      <w:pBdr>
        <w:bottom w:val="thinThickSmallGap" w:color="auto" w:sz="24" w:space="1"/>
      </w:pBdr>
      <w:jc w:val="distribute"/>
      <w:rPr>
        <w:rFonts w:ascii="华文新魏" w:eastAsia="华文新魏"/>
      </w:rPr>
    </w:pPr>
    <w:r>
      <w:rPr>
        <w:rFonts w:hint="eastAsia" w:ascii="华文新魏" w:eastAsia="华文新魏"/>
      </w:rPr>
      <w:t>北部湾港钦州港域金谷港区金鼓江作业区14号泊位扩建工程（新增液、乙等装卸设施）环境影响报告书</w:t>
    </w:r>
  </w:p>
  <w:p w14:paraId="45AC148C">
    <w:pPr>
      <w:pStyle w:val="30"/>
      <w:pBdr>
        <w:bottom w:val="thinThickSmallGap" w:color="auto" w:sz="24" w:space="1"/>
      </w:pBdr>
      <w:jc w:val="distribute"/>
      <w:rPr>
        <w:rFonts w:ascii="华文新魏" w:eastAsia="华文新魏"/>
        <w:sz w:val="15"/>
        <w:szCs w:val="15"/>
        <w:lang w:val="en-US"/>
      </w:rPr>
    </w:pPr>
    <w:r>
      <w:rPr>
        <w:rFonts w:hint="eastAsia" w:ascii="华文新魏" w:eastAsia="华文新魏"/>
        <w:lang w:val="en-US"/>
      </w:rPr>
      <w:t xml:space="preserve">                                                               </w:t>
    </w:r>
    <w:r>
      <w:rPr>
        <w:rFonts w:hint="eastAsia" w:ascii="华文新魏" w:eastAsia="华文新魏"/>
        <w:sz w:val="15"/>
        <w:szCs w:val="15"/>
        <w:lang w:val="en-US"/>
      </w:rPr>
      <w:t xml:space="preserve">          8 环境管理与监测计划</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988B7D">
    <w:pPr>
      <w:pStyle w:val="30"/>
      <w:pBdr>
        <w:bottom w:val="thinThickSmallGap" w:color="auto" w:sz="24" w:space="1"/>
      </w:pBdr>
      <w:jc w:val="distribute"/>
      <w:rPr>
        <w:rFonts w:ascii="华文新魏" w:eastAsia="华文新魏"/>
      </w:rPr>
    </w:pPr>
    <w:r>
      <w:rPr>
        <w:rFonts w:hint="eastAsia" w:ascii="华文新魏" w:eastAsia="华文新魏"/>
      </w:rPr>
      <w:t>北部湾港钦州港域金谷港区金鼓江作业区14号泊位扩建工程（新增液、乙等装卸设施）环境影响报告书</w:t>
    </w:r>
  </w:p>
  <w:p w14:paraId="377BBA34">
    <w:pPr>
      <w:pStyle w:val="30"/>
      <w:pBdr>
        <w:bottom w:val="thinThickSmallGap" w:color="auto" w:sz="24" w:space="1"/>
      </w:pBdr>
      <w:jc w:val="distribute"/>
      <w:rPr>
        <w:rFonts w:ascii="华文新魏" w:eastAsia="华文新魏"/>
        <w:sz w:val="15"/>
        <w:szCs w:val="15"/>
        <w:lang w:val="en-US"/>
      </w:rPr>
    </w:pPr>
    <w:r>
      <w:rPr>
        <w:rFonts w:hint="eastAsia" w:ascii="华文新魏" w:eastAsia="华文新魏"/>
        <w:lang w:val="en-US"/>
      </w:rPr>
      <w:t xml:space="preserve">                                                                </w:t>
    </w:r>
    <w:r>
      <w:rPr>
        <w:rFonts w:hint="eastAsia" w:ascii="华文新魏" w:eastAsia="华文新魏"/>
        <w:sz w:val="15"/>
        <w:szCs w:val="15"/>
        <w:lang w:val="en-US"/>
      </w:rPr>
      <w:t xml:space="preserve">             9 环境影响评价结论</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66BF89">
    <w:pPr>
      <w:ind w:firstLine="480"/>
    </w:pPr>
  </w:p>
  <w:p w14:paraId="595C57D8">
    <w:pPr>
      <w:ind w:firstLine="480"/>
    </w:pPr>
  </w:p>
  <w:p w14:paraId="566EB63B">
    <w:pPr>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74F72F">
    <w:pPr>
      <w:pStyle w:val="30"/>
      <w:pBdr>
        <w:bottom w:val="thinThickSmallGap" w:color="auto" w:sz="24" w:space="1"/>
      </w:pBdr>
      <w:jc w:val="left"/>
      <w:rPr>
        <w:rFonts w:ascii="华文新魏" w:eastAsia="华文新魏"/>
        <w:lang w:val="en-US"/>
      </w:rPr>
    </w:pPr>
    <w:r>
      <w:rPr>
        <w:rFonts w:hint="eastAsia" w:ascii="华文新魏" w:eastAsia="华文新魏"/>
      </w:rPr>
      <w:t>北部湾港钦州港域金谷港区金鼓江作业区14号泊位扩建工程（新增液、乙等装卸设施）环境影响报告书</w:t>
    </w:r>
    <w:r>
      <w:rPr>
        <w:rFonts w:hint="eastAsia" w:ascii="华文新魏" w:eastAsia="华文新魏"/>
        <w:lang w:val="en-US"/>
      </w:rPr>
      <w:t xml:space="preserve">  </w:t>
    </w:r>
  </w:p>
  <w:p w14:paraId="503F0C0B">
    <w:pPr>
      <w:pStyle w:val="30"/>
      <w:pBdr>
        <w:bottom w:val="thinThickSmallGap" w:color="auto" w:sz="24" w:space="1"/>
      </w:pBdr>
      <w:ind w:firstLine="8280" w:firstLineChars="4600"/>
      <w:jc w:val="left"/>
      <w:rPr>
        <w:rFonts w:ascii="华文新魏" w:eastAsia="华文新魏"/>
        <w:lang w:val="en-US"/>
      </w:rPr>
    </w:pPr>
    <w:r>
      <w:rPr>
        <w:rFonts w:hint="eastAsia" w:ascii="华文新魏" w:eastAsia="华文新魏"/>
        <w:lang w:val="en-US"/>
      </w:rPr>
      <w:t xml:space="preserve"> 1 总则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DE3E09">
    <w:pPr>
      <w:pStyle w:val="30"/>
      <w:pBdr>
        <w:bottom w:val="thinThickSmallGap" w:color="auto" w:sz="24" w:space="1"/>
      </w:pBdr>
      <w:ind w:left="5940" w:hanging="5940" w:hangingChars="3300"/>
      <w:jc w:val="left"/>
      <w:rPr>
        <w:rFonts w:ascii="华文新魏" w:eastAsia="华文新魏"/>
        <w:lang w:val="en-US"/>
      </w:rPr>
    </w:pPr>
    <w:r>
      <w:rPr>
        <w:rFonts w:hint="eastAsia" w:ascii="华文新魏" w:eastAsia="华文新魏"/>
      </w:rPr>
      <w:t>北部湾港钦州港域金谷港区金鼓江作业区14号泊位扩建工程（新增液、乙等装卸设施）环境影响报告书</w:t>
    </w:r>
    <w:r>
      <w:rPr>
        <w:rFonts w:hint="eastAsia" w:ascii="华文新魏" w:eastAsia="华文新魏"/>
        <w:lang w:val="en-US"/>
      </w:rPr>
      <w:t xml:space="preserve">                  2 建设项目概况与工程分析</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26AB40">
    <w:pPr>
      <w:pStyle w:val="30"/>
      <w:pBdr>
        <w:bottom w:val="thinThickSmallGap" w:color="auto" w:sz="24" w:space="1"/>
      </w:pBdr>
      <w:jc w:val="left"/>
      <w:rPr>
        <w:rFonts w:ascii="华文新魏" w:eastAsia="华文新魏"/>
        <w:lang w:val="en-US"/>
      </w:rPr>
    </w:pPr>
    <w:r>
      <w:rPr>
        <w:rFonts w:hint="eastAsia" w:ascii="华文新魏" w:eastAsia="华文新魏"/>
      </w:rPr>
      <w:t>钦州港金谷港区金鼓江作业区14 号、15号泊位工程环境影响报告书</w:t>
    </w:r>
    <w:r>
      <w:rPr>
        <w:rFonts w:hint="eastAsia" w:ascii="华文新魏" w:eastAsia="华文新魏"/>
        <w:lang w:val="en-US"/>
      </w:rPr>
      <w:t xml:space="preserve">                                                                                 2 建设项目概况与工程分析</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DC8253">
    <w:pPr>
      <w:pStyle w:val="30"/>
      <w:pBdr>
        <w:bottom w:val="thinThickSmallGap" w:color="auto" w:sz="24" w:space="1"/>
      </w:pBdr>
      <w:jc w:val="distribute"/>
      <w:rPr>
        <w:rFonts w:ascii="华文新魏" w:eastAsia="华文新魏"/>
        <w:lang w:val="en-US"/>
      </w:rPr>
    </w:pPr>
    <w:r>
      <w:rPr>
        <w:rFonts w:hint="eastAsia" w:ascii="华文新魏" w:eastAsia="华文新魏"/>
      </w:rPr>
      <w:t>北部湾港钦州港域金谷港区金鼓江作业区14号泊位扩建工程（新增液、乙等装卸设施）环境影响报告书</w:t>
    </w:r>
    <w:r>
      <w:rPr>
        <w:rFonts w:hint="eastAsia" w:ascii="华文新魏" w:eastAsia="华文新魏"/>
        <w:lang w:val="en-US"/>
      </w:rPr>
      <w:t xml:space="preserve">        </w:t>
    </w:r>
  </w:p>
  <w:p w14:paraId="4C7C405B">
    <w:pPr>
      <w:pStyle w:val="30"/>
      <w:pBdr>
        <w:bottom w:val="thinThickSmallGap" w:color="auto" w:sz="24" w:space="1"/>
      </w:pBdr>
      <w:jc w:val="distribute"/>
      <w:rPr>
        <w:rFonts w:ascii="华文新魏" w:eastAsia="华文新魏"/>
        <w:lang w:val="en-US"/>
      </w:rPr>
    </w:pPr>
    <w:r>
      <w:rPr>
        <w:rFonts w:hint="eastAsia" w:ascii="华文新魏" w:eastAsia="华文新魏"/>
        <w:lang w:val="en-US"/>
      </w:rPr>
      <w:t xml:space="preserve">                                                                    2 建设项目概况与工程分析</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D2A056">
    <w:pPr>
      <w:ind w:firstLine="48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BC8558">
    <w:pPr>
      <w:ind w:firstLine="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DE194C"/>
    <w:multiLevelType w:val="singleLevel"/>
    <w:tmpl w:val="8BDE194C"/>
    <w:lvl w:ilvl="0" w:tentative="0">
      <w:start w:val="1"/>
      <w:numFmt w:val="decimal"/>
      <w:suff w:val="nothing"/>
      <w:lvlText w:val="%1、"/>
      <w:lvlJc w:val="left"/>
    </w:lvl>
  </w:abstractNum>
  <w:abstractNum w:abstractNumId="1">
    <w:nsid w:val="B8100084"/>
    <w:multiLevelType w:val="singleLevel"/>
    <w:tmpl w:val="B8100084"/>
    <w:lvl w:ilvl="0" w:tentative="0">
      <w:start w:val="1"/>
      <w:numFmt w:val="decimal"/>
      <w:suff w:val="nothing"/>
      <w:lvlText w:val="（%1）"/>
      <w:lvlJc w:val="left"/>
    </w:lvl>
  </w:abstractNum>
  <w:abstractNum w:abstractNumId="2">
    <w:nsid w:val="088FB1B9"/>
    <w:multiLevelType w:val="singleLevel"/>
    <w:tmpl w:val="088FB1B9"/>
    <w:lvl w:ilvl="0" w:tentative="0">
      <w:start w:val="1"/>
      <w:numFmt w:val="decimal"/>
      <w:suff w:val="nothing"/>
      <w:lvlText w:val="（%1）"/>
      <w:lvlJc w:val="left"/>
    </w:lvl>
  </w:abstractNum>
  <w:abstractNum w:abstractNumId="3">
    <w:nsid w:val="0E3005EA"/>
    <w:multiLevelType w:val="multilevel"/>
    <w:tmpl w:val="0E3005EA"/>
    <w:lvl w:ilvl="0" w:tentative="0">
      <w:start w:val="1"/>
      <w:numFmt w:val="decimal"/>
      <w:lvlText w:val="附件%1"/>
      <w:lvlJc w:val="left"/>
      <w:pPr>
        <w:ind w:left="882" w:hanging="420"/>
      </w:pPr>
      <w:rPr>
        <w:rFonts w:hint="eastAsia"/>
      </w:rPr>
    </w:lvl>
    <w:lvl w:ilvl="1" w:tentative="0">
      <w:start w:val="1"/>
      <w:numFmt w:val="decimal"/>
      <w:lvlText w:val="附件%2"/>
      <w:lvlJc w:val="left"/>
      <w:pPr>
        <w:ind w:left="840" w:hanging="420"/>
      </w:pPr>
      <w:rPr>
        <w:rFonts w:hint="eastAsia"/>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14C616C2"/>
    <w:multiLevelType w:val="multilevel"/>
    <w:tmpl w:val="14C616C2"/>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1DA61EE3"/>
    <w:multiLevelType w:val="multilevel"/>
    <w:tmpl w:val="1DA61EE3"/>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6">
    <w:nsid w:val="1F955DF5"/>
    <w:multiLevelType w:val="multilevel"/>
    <w:tmpl w:val="1F955DF5"/>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29DC4AB9"/>
    <w:multiLevelType w:val="multilevel"/>
    <w:tmpl w:val="29DC4AB9"/>
    <w:lvl w:ilvl="0" w:tentative="0">
      <w:start w:val="1"/>
      <w:numFmt w:val="decimal"/>
      <w:pStyle w:val="3"/>
      <w:suff w:val="space"/>
      <w:lvlText w:val="%1"/>
      <w:lvlJc w:val="left"/>
      <w:pPr>
        <w:ind w:left="0" w:firstLine="0"/>
      </w:pPr>
      <w:rPr>
        <w:rFonts w:hint="default" w:ascii="Times New Roman" w:hAnsi="Times New Roman" w:eastAsia="宋体" w:cs="Times New Roman"/>
        <w:b w:val="0"/>
        <w:bCs w:val="0"/>
        <w:i w:val="0"/>
        <w:sz w:val="32"/>
        <w:szCs w:val="32"/>
      </w:rPr>
    </w:lvl>
    <w:lvl w:ilvl="1" w:tentative="0">
      <w:start w:val="1"/>
      <w:numFmt w:val="decimal"/>
      <w:pStyle w:val="5"/>
      <w:suff w:val="space"/>
      <w:lvlText w:val="%1.%2"/>
      <w:lvlJc w:val="left"/>
      <w:pPr>
        <w:ind w:left="0" w:firstLine="0"/>
      </w:pPr>
      <w:rPr>
        <w:rFonts w:hint="default" w:ascii="Times New Roman" w:hAnsi="Times New Roman" w:eastAsia="黑体" w:cs="Times New Roman"/>
        <w:b/>
        <w:bCs/>
        <w:sz w:val="30"/>
        <w:szCs w:val="30"/>
      </w:rPr>
    </w:lvl>
    <w:lvl w:ilvl="2" w:tentative="0">
      <w:start w:val="1"/>
      <w:numFmt w:val="decimal"/>
      <w:pStyle w:val="4"/>
      <w:suff w:val="space"/>
      <w:lvlText w:val="%1.%2.%3"/>
      <w:lvlJc w:val="left"/>
      <w:pPr>
        <w:ind w:left="0" w:firstLine="0"/>
      </w:pPr>
      <w:rPr>
        <w:rFonts w:hint="default" w:ascii="Times New Roman" w:hAnsi="Times New Roman" w:eastAsia="黑体" w:cs="Times New Roman"/>
        <w:b/>
        <w:bCs/>
        <w:sz w:val="28"/>
        <w:szCs w:val="28"/>
      </w:rPr>
    </w:lvl>
    <w:lvl w:ilvl="3" w:tentative="0">
      <w:start w:val="1"/>
      <w:numFmt w:val="decimal"/>
      <w:pStyle w:val="6"/>
      <w:suff w:val="space"/>
      <w:lvlText w:val="%1.%2.%3.%4"/>
      <w:lvlJc w:val="left"/>
      <w:pPr>
        <w:ind w:left="426" w:firstLine="0"/>
      </w:pPr>
      <w:rPr>
        <w:rFonts w:hint="eastAsia"/>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4" w:tentative="0">
      <w:start w:val="1"/>
      <w:numFmt w:val="decimal"/>
      <w:lvlRestart w:val="2"/>
      <w:pStyle w:val="7"/>
      <w:suff w:val="space"/>
      <w:lvlText w:val="表%1.%2-%5"/>
      <w:lvlJc w:val="left"/>
      <w:pPr>
        <w:ind w:left="-2" w:firstLine="0"/>
      </w:pPr>
      <w:rPr>
        <w:rFonts w:hint="default" w:ascii="Times New Roman" w:hAnsi="Times New Roman" w:cs="Times New Roman"/>
        <w:b w:val="0"/>
        <w:bCs w:val="0"/>
        <w:i w:val="0"/>
        <w:iCs w:val="0"/>
        <w:caps w:val="0"/>
        <w:smallCaps w:val="0"/>
        <w:strike w:val="0"/>
        <w:dstrike w:val="0"/>
        <w:outline w:val="0"/>
        <w:shadow w:val="0"/>
        <w:emboss w:val="0"/>
        <w:imprint w:val="0"/>
        <w:vanish w:val="0"/>
        <w:spacing w:val="0"/>
        <w:position w:val="0"/>
        <w:sz w:val="24"/>
        <w:szCs w:val="24"/>
        <w:u w:val="none"/>
        <w:vertAlign w:val="baseline"/>
        <w:lang w:val="en-US"/>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5" w:tentative="0">
      <w:start w:val="1"/>
      <w:numFmt w:val="decimal"/>
      <w:lvlRestart w:val="2"/>
      <w:pStyle w:val="8"/>
      <w:suff w:val="space"/>
      <w:lvlText w:val="图%1.%2-%6"/>
      <w:lvlJc w:val="left"/>
      <w:pPr>
        <w:ind w:left="0" w:firstLine="0"/>
      </w:pPr>
      <w:rPr>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8">
    <w:nsid w:val="2AF65DA2"/>
    <w:multiLevelType w:val="multilevel"/>
    <w:tmpl w:val="2AF65DA2"/>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decimal"/>
      <w:suff w:val="nothing"/>
      <w:lvlText w:val="（%3）"/>
      <w:lvlJc w:val="left"/>
      <w:pPr>
        <w:ind w:left="0" w:firstLine="0"/>
      </w:pPr>
      <w:rPr>
        <w:rFonts w:hint="eastAsia"/>
      </w:r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2F034797"/>
    <w:multiLevelType w:val="multilevel"/>
    <w:tmpl w:val="2F034797"/>
    <w:lvl w:ilvl="0" w:tentative="0">
      <w:start w:val="1"/>
      <w:numFmt w:val="decimal"/>
      <w:lvlText w:val="附图%1"/>
      <w:lvlJc w:val="left"/>
      <w:pPr>
        <w:ind w:left="986" w:hanging="420"/>
      </w:pPr>
      <w:rPr>
        <w:rFonts w:hint="eastAsia"/>
      </w:rPr>
    </w:lvl>
    <w:lvl w:ilvl="1" w:tentative="0">
      <w:start w:val="1"/>
      <w:numFmt w:val="decimal"/>
      <w:lvlText w:val="附图%2"/>
      <w:lvlJc w:val="left"/>
      <w:pPr>
        <w:ind w:left="840" w:hanging="420"/>
      </w:pPr>
      <w:rPr>
        <w:rFonts w:hint="eastAsia"/>
        <w:b w:val="0"/>
        <w:bCs/>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499764E2"/>
    <w:multiLevelType w:val="multilevel"/>
    <w:tmpl w:val="499764E2"/>
    <w:lvl w:ilvl="0" w:tentative="0">
      <w:start w:val="1"/>
      <w:numFmt w:val="decimal"/>
      <w:suff w:val="space"/>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4E5DF3DF"/>
    <w:multiLevelType w:val="singleLevel"/>
    <w:tmpl w:val="4E5DF3DF"/>
    <w:lvl w:ilvl="0" w:tentative="0">
      <w:start w:val="1"/>
      <w:numFmt w:val="decimal"/>
      <w:suff w:val="nothing"/>
      <w:lvlText w:val="（%1）"/>
      <w:lvlJc w:val="left"/>
    </w:lvl>
  </w:abstractNum>
  <w:abstractNum w:abstractNumId="12">
    <w:nsid w:val="53FF1A8F"/>
    <w:multiLevelType w:val="multilevel"/>
    <w:tmpl w:val="53FF1A8F"/>
    <w:lvl w:ilvl="0" w:tentative="0">
      <w:start w:val="1"/>
      <w:numFmt w:val="decimal"/>
      <w:suff w:val="space"/>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613748A1"/>
    <w:multiLevelType w:val="multilevel"/>
    <w:tmpl w:val="613748A1"/>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66F50652"/>
    <w:multiLevelType w:val="multilevel"/>
    <w:tmpl w:val="66F50652"/>
    <w:lvl w:ilvl="0" w:tentative="0">
      <w:start w:val="1"/>
      <w:numFmt w:val="decimal"/>
      <w:suff w:val="nothing"/>
      <w:lvlText w:val="（%1）"/>
      <w:lvlJc w:val="left"/>
      <w:pPr>
        <w:ind w:left="0" w:firstLine="0"/>
      </w:pPr>
      <w:rPr>
        <w:rFonts w:hint="eastAsia"/>
        <w:lang w:val="en-US"/>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5">
    <w:nsid w:val="6CD575BA"/>
    <w:multiLevelType w:val="multilevel"/>
    <w:tmpl w:val="6CD575BA"/>
    <w:lvl w:ilvl="0" w:tentative="0">
      <w:start w:val="1"/>
      <w:numFmt w:val="decimal"/>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6">
    <w:nsid w:val="72DE7ED0"/>
    <w:multiLevelType w:val="multilevel"/>
    <w:tmpl w:val="72DE7ED0"/>
    <w:lvl w:ilvl="0" w:tentative="0">
      <w:start w:val="1"/>
      <w:numFmt w:val="decimal"/>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7">
    <w:nsid w:val="7E671541"/>
    <w:multiLevelType w:val="multilevel"/>
    <w:tmpl w:val="7E671541"/>
    <w:lvl w:ilvl="0" w:tentative="0">
      <w:start w:val="1"/>
      <w:numFmt w:val="decimal"/>
      <w:suff w:val="nothing"/>
      <w:lvlText w:val="%1"/>
      <w:lvlJc w:val="left"/>
      <w:pPr>
        <w:ind w:left="0" w:firstLine="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7E793A8A"/>
    <w:multiLevelType w:val="multilevel"/>
    <w:tmpl w:val="7E793A8A"/>
    <w:lvl w:ilvl="0" w:tentative="0">
      <w:start w:val="1"/>
      <w:numFmt w:val="decimal"/>
      <w:lvlText w:val="附表%1"/>
      <w:lvlJc w:val="left"/>
      <w:pPr>
        <w:ind w:left="902" w:hanging="420"/>
      </w:pPr>
      <w:rPr>
        <w:rFonts w:hint="eastAsia"/>
        <w:color w:val="000000" w:themeColor="text1"/>
        <w:sz w:val="24"/>
        <w:szCs w:val="24"/>
        <w14:textFill>
          <w14:solidFill>
            <w14:schemeClr w14:val="tx1"/>
          </w14:solidFill>
        </w14:textFill>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num w:numId="1">
    <w:abstractNumId w:val="7"/>
  </w:num>
  <w:num w:numId="2">
    <w:abstractNumId w:val="9"/>
  </w:num>
  <w:num w:numId="3">
    <w:abstractNumId w:val="3"/>
  </w:num>
  <w:num w:numId="4">
    <w:abstractNumId w:val="18"/>
  </w:num>
  <w:num w:numId="5">
    <w:abstractNumId w:val="8"/>
  </w:num>
  <w:num w:numId="6">
    <w:abstractNumId w:val="14"/>
  </w:num>
  <w:num w:numId="7">
    <w:abstractNumId w:val="13"/>
  </w:num>
  <w:num w:numId="8">
    <w:abstractNumId w:val="16"/>
  </w:num>
  <w:num w:numId="9">
    <w:abstractNumId w:val="15"/>
  </w:num>
  <w:num w:numId="10">
    <w:abstractNumId w:val="12"/>
  </w:num>
  <w:num w:numId="11">
    <w:abstractNumId w:val="10"/>
  </w:num>
  <w:num w:numId="12">
    <w:abstractNumId w:val="17"/>
  </w:num>
  <w:num w:numId="13">
    <w:abstractNumId w:val="6"/>
  </w:num>
  <w:num w:numId="14">
    <w:abstractNumId w:val="4"/>
  </w:num>
  <w:num w:numId="15">
    <w:abstractNumId w:val="1"/>
  </w:num>
  <w:num w:numId="16">
    <w:abstractNumId w:val="11"/>
  </w:num>
  <w:num w:numId="17">
    <w:abstractNumId w:val="5"/>
  </w:num>
  <w:num w:numId="18">
    <w:abstractNumId w:val="2"/>
  </w:num>
  <w:num w:numId="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hideSpellingErrors/>
  <w:documentProtection w:enforcement="0"/>
  <w:defaultTabStop w:val="420"/>
  <w:drawingGridHorizontalSpacing w:val="120"/>
  <w:drawingGridVerticalSpacing w:val="16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cyNWY0MWI5YmE4ZjQyZTdmZWM2NWM5YjI2YmFjZjIifQ=="/>
  </w:docVars>
  <w:rsids>
    <w:rsidRoot w:val="00172A27"/>
    <w:rsid w:val="00002526"/>
    <w:rsid w:val="00003B58"/>
    <w:rsid w:val="00005972"/>
    <w:rsid w:val="00005C00"/>
    <w:rsid w:val="00007371"/>
    <w:rsid w:val="000131B2"/>
    <w:rsid w:val="000144F7"/>
    <w:rsid w:val="000154FA"/>
    <w:rsid w:val="00015F38"/>
    <w:rsid w:val="00016518"/>
    <w:rsid w:val="000207EA"/>
    <w:rsid w:val="00020B16"/>
    <w:rsid w:val="00022E49"/>
    <w:rsid w:val="00026D0E"/>
    <w:rsid w:val="00027FC9"/>
    <w:rsid w:val="00030596"/>
    <w:rsid w:val="00031C00"/>
    <w:rsid w:val="0003284D"/>
    <w:rsid w:val="00032B6C"/>
    <w:rsid w:val="00033866"/>
    <w:rsid w:val="000344AD"/>
    <w:rsid w:val="00034BEA"/>
    <w:rsid w:val="000350DB"/>
    <w:rsid w:val="00035311"/>
    <w:rsid w:val="000365BE"/>
    <w:rsid w:val="000373C2"/>
    <w:rsid w:val="00037539"/>
    <w:rsid w:val="00040210"/>
    <w:rsid w:val="00044FB5"/>
    <w:rsid w:val="000455B9"/>
    <w:rsid w:val="00047322"/>
    <w:rsid w:val="00050206"/>
    <w:rsid w:val="00051E7B"/>
    <w:rsid w:val="000531E4"/>
    <w:rsid w:val="000547BC"/>
    <w:rsid w:val="00056DEE"/>
    <w:rsid w:val="000606AD"/>
    <w:rsid w:val="00060D28"/>
    <w:rsid w:val="0006175E"/>
    <w:rsid w:val="00064456"/>
    <w:rsid w:val="00064C09"/>
    <w:rsid w:val="00065C37"/>
    <w:rsid w:val="00066336"/>
    <w:rsid w:val="00067607"/>
    <w:rsid w:val="00067C66"/>
    <w:rsid w:val="000701AC"/>
    <w:rsid w:val="00073974"/>
    <w:rsid w:val="00073A08"/>
    <w:rsid w:val="0007417C"/>
    <w:rsid w:val="00074884"/>
    <w:rsid w:val="00075B87"/>
    <w:rsid w:val="00076A0C"/>
    <w:rsid w:val="0008089F"/>
    <w:rsid w:val="00081B52"/>
    <w:rsid w:val="00083B12"/>
    <w:rsid w:val="0008534F"/>
    <w:rsid w:val="00086538"/>
    <w:rsid w:val="000865CC"/>
    <w:rsid w:val="00086ABC"/>
    <w:rsid w:val="00086D99"/>
    <w:rsid w:val="000904F4"/>
    <w:rsid w:val="0009293D"/>
    <w:rsid w:val="00093B2D"/>
    <w:rsid w:val="00093DC7"/>
    <w:rsid w:val="00094087"/>
    <w:rsid w:val="0009457D"/>
    <w:rsid w:val="00096B09"/>
    <w:rsid w:val="00097413"/>
    <w:rsid w:val="000A0AF1"/>
    <w:rsid w:val="000A210A"/>
    <w:rsid w:val="000A3CF2"/>
    <w:rsid w:val="000A66C7"/>
    <w:rsid w:val="000A702A"/>
    <w:rsid w:val="000A752D"/>
    <w:rsid w:val="000A7A21"/>
    <w:rsid w:val="000B015E"/>
    <w:rsid w:val="000B125A"/>
    <w:rsid w:val="000B29D3"/>
    <w:rsid w:val="000B2FED"/>
    <w:rsid w:val="000B3EB9"/>
    <w:rsid w:val="000B44CD"/>
    <w:rsid w:val="000C09D4"/>
    <w:rsid w:val="000C0C99"/>
    <w:rsid w:val="000C46A9"/>
    <w:rsid w:val="000C6732"/>
    <w:rsid w:val="000D0595"/>
    <w:rsid w:val="000D0688"/>
    <w:rsid w:val="000D0B7C"/>
    <w:rsid w:val="000D0D86"/>
    <w:rsid w:val="000D117E"/>
    <w:rsid w:val="000D1B9E"/>
    <w:rsid w:val="000D4C47"/>
    <w:rsid w:val="000D576C"/>
    <w:rsid w:val="000D7303"/>
    <w:rsid w:val="000D75EA"/>
    <w:rsid w:val="000D7DE3"/>
    <w:rsid w:val="000E058A"/>
    <w:rsid w:val="000E0D0A"/>
    <w:rsid w:val="000E1FC6"/>
    <w:rsid w:val="000E39AC"/>
    <w:rsid w:val="000E40C5"/>
    <w:rsid w:val="000E5776"/>
    <w:rsid w:val="000F185C"/>
    <w:rsid w:val="000F1F5E"/>
    <w:rsid w:val="000F2D8F"/>
    <w:rsid w:val="000F3858"/>
    <w:rsid w:val="000F3B3C"/>
    <w:rsid w:val="000F4C10"/>
    <w:rsid w:val="000F50AE"/>
    <w:rsid w:val="000F5A29"/>
    <w:rsid w:val="000F638E"/>
    <w:rsid w:val="000F679A"/>
    <w:rsid w:val="000F7853"/>
    <w:rsid w:val="000F7BD2"/>
    <w:rsid w:val="0010041F"/>
    <w:rsid w:val="00100D02"/>
    <w:rsid w:val="00101DCB"/>
    <w:rsid w:val="00102534"/>
    <w:rsid w:val="00104A77"/>
    <w:rsid w:val="0010506D"/>
    <w:rsid w:val="00106674"/>
    <w:rsid w:val="0010725B"/>
    <w:rsid w:val="00107746"/>
    <w:rsid w:val="00107FCC"/>
    <w:rsid w:val="00110B6E"/>
    <w:rsid w:val="00112013"/>
    <w:rsid w:val="00112400"/>
    <w:rsid w:val="0011248F"/>
    <w:rsid w:val="00112C34"/>
    <w:rsid w:val="00114751"/>
    <w:rsid w:val="00116BEC"/>
    <w:rsid w:val="00120D19"/>
    <w:rsid w:val="00121006"/>
    <w:rsid w:val="00122DA2"/>
    <w:rsid w:val="00124AD8"/>
    <w:rsid w:val="0012522D"/>
    <w:rsid w:val="001253B0"/>
    <w:rsid w:val="00125616"/>
    <w:rsid w:val="001263CD"/>
    <w:rsid w:val="00127F98"/>
    <w:rsid w:val="00130B7F"/>
    <w:rsid w:val="001325FF"/>
    <w:rsid w:val="00133398"/>
    <w:rsid w:val="00133C09"/>
    <w:rsid w:val="00135911"/>
    <w:rsid w:val="00135C10"/>
    <w:rsid w:val="001370B6"/>
    <w:rsid w:val="001375E2"/>
    <w:rsid w:val="0014200C"/>
    <w:rsid w:val="001430E3"/>
    <w:rsid w:val="00143616"/>
    <w:rsid w:val="00144105"/>
    <w:rsid w:val="00144F27"/>
    <w:rsid w:val="001455F1"/>
    <w:rsid w:val="0014570A"/>
    <w:rsid w:val="001457A7"/>
    <w:rsid w:val="001463CA"/>
    <w:rsid w:val="00147D0F"/>
    <w:rsid w:val="001507F8"/>
    <w:rsid w:val="00150D49"/>
    <w:rsid w:val="00152311"/>
    <w:rsid w:val="00152DD2"/>
    <w:rsid w:val="001534D8"/>
    <w:rsid w:val="001540AC"/>
    <w:rsid w:val="001562CE"/>
    <w:rsid w:val="00157D57"/>
    <w:rsid w:val="0016198D"/>
    <w:rsid w:val="00161C64"/>
    <w:rsid w:val="00162D52"/>
    <w:rsid w:val="001630D3"/>
    <w:rsid w:val="00163EC5"/>
    <w:rsid w:val="00164940"/>
    <w:rsid w:val="001650A6"/>
    <w:rsid w:val="00166901"/>
    <w:rsid w:val="00166F49"/>
    <w:rsid w:val="001670A7"/>
    <w:rsid w:val="00170E43"/>
    <w:rsid w:val="0017128B"/>
    <w:rsid w:val="001715AE"/>
    <w:rsid w:val="00172A27"/>
    <w:rsid w:val="00173CBC"/>
    <w:rsid w:val="00174F2E"/>
    <w:rsid w:val="0017636A"/>
    <w:rsid w:val="00177602"/>
    <w:rsid w:val="001802B9"/>
    <w:rsid w:val="0018030E"/>
    <w:rsid w:val="001803CC"/>
    <w:rsid w:val="00181543"/>
    <w:rsid w:val="00183C84"/>
    <w:rsid w:val="00183D97"/>
    <w:rsid w:val="0018404B"/>
    <w:rsid w:val="00185FDA"/>
    <w:rsid w:val="0018702C"/>
    <w:rsid w:val="00187635"/>
    <w:rsid w:val="00190D76"/>
    <w:rsid w:val="001910BA"/>
    <w:rsid w:val="00192C15"/>
    <w:rsid w:val="00195EB7"/>
    <w:rsid w:val="0019631D"/>
    <w:rsid w:val="00196C6A"/>
    <w:rsid w:val="00197DA0"/>
    <w:rsid w:val="00197DD0"/>
    <w:rsid w:val="001A1BF3"/>
    <w:rsid w:val="001A276C"/>
    <w:rsid w:val="001A2EA3"/>
    <w:rsid w:val="001A3B2D"/>
    <w:rsid w:val="001A3E5D"/>
    <w:rsid w:val="001A3E85"/>
    <w:rsid w:val="001A4B34"/>
    <w:rsid w:val="001A53D1"/>
    <w:rsid w:val="001A7325"/>
    <w:rsid w:val="001A73AD"/>
    <w:rsid w:val="001B01A0"/>
    <w:rsid w:val="001B099F"/>
    <w:rsid w:val="001B1662"/>
    <w:rsid w:val="001B1C4D"/>
    <w:rsid w:val="001B1D43"/>
    <w:rsid w:val="001B2AEF"/>
    <w:rsid w:val="001B2DFC"/>
    <w:rsid w:val="001B3BD1"/>
    <w:rsid w:val="001B41EB"/>
    <w:rsid w:val="001B4486"/>
    <w:rsid w:val="001B44A4"/>
    <w:rsid w:val="001B487B"/>
    <w:rsid w:val="001B4A0C"/>
    <w:rsid w:val="001B51ED"/>
    <w:rsid w:val="001B733B"/>
    <w:rsid w:val="001B79EE"/>
    <w:rsid w:val="001C0FD4"/>
    <w:rsid w:val="001C1B83"/>
    <w:rsid w:val="001C212C"/>
    <w:rsid w:val="001C3AB4"/>
    <w:rsid w:val="001C6892"/>
    <w:rsid w:val="001C68A2"/>
    <w:rsid w:val="001C70EB"/>
    <w:rsid w:val="001C728A"/>
    <w:rsid w:val="001C7F78"/>
    <w:rsid w:val="001D053A"/>
    <w:rsid w:val="001D0E44"/>
    <w:rsid w:val="001D1A9E"/>
    <w:rsid w:val="001D1E05"/>
    <w:rsid w:val="001D3669"/>
    <w:rsid w:val="001D38FD"/>
    <w:rsid w:val="001D3DD5"/>
    <w:rsid w:val="001D3E07"/>
    <w:rsid w:val="001D3E76"/>
    <w:rsid w:val="001D411C"/>
    <w:rsid w:val="001D45EF"/>
    <w:rsid w:val="001D6160"/>
    <w:rsid w:val="001D6C37"/>
    <w:rsid w:val="001D750A"/>
    <w:rsid w:val="001E0033"/>
    <w:rsid w:val="001E04BE"/>
    <w:rsid w:val="001E0C1A"/>
    <w:rsid w:val="001E4BCA"/>
    <w:rsid w:val="001E5302"/>
    <w:rsid w:val="001E54D2"/>
    <w:rsid w:val="001E6805"/>
    <w:rsid w:val="001E69CA"/>
    <w:rsid w:val="001E79C8"/>
    <w:rsid w:val="001F0224"/>
    <w:rsid w:val="001F1EC5"/>
    <w:rsid w:val="001F242F"/>
    <w:rsid w:val="001F413A"/>
    <w:rsid w:val="001F4672"/>
    <w:rsid w:val="001F48F8"/>
    <w:rsid w:val="001F49E8"/>
    <w:rsid w:val="001F71A2"/>
    <w:rsid w:val="002000DB"/>
    <w:rsid w:val="00202708"/>
    <w:rsid w:val="00202F70"/>
    <w:rsid w:val="00203978"/>
    <w:rsid w:val="00205ADF"/>
    <w:rsid w:val="002071B7"/>
    <w:rsid w:val="00210570"/>
    <w:rsid w:val="00211781"/>
    <w:rsid w:val="002134D0"/>
    <w:rsid w:val="00213C70"/>
    <w:rsid w:val="002161B6"/>
    <w:rsid w:val="00220CBE"/>
    <w:rsid w:val="0022279D"/>
    <w:rsid w:val="00222F07"/>
    <w:rsid w:val="00224150"/>
    <w:rsid w:val="00225783"/>
    <w:rsid w:val="00226430"/>
    <w:rsid w:val="00227762"/>
    <w:rsid w:val="00230885"/>
    <w:rsid w:val="00230FA9"/>
    <w:rsid w:val="0023113E"/>
    <w:rsid w:val="0023262D"/>
    <w:rsid w:val="002337D2"/>
    <w:rsid w:val="0023421D"/>
    <w:rsid w:val="00235271"/>
    <w:rsid w:val="0023773C"/>
    <w:rsid w:val="00240438"/>
    <w:rsid w:val="00243911"/>
    <w:rsid w:val="002454AC"/>
    <w:rsid w:val="002455E4"/>
    <w:rsid w:val="002461BD"/>
    <w:rsid w:val="00246B8E"/>
    <w:rsid w:val="00247598"/>
    <w:rsid w:val="002506CB"/>
    <w:rsid w:val="00251158"/>
    <w:rsid w:val="002511A8"/>
    <w:rsid w:val="00251CFA"/>
    <w:rsid w:val="00251ED9"/>
    <w:rsid w:val="00252CB4"/>
    <w:rsid w:val="00254CFB"/>
    <w:rsid w:val="00254E0B"/>
    <w:rsid w:val="00256806"/>
    <w:rsid w:val="00260585"/>
    <w:rsid w:val="00260CA9"/>
    <w:rsid w:val="00261129"/>
    <w:rsid w:val="0026118C"/>
    <w:rsid w:val="002623DC"/>
    <w:rsid w:val="00262A17"/>
    <w:rsid w:val="0026313F"/>
    <w:rsid w:val="00263646"/>
    <w:rsid w:val="00263B7C"/>
    <w:rsid w:val="0026451F"/>
    <w:rsid w:val="00265C9C"/>
    <w:rsid w:val="0026615E"/>
    <w:rsid w:val="00266BB2"/>
    <w:rsid w:val="00266F8A"/>
    <w:rsid w:val="0026782E"/>
    <w:rsid w:val="00267B5D"/>
    <w:rsid w:val="00267F2C"/>
    <w:rsid w:val="00267F50"/>
    <w:rsid w:val="002706EB"/>
    <w:rsid w:val="00270BE5"/>
    <w:rsid w:val="002722A1"/>
    <w:rsid w:val="002730BD"/>
    <w:rsid w:val="002730D0"/>
    <w:rsid w:val="00275059"/>
    <w:rsid w:val="00275309"/>
    <w:rsid w:val="00276122"/>
    <w:rsid w:val="0027784E"/>
    <w:rsid w:val="00277F3F"/>
    <w:rsid w:val="002804BC"/>
    <w:rsid w:val="00281D79"/>
    <w:rsid w:val="00282183"/>
    <w:rsid w:val="00284A42"/>
    <w:rsid w:val="00284AAB"/>
    <w:rsid w:val="00291C00"/>
    <w:rsid w:val="00292B60"/>
    <w:rsid w:val="002937C3"/>
    <w:rsid w:val="00293A69"/>
    <w:rsid w:val="002960A6"/>
    <w:rsid w:val="002971F7"/>
    <w:rsid w:val="00297CE4"/>
    <w:rsid w:val="002A0CDC"/>
    <w:rsid w:val="002A1B69"/>
    <w:rsid w:val="002A4BA3"/>
    <w:rsid w:val="002A550C"/>
    <w:rsid w:val="002B0564"/>
    <w:rsid w:val="002B101E"/>
    <w:rsid w:val="002B234F"/>
    <w:rsid w:val="002B26B6"/>
    <w:rsid w:val="002B3523"/>
    <w:rsid w:val="002B3932"/>
    <w:rsid w:val="002B55AB"/>
    <w:rsid w:val="002B6421"/>
    <w:rsid w:val="002B65CA"/>
    <w:rsid w:val="002B6CF8"/>
    <w:rsid w:val="002B7CD1"/>
    <w:rsid w:val="002C0240"/>
    <w:rsid w:val="002C0ED4"/>
    <w:rsid w:val="002C123D"/>
    <w:rsid w:val="002C1C4B"/>
    <w:rsid w:val="002C24FD"/>
    <w:rsid w:val="002C2A14"/>
    <w:rsid w:val="002C4302"/>
    <w:rsid w:val="002C441C"/>
    <w:rsid w:val="002C63AB"/>
    <w:rsid w:val="002D07D1"/>
    <w:rsid w:val="002D0B46"/>
    <w:rsid w:val="002D1ECF"/>
    <w:rsid w:val="002D281D"/>
    <w:rsid w:val="002D2F1F"/>
    <w:rsid w:val="002D5099"/>
    <w:rsid w:val="002D6990"/>
    <w:rsid w:val="002D6C9D"/>
    <w:rsid w:val="002D77EC"/>
    <w:rsid w:val="002E0BD0"/>
    <w:rsid w:val="002E108B"/>
    <w:rsid w:val="002E1FE6"/>
    <w:rsid w:val="002E34FF"/>
    <w:rsid w:val="002E48A0"/>
    <w:rsid w:val="002E5B6A"/>
    <w:rsid w:val="002F1D69"/>
    <w:rsid w:val="002F516C"/>
    <w:rsid w:val="002F55EF"/>
    <w:rsid w:val="002F67B4"/>
    <w:rsid w:val="002F7B19"/>
    <w:rsid w:val="002F7CC1"/>
    <w:rsid w:val="00300215"/>
    <w:rsid w:val="0030047E"/>
    <w:rsid w:val="003019F1"/>
    <w:rsid w:val="0030261F"/>
    <w:rsid w:val="003037DF"/>
    <w:rsid w:val="00304604"/>
    <w:rsid w:val="00304829"/>
    <w:rsid w:val="00305147"/>
    <w:rsid w:val="00305395"/>
    <w:rsid w:val="003054E5"/>
    <w:rsid w:val="00305906"/>
    <w:rsid w:val="003060E3"/>
    <w:rsid w:val="00311537"/>
    <w:rsid w:val="00312B06"/>
    <w:rsid w:val="00313481"/>
    <w:rsid w:val="0031639D"/>
    <w:rsid w:val="00316639"/>
    <w:rsid w:val="003219BF"/>
    <w:rsid w:val="00323187"/>
    <w:rsid w:val="00324114"/>
    <w:rsid w:val="00324BAB"/>
    <w:rsid w:val="0032635F"/>
    <w:rsid w:val="003273BB"/>
    <w:rsid w:val="00327CBF"/>
    <w:rsid w:val="003303E5"/>
    <w:rsid w:val="00331F15"/>
    <w:rsid w:val="003327B1"/>
    <w:rsid w:val="00332A65"/>
    <w:rsid w:val="003343A0"/>
    <w:rsid w:val="00334B17"/>
    <w:rsid w:val="00335149"/>
    <w:rsid w:val="0033583A"/>
    <w:rsid w:val="00336822"/>
    <w:rsid w:val="0033784E"/>
    <w:rsid w:val="00340062"/>
    <w:rsid w:val="00340E46"/>
    <w:rsid w:val="003411AC"/>
    <w:rsid w:val="00341685"/>
    <w:rsid w:val="00341E67"/>
    <w:rsid w:val="00343924"/>
    <w:rsid w:val="003458A6"/>
    <w:rsid w:val="003464C4"/>
    <w:rsid w:val="003476C3"/>
    <w:rsid w:val="00352CD1"/>
    <w:rsid w:val="00352ECB"/>
    <w:rsid w:val="00354FD2"/>
    <w:rsid w:val="00355144"/>
    <w:rsid w:val="003562F5"/>
    <w:rsid w:val="0035755B"/>
    <w:rsid w:val="00361793"/>
    <w:rsid w:val="00362417"/>
    <w:rsid w:val="003643AF"/>
    <w:rsid w:val="00364E83"/>
    <w:rsid w:val="00365914"/>
    <w:rsid w:val="0036671E"/>
    <w:rsid w:val="003700CB"/>
    <w:rsid w:val="00370AFE"/>
    <w:rsid w:val="003714E1"/>
    <w:rsid w:val="00372CCE"/>
    <w:rsid w:val="0037329C"/>
    <w:rsid w:val="003777C2"/>
    <w:rsid w:val="0037784A"/>
    <w:rsid w:val="00377EF4"/>
    <w:rsid w:val="00380EC1"/>
    <w:rsid w:val="0038192E"/>
    <w:rsid w:val="003829BA"/>
    <w:rsid w:val="00384176"/>
    <w:rsid w:val="00384E36"/>
    <w:rsid w:val="00384FA9"/>
    <w:rsid w:val="0038582A"/>
    <w:rsid w:val="0038643F"/>
    <w:rsid w:val="00387B6A"/>
    <w:rsid w:val="00390B95"/>
    <w:rsid w:val="00391943"/>
    <w:rsid w:val="00391B07"/>
    <w:rsid w:val="003941DB"/>
    <w:rsid w:val="00395C81"/>
    <w:rsid w:val="003963D6"/>
    <w:rsid w:val="00396C2C"/>
    <w:rsid w:val="00396FDC"/>
    <w:rsid w:val="003970D5"/>
    <w:rsid w:val="0039790A"/>
    <w:rsid w:val="003A06C5"/>
    <w:rsid w:val="003A100F"/>
    <w:rsid w:val="003A1010"/>
    <w:rsid w:val="003A12A8"/>
    <w:rsid w:val="003A1648"/>
    <w:rsid w:val="003A1670"/>
    <w:rsid w:val="003A22E8"/>
    <w:rsid w:val="003A237B"/>
    <w:rsid w:val="003A2E18"/>
    <w:rsid w:val="003A3284"/>
    <w:rsid w:val="003A3B8F"/>
    <w:rsid w:val="003A434A"/>
    <w:rsid w:val="003A473D"/>
    <w:rsid w:val="003A4B3D"/>
    <w:rsid w:val="003A4D22"/>
    <w:rsid w:val="003A5932"/>
    <w:rsid w:val="003A5E5D"/>
    <w:rsid w:val="003B0891"/>
    <w:rsid w:val="003B20AE"/>
    <w:rsid w:val="003B31C6"/>
    <w:rsid w:val="003B3E52"/>
    <w:rsid w:val="003B47BF"/>
    <w:rsid w:val="003B53DB"/>
    <w:rsid w:val="003B6482"/>
    <w:rsid w:val="003B73E2"/>
    <w:rsid w:val="003B76FC"/>
    <w:rsid w:val="003C01E6"/>
    <w:rsid w:val="003C0955"/>
    <w:rsid w:val="003C09ED"/>
    <w:rsid w:val="003C16F2"/>
    <w:rsid w:val="003C20F2"/>
    <w:rsid w:val="003C3984"/>
    <w:rsid w:val="003C41C0"/>
    <w:rsid w:val="003C4951"/>
    <w:rsid w:val="003C5351"/>
    <w:rsid w:val="003C5869"/>
    <w:rsid w:val="003C5A9D"/>
    <w:rsid w:val="003D26CE"/>
    <w:rsid w:val="003D35ED"/>
    <w:rsid w:val="003D3837"/>
    <w:rsid w:val="003D417D"/>
    <w:rsid w:val="003D4CEC"/>
    <w:rsid w:val="003D501B"/>
    <w:rsid w:val="003D58FF"/>
    <w:rsid w:val="003D692C"/>
    <w:rsid w:val="003E1B5D"/>
    <w:rsid w:val="003E20C7"/>
    <w:rsid w:val="003E28FD"/>
    <w:rsid w:val="003E3973"/>
    <w:rsid w:val="003E5692"/>
    <w:rsid w:val="003E6D60"/>
    <w:rsid w:val="003F044D"/>
    <w:rsid w:val="003F068A"/>
    <w:rsid w:val="003F26BD"/>
    <w:rsid w:val="003F5485"/>
    <w:rsid w:val="003F5DC2"/>
    <w:rsid w:val="003F784F"/>
    <w:rsid w:val="0040093B"/>
    <w:rsid w:val="00400C06"/>
    <w:rsid w:val="00402B3C"/>
    <w:rsid w:val="004033B2"/>
    <w:rsid w:val="00403B47"/>
    <w:rsid w:val="0040709A"/>
    <w:rsid w:val="004070F6"/>
    <w:rsid w:val="00407130"/>
    <w:rsid w:val="00407994"/>
    <w:rsid w:val="00410512"/>
    <w:rsid w:val="00411BE3"/>
    <w:rsid w:val="004133C6"/>
    <w:rsid w:val="00415718"/>
    <w:rsid w:val="004168E2"/>
    <w:rsid w:val="00416FB6"/>
    <w:rsid w:val="00416FC8"/>
    <w:rsid w:val="00422561"/>
    <w:rsid w:val="00424343"/>
    <w:rsid w:val="0042672D"/>
    <w:rsid w:val="00426B42"/>
    <w:rsid w:val="00426C35"/>
    <w:rsid w:val="00426FCB"/>
    <w:rsid w:val="00430B08"/>
    <w:rsid w:val="00432BC1"/>
    <w:rsid w:val="0043390E"/>
    <w:rsid w:val="00434248"/>
    <w:rsid w:val="004362B0"/>
    <w:rsid w:val="0043754B"/>
    <w:rsid w:val="004401F4"/>
    <w:rsid w:val="00443708"/>
    <w:rsid w:val="00443857"/>
    <w:rsid w:val="00443DA9"/>
    <w:rsid w:val="00444B85"/>
    <w:rsid w:val="00444E7D"/>
    <w:rsid w:val="00446163"/>
    <w:rsid w:val="00446341"/>
    <w:rsid w:val="004469CD"/>
    <w:rsid w:val="00450D9E"/>
    <w:rsid w:val="00451D20"/>
    <w:rsid w:val="0045239D"/>
    <w:rsid w:val="00452FE7"/>
    <w:rsid w:val="0045334C"/>
    <w:rsid w:val="004538EC"/>
    <w:rsid w:val="004548F3"/>
    <w:rsid w:val="00455046"/>
    <w:rsid w:val="00455070"/>
    <w:rsid w:val="00456323"/>
    <w:rsid w:val="00456E29"/>
    <w:rsid w:val="00457FD2"/>
    <w:rsid w:val="004638E0"/>
    <w:rsid w:val="00463CCC"/>
    <w:rsid w:val="00463E08"/>
    <w:rsid w:val="004652FB"/>
    <w:rsid w:val="0046725C"/>
    <w:rsid w:val="00467B6C"/>
    <w:rsid w:val="0047241C"/>
    <w:rsid w:val="004731D5"/>
    <w:rsid w:val="00473599"/>
    <w:rsid w:val="00475EF0"/>
    <w:rsid w:val="0047622D"/>
    <w:rsid w:val="00476FB9"/>
    <w:rsid w:val="00481135"/>
    <w:rsid w:val="00481A0E"/>
    <w:rsid w:val="00481B41"/>
    <w:rsid w:val="00481C68"/>
    <w:rsid w:val="00483001"/>
    <w:rsid w:val="004860B9"/>
    <w:rsid w:val="0048714A"/>
    <w:rsid w:val="00487966"/>
    <w:rsid w:val="00490959"/>
    <w:rsid w:val="00493C12"/>
    <w:rsid w:val="00497471"/>
    <w:rsid w:val="00497877"/>
    <w:rsid w:val="004A2A8A"/>
    <w:rsid w:val="004A2CDD"/>
    <w:rsid w:val="004A32D7"/>
    <w:rsid w:val="004A343C"/>
    <w:rsid w:val="004A3534"/>
    <w:rsid w:val="004A371A"/>
    <w:rsid w:val="004A44A8"/>
    <w:rsid w:val="004A52E4"/>
    <w:rsid w:val="004A7428"/>
    <w:rsid w:val="004A7EF2"/>
    <w:rsid w:val="004B1B79"/>
    <w:rsid w:val="004B40B3"/>
    <w:rsid w:val="004B47F9"/>
    <w:rsid w:val="004B4A23"/>
    <w:rsid w:val="004B6068"/>
    <w:rsid w:val="004B6C36"/>
    <w:rsid w:val="004B6DFD"/>
    <w:rsid w:val="004B7578"/>
    <w:rsid w:val="004B773D"/>
    <w:rsid w:val="004C03DD"/>
    <w:rsid w:val="004C073B"/>
    <w:rsid w:val="004C1B69"/>
    <w:rsid w:val="004C2FA9"/>
    <w:rsid w:val="004C4446"/>
    <w:rsid w:val="004C5497"/>
    <w:rsid w:val="004C5F9B"/>
    <w:rsid w:val="004D0082"/>
    <w:rsid w:val="004D3AD0"/>
    <w:rsid w:val="004D4211"/>
    <w:rsid w:val="004D4737"/>
    <w:rsid w:val="004D4ACA"/>
    <w:rsid w:val="004D602A"/>
    <w:rsid w:val="004D647F"/>
    <w:rsid w:val="004E04A5"/>
    <w:rsid w:val="004E211A"/>
    <w:rsid w:val="004E345A"/>
    <w:rsid w:val="004E347A"/>
    <w:rsid w:val="004E4017"/>
    <w:rsid w:val="004E42C3"/>
    <w:rsid w:val="004E5AA5"/>
    <w:rsid w:val="004E613B"/>
    <w:rsid w:val="004E6DC2"/>
    <w:rsid w:val="004E6F76"/>
    <w:rsid w:val="004E779C"/>
    <w:rsid w:val="004F0850"/>
    <w:rsid w:val="004F1A19"/>
    <w:rsid w:val="004F2129"/>
    <w:rsid w:val="004F320E"/>
    <w:rsid w:val="004F4B00"/>
    <w:rsid w:val="004F50C2"/>
    <w:rsid w:val="004F62F0"/>
    <w:rsid w:val="004F7151"/>
    <w:rsid w:val="004F77BC"/>
    <w:rsid w:val="00500C75"/>
    <w:rsid w:val="00501D8F"/>
    <w:rsid w:val="00502EE3"/>
    <w:rsid w:val="00503E9D"/>
    <w:rsid w:val="00507201"/>
    <w:rsid w:val="005107BA"/>
    <w:rsid w:val="0051183B"/>
    <w:rsid w:val="0051248B"/>
    <w:rsid w:val="00513EFC"/>
    <w:rsid w:val="00514028"/>
    <w:rsid w:val="00515450"/>
    <w:rsid w:val="005167C2"/>
    <w:rsid w:val="00522D65"/>
    <w:rsid w:val="005230F5"/>
    <w:rsid w:val="005243DF"/>
    <w:rsid w:val="00524403"/>
    <w:rsid w:val="00524D02"/>
    <w:rsid w:val="00525B32"/>
    <w:rsid w:val="00526E23"/>
    <w:rsid w:val="00526EA5"/>
    <w:rsid w:val="00527E35"/>
    <w:rsid w:val="005314DD"/>
    <w:rsid w:val="00531A34"/>
    <w:rsid w:val="0053201F"/>
    <w:rsid w:val="00532806"/>
    <w:rsid w:val="005340ED"/>
    <w:rsid w:val="00535FEE"/>
    <w:rsid w:val="005360F1"/>
    <w:rsid w:val="00537853"/>
    <w:rsid w:val="005408BD"/>
    <w:rsid w:val="00540C79"/>
    <w:rsid w:val="00540CEF"/>
    <w:rsid w:val="005414DB"/>
    <w:rsid w:val="005418D1"/>
    <w:rsid w:val="00541F69"/>
    <w:rsid w:val="0054286B"/>
    <w:rsid w:val="00543166"/>
    <w:rsid w:val="005431C2"/>
    <w:rsid w:val="00544489"/>
    <w:rsid w:val="005449F4"/>
    <w:rsid w:val="00545DB4"/>
    <w:rsid w:val="005461A6"/>
    <w:rsid w:val="005466AB"/>
    <w:rsid w:val="00546F8C"/>
    <w:rsid w:val="00547184"/>
    <w:rsid w:val="0054726C"/>
    <w:rsid w:val="00551E29"/>
    <w:rsid w:val="00553598"/>
    <w:rsid w:val="00553749"/>
    <w:rsid w:val="00553A5E"/>
    <w:rsid w:val="00553AB7"/>
    <w:rsid w:val="00562E63"/>
    <w:rsid w:val="00563E9E"/>
    <w:rsid w:val="0056532D"/>
    <w:rsid w:val="0056533E"/>
    <w:rsid w:val="00566956"/>
    <w:rsid w:val="00566F54"/>
    <w:rsid w:val="00566F78"/>
    <w:rsid w:val="00567B02"/>
    <w:rsid w:val="00570A80"/>
    <w:rsid w:val="00570DC7"/>
    <w:rsid w:val="00571A31"/>
    <w:rsid w:val="00572BB2"/>
    <w:rsid w:val="00573065"/>
    <w:rsid w:val="00574176"/>
    <w:rsid w:val="00575AAA"/>
    <w:rsid w:val="00575E3B"/>
    <w:rsid w:val="00576B0C"/>
    <w:rsid w:val="00577BF3"/>
    <w:rsid w:val="0058267D"/>
    <w:rsid w:val="00584158"/>
    <w:rsid w:val="00584816"/>
    <w:rsid w:val="0058492C"/>
    <w:rsid w:val="00585BC9"/>
    <w:rsid w:val="00586173"/>
    <w:rsid w:val="00587C2C"/>
    <w:rsid w:val="0059041D"/>
    <w:rsid w:val="005906CC"/>
    <w:rsid w:val="00591802"/>
    <w:rsid w:val="005935AB"/>
    <w:rsid w:val="00595604"/>
    <w:rsid w:val="005958E1"/>
    <w:rsid w:val="00596204"/>
    <w:rsid w:val="0059722B"/>
    <w:rsid w:val="005A19E0"/>
    <w:rsid w:val="005A246D"/>
    <w:rsid w:val="005A3453"/>
    <w:rsid w:val="005A38DB"/>
    <w:rsid w:val="005A6052"/>
    <w:rsid w:val="005A6254"/>
    <w:rsid w:val="005A7315"/>
    <w:rsid w:val="005B235E"/>
    <w:rsid w:val="005B3202"/>
    <w:rsid w:val="005B384A"/>
    <w:rsid w:val="005B3ED6"/>
    <w:rsid w:val="005B41B1"/>
    <w:rsid w:val="005B6D8C"/>
    <w:rsid w:val="005C06A6"/>
    <w:rsid w:val="005C1A2B"/>
    <w:rsid w:val="005C1E75"/>
    <w:rsid w:val="005C3F57"/>
    <w:rsid w:val="005C3F62"/>
    <w:rsid w:val="005C4665"/>
    <w:rsid w:val="005C52AA"/>
    <w:rsid w:val="005C65D0"/>
    <w:rsid w:val="005D0B38"/>
    <w:rsid w:val="005D46EE"/>
    <w:rsid w:val="005D6468"/>
    <w:rsid w:val="005D65E9"/>
    <w:rsid w:val="005D7E6E"/>
    <w:rsid w:val="005E05D4"/>
    <w:rsid w:val="005E1649"/>
    <w:rsid w:val="005E1F12"/>
    <w:rsid w:val="005E2120"/>
    <w:rsid w:val="005E2A68"/>
    <w:rsid w:val="005E760A"/>
    <w:rsid w:val="005F402D"/>
    <w:rsid w:val="005F4FE6"/>
    <w:rsid w:val="005F5809"/>
    <w:rsid w:val="005F6917"/>
    <w:rsid w:val="005F703C"/>
    <w:rsid w:val="005F7AEF"/>
    <w:rsid w:val="00600426"/>
    <w:rsid w:val="00600D50"/>
    <w:rsid w:val="006014C3"/>
    <w:rsid w:val="00601797"/>
    <w:rsid w:val="00601F62"/>
    <w:rsid w:val="006022FF"/>
    <w:rsid w:val="00603979"/>
    <w:rsid w:val="00603BDE"/>
    <w:rsid w:val="006042A7"/>
    <w:rsid w:val="006046B6"/>
    <w:rsid w:val="00605AA1"/>
    <w:rsid w:val="00606E77"/>
    <w:rsid w:val="00610740"/>
    <w:rsid w:val="00611321"/>
    <w:rsid w:val="00612404"/>
    <w:rsid w:val="00612E1A"/>
    <w:rsid w:val="0061385C"/>
    <w:rsid w:val="00615850"/>
    <w:rsid w:val="0061608B"/>
    <w:rsid w:val="006164B6"/>
    <w:rsid w:val="00617F4C"/>
    <w:rsid w:val="0062085C"/>
    <w:rsid w:val="00620E66"/>
    <w:rsid w:val="0062162E"/>
    <w:rsid w:val="00622504"/>
    <w:rsid w:val="00622746"/>
    <w:rsid w:val="00624B05"/>
    <w:rsid w:val="00634112"/>
    <w:rsid w:val="006354F6"/>
    <w:rsid w:val="0063578F"/>
    <w:rsid w:val="006366E0"/>
    <w:rsid w:val="006368F9"/>
    <w:rsid w:val="006408CC"/>
    <w:rsid w:val="00640BBB"/>
    <w:rsid w:val="006417BB"/>
    <w:rsid w:val="006461DB"/>
    <w:rsid w:val="00646C4D"/>
    <w:rsid w:val="00646CBB"/>
    <w:rsid w:val="0065071B"/>
    <w:rsid w:val="00652F44"/>
    <w:rsid w:val="006536D1"/>
    <w:rsid w:val="006544CF"/>
    <w:rsid w:val="006556F7"/>
    <w:rsid w:val="006576CC"/>
    <w:rsid w:val="00660472"/>
    <w:rsid w:val="00664FDC"/>
    <w:rsid w:val="00666988"/>
    <w:rsid w:val="00666EB8"/>
    <w:rsid w:val="00667D3B"/>
    <w:rsid w:val="006700FC"/>
    <w:rsid w:val="00671B6D"/>
    <w:rsid w:val="00671C1C"/>
    <w:rsid w:val="00671ECC"/>
    <w:rsid w:val="00672134"/>
    <w:rsid w:val="00673C4A"/>
    <w:rsid w:val="006762FF"/>
    <w:rsid w:val="00677257"/>
    <w:rsid w:val="00677837"/>
    <w:rsid w:val="00677AD2"/>
    <w:rsid w:val="00680C94"/>
    <w:rsid w:val="00682CCA"/>
    <w:rsid w:val="00683A4D"/>
    <w:rsid w:val="00684776"/>
    <w:rsid w:val="006870F0"/>
    <w:rsid w:val="00691358"/>
    <w:rsid w:val="00694610"/>
    <w:rsid w:val="006978F0"/>
    <w:rsid w:val="006A037D"/>
    <w:rsid w:val="006A03BC"/>
    <w:rsid w:val="006A3BFA"/>
    <w:rsid w:val="006A3E3F"/>
    <w:rsid w:val="006A51F7"/>
    <w:rsid w:val="006A77C5"/>
    <w:rsid w:val="006B0040"/>
    <w:rsid w:val="006B222A"/>
    <w:rsid w:val="006B4D1C"/>
    <w:rsid w:val="006B5380"/>
    <w:rsid w:val="006B7757"/>
    <w:rsid w:val="006C595C"/>
    <w:rsid w:val="006C6CEA"/>
    <w:rsid w:val="006C7234"/>
    <w:rsid w:val="006D204D"/>
    <w:rsid w:val="006D403E"/>
    <w:rsid w:val="006D4100"/>
    <w:rsid w:val="006D46A8"/>
    <w:rsid w:val="006D5548"/>
    <w:rsid w:val="006D5762"/>
    <w:rsid w:val="006D6064"/>
    <w:rsid w:val="006D7E44"/>
    <w:rsid w:val="006E086D"/>
    <w:rsid w:val="006E10F0"/>
    <w:rsid w:val="006E1632"/>
    <w:rsid w:val="006E1768"/>
    <w:rsid w:val="006E2531"/>
    <w:rsid w:val="006E2F7F"/>
    <w:rsid w:val="006E361E"/>
    <w:rsid w:val="006E45BF"/>
    <w:rsid w:val="006E4EBE"/>
    <w:rsid w:val="006E539D"/>
    <w:rsid w:val="006E55FD"/>
    <w:rsid w:val="006F58EA"/>
    <w:rsid w:val="006F5EF2"/>
    <w:rsid w:val="006F6A2A"/>
    <w:rsid w:val="006F7D5B"/>
    <w:rsid w:val="00703DA5"/>
    <w:rsid w:val="00704A23"/>
    <w:rsid w:val="00705C4F"/>
    <w:rsid w:val="00707D03"/>
    <w:rsid w:val="00711284"/>
    <w:rsid w:val="007112FE"/>
    <w:rsid w:val="00711608"/>
    <w:rsid w:val="00712693"/>
    <w:rsid w:val="007147B6"/>
    <w:rsid w:val="007164F5"/>
    <w:rsid w:val="00720991"/>
    <w:rsid w:val="00720E77"/>
    <w:rsid w:val="007229FD"/>
    <w:rsid w:val="00723A92"/>
    <w:rsid w:val="007262F9"/>
    <w:rsid w:val="0072782A"/>
    <w:rsid w:val="00733496"/>
    <w:rsid w:val="00733F22"/>
    <w:rsid w:val="007353F3"/>
    <w:rsid w:val="00736451"/>
    <w:rsid w:val="007368A0"/>
    <w:rsid w:val="00740D23"/>
    <w:rsid w:val="00741985"/>
    <w:rsid w:val="00741F12"/>
    <w:rsid w:val="00743946"/>
    <w:rsid w:val="00743A3F"/>
    <w:rsid w:val="00744914"/>
    <w:rsid w:val="00744EC8"/>
    <w:rsid w:val="007450BF"/>
    <w:rsid w:val="007476AE"/>
    <w:rsid w:val="00750C0B"/>
    <w:rsid w:val="007513FF"/>
    <w:rsid w:val="00751848"/>
    <w:rsid w:val="00753C1B"/>
    <w:rsid w:val="00753DD3"/>
    <w:rsid w:val="007540CF"/>
    <w:rsid w:val="007545F9"/>
    <w:rsid w:val="007545FA"/>
    <w:rsid w:val="00757DD3"/>
    <w:rsid w:val="00757EF1"/>
    <w:rsid w:val="007632B8"/>
    <w:rsid w:val="00763CAF"/>
    <w:rsid w:val="00765077"/>
    <w:rsid w:val="00766213"/>
    <w:rsid w:val="007667E1"/>
    <w:rsid w:val="00767D7D"/>
    <w:rsid w:val="007729C6"/>
    <w:rsid w:val="007747CC"/>
    <w:rsid w:val="00774FC1"/>
    <w:rsid w:val="0077512A"/>
    <w:rsid w:val="007751D6"/>
    <w:rsid w:val="0077550F"/>
    <w:rsid w:val="007777E2"/>
    <w:rsid w:val="0077799D"/>
    <w:rsid w:val="00777ABD"/>
    <w:rsid w:val="007830FB"/>
    <w:rsid w:val="00784F02"/>
    <w:rsid w:val="00784F3D"/>
    <w:rsid w:val="007854A9"/>
    <w:rsid w:val="00786D8E"/>
    <w:rsid w:val="007913BB"/>
    <w:rsid w:val="00791881"/>
    <w:rsid w:val="00793764"/>
    <w:rsid w:val="007937A3"/>
    <w:rsid w:val="00793CF3"/>
    <w:rsid w:val="00795189"/>
    <w:rsid w:val="00795747"/>
    <w:rsid w:val="00795AEC"/>
    <w:rsid w:val="00797FE6"/>
    <w:rsid w:val="007A10C4"/>
    <w:rsid w:val="007A1BB6"/>
    <w:rsid w:val="007A2243"/>
    <w:rsid w:val="007A3112"/>
    <w:rsid w:val="007A39FD"/>
    <w:rsid w:val="007A4562"/>
    <w:rsid w:val="007A5EFE"/>
    <w:rsid w:val="007A67D6"/>
    <w:rsid w:val="007A7BCD"/>
    <w:rsid w:val="007B1488"/>
    <w:rsid w:val="007B1EA9"/>
    <w:rsid w:val="007B3425"/>
    <w:rsid w:val="007B4DC1"/>
    <w:rsid w:val="007B54C8"/>
    <w:rsid w:val="007B694A"/>
    <w:rsid w:val="007C1538"/>
    <w:rsid w:val="007C1AD6"/>
    <w:rsid w:val="007C2200"/>
    <w:rsid w:val="007C2DEC"/>
    <w:rsid w:val="007C356F"/>
    <w:rsid w:val="007C47C2"/>
    <w:rsid w:val="007C65F7"/>
    <w:rsid w:val="007D05E1"/>
    <w:rsid w:val="007D2221"/>
    <w:rsid w:val="007D2325"/>
    <w:rsid w:val="007D311D"/>
    <w:rsid w:val="007D3411"/>
    <w:rsid w:val="007D5A67"/>
    <w:rsid w:val="007D5AC3"/>
    <w:rsid w:val="007D5B05"/>
    <w:rsid w:val="007E147D"/>
    <w:rsid w:val="007E2E56"/>
    <w:rsid w:val="007E351B"/>
    <w:rsid w:val="007E3C32"/>
    <w:rsid w:val="007E468D"/>
    <w:rsid w:val="007E6011"/>
    <w:rsid w:val="007E73EC"/>
    <w:rsid w:val="007F060B"/>
    <w:rsid w:val="007F29D8"/>
    <w:rsid w:val="007F3279"/>
    <w:rsid w:val="007F380D"/>
    <w:rsid w:val="007F3A88"/>
    <w:rsid w:val="007F4CD7"/>
    <w:rsid w:val="007F555C"/>
    <w:rsid w:val="007F6E61"/>
    <w:rsid w:val="008006DA"/>
    <w:rsid w:val="00800C80"/>
    <w:rsid w:val="00800F36"/>
    <w:rsid w:val="00804895"/>
    <w:rsid w:val="00804ACC"/>
    <w:rsid w:val="00807063"/>
    <w:rsid w:val="008071CE"/>
    <w:rsid w:val="0080732A"/>
    <w:rsid w:val="00810680"/>
    <w:rsid w:val="00811AEB"/>
    <w:rsid w:val="0081255E"/>
    <w:rsid w:val="00813FB1"/>
    <w:rsid w:val="00815F37"/>
    <w:rsid w:val="0081776F"/>
    <w:rsid w:val="00817867"/>
    <w:rsid w:val="00817D2F"/>
    <w:rsid w:val="00821159"/>
    <w:rsid w:val="00821DD0"/>
    <w:rsid w:val="00822EAA"/>
    <w:rsid w:val="00825435"/>
    <w:rsid w:val="00825E83"/>
    <w:rsid w:val="00826EF0"/>
    <w:rsid w:val="00827475"/>
    <w:rsid w:val="00830A93"/>
    <w:rsid w:val="008322DB"/>
    <w:rsid w:val="00832DE9"/>
    <w:rsid w:val="00833803"/>
    <w:rsid w:val="00833C3C"/>
    <w:rsid w:val="00835ECF"/>
    <w:rsid w:val="00836089"/>
    <w:rsid w:val="0083769F"/>
    <w:rsid w:val="00837A4D"/>
    <w:rsid w:val="00837FEA"/>
    <w:rsid w:val="00843207"/>
    <w:rsid w:val="00844310"/>
    <w:rsid w:val="008447D1"/>
    <w:rsid w:val="00847401"/>
    <w:rsid w:val="008479ED"/>
    <w:rsid w:val="00847B33"/>
    <w:rsid w:val="00850046"/>
    <w:rsid w:val="008511B4"/>
    <w:rsid w:val="008511E8"/>
    <w:rsid w:val="00851317"/>
    <w:rsid w:val="00851445"/>
    <w:rsid w:val="00852FE3"/>
    <w:rsid w:val="0085341F"/>
    <w:rsid w:val="0085373B"/>
    <w:rsid w:val="00853E2A"/>
    <w:rsid w:val="00854D8E"/>
    <w:rsid w:val="0085556E"/>
    <w:rsid w:val="008557EA"/>
    <w:rsid w:val="00856462"/>
    <w:rsid w:val="008564FC"/>
    <w:rsid w:val="008576F3"/>
    <w:rsid w:val="00860C16"/>
    <w:rsid w:val="00861789"/>
    <w:rsid w:val="008623F4"/>
    <w:rsid w:val="00863210"/>
    <w:rsid w:val="0086350D"/>
    <w:rsid w:val="00865145"/>
    <w:rsid w:val="00865E41"/>
    <w:rsid w:val="00866AC7"/>
    <w:rsid w:val="0086738D"/>
    <w:rsid w:val="00870A6F"/>
    <w:rsid w:val="00871203"/>
    <w:rsid w:val="0087124F"/>
    <w:rsid w:val="008717A2"/>
    <w:rsid w:val="008717F7"/>
    <w:rsid w:val="00871F20"/>
    <w:rsid w:val="0087310F"/>
    <w:rsid w:val="008768FE"/>
    <w:rsid w:val="00876E80"/>
    <w:rsid w:val="00877219"/>
    <w:rsid w:val="00877D20"/>
    <w:rsid w:val="008802E7"/>
    <w:rsid w:val="0088158F"/>
    <w:rsid w:val="0088159C"/>
    <w:rsid w:val="00881B66"/>
    <w:rsid w:val="00881D97"/>
    <w:rsid w:val="00882BB5"/>
    <w:rsid w:val="00882C24"/>
    <w:rsid w:val="008831EE"/>
    <w:rsid w:val="00883B9B"/>
    <w:rsid w:val="008841CB"/>
    <w:rsid w:val="00884230"/>
    <w:rsid w:val="008844DE"/>
    <w:rsid w:val="008855EB"/>
    <w:rsid w:val="00886EEF"/>
    <w:rsid w:val="00890153"/>
    <w:rsid w:val="0089161D"/>
    <w:rsid w:val="008916D0"/>
    <w:rsid w:val="008921CB"/>
    <w:rsid w:val="00892351"/>
    <w:rsid w:val="00893174"/>
    <w:rsid w:val="00893F8D"/>
    <w:rsid w:val="00896E9F"/>
    <w:rsid w:val="00897EE2"/>
    <w:rsid w:val="008A04EF"/>
    <w:rsid w:val="008A09B7"/>
    <w:rsid w:val="008A1849"/>
    <w:rsid w:val="008A1B79"/>
    <w:rsid w:val="008A1D36"/>
    <w:rsid w:val="008A1E74"/>
    <w:rsid w:val="008A23BB"/>
    <w:rsid w:val="008A30B8"/>
    <w:rsid w:val="008A6712"/>
    <w:rsid w:val="008B1B99"/>
    <w:rsid w:val="008B22B6"/>
    <w:rsid w:val="008B2C6A"/>
    <w:rsid w:val="008B43CF"/>
    <w:rsid w:val="008B43F5"/>
    <w:rsid w:val="008B54DC"/>
    <w:rsid w:val="008B73E1"/>
    <w:rsid w:val="008B7F4B"/>
    <w:rsid w:val="008C09F3"/>
    <w:rsid w:val="008C1422"/>
    <w:rsid w:val="008C1EDE"/>
    <w:rsid w:val="008C26DC"/>
    <w:rsid w:val="008C358C"/>
    <w:rsid w:val="008C37DB"/>
    <w:rsid w:val="008C3CB8"/>
    <w:rsid w:val="008C3F04"/>
    <w:rsid w:val="008C426A"/>
    <w:rsid w:val="008C4B3C"/>
    <w:rsid w:val="008C532E"/>
    <w:rsid w:val="008C5CB4"/>
    <w:rsid w:val="008C7881"/>
    <w:rsid w:val="008D0CC8"/>
    <w:rsid w:val="008D1E7B"/>
    <w:rsid w:val="008D22B0"/>
    <w:rsid w:val="008D23F3"/>
    <w:rsid w:val="008D2ACD"/>
    <w:rsid w:val="008D3425"/>
    <w:rsid w:val="008D3A01"/>
    <w:rsid w:val="008D3C61"/>
    <w:rsid w:val="008D58C5"/>
    <w:rsid w:val="008E13B6"/>
    <w:rsid w:val="008E177B"/>
    <w:rsid w:val="008E2975"/>
    <w:rsid w:val="008E30B4"/>
    <w:rsid w:val="008E3236"/>
    <w:rsid w:val="008E4CE6"/>
    <w:rsid w:val="008F10B4"/>
    <w:rsid w:val="008F1569"/>
    <w:rsid w:val="008F15CB"/>
    <w:rsid w:val="008F2B29"/>
    <w:rsid w:val="008F2E97"/>
    <w:rsid w:val="008F629D"/>
    <w:rsid w:val="00900416"/>
    <w:rsid w:val="00901D53"/>
    <w:rsid w:val="009046CF"/>
    <w:rsid w:val="00910A55"/>
    <w:rsid w:val="00910B67"/>
    <w:rsid w:val="00911041"/>
    <w:rsid w:val="00911627"/>
    <w:rsid w:val="009124A6"/>
    <w:rsid w:val="009127C1"/>
    <w:rsid w:val="00913992"/>
    <w:rsid w:val="00914002"/>
    <w:rsid w:val="009150D3"/>
    <w:rsid w:val="00915292"/>
    <w:rsid w:val="00915554"/>
    <w:rsid w:val="00917BB6"/>
    <w:rsid w:val="00920063"/>
    <w:rsid w:val="00921285"/>
    <w:rsid w:val="00923450"/>
    <w:rsid w:val="00923596"/>
    <w:rsid w:val="00924B3C"/>
    <w:rsid w:val="00924FA5"/>
    <w:rsid w:val="0092589B"/>
    <w:rsid w:val="00926CC1"/>
    <w:rsid w:val="00932C71"/>
    <w:rsid w:val="00933019"/>
    <w:rsid w:val="00933FDE"/>
    <w:rsid w:val="00935E92"/>
    <w:rsid w:val="00940F50"/>
    <w:rsid w:val="00943039"/>
    <w:rsid w:val="0094317F"/>
    <w:rsid w:val="009433DE"/>
    <w:rsid w:val="0094525C"/>
    <w:rsid w:val="00947445"/>
    <w:rsid w:val="00947A5A"/>
    <w:rsid w:val="00951288"/>
    <w:rsid w:val="009516B8"/>
    <w:rsid w:val="009517D9"/>
    <w:rsid w:val="0095185D"/>
    <w:rsid w:val="00952F80"/>
    <w:rsid w:val="0095397A"/>
    <w:rsid w:val="0095424D"/>
    <w:rsid w:val="00960F3B"/>
    <w:rsid w:val="0096277E"/>
    <w:rsid w:val="009631BE"/>
    <w:rsid w:val="00963DFE"/>
    <w:rsid w:val="00963E5A"/>
    <w:rsid w:val="009647CA"/>
    <w:rsid w:val="00965910"/>
    <w:rsid w:val="00965FEE"/>
    <w:rsid w:val="00966D7F"/>
    <w:rsid w:val="0096731E"/>
    <w:rsid w:val="00970BC1"/>
    <w:rsid w:val="00971520"/>
    <w:rsid w:val="00971AF2"/>
    <w:rsid w:val="00973B99"/>
    <w:rsid w:val="009745D3"/>
    <w:rsid w:val="00976F53"/>
    <w:rsid w:val="0097770D"/>
    <w:rsid w:val="00981936"/>
    <w:rsid w:val="00981DCF"/>
    <w:rsid w:val="009835D7"/>
    <w:rsid w:val="0098384F"/>
    <w:rsid w:val="00984488"/>
    <w:rsid w:val="009845ED"/>
    <w:rsid w:val="00984AD9"/>
    <w:rsid w:val="0098603D"/>
    <w:rsid w:val="00987118"/>
    <w:rsid w:val="009907D5"/>
    <w:rsid w:val="009907D6"/>
    <w:rsid w:val="00993010"/>
    <w:rsid w:val="00993147"/>
    <w:rsid w:val="00993635"/>
    <w:rsid w:val="00994092"/>
    <w:rsid w:val="0099525A"/>
    <w:rsid w:val="00995F17"/>
    <w:rsid w:val="00996F33"/>
    <w:rsid w:val="009974AC"/>
    <w:rsid w:val="00997BFA"/>
    <w:rsid w:val="009A05A5"/>
    <w:rsid w:val="009A26F0"/>
    <w:rsid w:val="009A38DA"/>
    <w:rsid w:val="009A5E24"/>
    <w:rsid w:val="009B02DD"/>
    <w:rsid w:val="009B16A9"/>
    <w:rsid w:val="009B1FC8"/>
    <w:rsid w:val="009B39BE"/>
    <w:rsid w:val="009B3B56"/>
    <w:rsid w:val="009B43E6"/>
    <w:rsid w:val="009B4E5D"/>
    <w:rsid w:val="009B58CC"/>
    <w:rsid w:val="009B72C5"/>
    <w:rsid w:val="009B75CA"/>
    <w:rsid w:val="009C225C"/>
    <w:rsid w:val="009C392E"/>
    <w:rsid w:val="009C4BC9"/>
    <w:rsid w:val="009C6681"/>
    <w:rsid w:val="009C6A97"/>
    <w:rsid w:val="009C73FA"/>
    <w:rsid w:val="009D0FE1"/>
    <w:rsid w:val="009D213F"/>
    <w:rsid w:val="009D2E79"/>
    <w:rsid w:val="009D4A4A"/>
    <w:rsid w:val="009D5197"/>
    <w:rsid w:val="009D77CC"/>
    <w:rsid w:val="009E0B61"/>
    <w:rsid w:val="009E367A"/>
    <w:rsid w:val="009E5C45"/>
    <w:rsid w:val="009E6008"/>
    <w:rsid w:val="009E6C20"/>
    <w:rsid w:val="009F0C11"/>
    <w:rsid w:val="009F13BB"/>
    <w:rsid w:val="009F247F"/>
    <w:rsid w:val="009F380F"/>
    <w:rsid w:val="009F3D7C"/>
    <w:rsid w:val="00A00B31"/>
    <w:rsid w:val="00A02E23"/>
    <w:rsid w:val="00A03FC5"/>
    <w:rsid w:val="00A04171"/>
    <w:rsid w:val="00A04EB3"/>
    <w:rsid w:val="00A05F88"/>
    <w:rsid w:val="00A06B9E"/>
    <w:rsid w:val="00A06C1C"/>
    <w:rsid w:val="00A10035"/>
    <w:rsid w:val="00A1057F"/>
    <w:rsid w:val="00A134A8"/>
    <w:rsid w:val="00A150E4"/>
    <w:rsid w:val="00A17F20"/>
    <w:rsid w:val="00A21B06"/>
    <w:rsid w:val="00A21CD3"/>
    <w:rsid w:val="00A22F9A"/>
    <w:rsid w:val="00A23A5F"/>
    <w:rsid w:val="00A24EEC"/>
    <w:rsid w:val="00A26CD0"/>
    <w:rsid w:val="00A27D48"/>
    <w:rsid w:val="00A3179C"/>
    <w:rsid w:val="00A31F08"/>
    <w:rsid w:val="00A33B8C"/>
    <w:rsid w:val="00A33CCF"/>
    <w:rsid w:val="00A34B64"/>
    <w:rsid w:val="00A34F45"/>
    <w:rsid w:val="00A40383"/>
    <w:rsid w:val="00A40AA4"/>
    <w:rsid w:val="00A40D5B"/>
    <w:rsid w:val="00A41804"/>
    <w:rsid w:val="00A41A68"/>
    <w:rsid w:val="00A41BC8"/>
    <w:rsid w:val="00A41E1D"/>
    <w:rsid w:val="00A41EB3"/>
    <w:rsid w:val="00A4427F"/>
    <w:rsid w:val="00A44D94"/>
    <w:rsid w:val="00A455EA"/>
    <w:rsid w:val="00A50095"/>
    <w:rsid w:val="00A53380"/>
    <w:rsid w:val="00A54CA9"/>
    <w:rsid w:val="00A55BEB"/>
    <w:rsid w:val="00A57D33"/>
    <w:rsid w:val="00A6080D"/>
    <w:rsid w:val="00A61AAA"/>
    <w:rsid w:val="00A621E4"/>
    <w:rsid w:val="00A62A27"/>
    <w:rsid w:val="00A62ADD"/>
    <w:rsid w:val="00A630A2"/>
    <w:rsid w:val="00A63DDA"/>
    <w:rsid w:val="00A659AB"/>
    <w:rsid w:val="00A66F1E"/>
    <w:rsid w:val="00A676D1"/>
    <w:rsid w:val="00A67EB9"/>
    <w:rsid w:val="00A72A3D"/>
    <w:rsid w:val="00A73DF5"/>
    <w:rsid w:val="00A74C62"/>
    <w:rsid w:val="00A74CA3"/>
    <w:rsid w:val="00A74CB0"/>
    <w:rsid w:val="00A75609"/>
    <w:rsid w:val="00A77F57"/>
    <w:rsid w:val="00A8184B"/>
    <w:rsid w:val="00A82D85"/>
    <w:rsid w:val="00A82FD7"/>
    <w:rsid w:val="00A8461D"/>
    <w:rsid w:val="00A853C6"/>
    <w:rsid w:val="00A85692"/>
    <w:rsid w:val="00A8653C"/>
    <w:rsid w:val="00A87DF9"/>
    <w:rsid w:val="00A9061A"/>
    <w:rsid w:val="00A92021"/>
    <w:rsid w:val="00A93713"/>
    <w:rsid w:val="00A94027"/>
    <w:rsid w:val="00A94A36"/>
    <w:rsid w:val="00A96BB7"/>
    <w:rsid w:val="00A97140"/>
    <w:rsid w:val="00AA2892"/>
    <w:rsid w:val="00AA2E25"/>
    <w:rsid w:val="00AA35C1"/>
    <w:rsid w:val="00AA36F3"/>
    <w:rsid w:val="00AA3FAA"/>
    <w:rsid w:val="00AA40B9"/>
    <w:rsid w:val="00AA5A75"/>
    <w:rsid w:val="00AA6062"/>
    <w:rsid w:val="00AA629A"/>
    <w:rsid w:val="00AA6DE4"/>
    <w:rsid w:val="00AB1BCF"/>
    <w:rsid w:val="00AB1EA0"/>
    <w:rsid w:val="00AB23EC"/>
    <w:rsid w:val="00AB2F66"/>
    <w:rsid w:val="00AB3D71"/>
    <w:rsid w:val="00AB40BB"/>
    <w:rsid w:val="00AB461C"/>
    <w:rsid w:val="00AB62DA"/>
    <w:rsid w:val="00AB6636"/>
    <w:rsid w:val="00AC022D"/>
    <w:rsid w:val="00AC257A"/>
    <w:rsid w:val="00AC2D35"/>
    <w:rsid w:val="00AC2EAB"/>
    <w:rsid w:val="00AC32E0"/>
    <w:rsid w:val="00AC3D28"/>
    <w:rsid w:val="00AC3D2F"/>
    <w:rsid w:val="00AC55C7"/>
    <w:rsid w:val="00AC57F4"/>
    <w:rsid w:val="00AC5D68"/>
    <w:rsid w:val="00AC6617"/>
    <w:rsid w:val="00AC6676"/>
    <w:rsid w:val="00AC779B"/>
    <w:rsid w:val="00AD0326"/>
    <w:rsid w:val="00AD0C26"/>
    <w:rsid w:val="00AD206E"/>
    <w:rsid w:val="00AD329F"/>
    <w:rsid w:val="00AD414C"/>
    <w:rsid w:val="00AD6BA2"/>
    <w:rsid w:val="00AD7ACD"/>
    <w:rsid w:val="00AE2612"/>
    <w:rsid w:val="00AE5E47"/>
    <w:rsid w:val="00AE68CB"/>
    <w:rsid w:val="00AE72BB"/>
    <w:rsid w:val="00AF1E38"/>
    <w:rsid w:val="00AF2799"/>
    <w:rsid w:val="00AF2BA0"/>
    <w:rsid w:val="00AF2BDC"/>
    <w:rsid w:val="00AF3D15"/>
    <w:rsid w:val="00AF3D61"/>
    <w:rsid w:val="00AF4212"/>
    <w:rsid w:val="00AF4372"/>
    <w:rsid w:val="00AF4AB2"/>
    <w:rsid w:val="00AF534D"/>
    <w:rsid w:val="00B02731"/>
    <w:rsid w:val="00B04348"/>
    <w:rsid w:val="00B06CF8"/>
    <w:rsid w:val="00B07A95"/>
    <w:rsid w:val="00B10358"/>
    <w:rsid w:val="00B11136"/>
    <w:rsid w:val="00B11FFF"/>
    <w:rsid w:val="00B1383B"/>
    <w:rsid w:val="00B143DA"/>
    <w:rsid w:val="00B14BB1"/>
    <w:rsid w:val="00B15396"/>
    <w:rsid w:val="00B15960"/>
    <w:rsid w:val="00B17AF3"/>
    <w:rsid w:val="00B2029F"/>
    <w:rsid w:val="00B2034E"/>
    <w:rsid w:val="00B21D81"/>
    <w:rsid w:val="00B227D9"/>
    <w:rsid w:val="00B24B16"/>
    <w:rsid w:val="00B24D9D"/>
    <w:rsid w:val="00B25380"/>
    <w:rsid w:val="00B25616"/>
    <w:rsid w:val="00B25C81"/>
    <w:rsid w:val="00B266D5"/>
    <w:rsid w:val="00B27250"/>
    <w:rsid w:val="00B30A7F"/>
    <w:rsid w:val="00B31525"/>
    <w:rsid w:val="00B322A8"/>
    <w:rsid w:val="00B32A89"/>
    <w:rsid w:val="00B346A6"/>
    <w:rsid w:val="00B35795"/>
    <w:rsid w:val="00B363B1"/>
    <w:rsid w:val="00B36507"/>
    <w:rsid w:val="00B3672E"/>
    <w:rsid w:val="00B370A1"/>
    <w:rsid w:val="00B43B35"/>
    <w:rsid w:val="00B4462A"/>
    <w:rsid w:val="00B452A4"/>
    <w:rsid w:val="00B45C24"/>
    <w:rsid w:val="00B47A63"/>
    <w:rsid w:val="00B50E95"/>
    <w:rsid w:val="00B52473"/>
    <w:rsid w:val="00B529BD"/>
    <w:rsid w:val="00B55006"/>
    <w:rsid w:val="00B560E8"/>
    <w:rsid w:val="00B56EB1"/>
    <w:rsid w:val="00B57118"/>
    <w:rsid w:val="00B60319"/>
    <w:rsid w:val="00B6216E"/>
    <w:rsid w:val="00B62654"/>
    <w:rsid w:val="00B64D81"/>
    <w:rsid w:val="00B64EB3"/>
    <w:rsid w:val="00B65645"/>
    <w:rsid w:val="00B659C4"/>
    <w:rsid w:val="00B65D03"/>
    <w:rsid w:val="00B67F34"/>
    <w:rsid w:val="00B70FFB"/>
    <w:rsid w:val="00B7258B"/>
    <w:rsid w:val="00B72A9F"/>
    <w:rsid w:val="00B73D31"/>
    <w:rsid w:val="00B74410"/>
    <w:rsid w:val="00B75EBF"/>
    <w:rsid w:val="00B77F13"/>
    <w:rsid w:val="00B80E32"/>
    <w:rsid w:val="00B80ED7"/>
    <w:rsid w:val="00B816C4"/>
    <w:rsid w:val="00B82629"/>
    <w:rsid w:val="00B83E2A"/>
    <w:rsid w:val="00B843D2"/>
    <w:rsid w:val="00B848D6"/>
    <w:rsid w:val="00B917D2"/>
    <w:rsid w:val="00B91A3D"/>
    <w:rsid w:val="00B91CF6"/>
    <w:rsid w:val="00B9275C"/>
    <w:rsid w:val="00B97074"/>
    <w:rsid w:val="00B97E38"/>
    <w:rsid w:val="00B97FEA"/>
    <w:rsid w:val="00BA0536"/>
    <w:rsid w:val="00BA0A76"/>
    <w:rsid w:val="00BA0B26"/>
    <w:rsid w:val="00BA17CA"/>
    <w:rsid w:val="00BA1FE4"/>
    <w:rsid w:val="00BA2398"/>
    <w:rsid w:val="00BA24CC"/>
    <w:rsid w:val="00BA287F"/>
    <w:rsid w:val="00BA2D1E"/>
    <w:rsid w:val="00BA2EA0"/>
    <w:rsid w:val="00BA38E7"/>
    <w:rsid w:val="00BA394E"/>
    <w:rsid w:val="00BA524C"/>
    <w:rsid w:val="00BA5651"/>
    <w:rsid w:val="00BA6FAC"/>
    <w:rsid w:val="00BA792E"/>
    <w:rsid w:val="00BB1905"/>
    <w:rsid w:val="00BB22AD"/>
    <w:rsid w:val="00BB254D"/>
    <w:rsid w:val="00BB2783"/>
    <w:rsid w:val="00BB2F84"/>
    <w:rsid w:val="00BB40FC"/>
    <w:rsid w:val="00BB429F"/>
    <w:rsid w:val="00BB4879"/>
    <w:rsid w:val="00BB4E1C"/>
    <w:rsid w:val="00BB50B9"/>
    <w:rsid w:val="00BB698D"/>
    <w:rsid w:val="00BC1B05"/>
    <w:rsid w:val="00BC2885"/>
    <w:rsid w:val="00BC3672"/>
    <w:rsid w:val="00BC55CA"/>
    <w:rsid w:val="00BC6B9A"/>
    <w:rsid w:val="00BC7037"/>
    <w:rsid w:val="00BC78C8"/>
    <w:rsid w:val="00BD12FA"/>
    <w:rsid w:val="00BD1E76"/>
    <w:rsid w:val="00BD28A9"/>
    <w:rsid w:val="00BD403E"/>
    <w:rsid w:val="00BD605A"/>
    <w:rsid w:val="00BE0218"/>
    <w:rsid w:val="00BE0D2D"/>
    <w:rsid w:val="00BE2497"/>
    <w:rsid w:val="00BE4812"/>
    <w:rsid w:val="00BE4D73"/>
    <w:rsid w:val="00BE5942"/>
    <w:rsid w:val="00BE59BF"/>
    <w:rsid w:val="00BE7695"/>
    <w:rsid w:val="00BE79AF"/>
    <w:rsid w:val="00BF02CD"/>
    <w:rsid w:val="00BF08FA"/>
    <w:rsid w:val="00BF1D12"/>
    <w:rsid w:val="00BF36DC"/>
    <w:rsid w:val="00BF4FD6"/>
    <w:rsid w:val="00C00481"/>
    <w:rsid w:val="00C006DB"/>
    <w:rsid w:val="00C00A4A"/>
    <w:rsid w:val="00C014DD"/>
    <w:rsid w:val="00C02D0F"/>
    <w:rsid w:val="00C036A7"/>
    <w:rsid w:val="00C04F8A"/>
    <w:rsid w:val="00C050EA"/>
    <w:rsid w:val="00C06A6B"/>
    <w:rsid w:val="00C06E51"/>
    <w:rsid w:val="00C079F8"/>
    <w:rsid w:val="00C12BD8"/>
    <w:rsid w:val="00C1397A"/>
    <w:rsid w:val="00C14354"/>
    <w:rsid w:val="00C1681F"/>
    <w:rsid w:val="00C16A5D"/>
    <w:rsid w:val="00C209B6"/>
    <w:rsid w:val="00C2220F"/>
    <w:rsid w:val="00C2236D"/>
    <w:rsid w:val="00C22AD3"/>
    <w:rsid w:val="00C22DDB"/>
    <w:rsid w:val="00C23CC3"/>
    <w:rsid w:val="00C24D24"/>
    <w:rsid w:val="00C24DCE"/>
    <w:rsid w:val="00C2613B"/>
    <w:rsid w:val="00C262DA"/>
    <w:rsid w:val="00C27134"/>
    <w:rsid w:val="00C279C9"/>
    <w:rsid w:val="00C308C4"/>
    <w:rsid w:val="00C30A1B"/>
    <w:rsid w:val="00C3122A"/>
    <w:rsid w:val="00C31247"/>
    <w:rsid w:val="00C317F9"/>
    <w:rsid w:val="00C329F9"/>
    <w:rsid w:val="00C3376A"/>
    <w:rsid w:val="00C3663E"/>
    <w:rsid w:val="00C379D8"/>
    <w:rsid w:val="00C43037"/>
    <w:rsid w:val="00C434E5"/>
    <w:rsid w:val="00C4412C"/>
    <w:rsid w:val="00C4468F"/>
    <w:rsid w:val="00C461B1"/>
    <w:rsid w:val="00C50B77"/>
    <w:rsid w:val="00C5371D"/>
    <w:rsid w:val="00C54232"/>
    <w:rsid w:val="00C54A09"/>
    <w:rsid w:val="00C55A15"/>
    <w:rsid w:val="00C560BD"/>
    <w:rsid w:val="00C56E83"/>
    <w:rsid w:val="00C56EBC"/>
    <w:rsid w:val="00C60930"/>
    <w:rsid w:val="00C6122D"/>
    <w:rsid w:val="00C61C83"/>
    <w:rsid w:val="00C63340"/>
    <w:rsid w:val="00C64D94"/>
    <w:rsid w:val="00C65919"/>
    <w:rsid w:val="00C662E9"/>
    <w:rsid w:val="00C66F4A"/>
    <w:rsid w:val="00C67BCC"/>
    <w:rsid w:val="00C70994"/>
    <w:rsid w:val="00C722AE"/>
    <w:rsid w:val="00C72D31"/>
    <w:rsid w:val="00C74989"/>
    <w:rsid w:val="00C75CDB"/>
    <w:rsid w:val="00C80758"/>
    <w:rsid w:val="00C82DA7"/>
    <w:rsid w:val="00C830A6"/>
    <w:rsid w:val="00C83929"/>
    <w:rsid w:val="00C8612C"/>
    <w:rsid w:val="00C86FB8"/>
    <w:rsid w:val="00C9033F"/>
    <w:rsid w:val="00C913F8"/>
    <w:rsid w:val="00C93746"/>
    <w:rsid w:val="00C93A2F"/>
    <w:rsid w:val="00C957A2"/>
    <w:rsid w:val="00C95DFD"/>
    <w:rsid w:val="00C96505"/>
    <w:rsid w:val="00C96C5B"/>
    <w:rsid w:val="00C96D62"/>
    <w:rsid w:val="00C96F24"/>
    <w:rsid w:val="00C977D6"/>
    <w:rsid w:val="00CA0115"/>
    <w:rsid w:val="00CA0760"/>
    <w:rsid w:val="00CA24EB"/>
    <w:rsid w:val="00CA2D83"/>
    <w:rsid w:val="00CA4143"/>
    <w:rsid w:val="00CA444D"/>
    <w:rsid w:val="00CA4AF7"/>
    <w:rsid w:val="00CA60FB"/>
    <w:rsid w:val="00CA6324"/>
    <w:rsid w:val="00CA680A"/>
    <w:rsid w:val="00CA79D5"/>
    <w:rsid w:val="00CB00E4"/>
    <w:rsid w:val="00CB12EB"/>
    <w:rsid w:val="00CB428A"/>
    <w:rsid w:val="00CB4D9A"/>
    <w:rsid w:val="00CB5609"/>
    <w:rsid w:val="00CB5FD4"/>
    <w:rsid w:val="00CB62B0"/>
    <w:rsid w:val="00CB7768"/>
    <w:rsid w:val="00CC38F3"/>
    <w:rsid w:val="00CC3B34"/>
    <w:rsid w:val="00CC4412"/>
    <w:rsid w:val="00CC57F6"/>
    <w:rsid w:val="00CC5945"/>
    <w:rsid w:val="00CD16C9"/>
    <w:rsid w:val="00CD3A5D"/>
    <w:rsid w:val="00CD3F1E"/>
    <w:rsid w:val="00CD544E"/>
    <w:rsid w:val="00CD5985"/>
    <w:rsid w:val="00CD5BAE"/>
    <w:rsid w:val="00CD6964"/>
    <w:rsid w:val="00CE01CB"/>
    <w:rsid w:val="00CE0A32"/>
    <w:rsid w:val="00CE0CED"/>
    <w:rsid w:val="00CE2992"/>
    <w:rsid w:val="00CE3B70"/>
    <w:rsid w:val="00CE461E"/>
    <w:rsid w:val="00CE55E3"/>
    <w:rsid w:val="00CE5709"/>
    <w:rsid w:val="00CE5BEF"/>
    <w:rsid w:val="00CE7C9F"/>
    <w:rsid w:val="00CF0814"/>
    <w:rsid w:val="00CF0AE9"/>
    <w:rsid w:val="00CF18E1"/>
    <w:rsid w:val="00CF2557"/>
    <w:rsid w:val="00CF70ED"/>
    <w:rsid w:val="00D01877"/>
    <w:rsid w:val="00D01916"/>
    <w:rsid w:val="00D01C72"/>
    <w:rsid w:val="00D040A8"/>
    <w:rsid w:val="00D04E15"/>
    <w:rsid w:val="00D04EC7"/>
    <w:rsid w:val="00D05461"/>
    <w:rsid w:val="00D06BF2"/>
    <w:rsid w:val="00D10113"/>
    <w:rsid w:val="00D10CEA"/>
    <w:rsid w:val="00D13188"/>
    <w:rsid w:val="00D13300"/>
    <w:rsid w:val="00D13326"/>
    <w:rsid w:val="00D13977"/>
    <w:rsid w:val="00D140D1"/>
    <w:rsid w:val="00D1446D"/>
    <w:rsid w:val="00D15FF3"/>
    <w:rsid w:val="00D20E39"/>
    <w:rsid w:val="00D21B8F"/>
    <w:rsid w:val="00D22C59"/>
    <w:rsid w:val="00D22FCD"/>
    <w:rsid w:val="00D23462"/>
    <w:rsid w:val="00D23860"/>
    <w:rsid w:val="00D24DEC"/>
    <w:rsid w:val="00D251F8"/>
    <w:rsid w:val="00D25E23"/>
    <w:rsid w:val="00D26988"/>
    <w:rsid w:val="00D2786A"/>
    <w:rsid w:val="00D305A0"/>
    <w:rsid w:val="00D307BD"/>
    <w:rsid w:val="00D31091"/>
    <w:rsid w:val="00D323BE"/>
    <w:rsid w:val="00D32ED1"/>
    <w:rsid w:val="00D33A02"/>
    <w:rsid w:val="00D34631"/>
    <w:rsid w:val="00D34A5B"/>
    <w:rsid w:val="00D3598F"/>
    <w:rsid w:val="00D37C60"/>
    <w:rsid w:val="00D43B51"/>
    <w:rsid w:val="00D45607"/>
    <w:rsid w:val="00D45B58"/>
    <w:rsid w:val="00D45CF3"/>
    <w:rsid w:val="00D46F94"/>
    <w:rsid w:val="00D47787"/>
    <w:rsid w:val="00D4790E"/>
    <w:rsid w:val="00D4796A"/>
    <w:rsid w:val="00D505E9"/>
    <w:rsid w:val="00D50A18"/>
    <w:rsid w:val="00D50D99"/>
    <w:rsid w:val="00D52819"/>
    <w:rsid w:val="00D528C7"/>
    <w:rsid w:val="00D52BB9"/>
    <w:rsid w:val="00D52CB9"/>
    <w:rsid w:val="00D5459A"/>
    <w:rsid w:val="00D54F00"/>
    <w:rsid w:val="00D56685"/>
    <w:rsid w:val="00D57FD3"/>
    <w:rsid w:val="00D60A90"/>
    <w:rsid w:val="00D624AC"/>
    <w:rsid w:val="00D62895"/>
    <w:rsid w:val="00D6479D"/>
    <w:rsid w:val="00D65A6C"/>
    <w:rsid w:val="00D66243"/>
    <w:rsid w:val="00D66803"/>
    <w:rsid w:val="00D705B1"/>
    <w:rsid w:val="00D71378"/>
    <w:rsid w:val="00D737B1"/>
    <w:rsid w:val="00D75170"/>
    <w:rsid w:val="00D7768C"/>
    <w:rsid w:val="00D81C8C"/>
    <w:rsid w:val="00D82FD0"/>
    <w:rsid w:val="00D83035"/>
    <w:rsid w:val="00D837F4"/>
    <w:rsid w:val="00D8500A"/>
    <w:rsid w:val="00D8689D"/>
    <w:rsid w:val="00D86E25"/>
    <w:rsid w:val="00D90862"/>
    <w:rsid w:val="00D90904"/>
    <w:rsid w:val="00D90AAF"/>
    <w:rsid w:val="00D94F6A"/>
    <w:rsid w:val="00DA0210"/>
    <w:rsid w:val="00DA04BC"/>
    <w:rsid w:val="00DA0B10"/>
    <w:rsid w:val="00DA10AA"/>
    <w:rsid w:val="00DA2161"/>
    <w:rsid w:val="00DA23A2"/>
    <w:rsid w:val="00DA3D1E"/>
    <w:rsid w:val="00DA3FD4"/>
    <w:rsid w:val="00DA41FB"/>
    <w:rsid w:val="00DA431D"/>
    <w:rsid w:val="00DA4550"/>
    <w:rsid w:val="00DA495B"/>
    <w:rsid w:val="00DA5173"/>
    <w:rsid w:val="00DA5CC6"/>
    <w:rsid w:val="00DA75B0"/>
    <w:rsid w:val="00DB0F4F"/>
    <w:rsid w:val="00DB35C5"/>
    <w:rsid w:val="00DB575A"/>
    <w:rsid w:val="00DB68A4"/>
    <w:rsid w:val="00DC0176"/>
    <w:rsid w:val="00DC1949"/>
    <w:rsid w:val="00DC1D3F"/>
    <w:rsid w:val="00DC3009"/>
    <w:rsid w:val="00DC315E"/>
    <w:rsid w:val="00DC3663"/>
    <w:rsid w:val="00DC4948"/>
    <w:rsid w:val="00DD0231"/>
    <w:rsid w:val="00DD0E63"/>
    <w:rsid w:val="00DD143C"/>
    <w:rsid w:val="00DD14AE"/>
    <w:rsid w:val="00DD2A84"/>
    <w:rsid w:val="00DD4C5A"/>
    <w:rsid w:val="00DD4EB3"/>
    <w:rsid w:val="00DD4F47"/>
    <w:rsid w:val="00DD5CF5"/>
    <w:rsid w:val="00DD6365"/>
    <w:rsid w:val="00DD79AA"/>
    <w:rsid w:val="00DE00CA"/>
    <w:rsid w:val="00DE1ACF"/>
    <w:rsid w:val="00DE1EBB"/>
    <w:rsid w:val="00DE3992"/>
    <w:rsid w:val="00DE3EC1"/>
    <w:rsid w:val="00DE5150"/>
    <w:rsid w:val="00DE5E50"/>
    <w:rsid w:val="00DF05CF"/>
    <w:rsid w:val="00DF08F1"/>
    <w:rsid w:val="00DF2A16"/>
    <w:rsid w:val="00DF38D2"/>
    <w:rsid w:val="00DF6589"/>
    <w:rsid w:val="00DF73E5"/>
    <w:rsid w:val="00E02509"/>
    <w:rsid w:val="00E02A3F"/>
    <w:rsid w:val="00E05EFF"/>
    <w:rsid w:val="00E06C33"/>
    <w:rsid w:val="00E07CEF"/>
    <w:rsid w:val="00E07F06"/>
    <w:rsid w:val="00E102B7"/>
    <w:rsid w:val="00E10DB9"/>
    <w:rsid w:val="00E1130D"/>
    <w:rsid w:val="00E142E1"/>
    <w:rsid w:val="00E14CD1"/>
    <w:rsid w:val="00E17E3C"/>
    <w:rsid w:val="00E255B3"/>
    <w:rsid w:val="00E27896"/>
    <w:rsid w:val="00E306F6"/>
    <w:rsid w:val="00E33C13"/>
    <w:rsid w:val="00E3406E"/>
    <w:rsid w:val="00E341D6"/>
    <w:rsid w:val="00E34C66"/>
    <w:rsid w:val="00E35CF4"/>
    <w:rsid w:val="00E41629"/>
    <w:rsid w:val="00E42AA8"/>
    <w:rsid w:val="00E43282"/>
    <w:rsid w:val="00E43382"/>
    <w:rsid w:val="00E43865"/>
    <w:rsid w:val="00E43BE5"/>
    <w:rsid w:val="00E45B88"/>
    <w:rsid w:val="00E45E41"/>
    <w:rsid w:val="00E46E8D"/>
    <w:rsid w:val="00E52029"/>
    <w:rsid w:val="00E53E9E"/>
    <w:rsid w:val="00E542FA"/>
    <w:rsid w:val="00E544B4"/>
    <w:rsid w:val="00E54736"/>
    <w:rsid w:val="00E55572"/>
    <w:rsid w:val="00E571BE"/>
    <w:rsid w:val="00E577B9"/>
    <w:rsid w:val="00E61466"/>
    <w:rsid w:val="00E6342C"/>
    <w:rsid w:val="00E6439E"/>
    <w:rsid w:val="00E66171"/>
    <w:rsid w:val="00E66D36"/>
    <w:rsid w:val="00E67045"/>
    <w:rsid w:val="00E674EB"/>
    <w:rsid w:val="00E67B74"/>
    <w:rsid w:val="00E7077E"/>
    <w:rsid w:val="00E71455"/>
    <w:rsid w:val="00E731F2"/>
    <w:rsid w:val="00E733C4"/>
    <w:rsid w:val="00E74689"/>
    <w:rsid w:val="00E74AB3"/>
    <w:rsid w:val="00E74DB2"/>
    <w:rsid w:val="00E765F3"/>
    <w:rsid w:val="00E767AD"/>
    <w:rsid w:val="00E80BFB"/>
    <w:rsid w:val="00E812CB"/>
    <w:rsid w:val="00E81968"/>
    <w:rsid w:val="00E81E39"/>
    <w:rsid w:val="00E82AB0"/>
    <w:rsid w:val="00E845C4"/>
    <w:rsid w:val="00E84A65"/>
    <w:rsid w:val="00E866D4"/>
    <w:rsid w:val="00E868E0"/>
    <w:rsid w:val="00E8719E"/>
    <w:rsid w:val="00E87207"/>
    <w:rsid w:val="00E8731E"/>
    <w:rsid w:val="00E87369"/>
    <w:rsid w:val="00E875C7"/>
    <w:rsid w:val="00E91700"/>
    <w:rsid w:val="00E921B5"/>
    <w:rsid w:val="00E92A07"/>
    <w:rsid w:val="00E92DD7"/>
    <w:rsid w:val="00E9377A"/>
    <w:rsid w:val="00E93C7C"/>
    <w:rsid w:val="00E93CED"/>
    <w:rsid w:val="00E965FF"/>
    <w:rsid w:val="00E96D01"/>
    <w:rsid w:val="00EA0CD8"/>
    <w:rsid w:val="00EA1930"/>
    <w:rsid w:val="00EA2160"/>
    <w:rsid w:val="00EA246F"/>
    <w:rsid w:val="00EA4DE3"/>
    <w:rsid w:val="00EA4E58"/>
    <w:rsid w:val="00EA5665"/>
    <w:rsid w:val="00EA6A3B"/>
    <w:rsid w:val="00EA6F92"/>
    <w:rsid w:val="00EA7AD7"/>
    <w:rsid w:val="00EB4C00"/>
    <w:rsid w:val="00EB6CB8"/>
    <w:rsid w:val="00EB72CB"/>
    <w:rsid w:val="00EC0022"/>
    <w:rsid w:val="00EC29B3"/>
    <w:rsid w:val="00EC6C9E"/>
    <w:rsid w:val="00EC6FA3"/>
    <w:rsid w:val="00EC760B"/>
    <w:rsid w:val="00EC7B52"/>
    <w:rsid w:val="00ED04C5"/>
    <w:rsid w:val="00ED04F5"/>
    <w:rsid w:val="00ED0ED5"/>
    <w:rsid w:val="00ED137D"/>
    <w:rsid w:val="00ED22B2"/>
    <w:rsid w:val="00ED2AA4"/>
    <w:rsid w:val="00ED4AA0"/>
    <w:rsid w:val="00ED749F"/>
    <w:rsid w:val="00EE0DB1"/>
    <w:rsid w:val="00EE1BE8"/>
    <w:rsid w:val="00EE3260"/>
    <w:rsid w:val="00EE39DD"/>
    <w:rsid w:val="00EE4A7E"/>
    <w:rsid w:val="00EE4DB0"/>
    <w:rsid w:val="00EE61A4"/>
    <w:rsid w:val="00EE6861"/>
    <w:rsid w:val="00EF0EEC"/>
    <w:rsid w:val="00EF0FA8"/>
    <w:rsid w:val="00EF2F8A"/>
    <w:rsid w:val="00EF37D9"/>
    <w:rsid w:val="00EF3DC5"/>
    <w:rsid w:val="00EF4A52"/>
    <w:rsid w:val="00EF4CD3"/>
    <w:rsid w:val="00EF625C"/>
    <w:rsid w:val="00F00113"/>
    <w:rsid w:val="00F00F10"/>
    <w:rsid w:val="00F01539"/>
    <w:rsid w:val="00F01967"/>
    <w:rsid w:val="00F024B7"/>
    <w:rsid w:val="00F03102"/>
    <w:rsid w:val="00F04012"/>
    <w:rsid w:val="00F049F9"/>
    <w:rsid w:val="00F04E56"/>
    <w:rsid w:val="00F051F0"/>
    <w:rsid w:val="00F055BC"/>
    <w:rsid w:val="00F059A9"/>
    <w:rsid w:val="00F06667"/>
    <w:rsid w:val="00F07C84"/>
    <w:rsid w:val="00F10235"/>
    <w:rsid w:val="00F10272"/>
    <w:rsid w:val="00F1218A"/>
    <w:rsid w:val="00F131B1"/>
    <w:rsid w:val="00F133C7"/>
    <w:rsid w:val="00F1416A"/>
    <w:rsid w:val="00F155F7"/>
    <w:rsid w:val="00F16797"/>
    <w:rsid w:val="00F16DF6"/>
    <w:rsid w:val="00F20182"/>
    <w:rsid w:val="00F20482"/>
    <w:rsid w:val="00F205B2"/>
    <w:rsid w:val="00F214C4"/>
    <w:rsid w:val="00F238F7"/>
    <w:rsid w:val="00F2434C"/>
    <w:rsid w:val="00F24FB2"/>
    <w:rsid w:val="00F259BF"/>
    <w:rsid w:val="00F2666F"/>
    <w:rsid w:val="00F26CCA"/>
    <w:rsid w:val="00F3257B"/>
    <w:rsid w:val="00F32FAD"/>
    <w:rsid w:val="00F340D0"/>
    <w:rsid w:val="00F34991"/>
    <w:rsid w:val="00F36B6D"/>
    <w:rsid w:val="00F40484"/>
    <w:rsid w:val="00F45B67"/>
    <w:rsid w:val="00F503E5"/>
    <w:rsid w:val="00F50407"/>
    <w:rsid w:val="00F51A8B"/>
    <w:rsid w:val="00F52EBD"/>
    <w:rsid w:val="00F54408"/>
    <w:rsid w:val="00F553C2"/>
    <w:rsid w:val="00F607E5"/>
    <w:rsid w:val="00F62BC5"/>
    <w:rsid w:val="00F63C04"/>
    <w:rsid w:val="00F64070"/>
    <w:rsid w:val="00F64592"/>
    <w:rsid w:val="00F64FC4"/>
    <w:rsid w:val="00F702DB"/>
    <w:rsid w:val="00F70A58"/>
    <w:rsid w:val="00F713B2"/>
    <w:rsid w:val="00F72791"/>
    <w:rsid w:val="00F75655"/>
    <w:rsid w:val="00F75C9C"/>
    <w:rsid w:val="00F761CF"/>
    <w:rsid w:val="00F80073"/>
    <w:rsid w:val="00F80848"/>
    <w:rsid w:val="00F80D07"/>
    <w:rsid w:val="00F811C6"/>
    <w:rsid w:val="00F81EE8"/>
    <w:rsid w:val="00F8250A"/>
    <w:rsid w:val="00F825BC"/>
    <w:rsid w:val="00F83385"/>
    <w:rsid w:val="00F83CD7"/>
    <w:rsid w:val="00F83D29"/>
    <w:rsid w:val="00F879CB"/>
    <w:rsid w:val="00F91512"/>
    <w:rsid w:val="00F9159C"/>
    <w:rsid w:val="00F9206C"/>
    <w:rsid w:val="00F9361B"/>
    <w:rsid w:val="00F93FB4"/>
    <w:rsid w:val="00F94273"/>
    <w:rsid w:val="00F94341"/>
    <w:rsid w:val="00F95D3B"/>
    <w:rsid w:val="00F9628A"/>
    <w:rsid w:val="00F9709E"/>
    <w:rsid w:val="00FA2221"/>
    <w:rsid w:val="00FA2801"/>
    <w:rsid w:val="00FA2917"/>
    <w:rsid w:val="00FA391C"/>
    <w:rsid w:val="00FA53D2"/>
    <w:rsid w:val="00FA57DE"/>
    <w:rsid w:val="00FA5D30"/>
    <w:rsid w:val="00FA5F14"/>
    <w:rsid w:val="00FA6A4F"/>
    <w:rsid w:val="00FB08E3"/>
    <w:rsid w:val="00FB1F52"/>
    <w:rsid w:val="00FB260C"/>
    <w:rsid w:val="00FB2C6A"/>
    <w:rsid w:val="00FB3890"/>
    <w:rsid w:val="00FB45D4"/>
    <w:rsid w:val="00FB4FA7"/>
    <w:rsid w:val="00FB68E5"/>
    <w:rsid w:val="00FB6A0B"/>
    <w:rsid w:val="00FB6FB8"/>
    <w:rsid w:val="00FB71D7"/>
    <w:rsid w:val="00FB7224"/>
    <w:rsid w:val="00FB74E2"/>
    <w:rsid w:val="00FB7FF7"/>
    <w:rsid w:val="00FC1FD4"/>
    <w:rsid w:val="00FC31A1"/>
    <w:rsid w:val="00FC4D5D"/>
    <w:rsid w:val="00FC53F1"/>
    <w:rsid w:val="00FC75E0"/>
    <w:rsid w:val="00FC7AD1"/>
    <w:rsid w:val="00FD39EB"/>
    <w:rsid w:val="00FD3E7E"/>
    <w:rsid w:val="00FD41F3"/>
    <w:rsid w:val="00FD4673"/>
    <w:rsid w:val="00FD4D97"/>
    <w:rsid w:val="00FD539E"/>
    <w:rsid w:val="00FD5DC0"/>
    <w:rsid w:val="00FD629F"/>
    <w:rsid w:val="00FD7A5A"/>
    <w:rsid w:val="00FD7C1C"/>
    <w:rsid w:val="00FE0C01"/>
    <w:rsid w:val="00FE175D"/>
    <w:rsid w:val="00FE175E"/>
    <w:rsid w:val="00FE20F7"/>
    <w:rsid w:val="00FE5965"/>
    <w:rsid w:val="00FE6539"/>
    <w:rsid w:val="00FE7C32"/>
    <w:rsid w:val="00FE7FD7"/>
    <w:rsid w:val="00FF0333"/>
    <w:rsid w:val="00FF4C28"/>
    <w:rsid w:val="00FF53E4"/>
    <w:rsid w:val="00FF5724"/>
    <w:rsid w:val="00FF74CA"/>
    <w:rsid w:val="00FF7A95"/>
    <w:rsid w:val="01F521CD"/>
    <w:rsid w:val="02056B18"/>
    <w:rsid w:val="021F731A"/>
    <w:rsid w:val="02C700F1"/>
    <w:rsid w:val="02D33DAC"/>
    <w:rsid w:val="02E373F0"/>
    <w:rsid w:val="035522F0"/>
    <w:rsid w:val="038732E9"/>
    <w:rsid w:val="05A25167"/>
    <w:rsid w:val="05AA2098"/>
    <w:rsid w:val="060C5F2B"/>
    <w:rsid w:val="06EF2CCF"/>
    <w:rsid w:val="0729289C"/>
    <w:rsid w:val="07760BAA"/>
    <w:rsid w:val="07B251AE"/>
    <w:rsid w:val="07E212EE"/>
    <w:rsid w:val="08BC2855"/>
    <w:rsid w:val="090E6883"/>
    <w:rsid w:val="092B4520"/>
    <w:rsid w:val="097906FF"/>
    <w:rsid w:val="09C256CF"/>
    <w:rsid w:val="0ADD6AE9"/>
    <w:rsid w:val="0C0408D6"/>
    <w:rsid w:val="0CC22A25"/>
    <w:rsid w:val="0CE045F1"/>
    <w:rsid w:val="0F696A4D"/>
    <w:rsid w:val="0F752FF0"/>
    <w:rsid w:val="0FBC0859"/>
    <w:rsid w:val="0FC66FC5"/>
    <w:rsid w:val="10106F79"/>
    <w:rsid w:val="10284C2D"/>
    <w:rsid w:val="113D447D"/>
    <w:rsid w:val="11557109"/>
    <w:rsid w:val="119B1792"/>
    <w:rsid w:val="11D52407"/>
    <w:rsid w:val="1218300D"/>
    <w:rsid w:val="128123D2"/>
    <w:rsid w:val="13131363"/>
    <w:rsid w:val="1332625B"/>
    <w:rsid w:val="1339603E"/>
    <w:rsid w:val="13702641"/>
    <w:rsid w:val="15786BC0"/>
    <w:rsid w:val="15C46334"/>
    <w:rsid w:val="16CA7769"/>
    <w:rsid w:val="16DC5337"/>
    <w:rsid w:val="18571D31"/>
    <w:rsid w:val="188367EC"/>
    <w:rsid w:val="18E555E7"/>
    <w:rsid w:val="19EC1B5C"/>
    <w:rsid w:val="1A377CDD"/>
    <w:rsid w:val="1A3C2084"/>
    <w:rsid w:val="1C392D79"/>
    <w:rsid w:val="1C404EFF"/>
    <w:rsid w:val="1C547A87"/>
    <w:rsid w:val="1D027794"/>
    <w:rsid w:val="1D0F675F"/>
    <w:rsid w:val="1EF61CC6"/>
    <w:rsid w:val="204C0584"/>
    <w:rsid w:val="21362454"/>
    <w:rsid w:val="21797D0C"/>
    <w:rsid w:val="220866A3"/>
    <w:rsid w:val="226D4BFC"/>
    <w:rsid w:val="23E51ED6"/>
    <w:rsid w:val="244D2BCF"/>
    <w:rsid w:val="24992D39"/>
    <w:rsid w:val="25214326"/>
    <w:rsid w:val="25893620"/>
    <w:rsid w:val="25896297"/>
    <w:rsid w:val="263611D3"/>
    <w:rsid w:val="26EA788C"/>
    <w:rsid w:val="27052832"/>
    <w:rsid w:val="27076EF2"/>
    <w:rsid w:val="27095274"/>
    <w:rsid w:val="27AF0E96"/>
    <w:rsid w:val="27C43A1D"/>
    <w:rsid w:val="27DA7CB2"/>
    <w:rsid w:val="28446D9A"/>
    <w:rsid w:val="288F7D09"/>
    <w:rsid w:val="29143B49"/>
    <w:rsid w:val="29183834"/>
    <w:rsid w:val="2918755B"/>
    <w:rsid w:val="294C32E2"/>
    <w:rsid w:val="299B0A6F"/>
    <w:rsid w:val="29E92677"/>
    <w:rsid w:val="2A2B6011"/>
    <w:rsid w:val="2B554AD6"/>
    <w:rsid w:val="2B674404"/>
    <w:rsid w:val="2B7B675B"/>
    <w:rsid w:val="2C0B037B"/>
    <w:rsid w:val="2D0128D3"/>
    <w:rsid w:val="2DC22DEA"/>
    <w:rsid w:val="2DCC6AA6"/>
    <w:rsid w:val="2E68778F"/>
    <w:rsid w:val="2F924C07"/>
    <w:rsid w:val="302A1ADA"/>
    <w:rsid w:val="306A53C9"/>
    <w:rsid w:val="308B067F"/>
    <w:rsid w:val="32CF78F9"/>
    <w:rsid w:val="337E6F19"/>
    <w:rsid w:val="340D18C0"/>
    <w:rsid w:val="34BD55E4"/>
    <w:rsid w:val="353C0E2D"/>
    <w:rsid w:val="357F666A"/>
    <w:rsid w:val="3589428E"/>
    <w:rsid w:val="35F048FA"/>
    <w:rsid w:val="378F55D9"/>
    <w:rsid w:val="37AC362D"/>
    <w:rsid w:val="37F31751"/>
    <w:rsid w:val="384D72A5"/>
    <w:rsid w:val="38926838"/>
    <w:rsid w:val="38AE1B43"/>
    <w:rsid w:val="393578EF"/>
    <w:rsid w:val="3A412D2C"/>
    <w:rsid w:val="3AAD091B"/>
    <w:rsid w:val="3BD52D4A"/>
    <w:rsid w:val="3C0A2CA1"/>
    <w:rsid w:val="3C3C07B7"/>
    <w:rsid w:val="3CEC2B6C"/>
    <w:rsid w:val="3CFD5C00"/>
    <w:rsid w:val="3DA23079"/>
    <w:rsid w:val="3E454B63"/>
    <w:rsid w:val="3F35607C"/>
    <w:rsid w:val="3F3F73AC"/>
    <w:rsid w:val="3FFE7B01"/>
    <w:rsid w:val="41685D9E"/>
    <w:rsid w:val="41C537DA"/>
    <w:rsid w:val="43F860E9"/>
    <w:rsid w:val="44355499"/>
    <w:rsid w:val="44705171"/>
    <w:rsid w:val="44C50BF3"/>
    <w:rsid w:val="44E623E5"/>
    <w:rsid w:val="45282F37"/>
    <w:rsid w:val="453E5DD4"/>
    <w:rsid w:val="45EE2DEC"/>
    <w:rsid w:val="466916D1"/>
    <w:rsid w:val="468D718B"/>
    <w:rsid w:val="47E3607F"/>
    <w:rsid w:val="48250DC7"/>
    <w:rsid w:val="483D231C"/>
    <w:rsid w:val="48C82477"/>
    <w:rsid w:val="48CA4CE9"/>
    <w:rsid w:val="49764039"/>
    <w:rsid w:val="49D22F38"/>
    <w:rsid w:val="4AEC6208"/>
    <w:rsid w:val="4BA032C9"/>
    <w:rsid w:val="4BBE7454"/>
    <w:rsid w:val="4BCB4867"/>
    <w:rsid w:val="4BFC6BCA"/>
    <w:rsid w:val="4C9E5C65"/>
    <w:rsid w:val="4D25406E"/>
    <w:rsid w:val="4D5D4E06"/>
    <w:rsid w:val="4DB03590"/>
    <w:rsid w:val="4DD35A29"/>
    <w:rsid w:val="513901E0"/>
    <w:rsid w:val="528172AA"/>
    <w:rsid w:val="52E33CDE"/>
    <w:rsid w:val="530A729F"/>
    <w:rsid w:val="53AD47EC"/>
    <w:rsid w:val="53C3212C"/>
    <w:rsid w:val="542425E2"/>
    <w:rsid w:val="54741D03"/>
    <w:rsid w:val="551E43D5"/>
    <w:rsid w:val="55610A8E"/>
    <w:rsid w:val="55945546"/>
    <w:rsid w:val="55E04E82"/>
    <w:rsid w:val="563216CA"/>
    <w:rsid w:val="565D6949"/>
    <w:rsid w:val="571E5A0F"/>
    <w:rsid w:val="57DC128D"/>
    <w:rsid w:val="57E97649"/>
    <w:rsid w:val="589C6BEB"/>
    <w:rsid w:val="59010248"/>
    <w:rsid w:val="59086274"/>
    <w:rsid w:val="59764B8D"/>
    <w:rsid w:val="5A5E7EEC"/>
    <w:rsid w:val="5BC8697B"/>
    <w:rsid w:val="5BFA4356"/>
    <w:rsid w:val="5D7B413C"/>
    <w:rsid w:val="5E007C1C"/>
    <w:rsid w:val="5F4038A5"/>
    <w:rsid w:val="5FE15C56"/>
    <w:rsid w:val="6015367E"/>
    <w:rsid w:val="607C44DA"/>
    <w:rsid w:val="619E19B9"/>
    <w:rsid w:val="61C3048A"/>
    <w:rsid w:val="61CD3212"/>
    <w:rsid w:val="62354391"/>
    <w:rsid w:val="62635EC6"/>
    <w:rsid w:val="63025B9A"/>
    <w:rsid w:val="64377EC5"/>
    <w:rsid w:val="64B74DAD"/>
    <w:rsid w:val="64B90B25"/>
    <w:rsid w:val="64C00105"/>
    <w:rsid w:val="65A35DBD"/>
    <w:rsid w:val="662C0466"/>
    <w:rsid w:val="67420F14"/>
    <w:rsid w:val="675F063E"/>
    <w:rsid w:val="67B80B77"/>
    <w:rsid w:val="682F340F"/>
    <w:rsid w:val="683C4C6E"/>
    <w:rsid w:val="687874D2"/>
    <w:rsid w:val="691F6EF5"/>
    <w:rsid w:val="69694879"/>
    <w:rsid w:val="69B014EB"/>
    <w:rsid w:val="6A374FF4"/>
    <w:rsid w:val="6AC01E63"/>
    <w:rsid w:val="6AD22940"/>
    <w:rsid w:val="6AD25191"/>
    <w:rsid w:val="6BAC6253"/>
    <w:rsid w:val="6BE50451"/>
    <w:rsid w:val="6BE623D6"/>
    <w:rsid w:val="6C0E79A8"/>
    <w:rsid w:val="6C9B45C8"/>
    <w:rsid w:val="6D751306"/>
    <w:rsid w:val="6DB72A53"/>
    <w:rsid w:val="6DBB17F6"/>
    <w:rsid w:val="6E072901"/>
    <w:rsid w:val="6E396833"/>
    <w:rsid w:val="6F246AA2"/>
    <w:rsid w:val="6F5C25A4"/>
    <w:rsid w:val="70F10D07"/>
    <w:rsid w:val="70FD57AC"/>
    <w:rsid w:val="710D5228"/>
    <w:rsid w:val="71BD5FA9"/>
    <w:rsid w:val="71DB20DB"/>
    <w:rsid w:val="728E2BC1"/>
    <w:rsid w:val="72CB7FAB"/>
    <w:rsid w:val="72FA3784"/>
    <w:rsid w:val="74520036"/>
    <w:rsid w:val="74B13FC3"/>
    <w:rsid w:val="74F71921"/>
    <w:rsid w:val="76B949B4"/>
    <w:rsid w:val="76C410FF"/>
    <w:rsid w:val="76FD7916"/>
    <w:rsid w:val="77CB4516"/>
    <w:rsid w:val="79ED50A1"/>
    <w:rsid w:val="7A1E03A0"/>
    <w:rsid w:val="7A2844B3"/>
    <w:rsid w:val="7AB23BF5"/>
    <w:rsid w:val="7B397845"/>
    <w:rsid w:val="7B4C229B"/>
    <w:rsid w:val="7C417926"/>
    <w:rsid w:val="7C470A7F"/>
    <w:rsid w:val="7CA0464C"/>
    <w:rsid w:val="7CBC1AC4"/>
    <w:rsid w:val="7E61605D"/>
    <w:rsid w:val="7EAD7067"/>
    <w:rsid w:val="7F5C5130"/>
    <w:rsid w:val="7F774919"/>
    <w:rsid w:val="7F85714B"/>
    <w:rsid w:val="7FA9479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9" w:semiHidden="0" w:name="heading 7"/>
    <w:lsdException w:qFormat="1" w:unhideWhenUsed="0" w:uiPriority="0" w:semiHidden="0" w:name="heading 8"/>
    <w:lsdException w:qFormat="1" w:unhideWhenUsed="0" w:uiPriority="0" w:semiHidden="0" w:name="heading 9"/>
    <w:lsdException w:uiPriority="0" w:semiHidden="0" w:name="index 1"/>
    <w:lsdException w:uiPriority="0" w:name="index 2"/>
    <w:lsdException w:uiPriority="0" w:name="index 3"/>
    <w:lsdException w:unhideWhenUsed="0" w:uiPriority="0" w:semiHidden="0" w:name="index 4"/>
    <w:lsdException w:uiPriority="0" w:name="index 5"/>
    <w:lsdException w:qFormat="1" w:unhideWhenUsed="0" w:uiPriority="0" w:name="index 6"/>
    <w:lsdException w:uiPriority="0" w:name="index 7"/>
    <w:lsdException w:uiPriority="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nhideWhenUsed="0"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0" w:semiHidden="0" w:name="footnote text"/>
    <w:lsdException w:qFormat="1" w:unhideWhenUsed="0" w:uiPriority="0" w:semiHidden="0" w:name="annotation text"/>
    <w:lsdException w:qFormat="1" w:uiPriority="0" w:semiHidden="0" w:name="header"/>
    <w:lsdException w:qFormat="1" w:uiPriority="0"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99" w:semiHidden="0" w:name="annotation reference"/>
    <w:lsdException w:unhideWhenUsed="0" w:uiPriority="0" w:semiHidden="0" w:name="line number"/>
    <w:lsdException w:qFormat="1" w:unhideWhenUsed="0" w:uiPriority="0" w:semiHidden="0" w:name="page number"/>
    <w:lsdException w:uiPriority="0" w:name="endnote reference"/>
    <w:lsdException w:uiPriority="0" w:semiHidden="0" w:name="endnote text"/>
    <w:lsdException w:unhideWhenUsed="0" w:uiPriority="0" w:semiHidden="0" w:name="table of authorities"/>
    <w:lsdException w:qFormat="1"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sdException w:unhideWhenUsed="0" w:uiPriority="0" w:semiHidden="0" w:name="Salutation"/>
    <w:lsdException w:qFormat="1" w:uiPriority="99" w:semiHidden="0" w:name="Date"/>
    <w:lsdException w:qFormat="1" w:uiPriority="0" w:semiHidden="0" w:name="Body Text First Indent"/>
    <w:lsdException w:qFormat="1" w:uiPriority="0" w:semiHidden="0" w:name="Body Text First Indent 2"/>
    <w:lsdException w:unhideWhenUsed="0" w:uiPriority="0" w:semiHidden="0" w:name="Note Heading"/>
    <w:lsdException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iPriority="99" w:semiHidden="0" w:name="annotation subject"/>
    <w:lsdException w:qFormat="1" w:uiPriority="0" w:name="Table Simple 1"/>
    <w:lsdException w:uiPriority="0" w:name="Table Simple 2"/>
    <w:lsdException w:uiPriority="0" w:name="Table Simple 3"/>
    <w:lsdException w:qFormat="1"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qFormat="1" w:uiPriority="0" w:name="Table Grid 1"/>
    <w:lsdException w:qFormat="1" w:uiPriority="0" w:name="Table Grid 2"/>
    <w:lsdException w:uiPriority="0" w:name="Table Grid 3"/>
    <w:lsdException w:uiPriority="0" w:name="Table Grid 4"/>
    <w:lsdException w:qFormat="1"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qFormat="1"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0" w:semiHidden="0" w:name="Table Grid"/>
    <w:lsdException w:qFormat="1" w:uiPriority="0"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4"/>
    <w:next w:val="1"/>
    <w:link w:val="52"/>
    <w:qFormat/>
    <w:uiPriority w:val="0"/>
    <w:pPr>
      <w:numPr>
        <w:ilvl w:val="0"/>
      </w:numPr>
      <w:outlineLvl w:val="0"/>
    </w:pPr>
    <w:rPr>
      <w:kern w:val="44"/>
      <w:sz w:val="32"/>
      <w:szCs w:val="32"/>
    </w:rPr>
  </w:style>
  <w:style w:type="paragraph" w:styleId="5">
    <w:name w:val="heading 2"/>
    <w:basedOn w:val="1"/>
    <w:next w:val="1"/>
    <w:link w:val="53"/>
    <w:qFormat/>
    <w:uiPriority w:val="0"/>
    <w:pPr>
      <w:keepNext/>
      <w:keepLines/>
      <w:numPr>
        <w:ilvl w:val="1"/>
        <w:numId w:val="1"/>
      </w:numPr>
      <w:ind w:firstLineChars="0"/>
      <w:outlineLvl w:val="1"/>
    </w:pPr>
    <w:rPr>
      <w:rFonts w:eastAsia="黑体"/>
      <w:sz w:val="30"/>
      <w:szCs w:val="30"/>
    </w:rPr>
  </w:style>
  <w:style w:type="paragraph" w:styleId="4">
    <w:name w:val="heading 3"/>
    <w:basedOn w:val="1"/>
    <w:next w:val="1"/>
    <w:link w:val="51"/>
    <w:qFormat/>
    <w:uiPriority w:val="0"/>
    <w:pPr>
      <w:keepNext/>
      <w:keepLines/>
      <w:numPr>
        <w:ilvl w:val="2"/>
        <w:numId w:val="1"/>
      </w:numPr>
      <w:ind w:firstLineChars="0"/>
      <w:outlineLvl w:val="2"/>
    </w:pPr>
    <w:rPr>
      <w:rFonts w:eastAsia="黑体"/>
      <w:sz w:val="28"/>
      <w:szCs w:val="28"/>
    </w:rPr>
  </w:style>
  <w:style w:type="paragraph" w:styleId="6">
    <w:name w:val="heading 4"/>
    <w:basedOn w:val="1"/>
    <w:next w:val="1"/>
    <w:link w:val="54"/>
    <w:qFormat/>
    <w:uiPriority w:val="0"/>
    <w:pPr>
      <w:keepNext/>
      <w:keepLines/>
      <w:numPr>
        <w:ilvl w:val="3"/>
        <w:numId w:val="1"/>
      </w:numPr>
      <w:ind w:firstLineChars="0"/>
      <w:outlineLvl w:val="3"/>
    </w:pPr>
    <w:rPr>
      <w:rFonts w:eastAsia="黑体"/>
    </w:rPr>
  </w:style>
  <w:style w:type="paragraph" w:styleId="7">
    <w:name w:val="heading 5"/>
    <w:basedOn w:val="1"/>
    <w:next w:val="1"/>
    <w:link w:val="55"/>
    <w:qFormat/>
    <w:uiPriority w:val="0"/>
    <w:pPr>
      <w:keepNext/>
      <w:keepLines/>
      <w:numPr>
        <w:ilvl w:val="4"/>
        <w:numId w:val="1"/>
      </w:numPr>
      <w:tabs>
        <w:tab w:val="left" w:pos="420"/>
      </w:tabs>
      <w:ind w:firstLineChars="0"/>
      <w:jc w:val="center"/>
      <w:outlineLvl w:val="4"/>
    </w:pPr>
    <w:rPr>
      <w:b/>
      <w:bCs/>
      <w:szCs w:val="21"/>
    </w:rPr>
  </w:style>
  <w:style w:type="paragraph" w:styleId="8">
    <w:name w:val="heading 6"/>
    <w:basedOn w:val="1"/>
    <w:next w:val="1"/>
    <w:link w:val="56"/>
    <w:qFormat/>
    <w:uiPriority w:val="0"/>
    <w:pPr>
      <w:keepLines/>
      <w:numPr>
        <w:ilvl w:val="5"/>
        <w:numId w:val="1"/>
      </w:numPr>
      <w:tabs>
        <w:tab w:val="left" w:pos="420"/>
      </w:tabs>
      <w:ind w:firstLineChars="0"/>
      <w:jc w:val="center"/>
      <w:outlineLvl w:val="5"/>
    </w:pPr>
    <w:rPr>
      <w:b/>
      <w:szCs w:val="21"/>
    </w:rPr>
  </w:style>
  <w:style w:type="paragraph" w:styleId="9">
    <w:name w:val="heading 7"/>
    <w:basedOn w:val="1"/>
    <w:next w:val="1"/>
    <w:link w:val="57"/>
    <w:qFormat/>
    <w:uiPriority w:val="9"/>
    <w:pPr>
      <w:keepNext/>
      <w:keepLines/>
      <w:tabs>
        <w:tab w:val="left" w:pos="1276"/>
      </w:tabs>
      <w:ind w:firstLine="0"/>
      <w:jc w:val="center"/>
      <w:outlineLvl w:val="6"/>
    </w:pPr>
    <w:rPr>
      <w:b/>
      <w:bCs/>
      <w:sz w:val="21"/>
    </w:rPr>
  </w:style>
  <w:style w:type="paragraph" w:styleId="10">
    <w:name w:val="heading 8"/>
    <w:basedOn w:val="1"/>
    <w:next w:val="1"/>
    <w:link w:val="58"/>
    <w:qFormat/>
    <w:uiPriority w:val="0"/>
    <w:pPr>
      <w:keepNext/>
      <w:keepLines/>
      <w:tabs>
        <w:tab w:val="left" w:pos="1418"/>
      </w:tabs>
      <w:spacing w:before="240" w:after="64" w:line="320" w:lineRule="auto"/>
      <w:ind w:left="1418" w:hanging="1418"/>
      <w:outlineLvl w:val="7"/>
    </w:pPr>
    <w:rPr>
      <w:rFonts w:ascii="Arial" w:hAnsi="Arial" w:eastAsia="黑体"/>
    </w:rPr>
  </w:style>
  <w:style w:type="paragraph" w:styleId="11">
    <w:name w:val="heading 9"/>
    <w:basedOn w:val="1"/>
    <w:next w:val="1"/>
    <w:link w:val="59"/>
    <w:qFormat/>
    <w:uiPriority w:val="0"/>
    <w:pPr>
      <w:keepNext/>
      <w:keepLines/>
      <w:tabs>
        <w:tab w:val="left" w:pos="1559"/>
      </w:tabs>
      <w:spacing w:before="240" w:after="64" w:line="320" w:lineRule="auto"/>
      <w:ind w:left="1559" w:hanging="1559"/>
      <w:outlineLvl w:val="8"/>
    </w:pPr>
    <w:rPr>
      <w:rFonts w:ascii="Arial" w:hAnsi="Arial" w:eastAsia="黑体"/>
      <w:szCs w:val="21"/>
    </w:rPr>
  </w:style>
  <w:style w:type="character" w:default="1" w:styleId="45">
    <w:name w:val="Default Paragraph Font"/>
    <w:semiHidden/>
    <w:unhideWhenUsed/>
    <w:qFormat/>
    <w:uiPriority w:val="1"/>
  </w:style>
  <w:style w:type="table" w:default="1" w:styleId="43">
    <w:name w:val="Normal Table"/>
    <w:semiHidden/>
    <w:unhideWhenUsed/>
    <w:qFormat/>
    <w:uiPriority w:val="99"/>
    <w:tblPr>
      <w:tblCellMar>
        <w:top w:w="0" w:type="dxa"/>
        <w:left w:w="108" w:type="dxa"/>
        <w:bottom w:w="0" w:type="dxa"/>
        <w:right w:w="108" w:type="dxa"/>
      </w:tblCellMar>
    </w:tblPr>
  </w:style>
  <w:style w:type="paragraph" w:styleId="2">
    <w:name w:val="macro"/>
    <w:link w:val="148"/>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djustRightInd w:val="0"/>
      <w:snapToGrid w:val="0"/>
      <w:jc w:val="center"/>
      <w:outlineLvl w:val="4"/>
    </w:pPr>
    <w:rPr>
      <w:rFonts w:ascii="Times New Roman" w:hAnsi="Times New Roman" w:eastAsia="宋体" w:cs="Times New Roman"/>
      <w:b/>
      <w:snapToGrid w:val="0"/>
      <w:kern w:val="24"/>
      <w:sz w:val="21"/>
      <w:szCs w:val="24"/>
      <w:lang w:val="en-US" w:eastAsia="zh-CN" w:bidi="ar-SA"/>
    </w:rPr>
  </w:style>
  <w:style w:type="paragraph" w:styleId="12">
    <w:name w:val="toc 7"/>
    <w:basedOn w:val="1"/>
    <w:next w:val="1"/>
    <w:unhideWhenUsed/>
    <w:qFormat/>
    <w:uiPriority w:val="39"/>
    <w:pPr>
      <w:spacing w:line="240" w:lineRule="auto"/>
      <w:ind w:left="2520" w:leftChars="1200" w:firstLine="0" w:firstLineChars="0"/>
    </w:pPr>
    <w:rPr>
      <w:rFonts w:asciiTheme="minorHAnsi" w:hAnsiTheme="minorHAnsi" w:eastAsiaTheme="minorEastAsia" w:cstheme="minorBidi"/>
      <w:sz w:val="21"/>
      <w:szCs w:val="22"/>
    </w:rPr>
  </w:style>
  <w:style w:type="paragraph" w:styleId="13">
    <w:name w:val="Normal Indent"/>
    <w:basedOn w:val="1"/>
    <w:next w:val="1"/>
    <w:link w:val="130"/>
    <w:qFormat/>
    <w:uiPriority w:val="0"/>
    <w:pPr>
      <w:spacing w:line="240" w:lineRule="auto"/>
      <w:ind w:firstLine="420"/>
    </w:pPr>
    <w:rPr>
      <w:sz w:val="21"/>
    </w:rPr>
  </w:style>
  <w:style w:type="paragraph" w:styleId="14">
    <w:name w:val="caption"/>
    <w:basedOn w:val="1"/>
    <w:next w:val="1"/>
    <w:qFormat/>
    <w:uiPriority w:val="35"/>
    <w:pPr>
      <w:ind w:firstLine="0" w:firstLineChars="0"/>
      <w:jc w:val="center"/>
    </w:pPr>
    <w:rPr>
      <w:b/>
      <w:kern w:val="0"/>
      <w:sz w:val="21"/>
      <w:szCs w:val="20"/>
    </w:rPr>
  </w:style>
  <w:style w:type="paragraph" w:styleId="15">
    <w:name w:val="Document Map"/>
    <w:basedOn w:val="1"/>
    <w:link w:val="131"/>
    <w:qFormat/>
    <w:uiPriority w:val="0"/>
    <w:pPr>
      <w:shd w:val="clear" w:color="auto" w:fill="000080"/>
      <w:spacing w:line="240" w:lineRule="auto"/>
      <w:ind w:firstLine="0" w:firstLineChars="0"/>
    </w:pPr>
    <w:rPr>
      <w:sz w:val="21"/>
    </w:rPr>
  </w:style>
  <w:style w:type="paragraph" w:styleId="16">
    <w:name w:val="annotation text"/>
    <w:basedOn w:val="1"/>
    <w:link w:val="60"/>
    <w:qFormat/>
    <w:uiPriority w:val="0"/>
    <w:pPr>
      <w:jc w:val="left"/>
    </w:pPr>
  </w:style>
  <w:style w:type="paragraph" w:styleId="17">
    <w:name w:val="index 6"/>
    <w:basedOn w:val="1"/>
    <w:next w:val="1"/>
    <w:semiHidden/>
    <w:qFormat/>
    <w:uiPriority w:val="0"/>
    <w:pPr>
      <w:ind w:left="1000" w:leftChars="1000" w:firstLine="0" w:firstLineChars="0"/>
    </w:pPr>
    <w:rPr>
      <w:kern w:val="0"/>
      <w:szCs w:val="20"/>
    </w:rPr>
  </w:style>
  <w:style w:type="paragraph" w:styleId="18">
    <w:name w:val="Body Text"/>
    <w:basedOn w:val="1"/>
    <w:next w:val="19"/>
    <w:link w:val="61"/>
    <w:qFormat/>
    <w:uiPriority w:val="0"/>
    <w:pPr>
      <w:autoSpaceDE w:val="0"/>
      <w:autoSpaceDN w:val="0"/>
      <w:spacing w:line="240" w:lineRule="auto"/>
      <w:ind w:firstLine="0" w:firstLineChars="0"/>
      <w:jc w:val="left"/>
    </w:pPr>
    <w:rPr>
      <w:rFonts w:ascii="宋体" w:hAnsi="宋体" w:cs="宋体"/>
      <w:kern w:val="0"/>
      <w:lang w:val="zh-CN" w:bidi="zh-CN"/>
    </w:rPr>
  </w:style>
  <w:style w:type="paragraph" w:customStyle="1" w:styleId="19">
    <w:name w:val="默认段落"/>
    <w:qFormat/>
    <w:uiPriority w:val="0"/>
    <w:pPr>
      <w:widowControl w:val="0"/>
      <w:overflowPunct w:val="0"/>
      <w:topLinePunct/>
      <w:adjustRightInd w:val="0"/>
      <w:snapToGrid w:val="0"/>
      <w:spacing w:line="360" w:lineRule="auto"/>
      <w:ind w:firstLine="200" w:firstLineChars="200"/>
      <w:jc w:val="both"/>
    </w:pPr>
    <w:rPr>
      <w:rFonts w:ascii="Calibri" w:hAnsi="Calibri" w:eastAsia="宋体" w:cs="Times New Roman"/>
      <w:sz w:val="24"/>
      <w:szCs w:val="24"/>
      <w:lang w:val="en-US" w:eastAsia="zh-CN" w:bidi="ar-SA"/>
    </w:rPr>
  </w:style>
  <w:style w:type="paragraph" w:styleId="20">
    <w:name w:val="Body Text Indent"/>
    <w:basedOn w:val="1"/>
    <w:next w:val="21"/>
    <w:link w:val="62"/>
    <w:qFormat/>
    <w:uiPriority w:val="0"/>
    <w:pPr>
      <w:spacing w:after="120"/>
      <w:ind w:left="420" w:leftChars="200"/>
    </w:pPr>
  </w:style>
  <w:style w:type="paragraph" w:customStyle="1" w:styleId="21">
    <w:name w:val="样式 正文文本缩进 + 行距: 1.5 倍行距"/>
    <w:basedOn w:val="1"/>
    <w:qFormat/>
    <w:uiPriority w:val="0"/>
    <w:pPr>
      <w:spacing w:after="120"/>
      <w:ind w:left="90" w:leftChars="32" w:firstLine="560"/>
    </w:pPr>
    <w:rPr>
      <w:rFonts w:cs="宋体"/>
      <w:kern w:val="0"/>
      <w:szCs w:val="20"/>
    </w:rPr>
  </w:style>
  <w:style w:type="paragraph" w:styleId="22">
    <w:name w:val="toc 5"/>
    <w:basedOn w:val="1"/>
    <w:next w:val="1"/>
    <w:qFormat/>
    <w:uiPriority w:val="39"/>
    <w:pPr>
      <w:autoSpaceDE w:val="0"/>
      <w:autoSpaceDN w:val="0"/>
      <w:spacing w:before="160" w:line="240" w:lineRule="auto"/>
      <w:ind w:left="2220" w:hanging="540" w:firstLineChars="0"/>
      <w:jc w:val="left"/>
    </w:pPr>
    <w:rPr>
      <w:rFonts w:ascii="宋体" w:hAnsi="宋体" w:cs="宋体"/>
      <w:b/>
      <w:bCs/>
      <w:i/>
      <w:kern w:val="0"/>
      <w:sz w:val="22"/>
      <w:szCs w:val="22"/>
      <w:lang w:val="zh-CN" w:bidi="zh-CN"/>
    </w:rPr>
  </w:style>
  <w:style w:type="paragraph" w:styleId="23">
    <w:name w:val="toc 3"/>
    <w:basedOn w:val="1"/>
    <w:next w:val="1"/>
    <w:qFormat/>
    <w:uiPriority w:val="39"/>
    <w:pPr>
      <w:ind w:left="840" w:leftChars="400"/>
    </w:pPr>
  </w:style>
  <w:style w:type="paragraph" w:styleId="24">
    <w:name w:val="Plain Text"/>
    <w:basedOn w:val="1"/>
    <w:link w:val="190"/>
    <w:qFormat/>
    <w:uiPriority w:val="0"/>
    <w:pPr>
      <w:overflowPunct w:val="0"/>
      <w:spacing w:after="160"/>
    </w:pPr>
    <w:rPr>
      <w:rFonts w:hAnsi="Courier New"/>
      <w:sz w:val="20"/>
      <w:szCs w:val="21"/>
    </w:rPr>
  </w:style>
  <w:style w:type="paragraph" w:styleId="25">
    <w:name w:val="toc 8"/>
    <w:basedOn w:val="1"/>
    <w:next w:val="1"/>
    <w:unhideWhenUsed/>
    <w:qFormat/>
    <w:uiPriority w:val="39"/>
    <w:pPr>
      <w:spacing w:line="240" w:lineRule="auto"/>
      <w:ind w:left="2940" w:leftChars="1400" w:firstLine="0" w:firstLineChars="0"/>
    </w:pPr>
    <w:rPr>
      <w:rFonts w:asciiTheme="minorHAnsi" w:hAnsiTheme="minorHAnsi" w:eastAsiaTheme="minorEastAsia" w:cstheme="minorBidi"/>
      <w:sz w:val="21"/>
      <w:szCs w:val="22"/>
    </w:rPr>
  </w:style>
  <w:style w:type="paragraph" w:styleId="26">
    <w:name w:val="Date"/>
    <w:basedOn w:val="1"/>
    <w:next w:val="1"/>
    <w:link w:val="150"/>
    <w:unhideWhenUsed/>
    <w:qFormat/>
    <w:uiPriority w:val="99"/>
    <w:pPr>
      <w:ind w:left="100" w:leftChars="2500" w:firstLine="0" w:firstLineChars="0"/>
    </w:pPr>
    <w:rPr>
      <w:kern w:val="0"/>
      <w:szCs w:val="20"/>
    </w:rPr>
  </w:style>
  <w:style w:type="paragraph" w:styleId="27">
    <w:name w:val="Body Text Indent 2"/>
    <w:basedOn w:val="1"/>
    <w:next w:val="1"/>
    <w:link w:val="149"/>
    <w:qFormat/>
    <w:uiPriority w:val="0"/>
    <w:pPr>
      <w:spacing w:after="120" w:line="480" w:lineRule="auto"/>
      <w:ind w:left="420" w:leftChars="200" w:firstLine="0" w:firstLineChars="0"/>
    </w:pPr>
    <w:rPr>
      <w:kern w:val="0"/>
      <w:szCs w:val="20"/>
    </w:rPr>
  </w:style>
  <w:style w:type="paragraph" w:styleId="28">
    <w:name w:val="Balloon Text"/>
    <w:basedOn w:val="1"/>
    <w:link w:val="63"/>
    <w:qFormat/>
    <w:uiPriority w:val="99"/>
    <w:pPr>
      <w:spacing w:line="240" w:lineRule="auto"/>
    </w:pPr>
    <w:rPr>
      <w:sz w:val="18"/>
      <w:szCs w:val="18"/>
    </w:rPr>
  </w:style>
  <w:style w:type="paragraph" w:styleId="29">
    <w:name w:val="footer"/>
    <w:basedOn w:val="1"/>
    <w:link w:val="64"/>
    <w:unhideWhenUsed/>
    <w:qFormat/>
    <w:uiPriority w:val="0"/>
    <w:pPr>
      <w:tabs>
        <w:tab w:val="center" w:pos="4153"/>
        <w:tab w:val="right" w:pos="8306"/>
      </w:tabs>
      <w:autoSpaceDE w:val="0"/>
      <w:autoSpaceDN w:val="0"/>
      <w:snapToGrid w:val="0"/>
      <w:spacing w:line="240" w:lineRule="auto"/>
      <w:ind w:firstLine="0" w:firstLineChars="0"/>
      <w:jc w:val="left"/>
    </w:pPr>
    <w:rPr>
      <w:rFonts w:ascii="宋体" w:hAnsi="宋体" w:cs="宋体"/>
      <w:kern w:val="0"/>
      <w:sz w:val="18"/>
      <w:szCs w:val="18"/>
      <w:lang w:val="zh-CN" w:bidi="zh-CN"/>
    </w:rPr>
  </w:style>
  <w:style w:type="paragraph" w:styleId="30">
    <w:name w:val="header"/>
    <w:basedOn w:val="1"/>
    <w:link w:val="65"/>
    <w:unhideWhenUsed/>
    <w:qFormat/>
    <w:uiPriority w:val="0"/>
    <w:pPr>
      <w:pBdr>
        <w:bottom w:val="single" w:color="auto" w:sz="6" w:space="1"/>
      </w:pBdr>
      <w:tabs>
        <w:tab w:val="center" w:pos="4153"/>
        <w:tab w:val="right" w:pos="8306"/>
      </w:tabs>
      <w:autoSpaceDE w:val="0"/>
      <w:autoSpaceDN w:val="0"/>
      <w:snapToGrid w:val="0"/>
      <w:spacing w:line="240" w:lineRule="auto"/>
      <w:ind w:firstLine="0" w:firstLineChars="0"/>
      <w:jc w:val="center"/>
    </w:pPr>
    <w:rPr>
      <w:rFonts w:ascii="宋体" w:hAnsi="宋体" w:cs="宋体"/>
      <w:kern w:val="0"/>
      <w:sz w:val="18"/>
      <w:szCs w:val="18"/>
      <w:lang w:val="zh-CN" w:bidi="zh-CN"/>
    </w:rPr>
  </w:style>
  <w:style w:type="paragraph" w:styleId="31">
    <w:name w:val="toc 1"/>
    <w:basedOn w:val="1"/>
    <w:next w:val="1"/>
    <w:qFormat/>
    <w:uiPriority w:val="39"/>
  </w:style>
  <w:style w:type="paragraph" w:styleId="32">
    <w:name w:val="toc 4"/>
    <w:basedOn w:val="1"/>
    <w:next w:val="1"/>
    <w:unhideWhenUsed/>
    <w:qFormat/>
    <w:uiPriority w:val="39"/>
    <w:pPr>
      <w:spacing w:line="240" w:lineRule="auto"/>
      <w:ind w:left="1260" w:leftChars="600" w:firstLine="0" w:firstLineChars="0"/>
    </w:pPr>
    <w:rPr>
      <w:rFonts w:asciiTheme="minorHAnsi" w:hAnsiTheme="minorHAnsi" w:eastAsiaTheme="minorEastAsia" w:cstheme="minorBidi"/>
      <w:sz w:val="21"/>
      <w:szCs w:val="22"/>
    </w:rPr>
  </w:style>
  <w:style w:type="paragraph" w:styleId="33">
    <w:name w:val="List"/>
    <w:basedOn w:val="1"/>
    <w:qFormat/>
    <w:uiPriority w:val="0"/>
    <w:pPr>
      <w:ind w:left="200" w:hanging="200" w:hangingChars="200"/>
    </w:pPr>
    <w:rPr>
      <w:kern w:val="0"/>
      <w:szCs w:val="20"/>
    </w:rPr>
  </w:style>
  <w:style w:type="paragraph" w:styleId="34">
    <w:name w:val="toc 6"/>
    <w:basedOn w:val="1"/>
    <w:next w:val="1"/>
    <w:unhideWhenUsed/>
    <w:qFormat/>
    <w:uiPriority w:val="39"/>
    <w:pPr>
      <w:spacing w:line="240" w:lineRule="auto"/>
      <w:ind w:left="2100" w:leftChars="1000" w:firstLine="0" w:firstLineChars="0"/>
    </w:pPr>
    <w:rPr>
      <w:rFonts w:asciiTheme="minorHAnsi" w:hAnsiTheme="minorHAnsi" w:eastAsiaTheme="minorEastAsia" w:cstheme="minorBidi"/>
      <w:sz w:val="21"/>
      <w:szCs w:val="22"/>
    </w:rPr>
  </w:style>
  <w:style w:type="paragraph" w:styleId="35">
    <w:name w:val="Body Text Indent 3"/>
    <w:basedOn w:val="1"/>
    <w:link w:val="132"/>
    <w:qFormat/>
    <w:uiPriority w:val="0"/>
    <w:pPr>
      <w:spacing w:after="120" w:line="240" w:lineRule="auto"/>
      <w:ind w:left="420" w:leftChars="200" w:firstLine="0" w:firstLineChars="0"/>
    </w:pPr>
    <w:rPr>
      <w:sz w:val="16"/>
      <w:szCs w:val="16"/>
    </w:rPr>
  </w:style>
  <w:style w:type="paragraph" w:styleId="36">
    <w:name w:val="toc 2"/>
    <w:basedOn w:val="1"/>
    <w:next w:val="1"/>
    <w:qFormat/>
    <w:uiPriority w:val="39"/>
    <w:pPr>
      <w:ind w:left="420" w:leftChars="200"/>
    </w:pPr>
  </w:style>
  <w:style w:type="paragraph" w:styleId="37">
    <w:name w:val="toc 9"/>
    <w:basedOn w:val="1"/>
    <w:next w:val="1"/>
    <w:unhideWhenUsed/>
    <w:qFormat/>
    <w:uiPriority w:val="39"/>
    <w:pPr>
      <w:spacing w:line="240" w:lineRule="auto"/>
      <w:ind w:left="3360" w:leftChars="1600" w:firstLine="0" w:firstLineChars="0"/>
    </w:pPr>
    <w:rPr>
      <w:rFonts w:asciiTheme="minorHAnsi" w:hAnsiTheme="minorHAnsi" w:eastAsiaTheme="minorEastAsia" w:cstheme="minorBidi"/>
      <w:sz w:val="21"/>
      <w:szCs w:val="22"/>
    </w:rPr>
  </w:style>
  <w:style w:type="paragraph" w:styleId="38">
    <w:name w:val="Normal (Web)"/>
    <w:basedOn w:val="1"/>
    <w:qFormat/>
    <w:uiPriority w:val="0"/>
    <w:pPr>
      <w:spacing w:before="100" w:beforeAutospacing="1" w:after="100" w:afterAutospacing="1"/>
      <w:ind w:firstLine="0" w:firstLineChars="0"/>
      <w:jc w:val="left"/>
    </w:pPr>
    <w:rPr>
      <w:kern w:val="0"/>
      <w:szCs w:val="20"/>
    </w:rPr>
  </w:style>
  <w:style w:type="paragraph" w:styleId="39">
    <w:name w:val="Title"/>
    <w:basedOn w:val="1"/>
    <w:next w:val="1"/>
    <w:link w:val="66"/>
    <w:qFormat/>
    <w:uiPriority w:val="0"/>
    <w:pPr>
      <w:spacing w:before="240" w:after="60"/>
      <w:jc w:val="center"/>
      <w:outlineLvl w:val="0"/>
    </w:pPr>
    <w:rPr>
      <w:rFonts w:asciiTheme="majorHAnsi" w:hAnsiTheme="majorHAnsi" w:eastAsiaTheme="majorEastAsia" w:cstheme="majorBidi"/>
      <w:b/>
      <w:bCs/>
      <w:sz w:val="32"/>
      <w:szCs w:val="32"/>
    </w:rPr>
  </w:style>
  <w:style w:type="paragraph" w:styleId="40">
    <w:name w:val="annotation subject"/>
    <w:basedOn w:val="16"/>
    <w:next w:val="16"/>
    <w:link w:val="67"/>
    <w:unhideWhenUsed/>
    <w:qFormat/>
    <w:uiPriority w:val="99"/>
    <w:rPr>
      <w:b/>
      <w:bCs/>
    </w:rPr>
  </w:style>
  <w:style w:type="paragraph" w:styleId="41">
    <w:name w:val="Body Text First Indent"/>
    <w:basedOn w:val="18"/>
    <w:next w:val="42"/>
    <w:link w:val="68"/>
    <w:unhideWhenUsed/>
    <w:qFormat/>
    <w:uiPriority w:val="0"/>
    <w:pPr>
      <w:autoSpaceDE/>
      <w:autoSpaceDN/>
      <w:spacing w:after="120" w:line="360" w:lineRule="auto"/>
      <w:ind w:firstLine="420" w:firstLineChars="100"/>
      <w:jc w:val="both"/>
    </w:pPr>
    <w:rPr>
      <w:rFonts w:ascii="Times New Roman" w:hAnsi="Times New Roman" w:cs="Times New Roman"/>
      <w:kern w:val="2"/>
      <w:lang w:val="en-US" w:bidi="ar-SA"/>
    </w:rPr>
  </w:style>
  <w:style w:type="paragraph" w:styleId="42">
    <w:name w:val="Body Text First Indent 2"/>
    <w:basedOn w:val="20"/>
    <w:next w:val="1"/>
    <w:link w:val="69"/>
    <w:unhideWhenUsed/>
    <w:qFormat/>
    <w:uiPriority w:val="0"/>
    <w:pPr>
      <w:ind w:firstLine="420"/>
    </w:pPr>
  </w:style>
  <w:style w:type="table" w:styleId="44">
    <w:name w:val="Table Grid"/>
    <w:basedOn w:val="4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46">
    <w:name w:val="Strong"/>
    <w:basedOn w:val="45"/>
    <w:qFormat/>
    <w:uiPriority w:val="0"/>
    <w:rPr>
      <w:b/>
    </w:rPr>
  </w:style>
  <w:style w:type="character" w:styleId="47">
    <w:name w:val="page number"/>
    <w:basedOn w:val="45"/>
    <w:qFormat/>
    <w:uiPriority w:val="0"/>
  </w:style>
  <w:style w:type="character" w:styleId="48">
    <w:name w:val="Emphasis"/>
    <w:basedOn w:val="45"/>
    <w:qFormat/>
    <w:uiPriority w:val="0"/>
    <w:rPr>
      <w:i/>
    </w:rPr>
  </w:style>
  <w:style w:type="character" w:styleId="49">
    <w:name w:val="Hyperlink"/>
    <w:basedOn w:val="45"/>
    <w:unhideWhenUsed/>
    <w:qFormat/>
    <w:uiPriority w:val="99"/>
    <w:rPr>
      <w:color w:val="0000FF" w:themeColor="hyperlink"/>
      <w:u w:val="single"/>
      <w14:textFill>
        <w14:solidFill>
          <w14:schemeClr w14:val="hlink"/>
        </w14:solidFill>
      </w14:textFill>
    </w:rPr>
  </w:style>
  <w:style w:type="character" w:styleId="50">
    <w:name w:val="annotation reference"/>
    <w:basedOn w:val="45"/>
    <w:unhideWhenUsed/>
    <w:qFormat/>
    <w:uiPriority w:val="99"/>
    <w:rPr>
      <w:sz w:val="21"/>
      <w:szCs w:val="21"/>
    </w:rPr>
  </w:style>
  <w:style w:type="character" w:customStyle="1" w:styleId="51">
    <w:name w:val="标题 3 Char"/>
    <w:link w:val="4"/>
    <w:qFormat/>
    <w:uiPriority w:val="0"/>
    <w:rPr>
      <w:rFonts w:eastAsia="黑体"/>
      <w:kern w:val="2"/>
      <w:sz w:val="28"/>
      <w:szCs w:val="28"/>
    </w:rPr>
  </w:style>
  <w:style w:type="character" w:customStyle="1" w:styleId="52">
    <w:name w:val="标题 1 Char"/>
    <w:link w:val="3"/>
    <w:qFormat/>
    <w:uiPriority w:val="0"/>
    <w:rPr>
      <w:rFonts w:eastAsia="黑体"/>
      <w:kern w:val="44"/>
      <w:sz w:val="32"/>
      <w:szCs w:val="32"/>
    </w:rPr>
  </w:style>
  <w:style w:type="character" w:customStyle="1" w:styleId="53">
    <w:name w:val="标题 2 Char"/>
    <w:link w:val="5"/>
    <w:qFormat/>
    <w:uiPriority w:val="0"/>
    <w:rPr>
      <w:rFonts w:eastAsia="黑体"/>
      <w:kern w:val="2"/>
      <w:sz w:val="30"/>
      <w:szCs w:val="30"/>
    </w:rPr>
  </w:style>
  <w:style w:type="character" w:customStyle="1" w:styleId="54">
    <w:name w:val="标题 4 Char"/>
    <w:link w:val="6"/>
    <w:qFormat/>
    <w:uiPriority w:val="0"/>
    <w:rPr>
      <w:rFonts w:eastAsia="黑体"/>
      <w:kern w:val="2"/>
      <w:sz w:val="24"/>
      <w:szCs w:val="24"/>
    </w:rPr>
  </w:style>
  <w:style w:type="character" w:customStyle="1" w:styleId="55">
    <w:name w:val="标题 5 Char"/>
    <w:link w:val="7"/>
    <w:qFormat/>
    <w:uiPriority w:val="0"/>
    <w:rPr>
      <w:b/>
      <w:bCs/>
      <w:kern w:val="2"/>
      <w:sz w:val="24"/>
      <w:szCs w:val="21"/>
    </w:rPr>
  </w:style>
  <w:style w:type="character" w:customStyle="1" w:styleId="56">
    <w:name w:val="标题 6 Char"/>
    <w:link w:val="8"/>
    <w:qFormat/>
    <w:uiPriority w:val="0"/>
    <w:rPr>
      <w:b/>
      <w:kern w:val="2"/>
      <w:sz w:val="24"/>
      <w:szCs w:val="21"/>
    </w:rPr>
  </w:style>
  <w:style w:type="character" w:customStyle="1" w:styleId="57">
    <w:name w:val="标题 7 Char"/>
    <w:basedOn w:val="45"/>
    <w:link w:val="9"/>
    <w:qFormat/>
    <w:uiPriority w:val="0"/>
    <w:rPr>
      <w:rFonts w:ascii="Times New Roman" w:hAnsi="Times New Roman"/>
      <w:b/>
      <w:bCs/>
      <w:kern w:val="2"/>
      <w:sz w:val="21"/>
      <w:szCs w:val="24"/>
    </w:rPr>
  </w:style>
  <w:style w:type="character" w:customStyle="1" w:styleId="58">
    <w:name w:val="标题 8 Char"/>
    <w:basedOn w:val="45"/>
    <w:link w:val="10"/>
    <w:qFormat/>
    <w:uiPriority w:val="0"/>
    <w:rPr>
      <w:rFonts w:ascii="Arial" w:hAnsi="Arial" w:eastAsia="黑体"/>
      <w:kern w:val="2"/>
      <w:sz w:val="24"/>
      <w:szCs w:val="24"/>
    </w:rPr>
  </w:style>
  <w:style w:type="character" w:customStyle="1" w:styleId="59">
    <w:name w:val="标题 9 Char"/>
    <w:basedOn w:val="45"/>
    <w:link w:val="11"/>
    <w:qFormat/>
    <w:uiPriority w:val="0"/>
    <w:rPr>
      <w:rFonts w:ascii="Arial" w:hAnsi="Arial" w:eastAsia="黑体"/>
      <w:kern w:val="2"/>
      <w:sz w:val="24"/>
      <w:szCs w:val="21"/>
    </w:rPr>
  </w:style>
  <w:style w:type="character" w:customStyle="1" w:styleId="60">
    <w:name w:val="批注文字 Char"/>
    <w:basedOn w:val="45"/>
    <w:link w:val="16"/>
    <w:qFormat/>
    <w:uiPriority w:val="99"/>
    <w:rPr>
      <w:kern w:val="2"/>
      <w:sz w:val="24"/>
      <w:szCs w:val="24"/>
    </w:rPr>
  </w:style>
  <w:style w:type="character" w:customStyle="1" w:styleId="61">
    <w:name w:val="正文文本 Char"/>
    <w:basedOn w:val="45"/>
    <w:link w:val="18"/>
    <w:qFormat/>
    <w:uiPriority w:val="99"/>
    <w:rPr>
      <w:rFonts w:ascii="宋体" w:hAnsi="宋体" w:cs="宋体"/>
      <w:sz w:val="24"/>
      <w:szCs w:val="24"/>
      <w:lang w:val="zh-CN" w:bidi="zh-CN"/>
    </w:rPr>
  </w:style>
  <w:style w:type="character" w:customStyle="1" w:styleId="62">
    <w:name w:val="正文文本缩进 Char"/>
    <w:basedOn w:val="45"/>
    <w:link w:val="20"/>
    <w:qFormat/>
    <w:uiPriority w:val="99"/>
    <w:rPr>
      <w:kern w:val="2"/>
      <w:sz w:val="24"/>
      <w:szCs w:val="24"/>
    </w:rPr>
  </w:style>
  <w:style w:type="character" w:customStyle="1" w:styleId="63">
    <w:name w:val="批注框文本 Char"/>
    <w:basedOn w:val="45"/>
    <w:link w:val="28"/>
    <w:qFormat/>
    <w:uiPriority w:val="99"/>
    <w:rPr>
      <w:kern w:val="2"/>
      <w:sz w:val="18"/>
      <w:szCs w:val="18"/>
    </w:rPr>
  </w:style>
  <w:style w:type="character" w:customStyle="1" w:styleId="64">
    <w:name w:val="页脚 Char"/>
    <w:basedOn w:val="45"/>
    <w:link w:val="29"/>
    <w:qFormat/>
    <w:uiPriority w:val="99"/>
    <w:rPr>
      <w:rFonts w:ascii="宋体" w:hAnsi="宋体" w:cs="宋体"/>
      <w:sz w:val="18"/>
      <w:szCs w:val="18"/>
      <w:lang w:val="zh-CN" w:bidi="zh-CN"/>
    </w:rPr>
  </w:style>
  <w:style w:type="character" w:customStyle="1" w:styleId="65">
    <w:name w:val="页眉 Char"/>
    <w:basedOn w:val="45"/>
    <w:link w:val="30"/>
    <w:qFormat/>
    <w:uiPriority w:val="99"/>
    <w:rPr>
      <w:rFonts w:ascii="宋体" w:hAnsi="宋体" w:cs="宋体"/>
      <w:sz w:val="18"/>
      <w:szCs w:val="18"/>
      <w:lang w:val="zh-CN" w:bidi="zh-CN"/>
    </w:rPr>
  </w:style>
  <w:style w:type="character" w:customStyle="1" w:styleId="66">
    <w:name w:val="标题 Char"/>
    <w:basedOn w:val="45"/>
    <w:link w:val="39"/>
    <w:qFormat/>
    <w:uiPriority w:val="0"/>
    <w:rPr>
      <w:rFonts w:asciiTheme="majorHAnsi" w:hAnsiTheme="majorHAnsi" w:eastAsiaTheme="majorEastAsia" w:cstheme="majorBidi"/>
      <w:b/>
      <w:bCs/>
      <w:kern w:val="2"/>
      <w:sz w:val="32"/>
      <w:szCs w:val="32"/>
    </w:rPr>
  </w:style>
  <w:style w:type="character" w:customStyle="1" w:styleId="67">
    <w:name w:val="批注主题 Char"/>
    <w:basedOn w:val="60"/>
    <w:link w:val="40"/>
    <w:qFormat/>
    <w:uiPriority w:val="99"/>
    <w:rPr>
      <w:b/>
      <w:bCs/>
      <w:kern w:val="2"/>
      <w:sz w:val="24"/>
      <w:szCs w:val="24"/>
    </w:rPr>
  </w:style>
  <w:style w:type="character" w:customStyle="1" w:styleId="68">
    <w:name w:val="正文首行缩进 Char"/>
    <w:basedOn w:val="61"/>
    <w:link w:val="41"/>
    <w:qFormat/>
    <w:uiPriority w:val="99"/>
    <w:rPr>
      <w:rFonts w:ascii="宋体" w:hAnsi="宋体" w:cs="宋体"/>
      <w:kern w:val="2"/>
      <w:sz w:val="24"/>
      <w:szCs w:val="24"/>
      <w:lang w:val="zh-CN" w:bidi="zh-CN"/>
    </w:rPr>
  </w:style>
  <w:style w:type="character" w:customStyle="1" w:styleId="69">
    <w:name w:val="正文首行缩进 2 Char"/>
    <w:basedOn w:val="62"/>
    <w:link w:val="42"/>
    <w:qFormat/>
    <w:uiPriority w:val="99"/>
    <w:rPr>
      <w:kern w:val="2"/>
      <w:sz w:val="24"/>
      <w:szCs w:val="24"/>
    </w:rPr>
  </w:style>
  <w:style w:type="paragraph" w:customStyle="1" w:styleId="70">
    <w:name w:val="样式1"/>
    <w:basedOn w:val="1"/>
    <w:link w:val="71"/>
    <w:qFormat/>
    <w:uiPriority w:val="0"/>
    <w:pPr>
      <w:spacing w:line="240" w:lineRule="exact"/>
      <w:ind w:firstLine="0" w:firstLineChars="0"/>
      <w:jc w:val="center"/>
    </w:pPr>
    <w:rPr>
      <w:sz w:val="21"/>
      <w:szCs w:val="21"/>
    </w:rPr>
  </w:style>
  <w:style w:type="character" w:customStyle="1" w:styleId="71">
    <w:name w:val="样式1 字符"/>
    <w:basedOn w:val="45"/>
    <w:link w:val="70"/>
    <w:qFormat/>
    <w:uiPriority w:val="0"/>
    <w:rPr>
      <w:kern w:val="2"/>
      <w:sz w:val="21"/>
      <w:szCs w:val="21"/>
    </w:rPr>
  </w:style>
  <w:style w:type="table" w:customStyle="1" w:styleId="72">
    <w:name w:val="Table Normal"/>
    <w:unhideWhenUsed/>
    <w:qFormat/>
    <w:uiPriority w:val="0"/>
    <w:pPr>
      <w:widowControl w:val="0"/>
      <w:autoSpaceDE w:val="0"/>
      <w:autoSpaceDN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paragraph" w:customStyle="1" w:styleId="73">
    <w:name w:val="Table Paragraph"/>
    <w:basedOn w:val="1"/>
    <w:qFormat/>
    <w:uiPriority w:val="1"/>
    <w:pPr>
      <w:autoSpaceDE w:val="0"/>
      <w:autoSpaceDN w:val="0"/>
      <w:spacing w:line="240" w:lineRule="auto"/>
      <w:ind w:firstLine="0" w:firstLineChars="0"/>
      <w:jc w:val="center"/>
    </w:pPr>
    <w:rPr>
      <w:rFonts w:eastAsia="Times New Roman"/>
      <w:kern w:val="0"/>
      <w:sz w:val="22"/>
      <w:szCs w:val="22"/>
      <w:lang w:val="zh-CN" w:bidi="zh-CN"/>
    </w:rPr>
  </w:style>
  <w:style w:type="paragraph" w:customStyle="1" w:styleId="74">
    <w:name w:val="样式2"/>
    <w:basedOn w:val="1"/>
    <w:qFormat/>
    <w:uiPriority w:val="0"/>
    <w:pPr>
      <w:ind w:firstLine="480"/>
    </w:pPr>
  </w:style>
  <w:style w:type="paragraph" w:customStyle="1" w:styleId="75">
    <w:name w:val="列表段落1"/>
    <w:basedOn w:val="1"/>
    <w:link w:val="76"/>
    <w:qFormat/>
    <w:uiPriority w:val="99"/>
    <w:pPr>
      <w:autoSpaceDE w:val="0"/>
      <w:autoSpaceDN w:val="0"/>
      <w:spacing w:line="240" w:lineRule="auto"/>
      <w:ind w:left="1988" w:hanging="709" w:firstLineChars="0"/>
      <w:jc w:val="left"/>
    </w:pPr>
    <w:rPr>
      <w:rFonts w:ascii="宋体" w:hAnsi="宋体" w:cs="宋体"/>
      <w:kern w:val="0"/>
      <w:sz w:val="22"/>
      <w:szCs w:val="22"/>
      <w:lang w:val="zh-CN" w:bidi="zh-CN"/>
    </w:rPr>
  </w:style>
  <w:style w:type="character" w:customStyle="1" w:styleId="76">
    <w:name w:val="列表段落 字符"/>
    <w:link w:val="75"/>
    <w:qFormat/>
    <w:uiPriority w:val="99"/>
    <w:rPr>
      <w:rFonts w:ascii="宋体" w:hAnsi="宋体" w:cs="宋体"/>
      <w:sz w:val="22"/>
      <w:szCs w:val="22"/>
      <w:lang w:val="zh-CN" w:bidi="zh-CN"/>
    </w:rPr>
  </w:style>
  <w:style w:type="character" w:customStyle="1" w:styleId="77">
    <w:name w:val="fontstyle01"/>
    <w:basedOn w:val="45"/>
    <w:qFormat/>
    <w:uiPriority w:val="0"/>
    <w:rPr>
      <w:rFonts w:hint="default" w:ascii="CIDFont+F1" w:hAnsi="CIDFont+F1"/>
      <w:color w:val="000000"/>
      <w:sz w:val="24"/>
      <w:szCs w:val="24"/>
    </w:rPr>
  </w:style>
  <w:style w:type="character" w:customStyle="1" w:styleId="78">
    <w:name w:val="fontstyle11"/>
    <w:basedOn w:val="45"/>
    <w:qFormat/>
    <w:uiPriority w:val="0"/>
    <w:rPr>
      <w:rFonts w:hint="default" w:ascii="CIDFont+F2" w:hAnsi="CIDFont+F2"/>
      <w:color w:val="000000"/>
      <w:sz w:val="24"/>
      <w:szCs w:val="24"/>
    </w:rPr>
  </w:style>
  <w:style w:type="character" w:customStyle="1" w:styleId="79">
    <w:name w:val="表格文字 Char"/>
    <w:link w:val="80"/>
    <w:qFormat/>
    <w:uiPriority w:val="0"/>
    <w:rPr>
      <w:kern w:val="2"/>
      <w:sz w:val="24"/>
      <w:szCs w:val="24"/>
    </w:rPr>
  </w:style>
  <w:style w:type="paragraph" w:customStyle="1" w:styleId="80">
    <w:name w:val="表格文字"/>
    <w:basedOn w:val="1"/>
    <w:link w:val="79"/>
    <w:qFormat/>
    <w:uiPriority w:val="0"/>
    <w:pPr>
      <w:adjustRightInd w:val="0"/>
      <w:snapToGrid w:val="0"/>
      <w:spacing w:line="240" w:lineRule="auto"/>
      <w:ind w:firstLine="0" w:firstLineChars="0"/>
      <w:jc w:val="center"/>
    </w:pPr>
  </w:style>
  <w:style w:type="paragraph" w:customStyle="1" w:styleId="81">
    <w:name w:val="表号、图号"/>
    <w:basedOn w:val="1"/>
    <w:link w:val="82"/>
    <w:qFormat/>
    <w:uiPriority w:val="0"/>
    <w:pPr>
      <w:tabs>
        <w:tab w:val="left" w:pos="567"/>
      </w:tabs>
      <w:spacing w:line="240" w:lineRule="auto"/>
      <w:ind w:firstLine="0" w:firstLineChars="0"/>
      <w:jc w:val="center"/>
    </w:pPr>
    <w:rPr>
      <w:b/>
      <w:lang w:val="zh-CN"/>
    </w:rPr>
  </w:style>
  <w:style w:type="character" w:customStyle="1" w:styleId="82">
    <w:name w:val="表号、图号 Char"/>
    <w:link w:val="81"/>
    <w:qFormat/>
    <w:uiPriority w:val="0"/>
    <w:rPr>
      <w:b/>
      <w:kern w:val="2"/>
      <w:sz w:val="24"/>
      <w:szCs w:val="24"/>
      <w:lang w:val="zh-CN" w:eastAsia="zh-CN"/>
    </w:rPr>
  </w:style>
  <w:style w:type="paragraph" w:customStyle="1" w:styleId="83">
    <w:name w:val="图片名"/>
    <w:basedOn w:val="1"/>
    <w:qFormat/>
    <w:uiPriority w:val="0"/>
    <w:pPr>
      <w:tabs>
        <w:tab w:val="left" w:pos="1134"/>
        <w:tab w:val="left" w:pos="4740"/>
      </w:tabs>
      <w:adjustRightInd w:val="0"/>
      <w:snapToGrid w:val="0"/>
      <w:ind w:left="1134" w:hanging="1134" w:firstLineChars="0"/>
      <w:jc w:val="center"/>
    </w:pPr>
    <w:rPr>
      <w:b/>
      <w:lang w:val="zh-CN"/>
    </w:rPr>
  </w:style>
  <w:style w:type="paragraph" w:customStyle="1" w:styleId="84">
    <w:name w:val="表格内容"/>
    <w:basedOn w:val="1"/>
    <w:link w:val="85"/>
    <w:qFormat/>
    <w:uiPriority w:val="0"/>
    <w:pPr>
      <w:adjustRightInd w:val="0"/>
      <w:snapToGrid w:val="0"/>
      <w:spacing w:line="240" w:lineRule="auto"/>
      <w:ind w:firstLine="0" w:firstLineChars="0"/>
      <w:jc w:val="left"/>
    </w:pPr>
    <w:rPr>
      <w:rFonts w:hAnsi="宋体"/>
      <w:snapToGrid w:val="0"/>
      <w:kern w:val="0"/>
      <w:sz w:val="21"/>
      <w:szCs w:val="21"/>
    </w:rPr>
  </w:style>
  <w:style w:type="character" w:customStyle="1" w:styleId="85">
    <w:name w:val="表格内容 Char"/>
    <w:link w:val="84"/>
    <w:qFormat/>
    <w:uiPriority w:val="0"/>
    <w:rPr>
      <w:rFonts w:hAnsi="宋体"/>
      <w:snapToGrid w:val="0"/>
      <w:sz w:val="21"/>
      <w:szCs w:val="21"/>
    </w:rPr>
  </w:style>
  <w:style w:type="paragraph" w:customStyle="1" w:styleId="86">
    <w:name w:val="正文nlw"/>
    <w:basedOn w:val="1"/>
    <w:link w:val="87"/>
    <w:qFormat/>
    <w:uiPriority w:val="99"/>
    <w:pPr>
      <w:adjustRightInd w:val="0"/>
      <w:spacing w:line="240" w:lineRule="auto"/>
      <w:textAlignment w:val="baseline"/>
    </w:pPr>
    <w:rPr>
      <w:kern w:val="0"/>
    </w:rPr>
  </w:style>
  <w:style w:type="character" w:customStyle="1" w:styleId="87">
    <w:name w:val="正文nlw Char"/>
    <w:link w:val="86"/>
    <w:qFormat/>
    <w:uiPriority w:val="99"/>
    <w:rPr>
      <w:sz w:val="24"/>
      <w:szCs w:val="24"/>
    </w:rPr>
  </w:style>
  <w:style w:type="paragraph" w:customStyle="1" w:styleId="88">
    <w:name w:val="表格名称"/>
    <w:basedOn w:val="39"/>
    <w:qFormat/>
    <w:uiPriority w:val="0"/>
    <w:pPr>
      <w:spacing w:before="0" w:after="0" w:line="240" w:lineRule="auto"/>
      <w:ind w:firstLine="0" w:firstLineChars="0"/>
      <w:outlineLvl w:val="9"/>
    </w:pPr>
    <w:rPr>
      <w:rFonts w:ascii="Times New Roman" w:hAnsi="Times New Roman" w:eastAsia="宋体" w:cs="Arial"/>
      <w:bCs w:val="0"/>
      <w:sz w:val="24"/>
    </w:rPr>
  </w:style>
  <w:style w:type="paragraph" w:customStyle="1" w:styleId="89">
    <w:name w:val="图表"/>
    <w:basedOn w:val="88"/>
    <w:link w:val="90"/>
    <w:qFormat/>
    <w:uiPriority w:val="0"/>
  </w:style>
  <w:style w:type="character" w:customStyle="1" w:styleId="90">
    <w:name w:val="图表 Char"/>
    <w:link w:val="89"/>
    <w:qFormat/>
    <w:uiPriority w:val="0"/>
    <w:rPr>
      <w:rFonts w:cs="Arial"/>
      <w:b/>
      <w:kern w:val="2"/>
      <w:sz w:val="24"/>
      <w:szCs w:val="32"/>
    </w:rPr>
  </w:style>
  <w:style w:type="paragraph" w:customStyle="1" w:styleId="91">
    <w:name w:val="表格nlw"/>
    <w:basedOn w:val="1"/>
    <w:link w:val="92"/>
    <w:qFormat/>
    <w:uiPriority w:val="0"/>
    <w:pPr>
      <w:widowControl/>
      <w:spacing w:line="300" w:lineRule="exact"/>
      <w:ind w:firstLine="0" w:firstLineChars="0"/>
      <w:jc w:val="center"/>
    </w:pPr>
    <w:rPr>
      <w:kern w:val="0"/>
      <w:sz w:val="21"/>
      <w:szCs w:val="22"/>
    </w:rPr>
  </w:style>
  <w:style w:type="character" w:customStyle="1" w:styleId="92">
    <w:name w:val="表格nlw Char"/>
    <w:link w:val="91"/>
    <w:qFormat/>
    <w:uiPriority w:val="0"/>
    <w:rPr>
      <w:sz w:val="21"/>
      <w:szCs w:val="22"/>
    </w:rPr>
  </w:style>
  <w:style w:type="paragraph" w:customStyle="1" w:styleId="93">
    <w:name w:val="样式nlw"/>
    <w:basedOn w:val="1"/>
    <w:link w:val="94"/>
    <w:qFormat/>
    <w:uiPriority w:val="0"/>
    <w:pPr>
      <w:spacing w:line="240" w:lineRule="auto"/>
    </w:pPr>
    <w:rPr>
      <w:lang w:val="zh-CN"/>
    </w:rPr>
  </w:style>
  <w:style w:type="character" w:customStyle="1" w:styleId="94">
    <w:name w:val="样式nlw 字符"/>
    <w:link w:val="93"/>
    <w:qFormat/>
    <w:uiPriority w:val="0"/>
    <w:rPr>
      <w:kern w:val="2"/>
      <w:sz w:val="24"/>
      <w:szCs w:val="24"/>
      <w:lang w:val="zh-CN"/>
    </w:rPr>
  </w:style>
  <w:style w:type="character" w:customStyle="1" w:styleId="95">
    <w:name w:val="标准正文 Char"/>
    <w:link w:val="96"/>
    <w:qFormat/>
    <w:uiPriority w:val="0"/>
    <w:rPr>
      <w:rFonts w:ascii="宋体" w:hAnsi="宋体"/>
      <w:sz w:val="24"/>
      <w:szCs w:val="24"/>
      <w:lang w:val="zh-CN" w:eastAsia="zh-CN"/>
    </w:rPr>
  </w:style>
  <w:style w:type="paragraph" w:customStyle="1" w:styleId="96">
    <w:name w:val="标准正文"/>
    <w:basedOn w:val="1"/>
    <w:link w:val="95"/>
    <w:qFormat/>
    <w:uiPriority w:val="0"/>
    <w:pPr>
      <w:widowControl/>
      <w:ind w:firstLine="480"/>
      <w:jc w:val="left"/>
    </w:pPr>
    <w:rPr>
      <w:rFonts w:ascii="宋体" w:hAnsi="宋体"/>
      <w:kern w:val="0"/>
      <w:lang w:val="zh-CN"/>
    </w:rPr>
  </w:style>
  <w:style w:type="character" w:customStyle="1" w:styleId="97">
    <w:name w:val="5号表格 Char"/>
    <w:link w:val="98"/>
    <w:qFormat/>
    <w:uiPriority w:val="0"/>
    <w:rPr>
      <w:kern w:val="2"/>
      <w:sz w:val="24"/>
      <w:szCs w:val="22"/>
    </w:rPr>
  </w:style>
  <w:style w:type="paragraph" w:customStyle="1" w:styleId="98">
    <w:name w:val="五号表格"/>
    <w:basedOn w:val="99"/>
    <w:link w:val="97"/>
    <w:qFormat/>
    <w:uiPriority w:val="0"/>
    <w:pPr>
      <w:ind w:firstLine="0" w:firstLineChars="0"/>
      <w:jc w:val="center"/>
    </w:pPr>
    <w:rPr>
      <w:szCs w:val="22"/>
    </w:rPr>
  </w:style>
  <w:style w:type="paragraph" w:customStyle="1" w:styleId="99">
    <w:name w:val="无间隔1"/>
    <w:qFormat/>
    <w:uiPriority w:val="0"/>
    <w:pPr>
      <w:widowControl w:val="0"/>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100">
    <w:name w:val="未处理的提及1"/>
    <w:basedOn w:val="45"/>
    <w:unhideWhenUsed/>
    <w:qFormat/>
    <w:uiPriority w:val="99"/>
    <w:rPr>
      <w:color w:val="605E5C"/>
      <w:shd w:val="clear" w:color="auto" w:fill="E1DFDD"/>
    </w:rPr>
  </w:style>
  <w:style w:type="paragraph" w:customStyle="1" w:styleId="101">
    <w:name w:val="标1"/>
    <w:basedOn w:val="3"/>
    <w:link w:val="102"/>
    <w:qFormat/>
    <w:uiPriority w:val="0"/>
    <w:pPr>
      <w:keepLines w:val="0"/>
      <w:numPr>
        <w:numId w:val="0"/>
      </w:numPr>
      <w:tabs>
        <w:tab w:val="left" w:pos="0"/>
      </w:tabs>
      <w:spacing w:line="480" w:lineRule="auto"/>
      <w:ind w:left="432" w:hanging="432"/>
      <w:jc w:val="center"/>
    </w:pPr>
    <w:rPr>
      <w:b/>
      <w:color w:val="000000"/>
      <w:kern w:val="2"/>
    </w:rPr>
  </w:style>
  <w:style w:type="character" w:customStyle="1" w:styleId="102">
    <w:name w:val="标1 字符"/>
    <w:link w:val="101"/>
    <w:qFormat/>
    <w:uiPriority w:val="0"/>
    <w:rPr>
      <w:rFonts w:eastAsia="黑体"/>
      <w:b/>
      <w:color w:val="000000"/>
      <w:kern w:val="2"/>
      <w:sz w:val="32"/>
      <w:szCs w:val="32"/>
    </w:rPr>
  </w:style>
  <w:style w:type="paragraph" w:customStyle="1" w:styleId="103">
    <w:name w:val="标1.1"/>
    <w:basedOn w:val="5"/>
    <w:qFormat/>
    <w:uiPriority w:val="0"/>
    <w:pPr>
      <w:numPr>
        <w:ilvl w:val="0"/>
        <w:numId w:val="0"/>
      </w:numPr>
    </w:pPr>
    <w:rPr>
      <w:b/>
      <w:bCs/>
    </w:rPr>
  </w:style>
  <w:style w:type="paragraph" w:customStyle="1" w:styleId="104">
    <w:name w:val="标1.1.1"/>
    <w:basedOn w:val="1"/>
    <w:qFormat/>
    <w:uiPriority w:val="0"/>
    <w:pPr>
      <w:keepNext/>
      <w:keepLines/>
      <w:tabs>
        <w:tab w:val="left" w:pos="0"/>
        <w:tab w:val="left" w:pos="3570"/>
      </w:tabs>
      <w:spacing w:line="240" w:lineRule="auto"/>
      <w:ind w:firstLine="0" w:firstLineChars="0"/>
      <w:jc w:val="left"/>
      <w:outlineLvl w:val="2"/>
    </w:pPr>
    <w:rPr>
      <w:b/>
      <w:color w:val="000000"/>
      <w:sz w:val="28"/>
      <w:szCs w:val="28"/>
    </w:rPr>
  </w:style>
  <w:style w:type="paragraph" w:customStyle="1" w:styleId="105">
    <w:name w:val="标1.1.1.1"/>
    <w:basedOn w:val="6"/>
    <w:qFormat/>
    <w:uiPriority w:val="0"/>
    <w:pPr>
      <w:numPr>
        <w:ilvl w:val="0"/>
        <w:numId w:val="0"/>
      </w:numPr>
      <w:snapToGrid w:val="0"/>
      <w:spacing w:before="20" w:beforeLines="20" w:after="20" w:afterLines="20" w:line="240" w:lineRule="auto"/>
    </w:pPr>
    <w:rPr>
      <w:rFonts w:eastAsia="宋体"/>
      <w:b/>
    </w:rPr>
  </w:style>
  <w:style w:type="paragraph" w:customStyle="1" w:styleId="106">
    <w:name w:val="标1.1.1.1.1"/>
    <w:basedOn w:val="7"/>
    <w:qFormat/>
    <w:uiPriority w:val="0"/>
    <w:pPr>
      <w:numPr>
        <w:ilvl w:val="0"/>
        <w:numId w:val="0"/>
      </w:numPr>
      <w:tabs>
        <w:tab w:val="clear" w:pos="420"/>
      </w:tabs>
      <w:snapToGrid w:val="0"/>
      <w:jc w:val="both"/>
    </w:pPr>
    <w:rPr>
      <w:b w:val="0"/>
      <w:bCs w:val="0"/>
      <w:szCs w:val="24"/>
    </w:rPr>
  </w:style>
  <w:style w:type="paragraph" w:customStyle="1" w:styleId="107">
    <w:name w:val="表1.1-1"/>
    <w:basedOn w:val="8"/>
    <w:link w:val="108"/>
    <w:qFormat/>
    <w:uiPriority w:val="0"/>
    <w:pPr>
      <w:keepNext/>
      <w:numPr>
        <w:ilvl w:val="0"/>
        <w:numId w:val="0"/>
      </w:numPr>
      <w:tabs>
        <w:tab w:val="clear" w:pos="420"/>
      </w:tabs>
      <w:snapToGrid w:val="0"/>
    </w:pPr>
    <w:rPr>
      <w:szCs w:val="24"/>
    </w:rPr>
  </w:style>
  <w:style w:type="character" w:customStyle="1" w:styleId="108">
    <w:name w:val="表1.1-1 字符"/>
    <w:link w:val="107"/>
    <w:qFormat/>
    <w:uiPriority w:val="0"/>
    <w:rPr>
      <w:b/>
      <w:kern w:val="2"/>
      <w:sz w:val="24"/>
      <w:szCs w:val="24"/>
    </w:rPr>
  </w:style>
  <w:style w:type="paragraph" w:customStyle="1" w:styleId="109">
    <w:name w:val="图1.1-1"/>
    <w:basedOn w:val="9"/>
    <w:qFormat/>
    <w:uiPriority w:val="0"/>
    <w:pPr>
      <w:tabs>
        <w:tab w:val="clear" w:pos="1276"/>
      </w:tabs>
      <w:snapToGrid w:val="0"/>
      <w:spacing w:line="240" w:lineRule="auto"/>
      <w:ind w:firstLineChars="0"/>
    </w:pPr>
    <w:rPr>
      <w:bCs w:val="0"/>
      <w:sz w:val="24"/>
    </w:rPr>
  </w:style>
  <w:style w:type="paragraph" w:customStyle="1" w:styleId="110">
    <w:name w:val="注："/>
    <w:next w:val="1"/>
    <w:qFormat/>
    <w:uiPriority w:val="0"/>
    <w:pPr>
      <w:widowControl w:val="0"/>
      <w:autoSpaceDE w:val="0"/>
      <w:autoSpaceDN w:val="0"/>
      <w:jc w:val="both"/>
    </w:pPr>
    <w:rPr>
      <w:rFonts w:ascii="宋体" w:hAnsi="Times New Roman" w:eastAsia="宋体" w:cs="宋体"/>
      <w:sz w:val="18"/>
      <w:szCs w:val="18"/>
      <w:lang w:val="en-US" w:eastAsia="zh-CN" w:bidi="ar-SA"/>
    </w:rPr>
  </w:style>
  <w:style w:type="paragraph" w:customStyle="1" w:styleId="111">
    <w:name w:val="Default"/>
    <w:unhideWhenUsed/>
    <w:qFormat/>
    <w:uiPriority w:val="0"/>
    <w:pPr>
      <w:widowControl w:val="0"/>
      <w:autoSpaceDE w:val="0"/>
      <w:autoSpaceDN w:val="0"/>
      <w:adjustRightInd w:val="0"/>
    </w:pPr>
    <w:rPr>
      <w:rFonts w:ascii="宋体" w:hAnsi="宋体" w:eastAsia="宋体" w:cs="Times New Roman"/>
      <w:color w:val="000000"/>
      <w:sz w:val="24"/>
      <w:lang w:val="en-US" w:eastAsia="zh-CN" w:bidi="ar-SA"/>
    </w:rPr>
  </w:style>
  <w:style w:type="character" w:customStyle="1" w:styleId="112">
    <w:name w:val="font51"/>
    <w:basedOn w:val="45"/>
    <w:qFormat/>
    <w:uiPriority w:val="0"/>
    <w:rPr>
      <w:rFonts w:hint="eastAsia" w:ascii="宋体" w:hAnsi="宋体" w:eastAsia="宋体" w:cs="宋体"/>
      <w:color w:val="000000"/>
      <w:sz w:val="21"/>
      <w:szCs w:val="21"/>
      <w:u w:val="none"/>
    </w:rPr>
  </w:style>
  <w:style w:type="character" w:customStyle="1" w:styleId="113">
    <w:name w:val="font41"/>
    <w:basedOn w:val="45"/>
    <w:qFormat/>
    <w:uiPriority w:val="0"/>
    <w:rPr>
      <w:rFonts w:hint="default" w:ascii="Times New Roman" w:hAnsi="Times New Roman" w:cs="Times New Roman"/>
      <w:color w:val="000000"/>
      <w:sz w:val="21"/>
      <w:szCs w:val="21"/>
      <w:u w:val="none"/>
    </w:rPr>
  </w:style>
  <w:style w:type="character" w:customStyle="1" w:styleId="114">
    <w:name w:val="font01"/>
    <w:basedOn w:val="45"/>
    <w:qFormat/>
    <w:uiPriority w:val="0"/>
    <w:rPr>
      <w:rFonts w:hint="default" w:ascii="Times New Roman" w:hAnsi="Times New Roman" w:cs="Times New Roman"/>
      <w:color w:val="000000"/>
      <w:sz w:val="21"/>
      <w:szCs w:val="21"/>
      <w:u w:val="none"/>
      <w:vertAlign w:val="superscript"/>
    </w:rPr>
  </w:style>
  <w:style w:type="paragraph" w:customStyle="1" w:styleId="115">
    <w:name w:val="a4New级"/>
    <w:basedOn w:val="1"/>
    <w:qFormat/>
    <w:uiPriority w:val="0"/>
    <w:pPr>
      <w:adjustRightInd w:val="0"/>
      <w:snapToGrid w:val="0"/>
      <w:jc w:val="left"/>
      <w:outlineLvl w:val="3"/>
    </w:pPr>
    <w:rPr>
      <w:b/>
      <w:szCs w:val="28"/>
    </w:rPr>
  </w:style>
  <w:style w:type="paragraph" w:customStyle="1" w:styleId="116">
    <w:name w:val="修订1"/>
    <w:hidden/>
    <w:semiHidden/>
    <w:qFormat/>
    <w:uiPriority w:val="99"/>
    <w:rPr>
      <w:rFonts w:ascii="Times New Roman" w:hAnsi="Times New Roman" w:eastAsia="宋体" w:cs="Times New Roman"/>
      <w:kern w:val="2"/>
      <w:sz w:val="24"/>
      <w:szCs w:val="24"/>
      <w:lang w:val="en-US" w:eastAsia="zh-CN" w:bidi="ar-SA"/>
    </w:rPr>
  </w:style>
  <w:style w:type="paragraph" w:customStyle="1" w:styleId="117">
    <w:name w:val="修订2"/>
    <w:hidden/>
    <w:semiHidden/>
    <w:qFormat/>
    <w:uiPriority w:val="99"/>
    <w:rPr>
      <w:rFonts w:ascii="Times New Roman" w:hAnsi="Times New Roman" w:eastAsia="宋体" w:cs="Times New Roman"/>
      <w:kern w:val="2"/>
      <w:sz w:val="24"/>
      <w:szCs w:val="24"/>
      <w:lang w:val="en-US" w:eastAsia="zh-CN" w:bidi="ar-SA"/>
    </w:rPr>
  </w:style>
  <w:style w:type="table" w:customStyle="1" w:styleId="118">
    <w:name w:val="Table Normal1"/>
    <w:unhideWhenUsed/>
    <w:qFormat/>
    <w:uiPriority w:val="0"/>
    <w:tblPr>
      <w:tblCellMar>
        <w:top w:w="0" w:type="dxa"/>
        <w:left w:w="0" w:type="dxa"/>
        <w:bottom w:w="0" w:type="dxa"/>
        <w:right w:w="0" w:type="dxa"/>
      </w:tblCellMar>
    </w:tblPr>
  </w:style>
  <w:style w:type="table" w:customStyle="1" w:styleId="119">
    <w:name w:val="Table Normal2"/>
    <w:unhideWhenUsed/>
    <w:qFormat/>
    <w:uiPriority w:val="0"/>
    <w:tblPr>
      <w:tblCellMar>
        <w:top w:w="0" w:type="dxa"/>
        <w:left w:w="0" w:type="dxa"/>
        <w:bottom w:w="0" w:type="dxa"/>
        <w:right w:w="0" w:type="dxa"/>
      </w:tblCellMar>
    </w:tblPr>
  </w:style>
  <w:style w:type="paragraph" w:styleId="120">
    <w:name w:val="List Paragraph"/>
    <w:basedOn w:val="1"/>
    <w:unhideWhenUsed/>
    <w:qFormat/>
    <w:uiPriority w:val="0"/>
    <w:pPr>
      <w:ind w:firstLine="420"/>
    </w:pPr>
  </w:style>
  <w:style w:type="paragraph" w:customStyle="1" w:styleId="121">
    <w:name w:val="05表格"/>
    <w:basedOn w:val="1"/>
    <w:qFormat/>
    <w:uiPriority w:val="0"/>
    <w:pPr>
      <w:widowControl/>
      <w:spacing w:before="100" w:beforeAutospacing="1" w:after="100" w:afterAutospacing="1" w:line="360" w:lineRule="exact"/>
      <w:ind w:left="-10" w:leftChars="-10" w:right="-10" w:rightChars="-10" w:firstLine="0" w:firstLineChars="0"/>
      <w:contextualSpacing/>
      <w:jc w:val="center"/>
      <w:textAlignment w:val="center"/>
    </w:pPr>
    <w:rPr>
      <w:rFonts w:ascii="Calibri" w:hAnsi="Calibri"/>
      <w:color w:val="000000"/>
      <w:kern w:val="0"/>
      <w:szCs w:val="20"/>
    </w:rPr>
  </w:style>
  <w:style w:type="paragraph" w:customStyle="1" w:styleId="122">
    <w:name w:val="环评表格"/>
    <w:basedOn w:val="1"/>
    <w:qFormat/>
    <w:uiPriority w:val="0"/>
    <w:pPr>
      <w:widowControl/>
      <w:topLinePunct/>
      <w:spacing w:line="240" w:lineRule="auto"/>
      <w:ind w:firstLine="0" w:firstLineChars="0"/>
      <w:contextualSpacing/>
      <w:jc w:val="center"/>
      <w:textAlignment w:val="center"/>
    </w:pPr>
    <w:rPr>
      <w:color w:val="000000"/>
      <w:kern w:val="0"/>
      <w:sz w:val="21"/>
      <w:szCs w:val="21"/>
    </w:rPr>
  </w:style>
  <w:style w:type="paragraph" w:customStyle="1" w:styleId="123">
    <w:name w:val="表文"/>
    <w:basedOn w:val="1"/>
    <w:qFormat/>
    <w:uiPriority w:val="0"/>
    <w:pPr>
      <w:spacing w:line="240" w:lineRule="auto"/>
      <w:ind w:firstLine="0" w:firstLineChars="0"/>
      <w:jc w:val="center"/>
    </w:pPr>
    <w:rPr>
      <w:b/>
      <w:color w:val="000000"/>
      <w:sz w:val="21"/>
      <w:szCs w:val="21"/>
    </w:rPr>
  </w:style>
  <w:style w:type="table" w:customStyle="1" w:styleId="124">
    <w:name w:val="Table Normal3"/>
    <w:unhideWhenUsed/>
    <w:qFormat/>
    <w:uiPriority w:val="0"/>
    <w:tblPr>
      <w:tblCellMar>
        <w:top w:w="0" w:type="dxa"/>
        <w:left w:w="0" w:type="dxa"/>
        <w:bottom w:w="0" w:type="dxa"/>
        <w:right w:w="0" w:type="dxa"/>
      </w:tblCellMar>
    </w:tblPr>
  </w:style>
  <w:style w:type="table" w:customStyle="1" w:styleId="125">
    <w:name w:val="Table Normal4"/>
    <w:unhideWhenUsed/>
    <w:qFormat/>
    <w:uiPriority w:val="0"/>
    <w:tblPr>
      <w:tblCellMar>
        <w:top w:w="0" w:type="dxa"/>
        <w:left w:w="0" w:type="dxa"/>
        <w:bottom w:w="0" w:type="dxa"/>
        <w:right w:w="0" w:type="dxa"/>
      </w:tblCellMar>
    </w:tblPr>
  </w:style>
  <w:style w:type="table" w:customStyle="1" w:styleId="126">
    <w:name w:val="Table Normal5"/>
    <w:unhideWhenUsed/>
    <w:qFormat/>
    <w:uiPriority w:val="0"/>
    <w:tblPr>
      <w:tblCellMar>
        <w:top w:w="0" w:type="dxa"/>
        <w:left w:w="0" w:type="dxa"/>
        <w:bottom w:w="0" w:type="dxa"/>
        <w:right w:w="0" w:type="dxa"/>
      </w:tblCellMar>
    </w:tblPr>
  </w:style>
  <w:style w:type="table" w:customStyle="1" w:styleId="127">
    <w:name w:val="Table Normal6"/>
    <w:unhideWhenUsed/>
    <w:qFormat/>
    <w:uiPriority w:val="0"/>
    <w:tblPr>
      <w:tblCellMar>
        <w:top w:w="0" w:type="dxa"/>
        <w:left w:w="0" w:type="dxa"/>
        <w:bottom w:w="0" w:type="dxa"/>
        <w:right w:w="0" w:type="dxa"/>
      </w:tblCellMar>
    </w:tblPr>
  </w:style>
  <w:style w:type="paragraph" w:customStyle="1" w:styleId="128">
    <w:name w:val="正文2"/>
    <w:qFormat/>
    <w:uiPriority w:val="0"/>
    <w:pPr>
      <w:jc w:val="both"/>
    </w:pPr>
    <w:rPr>
      <w:rFonts w:ascii="Calibri" w:hAnsi="Calibri" w:eastAsia="宋体" w:cs="Calibri"/>
      <w:kern w:val="2"/>
      <w:sz w:val="21"/>
      <w:szCs w:val="21"/>
      <w:lang w:val="en-US" w:eastAsia="zh-CN" w:bidi="ar-SA"/>
    </w:rPr>
  </w:style>
  <w:style w:type="table" w:customStyle="1" w:styleId="129">
    <w:name w:val="Table Normal7"/>
    <w:unhideWhenUsed/>
    <w:qFormat/>
    <w:uiPriority w:val="0"/>
    <w:tblPr>
      <w:tblCellMar>
        <w:top w:w="0" w:type="dxa"/>
        <w:left w:w="0" w:type="dxa"/>
        <w:bottom w:w="0" w:type="dxa"/>
        <w:right w:w="0" w:type="dxa"/>
      </w:tblCellMar>
    </w:tblPr>
  </w:style>
  <w:style w:type="character" w:customStyle="1" w:styleId="130">
    <w:name w:val="正文缩进 Char"/>
    <w:basedOn w:val="45"/>
    <w:link w:val="13"/>
    <w:qFormat/>
    <w:uiPriority w:val="0"/>
    <w:rPr>
      <w:kern w:val="2"/>
      <w:sz w:val="21"/>
      <w:szCs w:val="24"/>
    </w:rPr>
  </w:style>
  <w:style w:type="character" w:customStyle="1" w:styleId="131">
    <w:name w:val="文档结构图 Char"/>
    <w:basedOn w:val="45"/>
    <w:link w:val="15"/>
    <w:qFormat/>
    <w:uiPriority w:val="0"/>
    <w:rPr>
      <w:kern w:val="2"/>
      <w:sz w:val="21"/>
      <w:szCs w:val="24"/>
      <w:shd w:val="clear" w:color="auto" w:fill="000080"/>
    </w:rPr>
  </w:style>
  <w:style w:type="character" w:customStyle="1" w:styleId="132">
    <w:name w:val="正文文本缩进 3 Char"/>
    <w:basedOn w:val="45"/>
    <w:link w:val="35"/>
    <w:qFormat/>
    <w:uiPriority w:val="0"/>
    <w:rPr>
      <w:kern w:val="2"/>
      <w:sz w:val="16"/>
      <w:szCs w:val="16"/>
    </w:rPr>
  </w:style>
  <w:style w:type="paragraph" w:customStyle="1" w:styleId="133">
    <w:name w:val="Char Char Char2 Char"/>
    <w:basedOn w:val="1"/>
    <w:qFormat/>
    <w:uiPriority w:val="0"/>
    <w:pPr>
      <w:tabs>
        <w:tab w:val="left" w:pos="360"/>
      </w:tabs>
      <w:spacing w:line="480" w:lineRule="auto"/>
      <w:ind w:left="357" w:hanging="357" w:firstLineChars="0"/>
      <w:jc w:val="center"/>
    </w:pPr>
    <w:rPr>
      <w:b/>
      <w:sz w:val="36"/>
      <w:szCs w:val="36"/>
    </w:rPr>
  </w:style>
  <w:style w:type="paragraph" w:customStyle="1" w:styleId="134">
    <w:name w:val="Char3"/>
    <w:basedOn w:val="1"/>
    <w:qFormat/>
    <w:uiPriority w:val="0"/>
    <w:rPr>
      <w:rFonts w:ascii="宋体" w:hAnsi="宋体" w:cs="宋体"/>
    </w:rPr>
  </w:style>
  <w:style w:type="paragraph" w:customStyle="1" w:styleId="135">
    <w:name w:val="CM180"/>
    <w:basedOn w:val="1"/>
    <w:next w:val="1"/>
    <w:qFormat/>
    <w:uiPriority w:val="0"/>
    <w:pPr>
      <w:autoSpaceDE w:val="0"/>
      <w:autoSpaceDN w:val="0"/>
      <w:adjustRightInd w:val="0"/>
      <w:spacing w:after="635" w:line="240" w:lineRule="auto"/>
      <w:ind w:firstLine="0" w:firstLineChars="0"/>
      <w:jc w:val="left"/>
    </w:pPr>
    <w:rPr>
      <w:rFonts w:ascii="宋体"/>
      <w:kern w:val="0"/>
    </w:rPr>
  </w:style>
  <w:style w:type="paragraph" w:customStyle="1" w:styleId="136">
    <w:name w:val="xl40"/>
    <w:basedOn w:val="1"/>
    <w:qFormat/>
    <w:uiPriority w:val="0"/>
    <w:pPr>
      <w:widowControl/>
      <w:pBdr>
        <w:bottom w:val="single" w:color="auto" w:sz="8" w:space="0"/>
      </w:pBdr>
      <w:spacing w:before="100" w:after="100" w:line="240" w:lineRule="auto"/>
      <w:ind w:firstLine="0" w:firstLineChars="0"/>
      <w:jc w:val="center"/>
    </w:pPr>
    <w:rPr>
      <w:rFonts w:ascii="宋体"/>
      <w:kern w:val="0"/>
      <w:szCs w:val="20"/>
    </w:rPr>
  </w:style>
  <w:style w:type="character" w:customStyle="1" w:styleId="137">
    <w:name w:val="样式28 Char"/>
    <w:basedOn w:val="45"/>
    <w:link w:val="138"/>
    <w:qFormat/>
    <w:uiPriority w:val="0"/>
    <w:rPr>
      <w:kern w:val="2"/>
      <w:sz w:val="24"/>
      <w:szCs w:val="24"/>
    </w:rPr>
  </w:style>
  <w:style w:type="paragraph" w:customStyle="1" w:styleId="138">
    <w:name w:val="样式28"/>
    <w:basedOn w:val="1"/>
    <w:link w:val="137"/>
    <w:qFormat/>
    <w:uiPriority w:val="0"/>
    <w:pPr>
      <w:ind w:firstLine="480"/>
    </w:pPr>
  </w:style>
  <w:style w:type="paragraph" w:customStyle="1" w:styleId="139">
    <w:name w:val="样式55"/>
    <w:basedOn w:val="1"/>
    <w:qFormat/>
    <w:uiPriority w:val="0"/>
    <w:pPr>
      <w:widowControl/>
      <w:spacing w:line="300" w:lineRule="exact"/>
      <w:ind w:firstLine="0" w:firstLineChars="0"/>
      <w:jc w:val="center"/>
    </w:pPr>
    <w:rPr>
      <w:color w:val="000000"/>
      <w:sz w:val="21"/>
      <w:szCs w:val="21"/>
    </w:rPr>
  </w:style>
  <w:style w:type="character" w:customStyle="1" w:styleId="140">
    <w:name w:val="样式59 Char"/>
    <w:basedOn w:val="45"/>
    <w:link w:val="141"/>
    <w:qFormat/>
    <w:uiPriority w:val="0"/>
    <w:rPr>
      <w:rFonts w:ascii="黑体" w:eastAsia="黑体"/>
      <w:color w:val="000000"/>
      <w:kern w:val="2"/>
      <w:sz w:val="21"/>
      <w:szCs w:val="21"/>
    </w:rPr>
  </w:style>
  <w:style w:type="paragraph" w:customStyle="1" w:styleId="141">
    <w:name w:val="样式59"/>
    <w:basedOn w:val="1"/>
    <w:link w:val="140"/>
    <w:qFormat/>
    <w:uiPriority w:val="0"/>
    <w:pPr>
      <w:ind w:firstLine="0" w:firstLineChars="0"/>
      <w:jc w:val="center"/>
    </w:pPr>
    <w:rPr>
      <w:rFonts w:ascii="黑体" w:eastAsia="黑体"/>
      <w:color w:val="000000"/>
      <w:sz w:val="21"/>
      <w:szCs w:val="21"/>
    </w:rPr>
  </w:style>
  <w:style w:type="paragraph" w:customStyle="1" w:styleId="142">
    <w:name w:val="Char1"/>
    <w:basedOn w:val="1"/>
    <w:qFormat/>
    <w:uiPriority w:val="0"/>
    <w:pPr>
      <w:ind w:firstLine="0" w:firstLineChars="0"/>
    </w:pPr>
    <w:rPr>
      <w:rFonts w:ascii="Tahoma" w:hAnsi="Tahoma"/>
      <w:szCs w:val="20"/>
    </w:rPr>
  </w:style>
  <w:style w:type="character" w:customStyle="1" w:styleId="143">
    <w:name w:val="表—居中5号 Char"/>
    <w:basedOn w:val="45"/>
    <w:qFormat/>
    <w:uiPriority w:val="0"/>
    <w:rPr>
      <w:rFonts w:eastAsia="宋体"/>
      <w:sz w:val="21"/>
      <w:szCs w:val="24"/>
      <w:lang w:val="en-US" w:eastAsia="zh-CN" w:bidi="ar-SA"/>
    </w:rPr>
  </w:style>
  <w:style w:type="paragraph" w:customStyle="1" w:styleId="144">
    <w:name w:val="1图标题"/>
    <w:basedOn w:val="1"/>
    <w:next w:val="1"/>
    <w:qFormat/>
    <w:uiPriority w:val="0"/>
    <w:pPr>
      <w:widowControl/>
      <w:spacing w:afterLines="50"/>
      <w:ind w:firstLine="0" w:firstLineChars="0"/>
      <w:jc w:val="center"/>
    </w:pPr>
    <w:rPr>
      <w:rFonts w:eastAsia="黑体"/>
      <w:kern w:val="0"/>
      <w:sz w:val="21"/>
    </w:rPr>
  </w:style>
  <w:style w:type="paragraph" w:customStyle="1" w:styleId="145">
    <w:name w:val="表格及图"/>
    <w:basedOn w:val="1"/>
    <w:qFormat/>
    <w:uiPriority w:val="0"/>
    <w:pPr>
      <w:tabs>
        <w:tab w:val="left" w:pos="840"/>
      </w:tabs>
      <w:adjustRightInd w:val="0"/>
      <w:snapToGrid w:val="0"/>
      <w:spacing w:line="240" w:lineRule="auto"/>
      <w:ind w:firstLine="0" w:firstLineChars="0"/>
      <w:jc w:val="center"/>
    </w:pPr>
    <w:rPr>
      <w:b/>
      <w:sz w:val="21"/>
      <w:szCs w:val="22"/>
    </w:rPr>
  </w:style>
  <w:style w:type="character" w:styleId="146">
    <w:name w:val="Placeholder Text"/>
    <w:basedOn w:val="45"/>
    <w:semiHidden/>
    <w:qFormat/>
    <w:uiPriority w:val="99"/>
    <w:rPr>
      <w:color w:val="808080"/>
    </w:rPr>
  </w:style>
  <w:style w:type="paragraph" w:customStyle="1" w:styleId="147">
    <w:name w:val="正文1"/>
    <w:qFormat/>
    <w:uiPriority w:val="0"/>
    <w:pPr>
      <w:jc w:val="both"/>
    </w:pPr>
    <w:rPr>
      <w:rFonts w:ascii="Times New Roman" w:hAnsi="Times New Roman" w:eastAsia="宋体" w:cs="Times New Roman"/>
      <w:kern w:val="2"/>
      <w:sz w:val="21"/>
      <w:szCs w:val="21"/>
      <w:lang w:val="en-US" w:eastAsia="zh-CN" w:bidi="ar-SA"/>
    </w:rPr>
  </w:style>
  <w:style w:type="character" w:customStyle="1" w:styleId="148">
    <w:name w:val="宏文本 Char"/>
    <w:basedOn w:val="45"/>
    <w:link w:val="2"/>
    <w:qFormat/>
    <w:uiPriority w:val="0"/>
    <w:rPr>
      <w:b/>
      <w:snapToGrid w:val="0"/>
      <w:kern w:val="24"/>
      <w:sz w:val="21"/>
      <w:szCs w:val="24"/>
    </w:rPr>
  </w:style>
  <w:style w:type="character" w:customStyle="1" w:styleId="149">
    <w:name w:val="正文文本缩进 2 Char"/>
    <w:basedOn w:val="45"/>
    <w:link w:val="27"/>
    <w:qFormat/>
    <w:uiPriority w:val="99"/>
    <w:rPr>
      <w:sz w:val="24"/>
    </w:rPr>
  </w:style>
  <w:style w:type="character" w:customStyle="1" w:styleId="150">
    <w:name w:val="日期 Char"/>
    <w:basedOn w:val="45"/>
    <w:link w:val="26"/>
    <w:qFormat/>
    <w:uiPriority w:val="99"/>
    <w:rPr>
      <w:sz w:val="24"/>
    </w:rPr>
  </w:style>
  <w:style w:type="paragraph" w:customStyle="1" w:styleId="151">
    <w:name w:val="样式 Z正文 + 首行缩进:  2 字符1"/>
    <w:basedOn w:val="152"/>
    <w:qFormat/>
    <w:uiPriority w:val="0"/>
    <w:pPr>
      <w:tabs>
        <w:tab w:val="left" w:pos="0"/>
      </w:tabs>
      <w:ind w:firstLine="480"/>
    </w:pPr>
    <w:rPr>
      <w:rFonts w:ascii="Times New Roman" w:cs="宋体"/>
    </w:rPr>
  </w:style>
  <w:style w:type="paragraph" w:customStyle="1" w:styleId="152">
    <w:name w:val="Z正文"/>
    <w:basedOn w:val="153"/>
    <w:qFormat/>
    <w:uiPriority w:val="0"/>
    <w:pPr>
      <w:tabs>
        <w:tab w:val="left" w:pos="0"/>
      </w:tabs>
      <w:adjustRightInd w:val="0"/>
      <w:spacing w:after="0" w:line="240" w:lineRule="auto"/>
      <w:ind w:firstLine="560" w:firstLineChars="200"/>
    </w:pPr>
    <w:rPr>
      <w:rFonts w:eastAsia="仿宋_GB2312"/>
      <w:sz w:val="28"/>
      <w:szCs w:val="28"/>
    </w:rPr>
  </w:style>
  <w:style w:type="paragraph" w:customStyle="1" w:styleId="153">
    <w:name w:val="样式 标题 1标题 11Head 1wsah1一、标题2Part'Document章Ch + 加粗"/>
    <w:basedOn w:val="3"/>
    <w:qFormat/>
    <w:uiPriority w:val="0"/>
    <w:pPr>
      <w:keepNext w:val="0"/>
      <w:keepLines w:val="0"/>
      <w:numPr>
        <w:numId w:val="0"/>
      </w:numPr>
      <w:tabs>
        <w:tab w:val="left" w:pos="0"/>
      </w:tabs>
      <w:spacing w:before="240" w:after="60"/>
      <w:jc w:val="center"/>
    </w:pPr>
    <w:rPr>
      <w:rFonts w:ascii="黑体" w:eastAsia="宋体"/>
      <w:b/>
      <w:bCs/>
    </w:rPr>
  </w:style>
  <w:style w:type="paragraph" w:customStyle="1" w:styleId="154">
    <w:name w:val="样式 正文文本 + 首行缩进:  2 字符"/>
    <w:qFormat/>
    <w:uiPriority w:val="0"/>
    <w:pPr>
      <w:snapToGrid w:val="0"/>
      <w:spacing w:before="60" w:after="160" w:line="480" w:lineRule="exact"/>
      <w:ind w:right="113" w:firstLine="480" w:firstLineChars="200"/>
      <w:jc w:val="both"/>
    </w:pPr>
    <w:rPr>
      <w:rFonts w:ascii="宋体" w:hAnsi="宋体" w:eastAsia="宋体" w:cs="宋体"/>
      <w:sz w:val="24"/>
      <w:lang w:val="en-US" w:eastAsia="zh-CN" w:bidi="ar-SA"/>
    </w:rPr>
  </w:style>
  <w:style w:type="paragraph" w:customStyle="1" w:styleId="155">
    <w:name w:val="纯文本1"/>
    <w:basedOn w:val="1"/>
    <w:qFormat/>
    <w:uiPriority w:val="0"/>
    <w:pPr>
      <w:adjustRightInd w:val="0"/>
      <w:snapToGrid w:val="0"/>
      <w:spacing w:line="240" w:lineRule="auto"/>
      <w:ind w:firstLine="0" w:firstLineChars="0"/>
    </w:pPr>
    <w:rPr>
      <w:rFonts w:hint="eastAsia" w:ascii="宋体" w:hAnsi="Courier New"/>
      <w:kern w:val="0"/>
      <w:sz w:val="21"/>
      <w:szCs w:val="20"/>
    </w:rPr>
  </w:style>
  <w:style w:type="paragraph" w:customStyle="1" w:styleId="156">
    <w:name w:val="！！4正文"/>
    <w:qFormat/>
    <w:uiPriority w:val="0"/>
    <w:pPr>
      <w:tabs>
        <w:tab w:val="left" w:pos="420"/>
      </w:tabs>
      <w:spacing w:before="50" w:beforeLines="50" w:after="50" w:afterLines="50" w:line="360" w:lineRule="auto"/>
      <w:ind w:firstLine="200" w:firstLineChars="200"/>
      <w:jc w:val="both"/>
      <w:textAlignment w:val="baseline"/>
    </w:pPr>
    <w:rPr>
      <w:rFonts w:ascii="Times New Roman" w:hAnsi="Times New Roman" w:eastAsia="宋体" w:cs="Times New Roman"/>
      <w:sz w:val="28"/>
      <w:szCs w:val="24"/>
      <w:lang w:val="en-US" w:eastAsia="zh-CN" w:bidi="ar-SA"/>
    </w:rPr>
  </w:style>
  <w:style w:type="paragraph" w:customStyle="1" w:styleId="157">
    <w:name w:val="图表名"/>
    <w:basedOn w:val="1"/>
    <w:next w:val="1"/>
    <w:qFormat/>
    <w:uiPriority w:val="0"/>
    <w:pPr>
      <w:ind w:firstLine="0" w:firstLineChars="0"/>
      <w:jc w:val="center"/>
    </w:pPr>
    <w:rPr>
      <w:b/>
      <w:kern w:val="0"/>
      <w:szCs w:val="20"/>
    </w:rPr>
  </w:style>
  <w:style w:type="paragraph" w:customStyle="1" w:styleId="158">
    <w:name w:val="扉页标题"/>
    <w:basedOn w:val="1"/>
    <w:qFormat/>
    <w:uiPriority w:val="0"/>
    <w:pPr>
      <w:spacing w:beforeLines="50" w:afterLines="50" w:line="288" w:lineRule="auto"/>
      <w:ind w:firstLine="0" w:firstLineChars="0"/>
      <w:jc w:val="center"/>
    </w:pPr>
    <w:rPr>
      <w:rFonts w:ascii="Arial" w:hAnsi="Arial"/>
      <w:sz w:val="36"/>
    </w:rPr>
  </w:style>
  <w:style w:type="paragraph" w:customStyle="1" w:styleId="159">
    <w:name w:val="工可正文"/>
    <w:basedOn w:val="1"/>
    <w:qFormat/>
    <w:uiPriority w:val="0"/>
    <w:pPr>
      <w:adjustRightInd w:val="0"/>
      <w:snapToGrid w:val="0"/>
      <w:spacing w:beforeLines="50" w:line="360" w:lineRule="exact"/>
      <w:ind w:firstLine="496"/>
    </w:pPr>
    <w:rPr>
      <w:rFonts w:ascii="华文中宋" w:hAnsi="华文中宋" w:eastAsia="华文中宋"/>
      <w:spacing w:val="4"/>
    </w:rPr>
  </w:style>
  <w:style w:type="paragraph" w:customStyle="1" w:styleId="160">
    <w:name w:val="样式 首行缩进:  1 厘米"/>
    <w:basedOn w:val="1"/>
    <w:qFormat/>
    <w:uiPriority w:val="0"/>
    <w:pPr>
      <w:snapToGrid w:val="0"/>
      <w:spacing w:line="480" w:lineRule="atLeast"/>
      <w:ind w:firstLine="567" w:firstLineChars="0"/>
    </w:pPr>
    <w:rPr>
      <w:sz w:val="28"/>
      <w:szCs w:val="20"/>
    </w:rPr>
  </w:style>
  <w:style w:type="paragraph" w:customStyle="1" w:styleId="161">
    <w:name w:val="样式 样式 小4居中 + + 段前: 0.15 行 段后: 0.15 行1"/>
    <w:basedOn w:val="1"/>
    <w:qFormat/>
    <w:uiPriority w:val="0"/>
    <w:pPr>
      <w:snapToGrid w:val="0"/>
      <w:spacing w:beforeLines="15" w:afterLines="15"/>
      <w:ind w:firstLine="0" w:firstLineChars="0"/>
      <w:jc w:val="center"/>
    </w:pPr>
    <w:rPr>
      <w:kern w:val="0"/>
    </w:rPr>
  </w:style>
  <w:style w:type="paragraph" w:customStyle="1" w:styleId="162">
    <w:name w:val="07 环评表格内容"/>
    <w:basedOn w:val="1"/>
    <w:qFormat/>
    <w:uiPriority w:val="0"/>
    <w:pPr>
      <w:widowControl/>
      <w:topLinePunct/>
      <w:spacing w:line="240" w:lineRule="auto"/>
      <w:ind w:firstLine="0" w:firstLineChars="0"/>
      <w:contextualSpacing/>
      <w:jc w:val="center"/>
      <w:textAlignment w:val="center"/>
    </w:pPr>
    <w:rPr>
      <w:color w:val="000000"/>
      <w:kern w:val="0"/>
      <w:sz w:val="21"/>
      <w:szCs w:val="21"/>
    </w:rPr>
  </w:style>
  <w:style w:type="character" w:customStyle="1" w:styleId="163">
    <w:name w:val="15"/>
    <w:qFormat/>
    <w:uiPriority w:val="0"/>
    <w:rPr>
      <w:rFonts w:hint="default" w:ascii="Times New Roman" w:hAnsi="Times New Roman" w:eastAsia="宋体" w:cs="Times New Roman"/>
      <w:sz w:val="24"/>
      <w:szCs w:val="24"/>
    </w:rPr>
  </w:style>
  <w:style w:type="paragraph" w:customStyle="1" w:styleId="164">
    <w:name w:val="表格格式"/>
    <w:basedOn w:val="1"/>
    <w:qFormat/>
    <w:uiPriority w:val="0"/>
    <w:pPr>
      <w:spacing w:line="240" w:lineRule="auto"/>
      <w:ind w:firstLine="0" w:firstLineChars="0"/>
      <w:jc w:val="center"/>
    </w:pPr>
    <w:rPr>
      <w:kern w:val="0"/>
      <w:sz w:val="21"/>
      <w:szCs w:val="21"/>
    </w:rPr>
  </w:style>
  <w:style w:type="paragraph" w:customStyle="1" w:styleId="165">
    <w:name w:val="样式 样式 表头4 + 段前: 0.5 行 + 段前: 0.15 行 段后: 0.15 行"/>
    <w:basedOn w:val="1"/>
    <w:qFormat/>
    <w:uiPriority w:val="0"/>
    <w:pPr>
      <w:snapToGrid w:val="0"/>
      <w:spacing w:beforeLines="15" w:afterLines="15" w:line="480" w:lineRule="atLeast"/>
      <w:ind w:firstLine="0" w:firstLineChars="0"/>
      <w:jc w:val="left"/>
    </w:pPr>
    <w:rPr>
      <w:b/>
      <w:bCs/>
      <w:sz w:val="28"/>
    </w:rPr>
  </w:style>
  <w:style w:type="paragraph" w:customStyle="1" w:styleId="166">
    <w:name w:val="表格内容nlw"/>
    <w:basedOn w:val="33"/>
    <w:qFormat/>
    <w:uiPriority w:val="0"/>
    <w:pPr>
      <w:spacing w:line="300" w:lineRule="exact"/>
      <w:ind w:left="0" w:firstLine="0" w:firstLineChars="0"/>
      <w:jc w:val="center"/>
    </w:pPr>
    <w:rPr>
      <w:sz w:val="21"/>
    </w:rPr>
  </w:style>
  <w:style w:type="character" w:customStyle="1" w:styleId="167">
    <w:name w:val="font21"/>
    <w:basedOn w:val="45"/>
    <w:qFormat/>
    <w:uiPriority w:val="0"/>
    <w:rPr>
      <w:rFonts w:hint="eastAsia" w:ascii="宋体" w:hAnsi="宋体" w:eastAsia="宋体" w:cs="宋体"/>
      <w:color w:val="000000"/>
      <w:sz w:val="21"/>
      <w:szCs w:val="21"/>
      <w:u w:val="none"/>
    </w:rPr>
  </w:style>
  <w:style w:type="character" w:customStyle="1" w:styleId="168">
    <w:name w:val="font11"/>
    <w:basedOn w:val="45"/>
    <w:qFormat/>
    <w:uiPriority w:val="0"/>
    <w:rPr>
      <w:rFonts w:hint="default" w:ascii="Times New Roman" w:hAnsi="Times New Roman" w:cs="Times New Roman"/>
      <w:color w:val="000000"/>
      <w:sz w:val="21"/>
      <w:szCs w:val="21"/>
      <w:u w:val="none"/>
    </w:rPr>
  </w:style>
  <w:style w:type="character" w:customStyle="1" w:styleId="169">
    <w:name w:val="font31"/>
    <w:basedOn w:val="45"/>
    <w:qFormat/>
    <w:uiPriority w:val="0"/>
    <w:rPr>
      <w:rFonts w:hint="default" w:ascii="Times New Roman" w:hAnsi="Times New Roman" w:cs="Times New Roman"/>
      <w:color w:val="000000"/>
      <w:sz w:val="21"/>
      <w:szCs w:val="21"/>
      <w:u w:val="none"/>
      <w:vertAlign w:val="subscript"/>
    </w:rPr>
  </w:style>
  <w:style w:type="paragraph" w:customStyle="1" w:styleId="170">
    <w:name w:val="！！图标题"/>
    <w:basedOn w:val="1"/>
    <w:qFormat/>
    <w:uiPriority w:val="0"/>
    <w:pPr>
      <w:spacing w:line="300" w:lineRule="auto"/>
      <w:ind w:firstLine="0" w:firstLineChars="0"/>
      <w:jc w:val="center"/>
    </w:pPr>
    <w:rPr>
      <w:rFonts w:ascii="宋体" w:hAnsi="宋体"/>
      <w:b/>
      <w:kern w:val="0"/>
    </w:rPr>
  </w:style>
  <w:style w:type="paragraph" w:customStyle="1" w:styleId="171">
    <w:name w:val="样式 仿宋_GB2312 四号"/>
    <w:basedOn w:val="1"/>
    <w:qFormat/>
    <w:uiPriority w:val="0"/>
    <w:pPr>
      <w:adjustRightInd w:val="0"/>
      <w:ind w:firstLine="480"/>
      <w:textAlignment w:val="baseline"/>
    </w:pPr>
    <w:rPr>
      <w:rFonts w:ascii="宋体" w:hAnsi="宋体" w:cs="宋体"/>
      <w:kern w:val="0"/>
      <w:szCs w:val="20"/>
    </w:rPr>
  </w:style>
  <w:style w:type="paragraph" w:customStyle="1" w:styleId="172">
    <w:name w:val="表头"/>
    <w:basedOn w:val="13"/>
    <w:qFormat/>
    <w:uiPriority w:val="0"/>
    <w:pPr>
      <w:ind w:firstLine="0" w:firstLineChars="0"/>
      <w:jc w:val="center"/>
    </w:pPr>
    <w:rPr>
      <w:b/>
      <w:szCs w:val="28"/>
    </w:rPr>
  </w:style>
  <w:style w:type="paragraph" w:customStyle="1" w:styleId="173">
    <w:name w:val="表格文本"/>
    <w:basedOn w:val="1"/>
    <w:next w:val="1"/>
    <w:qFormat/>
    <w:uiPriority w:val="0"/>
    <w:pPr>
      <w:snapToGrid w:val="0"/>
      <w:spacing w:line="240" w:lineRule="auto"/>
      <w:ind w:firstLine="0" w:firstLineChars="0"/>
    </w:pPr>
    <w:rPr>
      <w:kern w:val="0"/>
      <w:sz w:val="21"/>
      <w:szCs w:val="21"/>
    </w:rPr>
  </w:style>
  <w:style w:type="paragraph" w:customStyle="1" w:styleId="174">
    <w:name w:val="新3级标题"/>
    <w:basedOn w:val="175"/>
    <w:qFormat/>
    <w:uiPriority w:val="0"/>
    <w:pPr>
      <w:adjustRightInd w:val="0"/>
      <w:snapToGrid w:val="0"/>
      <w:outlineLvl w:val="2"/>
    </w:pPr>
    <w:rPr>
      <w:kern w:val="2"/>
      <w:sz w:val="28"/>
      <w:szCs w:val="28"/>
    </w:rPr>
  </w:style>
  <w:style w:type="paragraph" w:customStyle="1" w:styleId="175">
    <w:name w:val="新4级标题"/>
    <w:basedOn w:val="176"/>
    <w:qFormat/>
    <w:uiPriority w:val="0"/>
    <w:pPr>
      <w:ind w:left="1680" w:hanging="420"/>
      <w:outlineLvl w:val="3"/>
    </w:pPr>
    <w:rPr>
      <w:sz w:val="24"/>
    </w:rPr>
  </w:style>
  <w:style w:type="paragraph" w:customStyle="1" w:styleId="176">
    <w:name w:val="新1级标题"/>
    <w:basedOn w:val="1"/>
    <w:qFormat/>
    <w:uiPriority w:val="0"/>
    <w:pPr>
      <w:ind w:left="986" w:firstLine="0" w:firstLineChars="0"/>
      <w:outlineLvl w:val="0"/>
    </w:pPr>
    <w:rPr>
      <w:rFonts w:eastAsia="黑体"/>
      <w:kern w:val="0"/>
      <w:sz w:val="32"/>
      <w:szCs w:val="32"/>
    </w:rPr>
  </w:style>
  <w:style w:type="paragraph" w:customStyle="1" w:styleId="177">
    <w:name w:val="报告正文"/>
    <w:basedOn w:val="1"/>
    <w:qFormat/>
    <w:uiPriority w:val="0"/>
    <w:pPr>
      <w:tabs>
        <w:tab w:val="left" w:pos="0"/>
      </w:tabs>
      <w:ind w:firstLine="0" w:firstLineChars="0"/>
    </w:pPr>
    <w:rPr>
      <w:color w:val="000000"/>
      <w:kern w:val="0"/>
      <w:szCs w:val="20"/>
    </w:rPr>
  </w:style>
  <w:style w:type="paragraph" w:customStyle="1" w:styleId="178">
    <w:name w:val="新5级标题 表格"/>
    <w:basedOn w:val="179"/>
    <w:qFormat/>
    <w:uiPriority w:val="0"/>
    <w:pPr>
      <w:spacing w:line="240" w:lineRule="auto"/>
      <w:ind w:left="2100" w:hanging="420"/>
      <w:outlineLvl w:val="4"/>
    </w:pPr>
  </w:style>
  <w:style w:type="paragraph" w:customStyle="1" w:styleId="179">
    <w:name w:val="表格标题"/>
    <w:basedOn w:val="1"/>
    <w:qFormat/>
    <w:uiPriority w:val="0"/>
    <w:pPr>
      <w:ind w:firstLine="0" w:firstLineChars="0"/>
      <w:jc w:val="center"/>
    </w:pPr>
    <w:rPr>
      <w:b/>
      <w:color w:val="000000"/>
      <w:kern w:val="0"/>
      <w:sz w:val="21"/>
      <w:szCs w:val="20"/>
    </w:rPr>
  </w:style>
  <w:style w:type="paragraph" w:customStyle="1" w:styleId="180">
    <w:name w:val="新6级标题 图名"/>
    <w:basedOn w:val="179"/>
    <w:qFormat/>
    <w:uiPriority w:val="0"/>
    <w:pPr>
      <w:ind w:left="2520" w:hanging="420"/>
      <w:outlineLvl w:val="5"/>
    </w:pPr>
  </w:style>
  <w:style w:type="paragraph" w:customStyle="1" w:styleId="181">
    <w:name w:val="新2级标题"/>
    <w:basedOn w:val="1"/>
    <w:qFormat/>
    <w:uiPriority w:val="0"/>
    <w:pPr>
      <w:ind w:left="840" w:firstLine="0" w:firstLineChars="0"/>
      <w:outlineLvl w:val="1"/>
    </w:pPr>
    <w:rPr>
      <w:rFonts w:eastAsia="黑体"/>
      <w:kern w:val="0"/>
      <w:sz w:val="30"/>
      <w:szCs w:val="30"/>
    </w:rPr>
  </w:style>
  <w:style w:type="paragraph" w:customStyle="1" w:styleId="182">
    <w:name w:val="a报告正文"/>
    <w:basedOn w:val="1"/>
    <w:qFormat/>
    <w:uiPriority w:val="0"/>
    <w:pPr>
      <w:adjustRightInd w:val="0"/>
      <w:snapToGrid w:val="0"/>
      <w:jc w:val="left"/>
      <w:textAlignment w:val="baseline"/>
    </w:pPr>
    <w:rPr>
      <w:rFonts w:ascii="宋体"/>
      <w:snapToGrid w:val="0"/>
      <w:kern w:val="0"/>
      <w:szCs w:val="20"/>
    </w:rPr>
  </w:style>
  <w:style w:type="paragraph" w:customStyle="1" w:styleId="183">
    <w:name w:val="三级表名"/>
    <w:basedOn w:val="1"/>
    <w:next w:val="1"/>
    <w:qFormat/>
    <w:uiPriority w:val="0"/>
    <w:pPr>
      <w:tabs>
        <w:tab w:val="left" w:pos="420"/>
      </w:tabs>
      <w:spacing w:line="240" w:lineRule="auto"/>
      <w:ind w:left="2520" w:firstLine="0" w:firstLineChars="0"/>
      <w:jc w:val="center"/>
    </w:pPr>
    <w:rPr>
      <w:b/>
      <w:kern w:val="0"/>
      <w:szCs w:val="20"/>
    </w:rPr>
  </w:style>
  <w:style w:type="paragraph" w:customStyle="1" w:styleId="184">
    <w:name w:val="表格"/>
    <w:basedOn w:val="33"/>
    <w:next w:val="1"/>
    <w:qFormat/>
    <w:uiPriority w:val="0"/>
    <w:pPr>
      <w:spacing w:line="240" w:lineRule="auto"/>
      <w:ind w:firstLine="0" w:firstLineChars="0"/>
      <w:jc w:val="center"/>
    </w:pPr>
    <w:rPr>
      <w:sz w:val="21"/>
    </w:rPr>
  </w:style>
  <w:style w:type="paragraph" w:customStyle="1" w:styleId="185">
    <w:name w:val="图片编号"/>
    <w:basedOn w:val="1"/>
    <w:link w:val="196"/>
    <w:qFormat/>
    <w:uiPriority w:val="0"/>
    <w:pPr>
      <w:overflowPunct w:val="0"/>
      <w:spacing w:after="160"/>
      <w:ind w:firstLine="0" w:firstLineChars="0"/>
      <w:jc w:val="center"/>
    </w:pPr>
    <w:rPr>
      <w:rFonts w:cstheme="minorBidi"/>
      <w:b/>
      <w:sz w:val="21"/>
      <w:szCs w:val="21"/>
    </w:rPr>
  </w:style>
  <w:style w:type="paragraph" w:customStyle="1" w:styleId="186">
    <w:name w:val="表格编号"/>
    <w:basedOn w:val="1"/>
    <w:link w:val="195"/>
    <w:qFormat/>
    <w:uiPriority w:val="0"/>
    <w:pPr>
      <w:overflowPunct w:val="0"/>
      <w:spacing w:after="160"/>
      <w:ind w:firstLine="0" w:firstLineChars="0"/>
      <w:jc w:val="center"/>
    </w:pPr>
    <w:rPr>
      <w:b/>
      <w:sz w:val="21"/>
    </w:rPr>
  </w:style>
  <w:style w:type="table" w:customStyle="1" w:styleId="187">
    <w:name w:val="网格型1"/>
    <w:basedOn w:val="43"/>
    <w:qFormat/>
    <w:uiPriority w:val="0"/>
    <w:pPr>
      <w:spacing w:after="160" w:line="278"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88">
    <w:name w:val="网格型2"/>
    <w:basedOn w:val="43"/>
    <w:qFormat/>
    <w:uiPriority w:val="0"/>
    <w:pPr>
      <w:spacing w:after="160" w:line="278"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89">
    <w:name w:val="Table Normal8"/>
    <w:basedOn w:val="43"/>
    <w:qFormat/>
    <w:uiPriority w:val="0"/>
    <w:rPr>
      <w:rFonts w:eastAsia="Times New Roman"/>
    </w:rPr>
    <w:tblPr>
      <w:tblCellMar>
        <w:top w:w="0" w:type="dxa"/>
        <w:left w:w="0" w:type="dxa"/>
        <w:bottom w:w="0" w:type="dxa"/>
        <w:right w:w="0" w:type="dxa"/>
      </w:tblCellMar>
    </w:tblPr>
  </w:style>
  <w:style w:type="character" w:customStyle="1" w:styleId="190">
    <w:name w:val="纯文本 Char"/>
    <w:basedOn w:val="45"/>
    <w:link w:val="24"/>
    <w:qFormat/>
    <w:uiPriority w:val="0"/>
    <w:rPr>
      <w:rFonts w:hAnsi="Courier New"/>
      <w:kern w:val="2"/>
      <w:szCs w:val="21"/>
    </w:rPr>
  </w:style>
  <w:style w:type="table" w:customStyle="1" w:styleId="191">
    <w:name w:val="网格型3"/>
    <w:basedOn w:val="43"/>
    <w:qFormat/>
    <w:uiPriority w:val="0"/>
    <w:pPr>
      <w:spacing w:after="160" w:line="278"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92">
    <w:name w:val="hover27"/>
    <w:basedOn w:val="45"/>
    <w:qFormat/>
    <w:uiPriority w:val="0"/>
  </w:style>
  <w:style w:type="paragraph" w:customStyle="1" w:styleId="193">
    <w:name w:val="biaogebiaoti"/>
    <w:qFormat/>
    <w:uiPriority w:val="0"/>
    <w:pPr>
      <w:widowControl w:val="0"/>
      <w:overflowPunct w:val="0"/>
      <w:spacing w:after="160"/>
      <w:ind w:firstLine="200"/>
      <w:jc w:val="center"/>
    </w:pPr>
    <w:rPr>
      <w:rFonts w:ascii="Calibri" w:hAnsi="Calibri" w:eastAsia="宋体" w:cs="Times New Roman"/>
      <w:b/>
      <w:kern w:val="2"/>
      <w:sz w:val="21"/>
      <w:szCs w:val="24"/>
      <w:lang w:val="en-US" w:eastAsia="zh-CN" w:bidi="ar-SA"/>
    </w:rPr>
  </w:style>
  <w:style w:type="paragraph" w:customStyle="1" w:styleId="194">
    <w:name w:val="正文文本首行缩进1"/>
    <w:next w:val="42"/>
    <w:qFormat/>
    <w:uiPriority w:val="0"/>
    <w:pPr>
      <w:widowControl w:val="0"/>
      <w:spacing w:after="160" w:line="278" w:lineRule="auto"/>
      <w:ind w:firstLine="420" w:firstLineChars="100"/>
      <w:jc w:val="both"/>
    </w:pPr>
    <w:rPr>
      <w:rFonts w:hint="eastAsia" w:ascii="Calibri" w:hAnsi="Calibri" w:eastAsia="宋体" w:cs="方正大标宋简体"/>
      <w:sz w:val="24"/>
      <w:lang w:val="en-US" w:eastAsia="zh-CN" w:bidi="ar-SA"/>
    </w:rPr>
  </w:style>
  <w:style w:type="character" w:customStyle="1" w:styleId="195">
    <w:name w:val="表格编号 字符"/>
    <w:basedOn w:val="45"/>
    <w:link w:val="186"/>
    <w:qFormat/>
    <w:uiPriority w:val="0"/>
    <w:rPr>
      <w:b/>
      <w:kern w:val="2"/>
      <w:sz w:val="21"/>
      <w:szCs w:val="24"/>
    </w:rPr>
  </w:style>
  <w:style w:type="character" w:customStyle="1" w:styleId="196">
    <w:name w:val="图片编号 字符"/>
    <w:basedOn w:val="45"/>
    <w:link w:val="185"/>
    <w:qFormat/>
    <w:uiPriority w:val="0"/>
    <w:rPr>
      <w:rFonts w:cstheme="minorBidi"/>
      <w:b/>
      <w:kern w:val="2"/>
      <w:sz w:val="21"/>
      <w:szCs w:val="21"/>
    </w:rPr>
  </w:style>
  <w:style w:type="paragraph" w:customStyle="1" w:styleId="197">
    <w:name w:val="居中"/>
    <w:basedOn w:val="1"/>
    <w:link w:val="198"/>
    <w:qFormat/>
    <w:uiPriority w:val="0"/>
    <w:pPr>
      <w:overflowPunct w:val="0"/>
      <w:spacing w:after="160"/>
      <w:ind w:firstLine="0" w:firstLineChars="0"/>
      <w:jc w:val="center"/>
    </w:pPr>
    <w:rPr>
      <w:szCs w:val="21"/>
    </w:rPr>
  </w:style>
  <w:style w:type="character" w:customStyle="1" w:styleId="198">
    <w:name w:val="居中 字符"/>
    <w:basedOn w:val="45"/>
    <w:link w:val="197"/>
    <w:qFormat/>
    <w:uiPriority w:val="0"/>
    <w:rPr>
      <w:kern w:val="2"/>
      <w:sz w:val="24"/>
      <w:szCs w:val="21"/>
    </w:rPr>
  </w:style>
  <w:style w:type="paragraph" w:customStyle="1" w:styleId="199">
    <w:name w:val="表格两端对齐"/>
    <w:basedOn w:val="84"/>
    <w:link w:val="200"/>
    <w:qFormat/>
    <w:uiPriority w:val="0"/>
    <w:pPr>
      <w:overflowPunct w:val="0"/>
      <w:adjustRightInd/>
      <w:snapToGrid/>
      <w:spacing w:after="160"/>
      <w:jc w:val="both"/>
    </w:pPr>
    <w:rPr>
      <w:snapToGrid/>
      <w:kern w:val="2"/>
    </w:rPr>
  </w:style>
  <w:style w:type="character" w:customStyle="1" w:styleId="200">
    <w:name w:val="表格两端对齐 字符"/>
    <w:basedOn w:val="85"/>
    <w:link w:val="199"/>
    <w:qFormat/>
    <w:uiPriority w:val="0"/>
    <w:rPr>
      <w:rFonts w:hAnsi="宋体"/>
      <w:snapToGrid/>
      <w:kern w:val="2"/>
      <w:sz w:val="21"/>
      <w:szCs w:val="21"/>
    </w:rPr>
  </w:style>
  <w:style w:type="paragraph" w:styleId="201">
    <w:name w:val="No Spacing"/>
    <w:basedOn w:val="1"/>
    <w:link w:val="202"/>
    <w:qFormat/>
    <w:uiPriority w:val="1"/>
    <w:pPr>
      <w:spacing w:after="160" w:line="240" w:lineRule="auto"/>
      <w:ind w:firstLine="0" w:firstLineChars="0"/>
      <w:jc w:val="center"/>
    </w:pPr>
    <w:rPr>
      <w:rFonts w:eastAsia="仿宋_GB2312"/>
      <w:bCs/>
      <w:sz w:val="21"/>
      <w:szCs w:val="21"/>
    </w:rPr>
  </w:style>
  <w:style w:type="character" w:customStyle="1" w:styleId="202">
    <w:name w:val="无间隔 Char"/>
    <w:basedOn w:val="45"/>
    <w:link w:val="201"/>
    <w:qFormat/>
    <w:uiPriority w:val="1"/>
    <w:rPr>
      <w:rFonts w:eastAsia="仿宋_GB2312"/>
      <w:bCs/>
      <w:kern w:val="2"/>
      <w:sz w:val="21"/>
      <w:szCs w:val="21"/>
    </w:rPr>
  </w:style>
  <w:style w:type="paragraph" w:customStyle="1" w:styleId="203">
    <w:name w:val="Char Char Char Char Char Char Char"/>
    <w:basedOn w:val="1"/>
    <w:qFormat/>
    <w:uiPriority w:val="0"/>
    <w:pPr>
      <w:spacing w:after="160"/>
    </w:pPr>
    <w:rPr>
      <w:rFonts w:ascii="宋体" w:hAnsi="宋体" w:cs="宋体"/>
    </w:rPr>
  </w:style>
  <w:style w:type="paragraph" w:customStyle="1" w:styleId="204">
    <w:name w:val="表格小五"/>
    <w:basedOn w:val="201"/>
    <w:link w:val="205"/>
    <w:qFormat/>
    <w:uiPriority w:val="0"/>
    <w:rPr>
      <w:bCs w:val="0"/>
      <w:sz w:val="18"/>
    </w:rPr>
  </w:style>
  <w:style w:type="character" w:customStyle="1" w:styleId="205">
    <w:name w:val="表格小五 Char"/>
    <w:basedOn w:val="45"/>
    <w:link w:val="204"/>
    <w:qFormat/>
    <w:uiPriority w:val="0"/>
    <w:rPr>
      <w:rFonts w:eastAsia="仿宋_GB2312"/>
      <w:kern w:val="2"/>
      <w:sz w:val="18"/>
      <w:szCs w:val="21"/>
    </w:rPr>
  </w:style>
  <w:style w:type="paragraph" w:customStyle="1" w:styleId="206">
    <w:name w:val="序列号"/>
    <w:basedOn w:val="1"/>
    <w:link w:val="207"/>
    <w:qFormat/>
    <w:uiPriority w:val="0"/>
    <w:pPr>
      <w:widowControl/>
      <w:spacing w:after="160" w:line="480" w:lineRule="exact"/>
      <w:ind w:firstLine="0" w:firstLineChars="0"/>
      <w:jc w:val="center"/>
    </w:pPr>
    <w:rPr>
      <w:rFonts w:eastAsia="仿宋_GB2312" w:cs="Calibri"/>
      <w:b/>
      <w:szCs w:val="22"/>
    </w:rPr>
  </w:style>
  <w:style w:type="character" w:customStyle="1" w:styleId="207">
    <w:name w:val="序列号 Char"/>
    <w:basedOn w:val="45"/>
    <w:link w:val="206"/>
    <w:qFormat/>
    <w:uiPriority w:val="0"/>
    <w:rPr>
      <w:rFonts w:eastAsia="仿宋_GB2312" w:cs="Calibri"/>
      <w:b/>
      <w:kern w:val="2"/>
      <w:sz w:val="24"/>
      <w:szCs w:val="22"/>
    </w:rPr>
  </w:style>
  <w:style w:type="paragraph" w:customStyle="1" w:styleId="208">
    <w:name w:val="表格1"/>
    <w:basedOn w:val="1"/>
    <w:next w:val="1"/>
    <w:qFormat/>
    <w:uiPriority w:val="0"/>
    <w:pPr>
      <w:tabs>
        <w:tab w:val="left" w:pos="3105"/>
      </w:tabs>
      <w:spacing w:after="160" w:line="240" w:lineRule="exact"/>
      <w:ind w:firstLine="0" w:firstLineChars="0"/>
      <w:jc w:val="center"/>
    </w:pPr>
    <w:rPr>
      <w:rFonts w:ascii="宋体" w:hAnsi="宋体"/>
      <w:sz w:val="18"/>
      <w:szCs w:val="21"/>
    </w:rPr>
  </w:style>
  <w:style w:type="paragraph" w:customStyle="1" w:styleId="209">
    <w:name w:val="表格居中"/>
    <w:basedOn w:val="1"/>
    <w:next w:val="1"/>
    <w:qFormat/>
    <w:uiPriority w:val="0"/>
    <w:pPr>
      <w:overflowPunct w:val="0"/>
      <w:spacing w:after="160" w:line="240" w:lineRule="auto"/>
      <w:ind w:firstLine="0" w:firstLineChars="0"/>
      <w:jc w:val="center"/>
    </w:pPr>
    <w:rPr>
      <w:sz w:val="21"/>
      <w:szCs w:val="21"/>
    </w:rPr>
  </w:style>
  <w:style w:type="character" w:customStyle="1" w:styleId="210">
    <w:name w:val="font71"/>
    <w:qFormat/>
    <w:uiPriority w:val="0"/>
    <w:rPr>
      <w:rFonts w:hint="eastAsia" w:ascii="宋体" w:hAnsi="宋体" w:eastAsia="宋体" w:cs="宋体"/>
      <w:color w:val="000000"/>
      <w:sz w:val="22"/>
      <w:szCs w:val="22"/>
      <w:u w:val="none"/>
    </w:rPr>
  </w:style>
  <w:style w:type="table" w:customStyle="1" w:styleId="211">
    <w:name w:val="Table Normal9"/>
    <w:semiHidden/>
    <w:unhideWhenUsed/>
    <w:qFormat/>
    <w:uiPriority w:val="0"/>
    <w:pPr>
      <w:spacing w:after="160" w:line="278" w:lineRule="auto"/>
    </w:pPr>
    <w:tblPr>
      <w:tblCellMar>
        <w:top w:w="0" w:type="dxa"/>
        <w:left w:w="0" w:type="dxa"/>
        <w:bottom w:w="0" w:type="dxa"/>
        <w:right w:w="0" w:type="dxa"/>
      </w:tblCellMar>
    </w:tblPr>
  </w:style>
  <w:style w:type="paragraph" w:customStyle="1" w:styleId="212">
    <w:name w:val="正文首行缩进3"/>
    <w:qFormat/>
    <w:uiPriority w:val="0"/>
    <w:pPr>
      <w:widowControl w:val="0"/>
      <w:overflowPunct w:val="0"/>
      <w:spacing w:after="160" w:line="360" w:lineRule="auto"/>
      <w:ind w:firstLine="454" w:firstLineChars="200"/>
      <w:jc w:val="both"/>
    </w:pPr>
    <w:rPr>
      <w:rFonts w:ascii="Times New Roman" w:hAnsi="Times New Roman" w:eastAsia="宋体" w:cs="Times New Roman"/>
      <w:kern w:val="2"/>
      <w:sz w:val="24"/>
      <w:szCs w:val="21"/>
      <w:lang w:val="en-US" w:eastAsia="zh-CN" w:bidi="ar-SA"/>
    </w:rPr>
  </w:style>
  <w:style w:type="paragraph" w:customStyle="1" w:styleId="213">
    <w:name w:val="我的正文"/>
    <w:qFormat/>
    <w:uiPriority w:val="0"/>
    <w:pPr>
      <w:widowControl w:val="0"/>
      <w:spacing w:after="160" w:line="278" w:lineRule="auto"/>
      <w:ind w:firstLine="200" w:firstLineChars="200"/>
      <w:jc w:val="both"/>
    </w:pPr>
    <w:rPr>
      <w:rFonts w:ascii="Times New Roman" w:hAnsi="Times New Roman" w:eastAsia="宋体" w:cs="Times New Roman"/>
      <w:snapToGrid w:val="0"/>
      <w:sz w:val="28"/>
      <w:szCs w:val="21"/>
      <w:lang w:val="en-US" w:eastAsia="zh-CN" w:bidi="ar-SA"/>
    </w:rPr>
  </w:style>
  <w:style w:type="paragraph" w:customStyle="1" w:styleId="214">
    <w:name w:val="Table Text"/>
    <w:basedOn w:val="1"/>
    <w:semiHidden/>
    <w:qFormat/>
    <w:uiPriority w:val="0"/>
    <w:pPr>
      <w:overflowPunct w:val="0"/>
      <w:spacing w:after="160"/>
    </w:pPr>
    <w:rPr>
      <w:rFonts w:ascii="宋体" w:hAnsi="宋体" w:cs="宋体"/>
      <w:sz w:val="25"/>
      <w:szCs w:val="25"/>
      <w:lang w:eastAsia="en-US"/>
    </w:rPr>
  </w:style>
  <w:style w:type="paragraph" w:customStyle="1" w:styleId="215">
    <w:name w:val="【正文】"/>
    <w:qFormat/>
    <w:uiPriority w:val="0"/>
    <w:pPr>
      <w:widowControl w:val="0"/>
      <w:spacing w:before="120" w:after="120" w:line="312" w:lineRule="auto"/>
      <w:ind w:firstLine="200" w:firstLineChars="200"/>
      <w:jc w:val="both"/>
    </w:pPr>
    <w:rPr>
      <w:rFonts w:ascii="Times New Roman" w:hAnsi="Times New Roman" w:eastAsia="宋体" w:cs="Times New Roman"/>
      <w:sz w:val="24"/>
      <w:lang w:val="en-US" w:eastAsia="zh-CN" w:bidi="ar-SA"/>
    </w:rPr>
  </w:style>
  <w:style w:type="paragraph" w:customStyle="1" w:styleId="216">
    <w:name w:val="图表文字"/>
    <w:qFormat/>
    <w:uiPriority w:val="0"/>
    <w:pPr>
      <w:widowControl w:val="0"/>
      <w:adjustRightInd w:val="0"/>
      <w:snapToGrid w:val="0"/>
      <w:spacing w:after="160"/>
    </w:pPr>
    <w:rPr>
      <w:rFonts w:ascii="Times New Roman" w:hAnsi="Times New Roman" w:eastAsia="宋体" w:cs="Times New Roman"/>
      <w:sz w:val="21"/>
      <w:szCs w:val="24"/>
      <w:lang w:val="en-US" w:eastAsia="zh-CN" w:bidi="ar-SA"/>
    </w:rPr>
  </w:style>
  <w:style w:type="table" w:customStyle="1" w:styleId="217">
    <w:name w:val="Table Normal10"/>
    <w:unhideWhenUsed/>
    <w:qFormat/>
    <w:uiPriority w:val="0"/>
    <w:tblPr>
      <w:tblCellMar>
        <w:top w:w="0" w:type="dxa"/>
        <w:left w:w="0" w:type="dxa"/>
        <w:bottom w:w="0" w:type="dxa"/>
        <w:right w:w="0" w:type="dxa"/>
      </w:tblCellMar>
    </w:tblPr>
  </w:style>
  <w:style w:type="table" w:customStyle="1" w:styleId="218">
    <w:name w:val="网格型4"/>
    <w:basedOn w:val="4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19">
    <w:name w:val="Table Normal11"/>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7.bin"/><Relationship Id="rId98" Type="http://schemas.openxmlformats.org/officeDocument/2006/relationships/image" Target="media/image55.wmf"/><Relationship Id="rId97" Type="http://schemas.openxmlformats.org/officeDocument/2006/relationships/oleObject" Target="embeddings/oleObject6.bin"/><Relationship Id="rId96" Type="http://schemas.openxmlformats.org/officeDocument/2006/relationships/image" Target="media/image54.wmf"/><Relationship Id="rId95" Type="http://schemas.openxmlformats.org/officeDocument/2006/relationships/oleObject" Target="embeddings/oleObject5.bin"/><Relationship Id="rId94" Type="http://schemas.openxmlformats.org/officeDocument/2006/relationships/image" Target="media/image53.wmf"/><Relationship Id="rId93" Type="http://schemas.openxmlformats.org/officeDocument/2006/relationships/oleObject" Target="embeddings/oleObject4.bin"/><Relationship Id="rId92" Type="http://schemas.openxmlformats.org/officeDocument/2006/relationships/image" Target="media/image52.wmf"/><Relationship Id="rId91" Type="http://schemas.openxmlformats.org/officeDocument/2006/relationships/oleObject" Target="embeddings/oleObject3.bin"/><Relationship Id="rId90" Type="http://schemas.openxmlformats.org/officeDocument/2006/relationships/image" Target="media/image51.wmf"/><Relationship Id="rId9" Type="http://schemas.openxmlformats.org/officeDocument/2006/relationships/footer" Target="footer2.xml"/><Relationship Id="rId89" Type="http://schemas.openxmlformats.org/officeDocument/2006/relationships/oleObject" Target="embeddings/oleObject2.bin"/><Relationship Id="rId88" Type="http://schemas.openxmlformats.org/officeDocument/2006/relationships/image" Target="media/image50.png"/><Relationship Id="rId87" Type="http://schemas.openxmlformats.org/officeDocument/2006/relationships/image" Target="media/image49.jpeg"/><Relationship Id="rId86" Type="http://schemas.openxmlformats.org/officeDocument/2006/relationships/image" Target="media/image48.emf"/><Relationship Id="rId85" Type="http://schemas.openxmlformats.org/officeDocument/2006/relationships/image" Target="media/image47.emf"/><Relationship Id="rId84" Type="http://schemas.openxmlformats.org/officeDocument/2006/relationships/image" Target="media/image46.jpeg"/><Relationship Id="rId83" Type="http://schemas.openxmlformats.org/officeDocument/2006/relationships/image" Target="media/image45.jpeg"/><Relationship Id="rId82" Type="http://schemas.openxmlformats.org/officeDocument/2006/relationships/image" Target="media/image44.jpeg"/><Relationship Id="rId81" Type="http://schemas.openxmlformats.org/officeDocument/2006/relationships/image" Target="media/image43.png"/><Relationship Id="rId80" Type="http://schemas.openxmlformats.org/officeDocument/2006/relationships/image" Target="media/image42.png"/><Relationship Id="rId8" Type="http://schemas.openxmlformats.org/officeDocument/2006/relationships/footer" Target="footer1.xml"/><Relationship Id="rId79" Type="http://schemas.openxmlformats.org/officeDocument/2006/relationships/image" Target="media/image41.png"/><Relationship Id="rId78" Type="http://schemas.openxmlformats.org/officeDocument/2006/relationships/image" Target="media/image40.png"/><Relationship Id="rId77" Type="http://schemas.openxmlformats.org/officeDocument/2006/relationships/image" Target="media/image39.png"/><Relationship Id="rId76" Type="http://schemas.openxmlformats.org/officeDocument/2006/relationships/image" Target="media/image38.jpeg"/><Relationship Id="rId75" Type="http://schemas.openxmlformats.org/officeDocument/2006/relationships/image" Target="media/image37.png"/><Relationship Id="rId74" Type="http://schemas.openxmlformats.org/officeDocument/2006/relationships/image" Target="media/image36.jpeg"/><Relationship Id="rId73" Type="http://schemas.openxmlformats.org/officeDocument/2006/relationships/image" Target="media/image35.jpeg"/><Relationship Id="rId72" Type="http://schemas.openxmlformats.org/officeDocument/2006/relationships/image" Target="media/image34.jpeg"/><Relationship Id="rId71" Type="http://schemas.openxmlformats.org/officeDocument/2006/relationships/image" Target="media/image33.jpeg"/><Relationship Id="rId70" Type="http://schemas.openxmlformats.org/officeDocument/2006/relationships/image" Target="media/image32.jpeg"/><Relationship Id="rId7" Type="http://schemas.openxmlformats.org/officeDocument/2006/relationships/header" Target="header3.xml"/><Relationship Id="rId69" Type="http://schemas.openxmlformats.org/officeDocument/2006/relationships/image" Target="media/image31.png"/><Relationship Id="rId68" Type="http://schemas.openxmlformats.org/officeDocument/2006/relationships/image" Target="media/image30.png"/><Relationship Id="rId67" Type="http://schemas.openxmlformats.org/officeDocument/2006/relationships/image" Target="media/image29.png"/><Relationship Id="rId66" Type="http://schemas.openxmlformats.org/officeDocument/2006/relationships/image" Target="media/image28.png"/><Relationship Id="rId65" Type="http://schemas.openxmlformats.org/officeDocument/2006/relationships/image" Target="media/image27.jpeg"/><Relationship Id="rId64" Type="http://schemas.openxmlformats.org/officeDocument/2006/relationships/image" Target="media/image26.png"/><Relationship Id="rId63" Type="http://schemas.openxmlformats.org/officeDocument/2006/relationships/image" Target="media/image25.png"/><Relationship Id="rId62" Type="http://schemas.openxmlformats.org/officeDocument/2006/relationships/image" Target="media/image24.png"/><Relationship Id="rId61" Type="http://schemas.openxmlformats.org/officeDocument/2006/relationships/image" Target="media/image23.png"/><Relationship Id="rId60" Type="http://schemas.openxmlformats.org/officeDocument/2006/relationships/image" Target="media/image22.jpeg"/><Relationship Id="rId6" Type="http://schemas.openxmlformats.org/officeDocument/2006/relationships/header" Target="header2.xml"/><Relationship Id="rId59" Type="http://schemas.openxmlformats.org/officeDocument/2006/relationships/image" Target="media/image21.jpeg"/><Relationship Id="rId58" Type="http://schemas.openxmlformats.org/officeDocument/2006/relationships/image" Target="media/image20.jpeg"/><Relationship Id="rId57" Type="http://schemas.openxmlformats.org/officeDocument/2006/relationships/image" Target="media/image19.jpeg"/><Relationship Id="rId56" Type="http://schemas.openxmlformats.org/officeDocument/2006/relationships/image" Target="media/image18.jpeg"/><Relationship Id="rId55" Type="http://schemas.openxmlformats.org/officeDocument/2006/relationships/image" Target="media/image17.jpeg"/><Relationship Id="rId54" Type="http://schemas.openxmlformats.org/officeDocument/2006/relationships/image" Target="media/image16.jpeg"/><Relationship Id="rId53" Type="http://schemas.openxmlformats.org/officeDocument/2006/relationships/image" Target="media/image15.png"/><Relationship Id="rId52" Type="http://schemas.openxmlformats.org/officeDocument/2006/relationships/image" Target="media/image14.png"/><Relationship Id="rId51" Type="http://schemas.openxmlformats.org/officeDocument/2006/relationships/image" Target="media/image13.jpeg"/><Relationship Id="rId50" Type="http://schemas.openxmlformats.org/officeDocument/2006/relationships/image" Target="media/image12.png"/><Relationship Id="rId5" Type="http://schemas.openxmlformats.org/officeDocument/2006/relationships/header" Target="header1.xml"/><Relationship Id="rId49" Type="http://schemas.openxmlformats.org/officeDocument/2006/relationships/image" Target="media/image11.jpeg"/><Relationship Id="rId48" Type="http://schemas.openxmlformats.org/officeDocument/2006/relationships/image" Target="media/image10.wmf"/><Relationship Id="rId47" Type="http://schemas.openxmlformats.org/officeDocument/2006/relationships/image" Target="media/image9.emf"/><Relationship Id="rId46" Type="http://schemas.openxmlformats.org/officeDocument/2006/relationships/oleObject" Target="embeddings/oleObject1.bin"/><Relationship Id="rId45" Type="http://schemas.openxmlformats.org/officeDocument/2006/relationships/image" Target="media/image8.jpeg"/><Relationship Id="rId44" Type="http://schemas.openxmlformats.org/officeDocument/2006/relationships/image" Target="media/image7.jpeg"/><Relationship Id="rId43" Type="http://schemas.openxmlformats.org/officeDocument/2006/relationships/image" Target="media/image6.jpeg"/><Relationship Id="rId42" Type="http://schemas.openxmlformats.org/officeDocument/2006/relationships/image" Target="media/image5.png"/><Relationship Id="rId41" Type="http://schemas.openxmlformats.org/officeDocument/2006/relationships/image" Target="media/image4.jpeg"/><Relationship Id="rId40" Type="http://schemas.openxmlformats.org/officeDocument/2006/relationships/image" Target="media/image3.jpeg"/><Relationship Id="rId4" Type="http://schemas.openxmlformats.org/officeDocument/2006/relationships/endnotes" Target="endnotes.xml"/><Relationship Id="rId39" Type="http://schemas.openxmlformats.org/officeDocument/2006/relationships/image" Target="media/image2.jpeg"/><Relationship Id="rId38" Type="http://schemas.openxmlformats.org/officeDocument/2006/relationships/image" Target="media/image1.jpeg"/><Relationship Id="rId37" Type="http://schemas.openxmlformats.org/officeDocument/2006/relationships/theme" Target="theme/theme1.xml"/><Relationship Id="rId36" Type="http://schemas.openxmlformats.org/officeDocument/2006/relationships/header" Target="header21.xml"/><Relationship Id="rId35" Type="http://schemas.openxmlformats.org/officeDocument/2006/relationships/header" Target="header20.xml"/><Relationship Id="rId34" Type="http://schemas.openxmlformats.org/officeDocument/2006/relationships/header" Target="header19.xml"/><Relationship Id="rId33" Type="http://schemas.openxmlformats.org/officeDocument/2006/relationships/header" Target="header18.xml"/><Relationship Id="rId32" Type="http://schemas.openxmlformats.org/officeDocument/2006/relationships/header" Target="header17.xml"/><Relationship Id="rId31" Type="http://schemas.openxmlformats.org/officeDocument/2006/relationships/header" Target="header16.xml"/><Relationship Id="rId30" Type="http://schemas.openxmlformats.org/officeDocument/2006/relationships/header" Target="header15.xml"/><Relationship Id="rId3" Type="http://schemas.openxmlformats.org/officeDocument/2006/relationships/footnotes" Target="footnotes.xml"/><Relationship Id="rId29" Type="http://schemas.openxmlformats.org/officeDocument/2006/relationships/header" Target="header14.xml"/><Relationship Id="rId28" Type="http://schemas.openxmlformats.org/officeDocument/2006/relationships/footer" Target="footer11.xml"/><Relationship Id="rId27" Type="http://schemas.openxmlformats.org/officeDocument/2006/relationships/footer" Target="footer10.xml"/><Relationship Id="rId269" Type="http://schemas.openxmlformats.org/officeDocument/2006/relationships/fontTable" Target="fontTable.xml"/><Relationship Id="rId268" Type="http://schemas.openxmlformats.org/officeDocument/2006/relationships/customXml" Target="../customXml/item3.xml"/><Relationship Id="rId267" Type="http://schemas.openxmlformats.org/officeDocument/2006/relationships/customXml" Target="../customXml/item2.xml"/><Relationship Id="rId266" Type="http://schemas.openxmlformats.org/officeDocument/2006/relationships/numbering" Target="numbering.xml"/><Relationship Id="rId265" Type="http://schemas.openxmlformats.org/officeDocument/2006/relationships/customXml" Target="../customXml/item1.xml"/><Relationship Id="rId264" Type="http://schemas.openxmlformats.org/officeDocument/2006/relationships/image" Target="media/image191.png"/><Relationship Id="rId263" Type="http://schemas.openxmlformats.org/officeDocument/2006/relationships/image" Target="media/image190.jpeg"/><Relationship Id="rId262" Type="http://schemas.openxmlformats.org/officeDocument/2006/relationships/image" Target="media/image189.jpeg"/><Relationship Id="rId261" Type="http://schemas.openxmlformats.org/officeDocument/2006/relationships/image" Target="media/image188.png"/><Relationship Id="rId260" Type="http://schemas.openxmlformats.org/officeDocument/2006/relationships/image" Target="media/image187.png"/><Relationship Id="rId26" Type="http://schemas.openxmlformats.org/officeDocument/2006/relationships/header" Target="header13.xml"/><Relationship Id="rId259" Type="http://schemas.openxmlformats.org/officeDocument/2006/relationships/image" Target="media/image186.png"/><Relationship Id="rId258" Type="http://schemas.openxmlformats.org/officeDocument/2006/relationships/image" Target="media/image185.png"/><Relationship Id="rId257" Type="http://schemas.openxmlformats.org/officeDocument/2006/relationships/image" Target="media/image184.png"/><Relationship Id="rId256" Type="http://schemas.openxmlformats.org/officeDocument/2006/relationships/image" Target="media/image183.png"/><Relationship Id="rId255" Type="http://schemas.openxmlformats.org/officeDocument/2006/relationships/image" Target="media/image182.png"/><Relationship Id="rId254" Type="http://schemas.openxmlformats.org/officeDocument/2006/relationships/image" Target="media/image181.jpeg"/><Relationship Id="rId253" Type="http://schemas.openxmlformats.org/officeDocument/2006/relationships/image" Target="media/image180.png"/><Relationship Id="rId252" Type="http://schemas.openxmlformats.org/officeDocument/2006/relationships/image" Target="media/image179.jpeg"/><Relationship Id="rId251" Type="http://schemas.openxmlformats.org/officeDocument/2006/relationships/image" Target="media/image178.png"/><Relationship Id="rId250" Type="http://schemas.openxmlformats.org/officeDocument/2006/relationships/image" Target="media/image177.jpeg"/><Relationship Id="rId25" Type="http://schemas.openxmlformats.org/officeDocument/2006/relationships/header" Target="header12.xml"/><Relationship Id="rId249" Type="http://schemas.openxmlformats.org/officeDocument/2006/relationships/image" Target="media/image176.png"/><Relationship Id="rId248" Type="http://schemas.openxmlformats.org/officeDocument/2006/relationships/image" Target="media/image175.jpeg"/><Relationship Id="rId247" Type="http://schemas.openxmlformats.org/officeDocument/2006/relationships/image" Target="media/image174.png"/><Relationship Id="rId246" Type="http://schemas.openxmlformats.org/officeDocument/2006/relationships/image" Target="media/image173.jpeg"/><Relationship Id="rId245" Type="http://schemas.openxmlformats.org/officeDocument/2006/relationships/image" Target="media/image172.png"/><Relationship Id="rId244" Type="http://schemas.openxmlformats.org/officeDocument/2006/relationships/image" Target="media/image171.jpeg"/><Relationship Id="rId243" Type="http://schemas.openxmlformats.org/officeDocument/2006/relationships/image" Target="media/image170.png"/><Relationship Id="rId242" Type="http://schemas.openxmlformats.org/officeDocument/2006/relationships/image" Target="media/image169.jpeg"/><Relationship Id="rId241" Type="http://schemas.openxmlformats.org/officeDocument/2006/relationships/image" Target="media/image168.png"/><Relationship Id="rId240" Type="http://schemas.openxmlformats.org/officeDocument/2006/relationships/image" Target="media/image167.jpeg"/><Relationship Id="rId24" Type="http://schemas.openxmlformats.org/officeDocument/2006/relationships/header" Target="header11.xml"/><Relationship Id="rId239" Type="http://schemas.openxmlformats.org/officeDocument/2006/relationships/image" Target="media/image166.png"/><Relationship Id="rId238" Type="http://schemas.openxmlformats.org/officeDocument/2006/relationships/image" Target="media/image165.jpeg"/><Relationship Id="rId237" Type="http://schemas.openxmlformats.org/officeDocument/2006/relationships/image" Target="media/image164.png"/><Relationship Id="rId236" Type="http://schemas.openxmlformats.org/officeDocument/2006/relationships/image" Target="media/image163.jpeg"/><Relationship Id="rId235" Type="http://schemas.openxmlformats.org/officeDocument/2006/relationships/image" Target="media/image162.png"/><Relationship Id="rId234" Type="http://schemas.openxmlformats.org/officeDocument/2006/relationships/image" Target="media/image161.jpeg"/><Relationship Id="rId233" Type="http://schemas.openxmlformats.org/officeDocument/2006/relationships/image" Target="media/image160.png"/><Relationship Id="rId232" Type="http://schemas.openxmlformats.org/officeDocument/2006/relationships/image" Target="media/image159.jpeg"/><Relationship Id="rId231" Type="http://schemas.openxmlformats.org/officeDocument/2006/relationships/image" Target="media/image158.wmf"/><Relationship Id="rId230" Type="http://schemas.openxmlformats.org/officeDocument/2006/relationships/image" Target="media/image157.wmf"/><Relationship Id="rId23" Type="http://schemas.openxmlformats.org/officeDocument/2006/relationships/header" Target="header10.xml"/><Relationship Id="rId229" Type="http://schemas.openxmlformats.org/officeDocument/2006/relationships/image" Target="media/image156.wmf"/><Relationship Id="rId228" Type="http://schemas.openxmlformats.org/officeDocument/2006/relationships/image" Target="media/image155.wmf"/><Relationship Id="rId227" Type="http://schemas.openxmlformats.org/officeDocument/2006/relationships/image" Target="media/image154.wmf"/><Relationship Id="rId226" Type="http://schemas.openxmlformats.org/officeDocument/2006/relationships/image" Target="media/image153.wmf"/><Relationship Id="rId225" Type="http://schemas.openxmlformats.org/officeDocument/2006/relationships/image" Target="media/image152.wmf"/><Relationship Id="rId224" Type="http://schemas.openxmlformats.org/officeDocument/2006/relationships/image" Target="media/image151.wmf"/><Relationship Id="rId223" Type="http://schemas.openxmlformats.org/officeDocument/2006/relationships/image" Target="media/image150.wmf"/><Relationship Id="rId222" Type="http://schemas.openxmlformats.org/officeDocument/2006/relationships/image" Target="media/image149.wmf"/><Relationship Id="rId221" Type="http://schemas.openxmlformats.org/officeDocument/2006/relationships/image" Target="media/image148.wmf"/><Relationship Id="rId220" Type="http://schemas.openxmlformats.org/officeDocument/2006/relationships/image" Target="media/image147.wmf"/><Relationship Id="rId22" Type="http://schemas.openxmlformats.org/officeDocument/2006/relationships/footer" Target="footer9.xml"/><Relationship Id="rId219" Type="http://schemas.openxmlformats.org/officeDocument/2006/relationships/image" Target="media/image146.wmf"/><Relationship Id="rId218" Type="http://schemas.openxmlformats.org/officeDocument/2006/relationships/image" Target="media/image145.wmf"/><Relationship Id="rId217" Type="http://schemas.openxmlformats.org/officeDocument/2006/relationships/image" Target="media/image144.wmf"/><Relationship Id="rId216" Type="http://schemas.openxmlformats.org/officeDocument/2006/relationships/image" Target="media/image143.wmf"/><Relationship Id="rId215" Type="http://schemas.openxmlformats.org/officeDocument/2006/relationships/image" Target="media/image142.wmf"/><Relationship Id="rId214" Type="http://schemas.openxmlformats.org/officeDocument/2006/relationships/image" Target="media/image141.wmf"/><Relationship Id="rId213" Type="http://schemas.openxmlformats.org/officeDocument/2006/relationships/image" Target="media/image140.wmf"/><Relationship Id="rId212" Type="http://schemas.openxmlformats.org/officeDocument/2006/relationships/image" Target="media/image139.wmf"/><Relationship Id="rId211" Type="http://schemas.openxmlformats.org/officeDocument/2006/relationships/image" Target="media/image138.wmf"/><Relationship Id="rId210" Type="http://schemas.openxmlformats.org/officeDocument/2006/relationships/image" Target="media/image137.wmf"/><Relationship Id="rId21" Type="http://schemas.openxmlformats.org/officeDocument/2006/relationships/footer" Target="footer8.xml"/><Relationship Id="rId209" Type="http://schemas.openxmlformats.org/officeDocument/2006/relationships/image" Target="media/image136.wmf"/><Relationship Id="rId208" Type="http://schemas.openxmlformats.org/officeDocument/2006/relationships/image" Target="media/image135.wmf"/><Relationship Id="rId207" Type="http://schemas.openxmlformats.org/officeDocument/2006/relationships/image" Target="media/image134.wmf"/><Relationship Id="rId206" Type="http://schemas.openxmlformats.org/officeDocument/2006/relationships/image" Target="media/image133.wmf"/><Relationship Id="rId205" Type="http://schemas.openxmlformats.org/officeDocument/2006/relationships/image" Target="media/image132.wmf"/><Relationship Id="rId204" Type="http://schemas.openxmlformats.org/officeDocument/2006/relationships/image" Target="media/image131.wmf"/><Relationship Id="rId203" Type="http://schemas.openxmlformats.org/officeDocument/2006/relationships/image" Target="media/image130.wmf"/><Relationship Id="rId202" Type="http://schemas.openxmlformats.org/officeDocument/2006/relationships/image" Target="media/image129.wmf"/><Relationship Id="rId201" Type="http://schemas.openxmlformats.org/officeDocument/2006/relationships/image" Target="media/image128.wmf"/><Relationship Id="rId200" Type="http://schemas.openxmlformats.org/officeDocument/2006/relationships/image" Target="media/image127.wmf"/><Relationship Id="rId20" Type="http://schemas.openxmlformats.org/officeDocument/2006/relationships/header" Target="header9.xml"/><Relationship Id="rId2" Type="http://schemas.openxmlformats.org/officeDocument/2006/relationships/settings" Target="settings.xml"/><Relationship Id="rId199" Type="http://schemas.openxmlformats.org/officeDocument/2006/relationships/image" Target="media/image126.wmf"/><Relationship Id="rId198" Type="http://schemas.openxmlformats.org/officeDocument/2006/relationships/image" Target="media/image125.wmf"/><Relationship Id="rId197" Type="http://schemas.openxmlformats.org/officeDocument/2006/relationships/image" Target="media/image124.wmf"/><Relationship Id="rId196" Type="http://schemas.openxmlformats.org/officeDocument/2006/relationships/image" Target="media/image123.wmf"/><Relationship Id="rId195" Type="http://schemas.openxmlformats.org/officeDocument/2006/relationships/image" Target="media/image122.wmf"/><Relationship Id="rId194" Type="http://schemas.openxmlformats.org/officeDocument/2006/relationships/image" Target="media/image121.wmf"/><Relationship Id="rId193" Type="http://schemas.openxmlformats.org/officeDocument/2006/relationships/image" Target="media/image120.wmf"/><Relationship Id="rId192" Type="http://schemas.openxmlformats.org/officeDocument/2006/relationships/image" Target="media/image119.wmf"/><Relationship Id="rId191" Type="http://schemas.openxmlformats.org/officeDocument/2006/relationships/image" Target="media/image118.wmf"/><Relationship Id="rId190" Type="http://schemas.openxmlformats.org/officeDocument/2006/relationships/image" Target="media/image117.wmf"/><Relationship Id="rId19" Type="http://schemas.openxmlformats.org/officeDocument/2006/relationships/header" Target="header8.xml"/><Relationship Id="rId189" Type="http://schemas.openxmlformats.org/officeDocument/2006/relationships/image" Target="media/image116.wmf"/><Relationship Id="rId188" Type="http://schemas.openxmlformats.org/officeDocument/2006/relationships/image" Target="media/image115.wmf"/><Relationship Id="rId187" Type="http://schemas.openxmlformats.org/officeDocument/2006/relationships/image" Target="media/image114.wmf"/><Relationship Id="rId186" Type="http://schemas.openxmlformats.org/officeDocument/2006/relationships/image" Target="media/image113.png"/><Relationship Id="rId185" Type="http://schemas.openxmlformats.org/officeDocument/2006/relationships/image" Target="media/image112.png"/><Relationship Id="rId184" Type="http://schemas.openxmlformats.org/officeDocument/2006/relationships/image" Target="media/image111.png"/><Relationship Id="rId183" Type="http://schemas.openxmlformats.org/officeDocument/2006/relationships/image" Target="media/image110.png"/><Relationship Id="rId182" Type="http://schemas.openxmlformats.org/officeDocument/2006/relationships/image" Target="media/image109.png"/><Relationship Id="rId181" Type="http://schemas.openxmlformats.org/officeDocument/2006/relationships/image" Target="media/image108.png"/><Relationship Id="rId180" Type="http://schemas.openxmlformats.org/officeDocument/2006/relationships/image" Target="media/image107.png"/><Relationship Id="rId18" Type="http://schemas.openxmlformats.org/officeDocument/2006/relationships/header" Target="header7.xml"/><Relationship Id="rId179" Type="http://schemas.openxmlformats.org/officeDocument/2006/relationships/image" Target="media/image106.png"/><Relationship Id="rId178" Type="http://schemas.openxmlformats.org/officeDocument/2006/relationships/image" Target="media/image105.png"/><Relationship Id="rId177" Type="http://schemas.openxmlformats.org/officeDocument/2006/relationships/image" Target="media/image104.png"/><Relationship Id="rId176" Type="http://schemas.openxmlformats.org/officeDocument/2006/relationships/image" Target="media/image103.png"/><Relationship Id="rId175" Type="http://schemas.openxmlformats.org/officeDocument/2006/relationships/image" Target="media/image102.png"/><Relationship Id="rId174" Type="http://schemas.openxmlformats.org/officeDocument/2006/relationships/image" Target="media/image101.png"/><Relationship Id="rId173" Type="http://schemas.openxmlformats.org/officeDocument/2006/relationships/image" Target="media/image100.png"/><Relationship Id="rId172" Type="http://schemas.openxmlformats.org/officeDocument/2006/relationships/image" Target="media/image99.png"/><Relationship Id="rId171" Type="http://schemas.openxmlformats.org/officeDocument/2006/relationships/image" Target="media/image98.png"/><Relationship Id="rId170" Type="http://schemas.openxmlformats.org/officeDocument/2006/relationships/image" Target="media/image97.png"/><Relationship Id="rId17" Type="http://schemas.openxmlformats.org/officeDocument/2006/relationships/header" Target="header6.xml"/><Relationship Id="rId169" Type="http://schemas.openxmlformats.org/officeDocument/2006/relationships/image" Target="media/image96.png"/><Relationship Id="rId168" Type="http://schemas.openxmlformats.org/officeDocument/2006/relationships/image" Target="media/image95.png"/><Relationship Id="rId167" Type="http://schemas.openxmlformats.org/officeDocument/2006/relationships/image" Target="media/image94.jpeg"/><Relationship Id="rId166" Type="http://schemas.openxmlformats.org/officeDocument/2006/relationships/image" Target="media/image93.jpeg"/><Relationship Id="rId165" Type="http://schemas.openxmlformats.org/officeDocument/2006/relationships/image" Target="media/image92.emf"/><Relationship Id="rId164" Type="http://schemas.openxmlformats.org/officeDocument/2006/relationships/image" Target="media/image91.png"/><Relationship Id="rId163" Type="http://schemas.openxmlformats.org/officeDocument/2006/relationships/image" Target="media/image90.png"/><Relationship Id="rId162" Type="http://schemas.openxmlformats.org/officeDocument/2006/relationships/image" Target="media/image89.png"/><Relationship Id="rId161" Type="http://schemas.openxmlformats.org/officeDocument/2006/relationships/image" Target="media/image88.emf"/><Relationship Id="rId160" Type="http://schemas.openxmlformats.org/officeDocument/2006/relationships/image" Target="media/image87.emf"/><Relationship Id="rId16" Type="http://schemas.openxmlformats.org/officeDocument/2006/relationships/header" Target="header5.xml"/><Relationship Id="rId159" Type="http://schemas.openxmlformats.org/officeDocument/2006/relationships/image" Target="media/image86.jpeg"/><Relationship Id="rId158" Type="http://schemas.openxmlformats.org/officeDocument/2006/relationships/image" Target="media/image85.jpeg"/><Relationship Id="rId157" Type="http://schemas.openxmlformats.org/officeDocument/2006/relationships/image" Target="media/image84.wmf"/><Relationship Id="rId156" Type="http://schemas.openxmlformats.org/officeDocument/2006/relationships/oleObject" Target="embeddings/oleObject36.bin"/><Relationship Id="rId155" Type="http://schemas.openxmlformats.org/officeDocument/2006/relationships/image" Target="media/image83.wmf"/><Relationship Id="rId154" Type="http://schemas.openxmlformats.org/officeDocument/2006/relationships/oleObject" Target="embeddings/oleObject35.bin"/><Relationship Id="rId153" Type="http://schemas.openxmlformats.org/officeDocument/2006/relationships/image" Target="media/image82.wmf"/><Relationship Id="rId152" Type="http://schemas.openxmlformats.org/officeDocument/2006/relationships/oleObject" Target="embeddings/oleObject34.bin"/><Relationship Id="rId151" Type="http://schemas.openxmlformats.org/officeDocument/2006/relationships/image" Target="media/image81.wmf"/><Relationship Id="rId150" Type="http://schemas.openxmlformats.org/officeDocument/2006/relationships/oleObject" Target="embeddings/oleObject33.bin"/><Relationship Id="rId15" Type="http://schemas.openxmlformats.org/officeDocument/2006/relationships/footer" Target="footer7.xml"/><Relationship Id="rId149" Type="http://schemas.openxmlformats.org/officeDocument/2006/relationships/image" Target="media/image80.wmf"/><Relationship Id="rId148" Type="http://schemas.openxmlformats.org/officeDocument/2006/relationships/oleObject" Target="embeddings/oleObject32.bin"/><Relationship Id="rId147" Type="http://schemas.openxmlformats.org/officeDocument/2006/relationships/image" Target="media/image79.wmf"/><Relationship Id="rId146" Type="http://schemas.openxmlformats.org/officeDocument/2006/relationships/oleObject" Target="embeddings/oleObject31.bin"/><Relationship Id="rId145" Type="http://schemas.openxmlformats.org/officeDocument/2006/relationships/image" Target="media/image78.wmf"/><Relationship Id="rId144" Type="http://schemas.openxmlformats.org/officeDocument/2006/relationships/oleObject" Target="embeddings/oleObject30.bin"/><Relationship Id="rId143" Type="http://schemas.openxmlformats.org/officeDocument/2006/relationships/image" Target="media/image77.wmf"/><Relationship Id="rId142" Type="http://schemas.openxmlformats.org/officeDocument/2006/relationships/oleObject" Target="embeddings/oleObject29.bin"/><Relationship Id="rId141" Type="http://schemas.openxmlformats.org/officeDocument/2006/relationships/image" Target="media/image76.wmf"/><Relationship Id="rId140" Type="http://schemas.openxmlformats.org/officeDocument/2006/relationships/oleObject" Target="embeddings/oleObject28.bin"/><Relationship Id="rId14" Type="http://schemas.openxmlformats.org/officeDocument/2006/relationships/header" Target="header4.xml"/><Relationship Id="rId139" Type="http://schemas.openxmlformats.org/officeDocument/2006/relationships/image" Target="media/image75.wmf"/><Relationship Id="rId138" Type="http://schemas.openxmlformats.org/officeDocument/2006/relationships/oleObject" Target="embeddings/oleObject27.bin"/><Relationship Id="rId137" Type="http://schemas.openxmlformats.org/officeDocument/2006/relationships/image" Target="media/image74.wmf"/><Relationship Id="rId136" Type="http://schemas.openxmlformats.org/officeDocument/2006/relationships/oleObject" Target="embeddings/oleObject26.bin"/><Relationship Id="rId135" Type="http://schemas.openxmlformats.org/officeDocument/2006/relationships/image" Target="media/image73.wmf"/><Relationship Id="rId134" Type="http://schemas.openxmlformats.org/officeDocument/2006/relationships/oleObject" Target="embeddings/oleObject25.bin"/><Relationship Id="rId133" Type="http://schemas.openxmlformats.org/officeDocument/2006/relationships/image" Target="media/image72.wmf"/><Relationship Id="rId132" Type="http://schemas.openxmlformats.org/officeDocument/2006/relationships/oleObject" Target="embeddings/oleObject24.bin"/><Relationship Id="rId131" Type="http://schemas.openxmlformats.org/officeDocument/2006/relationships/image" Target="media/image71.wmf"/><Relationship Id="rId130" Type="http://schemas.openxmlformats.org/officeDocument/2006/relationships/oleObject" Target="embeddings/oleObject23.bin"/><Relationship Id="rId13" Type="http://schemas.openxmlformats.org/officeDocument/2006/relationships/footer" Target="footer6.xml"/><Relationship Id="rId129" Type="http://schemas.openxmlformats.org/officeDocument/2006/relationships/image" Target="media/image70.wmf"/><Relationship Id="rId128" Type="http://schemas.openxmlformats.org/officeDocument/2006/relationships/oleObject" Target="embeddings/oleObject22.bin"/><Relationship Id="rId127" Type="http://schemas.openxmlformats.org/officeDocument/2006/relationships/image" Target="media/image69.wmf"/><Relationship Id="rId126" Type="http://schemas.openxmlformats.org/officeDocument/2006/relationships/oleObject" Target="embeddings/oleObject21.bin"/><Relationship Id="rId125" Type="http://schemas.openxmlformats.org/officeDocument/2006/relationships/image" Target="media/image68.wmf"/><Relationship Id="rId124" Type="http://schemas.openxmlformats.org/officeDocument/2006/relationships/oleObject" Target="embeddings/oleObject20.bin"/><Relationship Id="rId123" Type="http://schemas.openxmlformats.org/officeDocument/2006/relationships/oleObject" Target="embeddings/oleObject19.bin"/><Relationship Id="rId122" Type="http://schemas.openxmlformats.org/officeDocument/2006/relationships/image" Target="media/image67.wmf"/><Relationship Id="rId121" Type="http://schemas.openxmlformats.org/officeDocument/2006/relationships/oleObject" Target="embeddings/oleObject18.bin"/><Relationship Id="rId120" Type="http://schemas.openxmlformats.org/officeDocument/2006/relationships/image" Target="media/image66.wmf"/><Relationship Id="rId12" Type="http://schemas.openxmlformats.org/officeDocument/2006/relationships/footer" Target="footer5.xml"/><Relationship Id="rId119" Type="http://schemas.openxmlformats.org/officeDocument/2006/relationships/oleObject" Target="embeddings/oleObject17.bin"/><Relationship Id="rId118" Type="http://schemas.openxmlformats.org/officeDocument/2006/relationships/image" Target="media/image65.wmf"/><Relationship Id="rId117" Type="http://schemas.openxmlformats.org/officeDocument/2006/relationships/oleObject" Target="embeddings/oleObject16.bin"/><Relationship Id="rId116" Type="http://schemas.openxmlformats.org/officeDocument/2006/relationships/image" Target="media/image64.wmf"/><Relationship Id="rId115" Type="http://schemas.openxmlformats.org/officeDocument/2006/relationships/oleObject" Target="embeddings/oleObject15.bin"/><Relationship Id="rId114" Type="http://schemas.openxmlformats.org/officeDocument/2006/relationships/image" Target="media/image63.wmf"/><Relationship Id="rId113" Type="http://schemas.openxmlformats.org/officeDocument/2006/relationships/oleObject" Target="embeddings/oleObject14.bin"/><Relationship Id="rId112" Type="http://schemas.openxmlformats.org/officeDocument/2006/relationships/image" Target="media/image62.wmf"/><Relationship Id="rId111" Type="http://schemas.openxmlformats.org/officeDocument/2006/relationships/oleObject" Target="embeddings/oleObject13.bin"/><Relationship Id="rId110" Type="http://schemas.openxmlformats.org/officeDocument/2006/relationships/image" Target="media/image61.wmf"/><Relationship Id="rId11" Type="http://schemas.openxmlformats.org/officeDocument/2006/relationships/footer" Target="footer4.xml"/><Relationship Id="rId109" Type="http://schemas.openxmlformats.org/officeDocument/2006/relationships/oleObject" Target="embeddings/oleObject12.bin"/><Relationship Id="rId108" Type="http://schemas.openxmlformats.org/officeDocument/2006/relationships/image" Target="media/image60.wmf"/><Relationship Id="rId107" Type="http://schemas.openxmlformats.org/officeDocument/2006/relationships/oleObject" Target="embeddings/oleObject11.bin"/><Relationship Id="rId106" Type="http://schemas.openxmlformats.org/officeDocument/2006/relationships/image" Target="media/image59.wmf"/><Relationship Id="rId105" Type="http://schemas.openxmlformats.org/officeDocument/2006/relationships/oleObject" Target="embeddings/oleObject10.bin"/><Relationship Id="rId104" Type="http://schemas.openxmlformats.org/officeDocument/2006/relationships/image" Target="media/image58.wmf"/><Relationship Id="rId103" Type="http://schemas.openxmlformats.org/officeDocument/2006/relationships/oleObject" Target="embeddings/oleObject9.bin"/><Relationship Id="rId102" Type="http://schemas.openxmlformats.org/officeDocument/2006/relationships/image" Target="media/image57.wmf"/><Relationship Id="rId101" Type="http://schemas.openxmlformats.org/officeDocument/2006/relationships/oleObject" Target="embeddings/oleObject8.bin"/><Relationship Id="rId100" Type="http://schemas.openxmlformats.org/officeDocument/2006/relationships/image" Target="media/image56.wmf"/><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ontractReview xmlns="http://schemas.wps.cn/vas-ai-hub/contract-review">
  <reviewItems>
    <reviewItem>
      <errorID>ac3a4430-9000-4f96-b8d3-2a484bc72379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57B77476</paraID>
      <start>0</start>
      <end>2</end>
      <status>unmodified</status>
      <modifiedWord/>
      <trackRevisions>false</trackRevisions>
    </reviewItem>
    <reviewItem>
      <errorID>4eb63ad5-f101-453d-a920-2ba520a6cf52</errorID>
      <errorWord>展</errorWord>
      <group>L1_Word</group>
      <groupName>字词问题</groupName>
      <ability>L2_Typo</ability>
      <abilityName>字词错误</abilityName>
      <candidateList>
        <item>展和</item>
      </candidateList>
      <explain/>
      <paraID>57B77476</paraID>
      <start>18</start>
      <end>20</end>
      <status>modified</status>
      <modifiedWord>展和</modifiedWord>
      <trackRevisions>false</trackRevisions>
    </reviewItem>
    <reviewItem>
      <errorID>1cf952a5-912d-4a3a-b034-43f2044d4cdf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5308DEF4</paraID>
      <start>0</start>
      <end>2</end>
      <status>unmodified</status>
      <modifiedWord/>
      <trackRevisions>false</trackRevisions>
    </reviewItem>
    <reviewItem>
      <errorID>9868b25f-4ef0-4d2c-942b-995387da0a55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2ADAAD56</paraID>
      <start>0</start>
      <end>2</end>
      <status>unmodified</status>
      <modifiedWord/>
      <trackRevisions>false</trackRevisions>
    </reviewItem>
    <reviewItem>
      <errorID>ee0c53b1-bf8f-4d2d-85fd-82c277c121fd</errorID>
      <errorWord>。</errorWord>
      <group>L1_AI</group>
      <groupName>深度校对</groupName>
      <ability>L2_AI_Grammar</ability>
      <abilityName>语法纠错</abilityName>
      <candidateList>
        <item>核准该项目。</item>
      </candidateList>
      <explain/>
      <paraID>2ADAAD56</paraID>
      <start>94</start>
      <end>95</end>
      <status>unmodified</status>
      <modifiedWord/>
      <trackRevisions>false</trackRevisions>
    </reviewItem>
    <reviewItem>
      <errorID>bb00c830-9cd7-4e93-a9ca-c96966242c81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79319F19</paraID>
      <start>0</start>
      <end>2</end>
      <status>unmodified</status>
      <modifiedWord/>
      <trackRevisions>false</trackRevisions>
    </reviewItem>
    <reviewItem>
      <errorID>4ebc2cea-64f0-41ee-9478-4c28fcebef72</errorID>
      <errorWord>《</errorWord>
      <group>L1_AI</group>
      <groupName>深度校对</groupName>
      <ability>L2_AI_Word</ability>
      <abilityName>字词纠错</abilityName>
      <candidateList>
        <item>以《</item>
      </candidateList>
      <explain/>
      <paraID>79319F19</paraID>
      <start>34</start>
      <end>35</end>
      <status>unmodified</status>
      <modifiedWord/>
      <trackRevisions>false</trackRevisions>
    </reviewItem>
    <reviewItem>
      <errorID>a1012492-7687-48c8-9386-073a4664df9a</errorID>
      <errorWord>。</errorWord>
      <group>L1_AI</group>
      <groupName>深度校对</groupName>
      <ability>L2_AI_Grammar</ability>
      <abilityName>语法纠错</abilityName>
      <candidateList>
        <item>批复该储罐区立项。</item>
      </candidateList>
      <explain/>
      <paraID>79319F19</paraID>
      <start>88</start>
      <end>89</end>
      <status>unmodified</status>
      <modifiedWord/>
      <trackRevisions>false</trackRevisions>
    </reviewItem>
    <reviewItem>
      <errorID>8d50b851-65d5-48cc-8803-ce88d1e30eed</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163781BD</paraID>
      <start>0</start>
      <end>2</end>
      <status>unmodified</status>
      <modifiedWord/>
      <trackRevisions>false</trackRevisions>
    </reviewItem>
    <reviewItem>
      <errorID>f357b428-c404-4697-a13a-a51a5909311f</errorID>
      <errorWord>(</errorWord>
      <group>L1_Format</group>
      <groupName>格式问题</groupName>
      <ability>L2_HalfPunc</ability>
      <abilityName>全半角检查</abilityName>
      <candidateList>
        <item>（</item>
      </candidateList>
      <explain>文本全半角错误。</explain>
      <paraID>163781BD</paraID>
      <start>61</start>
      <end>62</end>
      <status>unmodified</status>
      <modifiedWord/>
      <trackRevisions>false</trackRevisions>
    </reviewItem>
    <reviewItem>
      <errorID>043a2db2-5607-4a95-90b1-d6444045ad41</errorID>
      <errorWord>)</errorWord>
      <group>L1_Format</group>
      <groupName>格式问题</groupName>
      <ability>L2_HalfPunc</ability>
      <abilityName>全半角检查</abilityName>
      <candidateList>
        <item>）</item>
      </candidateList>
      <explain>文本全半角错误。</explain>
      <paraID>163781BD</paraID>
      <start>73</start>
      <end>74</end>
      <status>unmodified</status>
      <modifiedWord/>
      <trackRevisions>false</trackRevisions>
    </reviewItem>
    <reviewItem>
      <errorID>ac29e296-1d97-4948-8a69-a004f938986c</errorID>
      <errorWord>。</errorWord>
      <group>L1_AI</group>
      <groupName>深度校对</groupName>
      <ability>L2_AI_Grammar</ability>
      <abilityName>语法纠错</abilityName>
      <candidateList>
        <item>批复该初步设计。</item>
      </candidateList>
      <explain/>
      <paraID>163781BD</paraID>
      <start>96</start>
      <end>97</end>
      <status>unmodified</status>
      <modifiedWord/>
      <trackRevisions>false</trackRevisions>
    </reviewItem>
    <reviewItem>
      <errorID>3fc37056-e3d8-49d8-9abf-6bd1a42910c1</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5A08167B</paraID>
      <start>0</start>
      <end>2</end>
      <status>unmodified</status>
      <modifiedWord/>
      <trackRevisions>false</trackRevisions>
    </reviewItem>
    <reviewItem>
      <errorID>483e6919-8738-43c3-a3b7-c0d679d4eb1b</errorID>
      <errorWord>(</errorWord>
      <group>L1_Format</group>
      <groupName>格式问题</groupName>
      <ability>L2_HalfPunc</ability>
      <abilityName>全半角检查</abilityName>
      <candidateList>
        <item>（</item>
      </candidateList>
      <explain>文本全半角错误。</explain>
      <paraID>5A08167B</paraID>
      <start>61</start>
      <end>62</end>
      <status>unmodified</status>
      <modifiedWord/>
      <trackRevisions>false</trackRevisions>
    </reviewItem>
    <reviewItem>
      <errorID>8a506ba8-268d-48fc-ab3f-6bec20a805d3</errorID>
      <errorWord>)</errorWord>
      <group>L1_Format</group>
      <groupName>格式问题</groupName>
      <ability>L2_HalfPunc</ability>
      <abilityName>全半角检查</abilityName>
      <candidateList>
        <item>）</item>
      </candidateList>
      <explain>文本全半角错误。</explain>
      <paraID>5A08167B</paraID>
      <start>73</start>
      <end>74</end>
      <status>unmodified</status>
      <modifiedWord/>
      <trackRevisions>false</trackRevisions>
    </reviewItem>
    <reviewItem>
      <errorID>7aa9d4ad-454d-4c82-86b4-d4e9d0cd923a</errorID>
      <errorWord>。</errorWord>
      <group>L1_AI</group>
      <groupName>深度校对</groupName>
      <ability>L2_AI_Grammar</ability>
      <abilityName>语法纠错</abilityName>
      <candidateList>
        <item>批复该施工图设计。</item>
      </candidateList>
      <explain/>
      <paraID>5A08167B</paraID>
      <start>99</start>
      <end>100</end>
      <status>unmodified</status>
      <modifiedWord/>
      <trackRevisions>false</trackRevisions>
    </reviewItem>
    <reviewItem>
      <errorID>7fdfd136-aaff-4eab-9121-810e025f23bc</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29188D4D</paraID>
      <start>0</start>
      <end>2</end>
      <status>unmodified</status>
      <modifiedWord/>
      <trackRevisions>false</trackRevisions>
    </reviewItem>
    <reviewItem>
      <errorID>d50b36c4-fb1a-49c5-bc18-411dbc151d57</errorID>
      <errorWord>泊位工程</errorWord>
      <group>L1_AI</group>
      <groupName>深度校对</groupName>
      <ability>L2_AI_Grammar</ability>
      <abilityName>语法纠错</abilityName>
      <candidateList>
        <item>泊位</item>
      </candidateList>
      <explain/>
      <paraID>16370982</paraID>
      <start>8</start>
      <end>10</end>
      <status>modified</status>
      <modifiedWord>泊位</modifiedWord>
      <trackRevisions>false</trackRevisions>
    </reviewItem>
    <reviewItem>
      <errorID>651d62f1-1d87-41ef-923b-ffb362948d90</errorID>
      <errorWord>装卸</errorWord>
      <group>L1_AI</group>
      <groupName>深度校对</groupName>
      <ability>L2_AI_Word</ability>
      <abilityName>字词纠错</abilityName>
      <candidateList>
        <item>等装卸</item>
      </candidateList>
      <explain/>
      <paraID>16370982</paraID>
      <start>133</start>
      <end>135</end>
      <status>unmodified</status>
      <modifiedWord/>
      <trackRevisions>false</trackRevisions>
    </reviewItem>
    <reviewItem>
      <errorID>a965c292-e833-421f-8cd4-e39147e8c151</errorID>
      <errorWord>。</errorWord>
      <group>L1_AI</group>
      <groupName>深度校对</groupName>
      <ability>L2_AI_Grammar</ability>
      <abilityName>语法纠错</abilityName>
      <candidateList>
        <item>设施。</item>
      </candidateList>
      <explain/>
      <paraID>16370982</paraID>
      <start>135</start>
      <end>136</end>
      <status>unmodified</status>
      <modifiedWord/>
      <trackRevisions>false</trackRevisions>
    </reviewItem>
    <reviewItem>
      <errorID>41e4c0a8-0f8c-4599-9e56-b7a801f69a29</errorID>
      <errorWord>》</errorWord>
      <group>L1_AI</group>
      <groupName>深度校对</groupName>
      <ability>L2_AI_Punc</ability>
      <abilityName>标点纠错</abilityName>
      <candidateList>
        <item/>
      </candidateList>
      <explain/>
      <paraID>3721C9D6</paraID>
      <start>59</start>
      <end>60</end>
      <status>unmodified</status>
      <modifiedWord/>
      <trackRevisions>false</trackRevisions>
    </reviewItem>
    <reviewItem>
      <errorID>99d9a773-21a7-4c4f-8bb9-9888b9cc70af</errorID>
      <errorWord>（</errorWord>
      <group>L1_AI</group>
      <groupName>深度校对</groupName>
      <ability>L2_AI_Punc</ability>
      <abilityName>标点纠错</abilityName>
      <candidateList>
        <item>》（</item>
      </candidateList>
      <explain/>
      <paraID>3721C9D6</paraID>
      <start>66</start>
      <end>67</end>
      <status>unmodified</status>
      <modifiedWord/>
      <trackRevisions>false</trackRevisions>
    </reviewItem>
    <reviewItem>
      <errorID>7b5a7537-e4e6-4bbf-9979-d0044ae6e0c6</errorID>
      <errorWord>经管</errorWord>
      <group>L1_AI</group>
      <groupName>深度校对</groupName>
      <ability>L2_AI_Word</ability>
      <abilityName>字词纠错</abilityName>
      <candidateList>
        <item>后经管</item>
      </candidateList>
      <explain/>
      <paraID>579BE908</paraID>
      <start>16</start>
      <end>18</end>
      <status>unmodified</status>
      <modifiedWord/>
      <trackRevisions>false</trackRevisions>
    </reviewItem>
    <reviewItem>
      <errorID>ade1d64e-1e12-4d04-b1cc-17aee08d86f8</errorID>
      <errorWord>同步进行种</errorWord>
      <group>L1_AI</group>
      <groupName>深度校对</groupName>
      <ability>L2_AI_Word</ability>
      <abilityName>字词纠错</abilityName>
      <candidateList>
        <item>同步进行</item>
      </candidateList>
      <explain/>
      <paraID>579BE908</paraID>
      <start>39</start>
      <end>44</end>
      <status>unmodified</status>
      <modifiedWord/>
      <trackRevisions>false</trackRevisions>
    </reviewItem>
    <reviewItem>
      <errorID>55c1652a-5d82-43ba-8d47-3e23b64f0e9f</errorID>
      <errorWord>酸化油</errorWord>
      <group>L1_Word</group>
      <groupName>字词问题</groupName>
      <ability>L2_Typo</ability>
      <abilityName>字词错误</abilityName>
      <candidateList>
        <item>酸油</item>
      </candidateList>
      <explain/>
      <paraID>6932AFA7</paraID>
      <start>2</start>
      <end>5</end>
      <status>unmodified</status>
      <modifiedWord/>
      <trackRevisions>false</trackRevisions>
    </reviewItem>
    <reviewItem>
      <errorID>01d5b298-9886-4fc4-a13c-2c7b2d94253a</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7D93EB0E</paraID>
      <start>15</start>
      <end>18</end>
      <status>unmodified</status>
      <modifiedWord/>
      <trackRevisions>false</trackRevisions>
    </reviewItem>
    <reviewItem>
      <errorID>c1905f58-cc47-44bf-bc6b-de40930824aa</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7D93EB0E</paraID>
      <start>32</start>
      <end>35</end>
      <status>unmodified</status>
      <modifiedWord/>
      <trackRevisions>false</trackRevisions>
    </reviewItem>
    <reviewItem>
      <errorID>5efdd6d7-7f5a-4a3d-96f0-a82f8ab4068c</errorID>
      <errorWord>制订了</errorWord>
      <group>L1_Word</group>
      <groupName>字词问题</groupName>
      <ability>L2_Typo</ability>
      <abilityName>字词错误</abilityName>
      <candidateList>
        <item>制定了</item>
      </candidateList>
      <explain/>
      <paraID>6911D678</paraID>
      <start>113</start>
      <end>116</end>
      <status>modified</status>
      <modifiedWord>制定了</modifiedWord>
      <trackRevisions>false</trackRevisions>
    </reviewItem>
    <reviewItem>
      <errorID>50581253-8fc6-4b76-afe8-19e137d571d7</errorID>
      <errorWord>委托广西</errorWord>
      <group>L1_AI</group>
      <groupName>深度校对</groupName>
      <ability>L2_AI_Grammar</ability>
      <abilityName>语法纠错</abilityName>
      <candidateList>
        <item>委托</item>
      </candidateList>
      <explain/>
      <paraID>6911D678</paraID>
      <start>129</start>
      <end>131</end>
      <status>modified</status>
      <modifiedWord>委托</modifiedWord>
      <trackRevisions>false</trackRevisions>
    </reviewItem>
    <reviewItem>
      <errorID>80438069-b54b-4c75-bf56-160b64f65df3</errorID>
      <errorWord>危险货种</errorWord>
      <group>L1_Knowledge</group>
      <groupName>知识性问题</groupName>
      <ability>L2_Term</ability>
      <abilityName>专业术语</abilityName>
      <candidateList>
        <item>危险货物</item>
      </candidateList>
      <explain/>
      <paraID>202C662D</paraID>
      <start>5</start>
      <end>9</end>
      <status>unmodified</status>
      <modifiedWord/>
      <trackRevisions>false</trackRevisions>
    </reviewItem>
    <reviewItem>
      <errorID>d2765354-7441-419f-b696-dea905d5c619</errorID>
      <errorWord>工程在</errorWord>
      <group>L1_Word</group>
      <groupName>字词问题</groupName>
      <ability>L2_Typo</ability>
      <abilityName>字词错误</abilityName>
      <candidateList>
        <item>工程</item>
      </candidateList>
      <explain/>
      <paraID>77A1F4E5</paraID>
      <start>197</start>
      <end>200</end>
      <status>unmodified</status>
      <modifiedWord/>
      <trackRevisions>false</trackRevisions>
    </reviewItem>
    <reviewItem>
      <errorID>f67816a0-7b72-4148-9e42-844bb55da99e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6BAE7E91</paraID>
      <start>23</start>
      <end>24</end>
      <status>unmodified</status>
      <modifiedWord/>
      <trackRevisions>false</trackRevisions>
    </reviewItem>
    <reviewItem>
      <errorID>9fa2701f-d7c6-44d8-b29d-51a1dcba8920</errorID>
      <errorWord>(</errorWord>
      <group>L1_Format</group>
      <groupName>格式问题</groupName>
      <ability>L2_HalfPunc</ability>
      <abilityName>全半角检查</abilityName>
      <candidateList>
        <item>（</item>
      </candidateList>
      <explain>文本全半角错误。</explain>
      <paraID> 53C40FE</paraID>
      <start>34</start>
      <end>35</end>
      <status>unmodified</status>
      <modifiedWord/>
      <trackRevisions>false</trackRevisions>
    </reviewItem>
    <reviewItem>
      <errorID>6ca88717-f41f-4512-9245-4fc0fc7c364f</errorID>
      <errorWord>)</errorWord>
      <group>L1_Format</group>
      <groupName>格式问题</groupName>
      <ability>L2_HalfPunc</ability>
      <abilityName>全半角检查</abilityName>
      <candidateList>
        <item>）</item>
      </candidateList>
      <explain>文本全半角错误。</explain>
      <paraID> 53C40FE</paraID>
      <start>39</start>
      <end>40</end>
      <status>unmodified</status>
      <modifiedWord/>
      <trackRevisions>false</trackRevisions>
    </reviewItem>
    <reviewItem>
      <errorID>b4ee4e36-9838-4bd1-a7e9-fcc9f5e3fd04</errorID>
      <errorWord>农业部</errorWord>
      <group>L1_Knowledge</group>
      <groupName>知识性问题</groupName>
      <ability>L2_Knowledge</ability>
      <abilityName>其他知识</abilityName>
      <candidateList>
        <item>农业农村部</item>
      </candidateList>
      <explain/>
      <paraID>5ECF7099</paraID>
      <start>24</start>
      <end>29</end>
      <status>modified</status>
      <modifiedWord>农业农村部</modifiedWord>
      <trackRevisions>false</trackRevisions>
    </reviewItem>
    <reviewItem>
      <errorID>ce4d86f9-bd89-4f79-9903-4f234011c393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67971426</paraID>
      <start>32</start>
      <end>33</end>
      <status>unmodified</status>
      <modifiedWord/>
      <trackRevisions>false</trackRevisions>
    </reviewItem>
    <reviewItem>
      <errorID>e00b191b-e8ce-4c25-b5b6-23f3a2f0f911</errorID>
      <errorWord>II</errorWord>
      <group>L1_Knowledge</group>
      <groupName>知识性问题</groupName>
      <ability>L2_Knowledge</ability>
      <abilityName>其他知识</abilityName>
      <candidateList>
        <item>Ⅱ</item>
      </candidateList>
      <explain/>
      <paraID> FBF227D</paraID>
      <start>18</start>
      <end>20</end>
      <status>unmodified</status>
      <modifiedWord/>
      <trackRevisions>false</trackRevisions>
    </reviewItem>
    <reviewItem>
      <errorID>3b5accb3-3cbc-4676-a9fe-19a7cafa1de9</errorID>
      <errorWord>IV</errorWord>
      <group>L1_Knowledge</group>
      <groupName>知识性问题</groupName>
      <ability>L2_Knowledge</ability>
      <abilityName>其他知识</abilityName>
      <candidateList>
        <item>Ⅳ</item>
      </candidateList>
      <explain/>
      <paraID>7A27C9ED</paraID>
      <start>18</start>
      <end>20</end>
      <status>unmodified</status>
      <modifiedWord/>
      <trackRevisions>false</trackRevisions>
    </reviewItem>
    <reviewItem>
      <errorID>bc8c69e6-32e7-4c51-85d9-af75207f2144</errorID>
      <errorWord>广西壮族自治区陆生野生动物保护管理规定</errorWord>
      <group>L1_Knowledge</group>
      <groupName>知识性问题</groupName>
      <ability>L2_Knowledge</ability>
      <abilityName>其他知识</abilityName>
      <candidateList/>
      <explain>该法规于2012年3月23日制定，当前已废止，请注意检查引用是否正确。</explain>
      <paraID>65A4531A</paraID>
      <start>1</start>
      <end>20</end>
      <status>unmodified</status>
      <modifiedWord/>
      <trackRevisions>false</trackRevisions>
    </reviewItem>
    <reviewItem>
      <errorID>88ccbc0d-590b-4d00-93eb-f28b40537a26</errorID>
      <errorWord>广西壮族自治区水生野生动物保护管理规定</errorWord>
      <group>L1_Knowledge</group>
      <groupName>知识性问题</groupName>
      <ability>L2_Knowledge</ability>
      <abilityName>其他知识</abilityName>
      <candidateList/>
      <explain>该法规于2012年3月23日制定，当前已废止，请注意检查引用是否正确。</explain>
      <paraID> 27E9A93</paraID>
      <start>1</start>
      <end>20</end>
      <status>unmodified</status>
      <modifiedWord/>
      <trackRevisions>false</trackRevisions>
    </reviewItem>
    <reviewItem>
      <errorID>07826c26-0346-41ac-88be-68f6cb6c4229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593E58EE</paraID>
      <start>19</start>
      <end>20</end>
      <status>unmodified</status>
      <modifiedWord/>
      <trackRevisions>false</trackRevisions>
    </reviewItem>
    <reviewItem>
      <errorID>78c4d437-5acb-431f-97c6-b97e1830ccca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2F293100</paraID>
      <start>24</start>
      <end>25</end>
      <status>unmodified</status>
      <modifiedWord/>
      <trackRevisions>false</trackRevisions>
    </reviewItem>
    <reviewItem>
      <errorID>3a963dcf-156c-47f0-b5b9-1989d3d952a6</errorID>
      <errorWord>《</errorWord>
      <group>L1_Punc</group>
      <groupName>标点问题</groupName>
      <ability>L2_Punc</ability>
      <abilityName>标点符号检查</abilityName>
      <candidateList/>
      <explain>同一形式括号套用。</explain>
      <paraID>6E876AA1</paraID>
      <start>15</start>
      <end>16</end>
      <status>unmodified</status>
      <modifiedWord/>
      <trackRevisions>false</trackRevisions>
    </reviewItem>
    <reviewItem>
      <errorID>f599d6ff-5203-49b3-926e-09be6e0e3868</errorID>
      <errorWord>》</errorWord>
      <group>L1_Punc</group>
      <groupName>标点问题</groupName>
      <ability>L2_Punc</ability>
      <abilityName>标点符号检查</abilityName>
      <candidateList/>
      <explain>同一形式括号套用。</explain>
      <paraID>6E876AA1</paraID>
      <start>40</start>
      <end>41</end>
      <status>unmodified</status>
      <modifiedWord/>
      <trackRevisions>false</trackRevisions>
    </reviewItem>
    <reviewItem>
      <errorID>be194660-1059-4c05-beb4-4d664a822e43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5A09D079</paraID>
      <start>21</start>
      <end>22</end>
      <status>unmodified</status>
      <modifiedWord/>
      <trackRevisions>false</trackRevisions>
    </reviewItem>
    <reviewItem>
      <errorID>861fb68b-ffae-4090-97aa-966b93ac6a49</errorID>
      <errorWord>-</errorWord>
      <group>L1_Format</group>
      <groupName>格式问题</groupName>
      <ability>L2_HalfPunc</ability>
      <abilityName>全半角检查</abilityName>
      <candidateList>
        <item>－</item>
      </candidateList>
      <explain>文本全半角错误。</explain>
      <paraID>5A09D079</paraID>
      <start>49</start>
      <end>50</end>
      <status>unmodified</status>
      <modifiedWord/>
      <trackRevisions>false</trackRevisions>
    </reviewItem>
    <reviewItem>
      <errorID>87ee0810-adaa-4b3b-80d9-09e1c4ec067b</errorID>
      <errorWord>-</errorWord>
      <group>L1_Format</group>
      <groupName>格式问题</groupName>
      <ability>L2_HalfPunc</ability>
      <abilityName>全半角检查</abilityName>
      <candidateList>
        <item>－</item>
      </candidateList>
      <explain>文本全半角错误。</explain>
      <paraID>5A09D079</paraID>
      <start>53</start>
      <end>54</end>
      <status>unmodified</status>
      <modifiedWord/>
      <trackRevisions>false</trackRevisions>
    </reviewItem>
    <reviewItem>
      <errorID>e9fb6270-7dfd-4a96-a821-d7d27775ec85</errorID>
      <errorWord>III</errorWord>
      <group>L1_Knowledge</group>
      <groupName>知识性问题</groupName>
      <ability>L2_Knowledge</ability>
      <abilityName>其他知识</abilityName>
      <candidateList>
        <item>Ⅲ</item>
      </candidateList>
      <explain/>
      <paraID>50CE1716</paraID>
      <start>0</start>
      <end>3</end>
      <status>unmodified</status>
      <modifiedWord/>
      <trackRevisions>false</trackRevisions>
    </reviewItem>
    <reviewItem>
      <errorID>c827e3fb-74dc-4593-9908-22bb1f78cb7e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4DE0B57B</paraID>
      <start>0</start>
      <end>2</end>
      <status>unmodified</status>
      <modifiedWord/>
      <trackRevisions>false</trackRevisions>
    </reviewItem>
    <reviewItem>
      <errorID>c8507bbd-bfa0-499d-ab4b-2685ab7cf0fb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1F8BC3D0</paraID>
      <start>0</start>
      <end>2</end>
      <status>unmodified</status>
      <modifiedWord/>
      <trackRevisions>false</trackRevisions>
    </reviewItem>
    <reviewItem>
      <errorID>0993632b-cdd2-40b1-9ea8-3337df878f52</errorID>
      <errorWord>[2025]15号</errorWord>
      <group>L1_Knowledge</group>
      <groupName>知识性问题</groupName>
      <ability>L2_Knowledge</ability>
      <abilityName>其他知识</abilityName>
      <candidateList>
        <item>〔2025〕15号</item>
      </candidateList>
      <explain>发文字号格式错误。</explain>
      <paraID>31D1F183</paraID>
      <start>45</start>
      <end>54</end>
      <status>unmodified</status>
      <modifiedWord/>
      <trackRevisions>false</trackRevisions>
    </reviewItem>
    <reviewItem>
      <errorID>70221c76-fd08-49e2-b748-f0c5df2a9171</errorID>
      <errorWord>[2025]33号</errorWord>
      <group>L1_Knowledge</group>
      <groupName>知识性问题</groupName>
      <ability>L2_Knowledge</ability>
      <abilityName>其他知识</abilityName>
      <candidateList>
        <item>〔2025〕33号</item>
      </candidateList>
      <explain>发文字号格式错误。</explain>
      <paraID>171216F7</paraID>
      <start>47</start>
      <end>56</end>
      <status>unmodified</status>
      <modifiedWord/>
      <trackRevisions>false</trackRevisions>
    </reviewItem>
    <reviewItem>
      <errorID>2321c321-eec7-4264-be8c-72cd74ac1a6d</errorID>
      <errorWord>评价中</errorWord>
      <group>L1_Word</group>
      <groupName>字词问题</groupName>
      <ability>L2_Typo</ability>
      <abilityName>字词错误</abilityName>
      <candidateList>
        <item>评价</item>
      </candidateList>
      <explain/>
      <paraID>146BF785</paraID>
      <start>21</start>
      <end>24</end>
      <status>unmodified</status>
      <modifiedWord/>
      <trackRevisions>false</trackRevisions>
    </reviewItem>
    <reviewItem>
      <errorID>46ea74d0-3208-4d6a-ab02-0264f2b26b39</errorID>
      <errorWord>(</errorWord>
      <group>L1_Format</group>
      <groupName>格式问题</groupName>
      <ability>L2_HalfPunc</ability>
      <abilityName>全半角检查</abilityName>
      <candidateList>
        <item>（</item>
      </candidateList>
      <explain>文本全半角错误。</explain>
      <paraID>49FA5910</paraID>
      <start>8</start>
      <end>9</end>
      <status>unmodified</status>
      <modifiedWord/>
      <trackRevisions>false</trackRevisions>
    </reviewItem>
    <reviewItem>
      <errorID>1eaa24c0-ce74-455f-83bf-493696769f35</errorID>
      <errorWord>)</errorWord>
      <group>L1_Format</group>
      <groupName>格式问题</groupName>
      <ability>L2_HalfPunc</ability>
      <abilityName>全半角检查</abilityName>
      <candidateList>
        <item>）</item>
      </candidateList>
      <explain>文本全半角错误。</explain>
      <paraID>49FA5910</paraID>
      <start>14</start>
      <end>15</end>
      <status>unmodified</status>
      <modifiedWord/>
      <trackRevisions>false</trackRevisions>
    </reviewItem>
    <reviewItem>
      <errorID>f18449d6-e694-4979-8d16-1737f566502f</errorID>
      <errorWord>排放限制</errorWord>
      <group>L1_Word</group>
      <groupName>字词问题</groupName>
      <ability>L2_Typo</ability>
      <abilityName>字词错误</abilityName>
      <candidateList>
        <item>排放限值</item>
      </candidateList>
      <explain/>
      <paraID>73FBF5C4</paraID>
      <start>49</start>
      <end>53</end>
      <status>modified</status>
      <modifiedWord>排放限值</modifiedWord>
      <trackRevisions>false</trackRevisions>
    </reviewItem>
    <reviewItem>
      <errorID>4e6d4386-6e1a-40fb-aa09-14fd967ee952</errorID>
      <errorWord>（</errorWord>
      <group>L1_Format</group>
      <groupName>格式问题</groupName>
      <ability>L2_HalfPunc</ability>
      <abilityName>全半角检查</abilityName>
      <candidateList>
        <item>(</item>
      </candidateList>
      <explain>文本全半角错误。</explain>
      <paraID>1CC723CE</paraID>
      <start>2</start>
      <end>3</end>
      <status>unmodified</status>
      <modifiedWord/>
      <trackRevisions>false</trackRevisions>
    </reviewItem>
    <reviewItem>
      <errorID>8d5f87d6-058d-413d-9c19-4eb9088d6cce</errorID>
      <errorWord>）</errorWord>
      <group>L1_Format</group>
      <groupName>格式问题</groupName>
      <ability>L2_HalfPunc</ability>
      <abilityName>全半角检查</abilityName>
      <candidateList>
        <item>)</item>
      </candidateList>
      <explain>文本全半角错误。</explain>
      <paraID>1CC723CE</paraID>
      <start>8</start>
      <end>9</end>
      <status>unmodified</status>
      <modifiedWord/>
      <trackRevisions>false</trackRevisions>
    </reviewItem>
    <reviewItem>
      <errorID>98aa7ef6-adff-425f-ab97-ff69465e7d3f</errorID>
      <errorWord>（</errorWord>
      <group>L1_Format</group>
      <groupName>格式问题</groupName>
      <ability>L2_HalfPunc</ability>
      <abilityName>全半角检查</abilityName>
      <candidateList>
        <item>(</item>
      </candidateList>
      <explain>文本全半角错误。</explain>
      <paraID>7C87EA9F</paraID>
      <start>6</start>
      <end>7</end>
      <status>unmodified</status>
      <modifiedWord/>
      <trackRevisions>false</trackRevisions>
    </reviewItem>
    <reviewItem>
      <errorID>0c4bfaea-34a7-4dcb-a4ab-91280baa255a</errorID>
      <errorWord>）</errorWord>
      <group>L1_Format</group>
      <groupName>格式问题</groupName>
      <ability>L2_HalfPunc</ability>
      <abilityName>全半角检查</abilityName>
      <candidateList>
        <item>)</item>
      </candidateList>
      <explain>文本全半角错误。</explain>
      <paraID>7C87EA9F</paraID>
      <start>12</start>
      <end>13</end>
      <status>unmodified</status>
      <modifiedWord/>
      <trackRevisions>false</trackRevisions>
    </reviewItem>
    <reviewItem>
      <errorID>e7a5ff13-c06f-4431-b8dc-9be5df33c111</errorID>
      <errorWord>（</errorWord>
      <group>L1_Format</group>
      <groupName>格式问题</groupName>
      <ability>L2_HalfPunc</ability>
      <abilityName>全半角检查</abilityName>
      <candidateList>
        <item>(</item>
      </candidateList>
      <explain>文本全半角错误。</explain>
      <paraID>27DC86AE</paraID>
      <start>6</start>
      <end>7</end>
      <status>unmodified</status>
      <modifiedWord/>
      <trackRevisions>false</trackRevisions>
    </reviewItem>
    <reviewItem>
      <errorID>6cf6fbab-42b6-47b1-8336-eeb073d72ba5</errorID>
      <errorWord>）</errorWord>
      <group>L1_Format</group>
      <groupName>格式问题</groupName>
      <ability>L2_HalfPunc</ability>
      <abilityName>全半角检查</abilityName>
      <candidateList>
        <item>)</item>
      </candidateList>
      <explain>文本全半角错误。</explain>
      <paraID>27DC86AE</paraID>
      <start>12</start>
      <end>13</end>
      <status>unmodified</status>
      <modifiedWord/>
      <trackRevisions>false</trackRevisions>
    </reviewItem>
    <reviewItem>
      <errorID>fbc401ea-c6af-46cb-90f4-0cdb8245c808</errorID>
      <errorWord>（</errorWord>
      <group>L1_Format</group>
      <groupName>格式问题</groupName>
      <ability>L2_HalfPunc</ability>
      <abilityName>全半角检查</abilityName>
      <candidateList>
        <item>(</item>
      </candidateList>
      <explain>文本全半角错误。</explain>
      <paraID> 5DCA308</paraID>
      <start>2</start>
      <end>3</end>
      <status>unmodified</status>
      <modifiedWord/>
      <trackRevisions>false</trackRevisions>
    </reviewItem>
    <reviewItem>
      <errorID>c48781bb-020d-47c9-a81f-87f1aabcb52b</errorID>
      <errorWord>）</errorWord>
      <group>L1_Format</group>
      <groupName>格式问题</groupName>
      <ability>L2_HalfPunc</ability>
      <abilityName>全半角检查</abilityName>
      <candidateList>
        <item>)</item>
      </candidateList>
      <explain>文本全半角错误。</explain>
      <paraID> 5DCA308</paraID>
      <start>8</start>
      <end>9</end>
      <status>unmodified</status>
      <modifiedWord/>
      <trackRevisions>false</trackRevisions>
    </reviewItem>
    <reviewItem>
      <errorID>4d97679e-9482-4abd-bc5a-096fd1ec9131</errorID>
      <errorWord>(</errorWord>
      <group>L1_Format</group>
      <groupName>格式问题</groupName>
      <ability>L2_HalfPunc</ability>
      <abilityName>全半角检查</abilityName>
      <candidateList>
        <item>（</item>
      </candidateList>
      <explain>文本全半角错误。</explain>
      <paraID>15C5765A</paraID>
      <start>2</start>
      <end>3</end>
      <status>unmodified</status>
      <modifiedWord/>
      <trackRevisions>false</trackRevisions>
    </reviewItem>
    <reviewItem>
      <errorID>ceee603a-1c7d-4978-b6fb-1b2ceeaa37e8</errorID>
      <errorWord>)</errorWord>
      <group>L1_Format</group>
      <groupName>格式问题</groupName>
      <ability>L2_HalfPunc</ability>
      <abilityName>全半角检查</abilityName>
      <candidateList>
        <item>）</item>
      </candidateList>
      <explain>文本全半角错误。</explain>
      <paraID>15C5765A</paraID>
      <start>4</start>
      <end>5</end>
      <status>unmodified</status>
      <modifiedWord/>
      <trackRevisions>false</trackRevisions>
    </reviewItem>
    <reviewItem>
      <errorID>df71bf6e-67b8-449b-b76b-5bbb33b262eb</errorID>
      <errorWord>（</errorWord>
      <group>L1_Format</group>
      <groupName>格式问题</groupName>
      <ability>L2_HalfPunc</ability>
      <abilityName>全半角检查</abilityName>
      <candidateList>
        <item>(</item>
      </candidateList>
      <explain>文本全半角错误。</explain>
      <paraID>311C4C88</paraID>
      <start>2</start>
      <end>3</end>
      <status>unmodified</status>
      <modifiedWord/>
      <trackRevisions>false</trackRevisions>
    </reviewItem>
    <reviewItem>
      <errorID>689b262a-9fef-4f1b-9d24-7b3546b918d8</errorID>
      <errorWord>）</errorWord>
      <group>L1_Format</group>
      <groupName>格式问题</groupName>
      <ability>L2_HalfPunc</ability>
      <abilityName>全半角检查</abilityName>
      <candidateList>
        <item>)</item>
      </candidateList>
      <explain>文本全半角错误。</explain>
      <paraID>311C4C88</paraID>
      <start>8</start>
      <end>9</end>
      <status>unmodified</status>
      <modifiedWord/>
      <trackRevisions>false</trackRevisions>
    </reviewItem>
    <reviewItem>
      <errorID>3999a0bd-1930-4123-9155-bdf25bce297a</errorID>
      <errorWord>（</errorWord>
      <group>L1_Format</group>
      <groupName>格式问题</groupName>
      <ability>L2_HalfPunc</ability>
      <abilityName>全半角检查</abilityName>
      <candidateList>
        <item>(</item>
      </candidateList>
      <explain>文本全半角错误。</explain>
      <paraID> F99D4BF</paraID>
      <start>6</start>
      <end>7</end>
      <status>unmodified</status>
      <modifiedWord/>
      <trackRevisions>false</trackRevisions>
    </reviewItem>
    <reviewItem>
      <errorID>89349ebd-6c53-421c-955d-aa57cce66fc4</errorID>
      <errorWord>）</errorWord>
      <group>L1_Format</group>
      <groupName>格式问题</groupName>
      <ability>L2_HalfPunc</ability>
      <abilityName>全半角检查</abilityName>
      <candidateList>
        <item>)</item>
      </candidateList>
      <explain>文本全半角错误。</explain>
      <paraID> F99D4BF</paraID>
      <start>12</start>
      <end>13</end>
      <status>unmodified</status>
      <modifiedWord/>
      <trackRevisions>false</trackRevisions>
    </reviewItem>
    <reviewItem>
      <errorID>6a692aa6-5106-4a8c-ab8a-fddbbb0ecc93</errorID>
      <errorWord>（</errorWord>
      <group>L1_Format</group>
      <groupName>格式问题</groupName>
      <ability>L2_HalfPunc</ability>
      <abilityName>全半角检查</abilityName>
      <candidateList>
        <item>(</item>
      </candidateList>
      <explain>文本全半角错误。</explain>
      <paraID>78EAACCF</paraID>
      <start>6</start>
      <end>7</end>
      <status>unmodified</status>
      <modifiedWord/>
      <trackRevisions>false</trackRevisions>
    </reviewItem>
    <reviewItem>
      <errorID>f5bee926-2249-4ac4-a723-e5cc18c3e8cb</errorID>
      <errorWord>）</errorWord>
      <group>L1_Format</group>
      <groupName>格式问题</groupName>
      <ability>L2_HalfPunc</ability>
      <abilityName>全半角检查</abilityName>
      <candidateList>
        <item>)</item>
      </candidateList>
      <explain>文本全半角错误。</explain>
      <paraID>78EAACCF</paraID>
      <start>12</start>
      <end>13</end>
      <status>unmodified</status>
      <modifiedWord/>
      <trackRevisions>false</trackRevisions>
    </reviewItem>
    <reviewItem>
      <errorID>a59adf71-f9b6-4ec9-80cc-fe9b10d11d3f</errorID>
      <errorWord>（</errorWord>
      <group>L1_Format</group>
      <groupName>格式问题</groupName>
      <ability>L2_HalfPunc</ability>
      <abilityName>全半角检查</abilityName>
      <candidateList>
        <item>(</item>
      </candidateList>
      <explain>文本全半角错误。</explain>
      <paraID> 5E340E3</paraID>
      <start>2</start>
      <end>3</end>
      <status>unmodified</status>
      <modifiedWord/>
      <trackRevisions>false</trackRevisions>
    </reviewItem>
    <reviewItem>
      <errorID>5f2ccb05-0578-4435-94e8-739b3d0d721e</errorID>
      <errorWord>）</errorWord>
      <group>L1_Format</group>
      <groupName>格式问题</groupName>
      <ability>L2_HalfPunc</ability>
      <abilityName>全半角检查</abilityName>
      <candidateList>
        <item>)</item>
      </candidateList>
      <explain>文本全半角错误。</explain>
      <paraID> 5E340E3</paraID>
      <start>8</start>
      <end>9</end>
      <status>unmodified</status>
      <modifiedWord/>
      <trackRevisions>false</trackRevisions>
    </reviewItem>
    <reviewItem>
      <errorID>1eeb62db-2891-4ec5-8e0b-06c095ca8410</errorID>
      <errorWord>(</errorWord>
      <group>L1_Format</group>
      <groupName>格式问题</groupName>
      <ability>L2_HalfPunc</ability>
      <abilityName>全半角检查</abilityName>
      <candidateList>
        <item>（</item>
      </candidateList>
      <explain>文本全半角错误。</explain>
      <paraID>3BBA0B52</paraID>
      <start>2</start>
      <end>3</end>
      <status>unmodified</status>
      <modifiedWord/>
      <trackRevisions>false</trackRevisions>
    </reviewItem>
    <reviewItem>
      <errorID>4713d3b2-44cb-4c13-8bbb-e3927265aad3</errorID>
      <errorWord>)</errorWord>
      <group>L1_Format</group>
      <groupName>格式问题</groupName>
      <ability>L2_HalfPunc</ability>
      <abilityName>全半角检查</abilityName>
      <candidateList>
        <item>）</item>
      </candidateList>
      <explain>文本全半角错误。</explain>
      <paraID>3BBA0B52</paraID>
      <start>4</start>
      <end>5</end>
      <status>unmodified</status>
      <modifiedWord/>
      <trackRevisions>false</trackRevisions>
    </reviewItem>
    <reviewItem>
      <errorID>efc7a4d7-eb0c-4fcc-b872-2c380dff021d</errorID>
      <errorWord>货油</errorWord>
      <group>L1_Word</group>
      <groupName>字词问题</groupName>
      <ability>L2_Typo</ability>
      <abilityName>字词错误</abilityName>
      <candidateList>
        <item>过油</item>
      </candidateList>
      <explain/>
      <paraID>600B4CD6</paraID>
      <start>1</start>
      <end>3</end>
      <status>unmodified</status>
      <modifiedWord/>
      <trackRevisions>false</trackRevisions>
    </reviewItem>
    <reviewItem>
      <errorID>e7cdd869-abb2-44be-a595-abb50f930063</errorID>
      <errorWord>不</errorWord>
      <group>L1_Word</group>
      <groupName>字词问题</groupName>
      <ability>L2_Typo</ability>
      <abilityName>字词错误</abilityName>
      <candidateList>
        <item>不得</item>
      </candidateList>
      <explain>〈助〉用在动词、形容词后面，表示不可以或不能够：去～｜要～｜动弹～｜马虎～｜老虎屁股摸～｜科学上来～半点虚假。</explain>
      <paraID>6F8FEC87</paraID>
      <start>65</start>
      <end>67</end>
      <status>modified</status>
      <modifiedWord>不得</modifiedWord>
      <trackRevisions>false</trackRevisions>
    </reviewItem>
    <reviewItem>
      <errorID>c740b4e5-6480-453c-b32d-47fe1398a660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21D29389</paraID>
      <start>9</start>
      <end>10</end>
      <status>unmodified</status>
      <modifiedWord/>
      <trackRevisions>false</trackRevisions>
    </reviewItem>
    <reviewItem>
      <errorID>9b73de80-044f-4994-975c-5d74ac5fc0de</errorID>
      <errorWord>(</errorWord>
      <group>L1_Format</group>
      <groupName>格式问题</groupName>
      <ability>L2_HalfPunc</ability>
      <abilityName>全半角检查</abilityName>
      <candidateList>
        <item>（</item>
      </candidateList>
      <explain>文本全半角错误。</explain>
      <paraID>4F2CB36D</paraID>
      <start>17</start>
      <end>18</end>
      <status>unmodified</status>
      <modifiedWord/>
      <trackRevisions>false</trackRevisions>
    </reviewItem>
    <reviewItem>
      <errorID>0052ba2c-5ed7-4d57-87c0-f4d684c1ea3c</errorID>
      <errorWord>)</errorWord>
      <group>L1_Format</group>
      <groupName>格式问题</groupName>
      <ability>L2_HalfPunc</ability>
      <abilityName>全半角检查</abilityName>
      <candidateList>
        <item>）</item>
      </candidateList>
      <explain>文本全半角错误。</explain>
      <paraID>4F2CB36D</paraID>
      <start>30</start>
      <end>31</end>
      <status>unmodified</status>
      <modifiedWord/>
      <trackRevisions>false</trackRevisions>
    </reviewItem>
    <reviewItem>
      <errorID>fe59898e-da70-4fe7-92ef-710780b5c8bc</errorID>
      <errorWord>~</errorWord>
      <group>L1_Format</group>
      <groupName>格式问题</groupName>
      <ability>L2_HalfPunc</ability>
      <abilityName>全半角检查</abilityName>
      <candidateList>
        <item>～</item>
      </candidateList>
      <explain>文本全半角错误。</explain>
      <paraID>64603D1D</paraID>
      <start>28</start>
      <end>29</end>
      <status>unmodified</status>
      <modifiedWord/>
      <trackRevisions>false</trackRevisions>
    </reviewItem>
    <reviewItem>
      <errorID>f075197d-9f5a-4e84-aa15-d3e5daa1f308</errorID>
      <errorWord>海拔高度</errorWord>
      <group>L1_Word</group>
      <groupName>字词问题</groupName>
      <ability>L2_Typo</ability>
      <abilityName>字词错误</abilityName>
      <candidateList>
        <item>海拔</item>
      </candidateList>
      <explain>〈名〉从平均海平面起算的高度。</explain>
      <paraID>19B3E68B</paraID>
      <start>2</start>
      <end>6</end>
      <status>unmodified</status>
      <modifiedWord/>
      <trackRevisions>false</trackRevisions>
    </reviewItem>
    <reviewItem>
      <errorID>fa6aee3d-26de-4028-bbdf-b8d77f593f57</errorID>
      <errorWord>.。</errorWord>
      <group>L1_Punc</group>
      <groupName>标点问题</groupName>
      <ability>L2_Punc</ability>
      <abilityName>标点符号检查</abilityName>
      <candidateList>
        <item>.</item>
      </candidateList>
      <explain/>
      <paraID>4F03B670</paraID>
      <start>21</start>
      <end>23</end>
      <status>unmodified</status>
      <modifiedWord/>
      <trackRevisions>false</trackRevisions>
    </reviewItem>
    <reviewItem>
      <errorID>2441e958-0d20-4476-bfd2-4ea03c9bd236</errorID>
      <errorWord>评价评价</errorWord>
      <group>L1_Word</group>
      <groupName>字词问题</groupName>
      <ability>L2_Typo</ability>
      <abilityName>字词错误</abilityName>
      <candidateList>
        <item>评价</item>
      </candidateList>
      <explain/>
      <paraID>4380080D</paraID>
      <start>24</start>
      <end>26</end>
      <status>modified</status>
      <modifiedWord>评价</modifiedWord>
      <trackRevisions>false</trackRevisions>
    </reviewItem>
    <reviewItem>
      <errorID>a31c58b4-d66c-44bf-880e-5a00465c8766</errorID>
      <errorWord>，</errorWord>
      <group>L1_Format</group>
      <groupName>格式问题</groupName>
      <ability>L2_HalfPunc</ability>
      <abilityName>全半角检查</abilityName>
      <candidateList>
        <item>,</item>
      </candidateList>
      <explain>文本全半角错误。</explain>
      <paraID>6BFE81BE</paraID>
      <start>1</start>
      <end>2</end>
      <status>unmodified</status>
      <modifiedWord/>
      <trackRevisions>false</trackRevisions>
    </reviewItem>
    <reviewItem>
      <errorID>4579d761-8721-47e3-9cb2-2fa855f7a427</errorID>
      <errorWord>，</errorWord>
      <group>L1_Format</group>
      <groupName>格式问题</groupName>
      <ability>L2_HalfPunc</ability>
      <abilityName>全半角检查</abilityName>
      <candidateList>
        <item>,</item>
      </candidateList>
      <explain>文本全半角错误。</explain>
      <paraID>4A3BA85E</paraID>
      <start>1</start>
      <end>2</end>
      <status>unmodified</status>
      <modifiedWord/>
      <trackRevisions>false</trackRevisions>
    </reviewItem>
    <reviewItem>
      <errorID>65a034ba-6cef-4e8b-8b82-d89ffdc4d713</errorID>
      <errorWord>鰮</errorWord>
      <group>L1_Word</group>
      <groupName>字词问题</groupName>
      <ability>L2_Fanti</ability>
      <abilityName>繁转简</abilityName>
      <candidateList>
        <item>鳁</item>
      </candidateList>
      <explain/>
      <paraID> D95B5F8</paraID>
      <start>0</start>
      <end>1</end>
      <status>unmodified</status>
      <modifiedWord/>
      <trackRevisions>false</trackRevisions>
    </reviewItem>
    <reviewItem>
      <errorID>93cb6021-6ce8-4736-8dfb-4212414085b3</errorID>
      <errorWord>工程工程</errorWord>
      <group>L1_Word</group>
      <groupName>字词问题</groupName>
      <ability>L2_Typo</ability>
      <abilityName>字词错误</abilityName>
      <candidateList>
        <item>工程</item>
      </candidateList>
      <explain/>
      <paraID>6026E75D</paraID>
      <start>16</start>
      <end>18</end>
      <status>modified</status>
      <modifiedWord>工程</modifiedWord>
      <trackRevisions>false</trackRevisions>
    </reviewItem>
    <reviewItem>
      <errorID>b2435c00-752f-41e6-b88d-986693c6ec4e</errorID>
      <errorWord>题</errorWord>
      <group>L1_Word</group>
      <groupName>字词问题</groupName>
      <ability>L2_Typo</ability>
      <abilityName>字词错误</abilityName>
      <candidateList>
        <item>题情</item>
      </candidateList>
      <explain/>
      <paraID>3AA77B71</paraID>
      <start>5</start>
      <end>7</end>
      <status>modified</status>
      <modifiedWord>题情</modifiedWord>
      <trackRevisions>false</trackRevisions>
    </reviewItem>
    <reviewItem>
      <errorID>29f8b019-f2c5-4ac2-bfbe-0647f0437ceb</errorID>
      <errorWord>由由</errorWord>
      <group>L1_Word</group>
      <groupName>字词问题</groupName>
      <ability>L2_Typo</ability>
      <abilityName>字词错误</abilityName>
      <candidateList>
        <item>由</item>
      </candidateList>
      <explain>❶缘由：因～｜事～｜理～。❷〈介〉由于▲：咎～自取｜～感冒引起了肺炎。❸经过：必～之路。❹〈介〉表示经由：～南门入场。❺〈动〉顺随；听从：事不～己｜～着性子。❻〈介〉归（某人去做）：准备工作～我负责｜队长～你担任。❼〈介〉表示凭借：～此可知｜人体是～各种细胞组成的。❽〈介〉表示起点：～表及里｜～北京出发。</explain>
      <paraID>66B05C8E</paraID>
      <start>46</start>
      <end>47</end>
      <status>modified</status>
      <modifiedWord>由</modifiedWord>
      <trackRevisions>false</trackRevisions>
    </reviewItem>
    <reviewItem>
      <errorID>174ce6f1-b879-43d1-a349-425f60b2e05f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6F73DE84</paraID>
      <start>0</start>
      <end>2</end>
      <status>unmodified</status>
      <modifiedWord/>
      <trackRevisions>false</trackRevisions>
    </reviewItem>
    <reviewItem>
      <errorID>0f2b1ee5-da38-4813-9d5a-68a6280cf1f6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580F4B51</paraID>
      <start>0</start>
      <end>2</end>
      <status>unmodified</status>
      <modifiedWord/>
      <trackRevisions>false</trackRevisions>
    </reviewItem>
    <reviewItem>
      <errorID>70d89236-d99d-4eed-9ce9-ceef9518c0d3</errorID>
      <errorWord>》</errorWord>
      <group>L1_Punc</group>
      <groupName>标点问题</groupName>
      <ability>L2_Punc</ability>
      <abilityName>标点符号检查</abilityName>
      <candidateList/>
      <explain/>
      <paraID>31316BB5</paraID>
      <start>6</start>
      <end>7</end>
      <status>unmodified</status>
      <modifiedWord/>
      <trackRevisions>false</trackRevisions>
    </reviewItem>
    <reviewItem>
      <errorID>41947175-532b-4466-998d-b56c7af63236</errorID>
      <errorWord>.</errorWord>
      <group>L1_Format</group>
      <groupName>格式问题</groupName>
      <ability>L2_HalfPunc</ability>
      <abilityName>全半角检查</abilityName>
      <candidateList>
        <item>。</item>
      </candidateList>
      <explain>文本全半角错误。</explain>
      <paraID>7C5D19A1</paraID>
      <start>24</start>
      <end>25</end>
      <status>unmodified</status>
      <modifiedWord/>
      <trackRevisions>false</trackRevisions>
    </reviewItem>
    <reviewItem>
      <errorID>b75463fb-d536-42c2-80cc-ceaa47a537f9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3955902</paraID>
      <start>0</start>
      <end>2</end>
      <status>unmodified</status>
      <modifiedWord/>
      <trackRevisions>false</trackRevisions>
    </reviewItem>
    <reviewItem>
      <errorID>7a14cdb6-3488-484e-8268-33b1eb153cb7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43F46A0B</paraID>
      <start>0</start>
      <end>2</end>
      <status>unmodified</status>
      <modifiedWord/>
      <trackRevisions>false</trackRevisions>
    </reviewItem>
    <reviewItem>
      <errorID>4032c124-620e-49c2-99bb-3ab844190359</errorID>
      <errorWord>~</errorWord>
      <group>L1_Format</group>
      <groupName>格式问题</groupName>
      <ability>L2_HalfPunc</ability>
      <abilityName>全半角检查</abilityName>
      <candidateList>
        <item>～</item>
      </candidateList>
      <explain>文本全半角错误。</explain>
      <paraID>3E04784B</paraID>
      <start>19</start>
      <end>20</end>
      <status>unmodified</status>
      <modifiedWord/>
      <trackRevisions>false</trackRevisions>
    </reviewItem>
    <reviewItem>
      <errorID>917bb0ee-21f1-42bf-af99-25382ddfcee5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36B9813E</paraID>
      <start>0</start>
      <end>2</end>
      <status>unmodified</status>
      <modifiedWord/>
      <trackRevisions>false</trackRevisions>
    </reviewItem>
    <reviewItem>
      <errorID>48c77ad8-9e08-4761-ac8c-e9fb5368564e</errorID>
      <errorWord>[2025]15号</errorWord>
      <group>L1_Knowledge</group>
      <groupName>知识性问题</groupName>
      <ability>L2_Knowledge</ability>
      <abilityName>其他知识</abilityName>
      <candidateList>
        <item>〔2025〕15号</item>
      </candidateList>
      <explain>发文字号格式错误。</explain>
      <paraID>5F8C547B</paraID>
      <start>57</start>
      <end>66</end>
      <status>unmodified</status>
      <modifiedWord/>
      <trackRevisions>false</trackRevisions>
    </reviewItem>
    <reviewItem>
      <errorID>d43ecce7-78cd-447a-b2bf-7d759588af34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7DDA3A11</paraID>
      <start>0</start>
      <end>2</end>
      <status>unmodified</status>
      <modifiedWord/>
      <trackRevisions>false</trackRevisions>
    </reviewItem>
    <reviewItem>
      <errorID>4d5ea7ce-b370-4129-ba02-7b4a302e18a3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33D519E6</paraID>
      <start>0</start>
      <end>2</end>
      <status>unmodified</status>
      <modifiedWord/>
      <trackRevisions>false</trackRevisions>
    </reviewItem>
    <reviewItem>
      <errorID>42188f7b-2b3f-4551-9f7d-525d23597671</errorID>
      <errorWord>~</errorWord>
      <group>L1_Format</group>
      <groupName>格式问题</groupName>
      <ability>L2_HalfPunc</ability>
      <abilityName>全半角检查</abilityName>
      <candidateList>
        <item>～</item>
      </candidateList>
      <explain>文本全半角错误。</explain>
      <paraID>7D4FE466</paraID>
      <start>148</start>
      <end>149</end>
      <status>unmodified</status>
      <modifiedWord/>
      <trackRevisions>false</trackRevisions>
    </reviewItem>
    <reviewItem>
      <errorID>e742b977-3202-4074-9ef9-423b2707d0d4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7FC237A1</paraID>
      <start>0</start>
      <end>2</end>
      <status>unmodified</status>
      <modifiedWord/>
      <trackRevisions>false</trackRevisions>
    </reviewItem>
    <reviewItem>
      <errorID>42c7d269-771f-4967-b1f5-d8bbc2fda255</errorID>
      <errorWord>[2025]33号</errorWord>
      <group>L1_Knowledge</group>
      <groupName>知识性问题</groupName>
      <ability>L2_Knowledge</ability>
      <abilityName>其他知识</abilityName>
      <candidateList>
        <item>〔2025〕33号</item>
      </candidateList>
      <explain>发文字号格式错误。</explain>
      <paraID>4776857E</paraID>
      <start>67</start>
      <end>76</end>
      <status>unmodified</status>
      <modifiedWord/>
      <trackRevisions>false</trackRevisions>
    </reviewItem>
    <reviewItem>
      <errorID>f380e1d7-9926-4f06-adf2-af7aafdad631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3734A642</paraID>
      <start>0</start>
      <end>2</end>
      <status>unmodified</status>
      <modifiedWord/>
      <trackRevisions>false</trackRevisions>
    </reviewItem>
    <reviewItem>
      <errorID>5f16fecd-263f-437a-a95f-94818426e3dc</errorID>
      <errorWord>同步进行种</errorWord>
      <group>L1_Word</group>
      <groupName>字词问题</groupName>
      <ability>L2_Typo</ability>
      <abilityName>字词错误</abilityName>
      <candidateList>
        <item>同步进行</item>
      </candidateList>
      <explain/>
      <paraID> 3602765</paraID>
      <start>187</start>
      <end>191</end>
      <status>modified</status>
      <modifiedWord>同步进行</modifiedWord>
      <trackRevisions>false</trackRevisions>
    </reviewItem>
    <reviewItem>
      <errorID>490bf7a7-83d9-4912-a96c-5c791abe927a</errorID>
      <errorWord>设</errorWord>
      <group>L1_Word</group>
      <groupName>字词问题</groupName>
      <ability>L2_Typo</ability>
      <abilityName>字词错误</abilityName>
      <candidateList>
        <item>设置</item>
      </candidateList>
      <explain>〈动〉❶设立：这座剧院是为儿童～的。❷安放；安装：～障碍。</explain>
      <paraID>6C545F78</paraID>
      <start>7</start>
      <end>8</end>
      <status>unmodified</status>
      <modifiedWord/>
      <trackRevisions>false</trackRevisions>
    </reviewItem>
    <reviewItem>
      <errorID>707182db-b200-4672-9484-b2e8f0e33b0f</errorID>
      <errorWord>，</errorWord>
      <group>L1_Word</group>
      <groupName>字词问题</groupName>
      <ability>L2_Typo</ability>
      <abilityName>字词错误</abilityName>
      <candidateList>
        <item>，在</item>
      </candidateList>
      <explain/>
      <paraID>6C545F78</paraID>
      <start>58</start>
      <end>59</end>
      <status>unmodified</status>
      <modifiedWord/>
      <trackRevisions>false</trackRevisions>
    </reviewItem>
    <reviewItem>
      <errorID>c910767d-4ab1-4956-8962-0491e16576dc</errorID>
      <errorWord>酸化油</errorWord>
      <group>L1_Word</group>
      <groupName>字词问题</groupName>
      <ability>L2_Typo</ability>
      <abilityName>字词错误</abilityName>
      <candidateList>
        <item>酸油</item>
      </candidateList>
      <explain/>
      <paraID> 77A54FB</paraID>
      <start>2</start>
      <end>5</end>
      <status>unmodified</status>
      <modifiedWord/>
      <trackRevisions>false</trackRevisions>
    </reviewItem>
    <reviewItem>
      <errorID>b78bba39-b73b-4b36-9e73-82f00f54ef1e</errorID>
      <errorWord>:</errorWord>
      <group>L1_Format</group>
      <groupName>格式问题</groupName>
      <ability>L2_HalfPunc</ability>
      <abilityName>全半角检查</abilityName>
      <candidateList>
        <item>：</item>
      </candidateList>
      <explain>文本全半角错误。</explain>
      <paraID> EEF53A3</paraID>
      <start>1</start>
      <end>2</end>
      <status>unmodified</status>
      <modifiedWord/>
      <trackRevisions>false</trackRevisions>
    </reviewItem>
    <reviewItem>
      <errorID>242df195-e0df-441d-9388-cb5bc6b1e019</errorID>
      <errorWord>:</errorWord>
      <group>L1_Format</group>
      <groupName>格式问题</groupName>
      <ability>L2_HalfPunc</ability>
      <abilityName>全半角检查</abilityName>
      <candidateList>
        <item>：</item>
      </candidateList>
      <explain>文本全半角错误。</explain>
      <paraID> EEF53A3</paraID>
      <start>5</start>
      <end>6</end>
      <status>unmodified</status>
      <modifiedWord/>
      <trackRevisions>false</trackRevisions>
    </reviewItem>
    <reviewItem>
      <errorID>456272f8-f7b9-4594-882e-bb27e39a347a</errorID>
      <errorWord>;</errorWord>
      <group>L1_Format</group>
      <groupName>格式问题</groupName>
      <ability>L2_HalfPunc</ability>
      <abilityName>全半角检查</abilityName>
      <candidateList>
        <item>；</item>
      </candidateList>
      <explain>文本全半角错误。</explain>
      <paraID> EEF53A3</paraID>
      <start>9</start>
      <end>10</end>
      <status>unmodified</status>
      <modifiedWord/>
      <trackRevisions>false</trackRevisions>
    </reviewItem>
    <reviewItem>
      <errorID>fac834ec-e5bc-4a02-a740-ef0856f3fe48</errorID>
      <errorWord>:</errorWord>
      <group>L1_Format</group>
      <groupName>格式问题</groupName>
      <ability>L2_HalfPunc</ability>
      <abilityName>全半角检查</abilityName>
      <candidateList>
        <item>：</item>
      </candidateList>
      <explain>文本全半角错误。</explain>
      <paraID> EEF53A3</paraID>
      <start>13</start>
      <end>14</end>
      <status>unmodified</status>
      <modifiedWord/>
      <trackRevisions>false</trackRevisions>
    </reviewItem>
    <reviewItem>
      <errorID>866d8b4f-7af5-4d89-9ccd-8542b00f3133</errorID>
      <errorWord>;</errorWord>
      <group>L1_Format</group>
      <groupName>格式问题</groupName>
      <ability>L2_HalfPunc</ability>
      <abilityName>全半角检查</abilityName>
      <candidateList>
        <item>；</item>
      </candidateList>
      <explain>文本全半角错误。</explain>
      <paraID> EEF53A3</paraID>
      <start>18</start>
      <end>19</end>
      <status>unmodified</status>
      <modifiedWord/>
      <trackRevisions>false</trackRevisions>
    </reviewItem>
    <reviewItem>
      <errorID>a10911f0-99cd-46b3-ad3a-fe987cd6af20</errorID>
      <errorWord>:</errorWord>
      <group>L1_Format</group>
      <groupName>格式问题</groupName>
      <ability>L2_HalfPunc</ability>
      <abilityName>全半角检查</abilityName>
      <candidateList>
        <item>：</item>
      </candidateList>
      <explain>文本全半角错误。</explain>
      <paraID> EEF53A3</paraID>
      <start>22</start>
      <end>23</end>
      <status>unmodified</status>
      <modifiedWord/>
      <trackRevisions>false</trackRevisions>
    </reviewItem>
    <reviewItem>
      <errorID>dab6605d-75e4-446e-9546-280c8849eef4</errorID>
      <errorWord>;</errorWord>
      <group>L1_Format</group>
      <groupName>格式问题</groupName>
      <ability>L2_HalfPunc</ability>
      <abilityName>全半角检查</abilityName>
      <candidateList>
        <item>；</item>
      </candidateList>
      <explain>文本全半角错误。</explain>
      <paraID> EEF53A3</paraID>
      <start>27</start>
      <end>28</end>
      <status>unmodified</status>
      <modifiedWord/>
      <trackRevisions>false</trackRevisions>
    </reviewItem>
    <reviewItem>
      <errorID>8094fb40-dd4a-442e-ac93-886f704ec938</errorID>
      <errorWord>:</errorWord>
      <group>L1_Format</group>
      <groupName>格式问题</groupName>
      <ability>L2_HalfPunc</ability>
      <abilityName>全半角检查</abilityName>
      <candidateList>
        <item>：</item>
      </candidateList>
      <explain>文本全半角错误。</explain>
      <paraID> EEF53A3</paraID>
      <start>31</start>
      <end>32</end>
      <status>unmodified</status>
      <modifiedWord/>
      <trackRevisions>false</trackRevisions>
    </reviewItem>
    <reviewItem>
      <errorID>fe7c9871-9b80-4538-8790-44caf6a19992</errorID>
      <errorWord>;</errorWord>
      <group>L1_Format</group>
      <groupName>格式问题</groupName>
      <ability>L2_HalfPunc</ability>
      <abilityName>全半角检查</abilityName>
      <candidateList>
        <item>；</item>
      </candidateList>
      <explain>文本全半角错误。</explain>
      <paraID> EEF53A3</paraID>
      <start>36</start>
      <end>37</end>
      <status>unmodified</status>
      <modifiedWord/>
      <trackRevisions>false</trackRevisions>
    </reviewItem>
    <reviewItem>
      <errorID>5872c705-1a70-4893-a1fe-1b438dac57a3</errorID>
      <errorWord>:</errorWord>
      <group>L1_Format</group>
      <groupName>格式问题</groupName>
      <ability>L2_HalfPunc</ability>
      <abilityName>全半角检查</abilityName>
      <candidateList>
        <item>：</item>
      </candidateList>
      <explain>文本全半角错误。</explain>
      <paraID> EEF53A3</paraID>
      <start>40</start>
      <end>41</end>
      <status>unmodified</status>
      <modifiedWord/>
      <trackRevisions>false</trackRevisions>
    </reviewItem>
    <reviewItem>
      <errorID>dc939e6e-c782-4bef-986e-fc1862506351</errorID>
      <errorWord>物</errorWord>
      <group>L1_Word</group>
      <groupName>字词问题</groupName>
      <ability>L2_Typo</ability>
      <abilityName>字词错误</abilityName>
      <candidateList>
        <item>物和</item>
      </candidateList>
      <explain/>
      <paraID> EEF53A3</paraID>
      <start>43</start>
      <end>44</end>
      <status>unmodified</status>
      <modifiedWord/>
      <trackRevisions>false</trackRevisions>
    </reviewItem>
    <reviewItem>
      <errorID>56c3ecb2-705d-4981-8c9e-ba719cc37d47</errorID>
      <errorWord>:</errorWord>
      <group>L1_Format</group>
      <groupName>格式问题</groupName>
      <ability>L2_HalfPunc</ability>
      <abilityName>全半角检查</abilityName>
      <candidateList>
        <item>：</item>
      </candidateList>
      <explain>文本全半角错误。</explain>
      <paraID> EEF53A3</paraID>
      <start>54</start>
      <end>55</end>
      <status>unmodified</status>
      <modifiedWord/>
      <trackRevisions>false</trackRevisions>
    </reviewItem>
    <reviewItem>
      <errorID>c7eb8bda-c68c-4999-b180-c6d0e5351f73</errorID>
      <errorWord>:</errorWord>
      <group>L1_Format</group>
      <groupName>格式问题</groupName>
      <ability>L2_HalfPunc</ability>
      <abilityName>全半角检查</abilityName>
      <candidateList>
        <item>：</item>
      </candidateList>
      <explain>文本全半角错误。</explain>
      <paraID> EEF53A3</paraID>
      <start>63</start>
      <end>64</end>
      <status>unmodified</status>
      <modifiedWord/>
      <trackRevisions>false</trackRevisions>
    </reviewItem>
    <reviewItem>
      <errorID>26f59e9b-6ca5-49c2-9d98-55d7e61f0e9e</errorID>
      <errorWord>:</errorWord>
      <group>L1_Format</group>
      <groupName>格式问题</groupName>
      <ability>L2_HalfPunc</ability>
      <abilityName>全半角检查</abilityName>
      <candidateList>
        <item>：</item>
      </candidateList>
      <explain>文本全半角错误。</explain>
      <paraID> EEF53A3</paraID>
      <start>73</start>
      <end>74</end>
      <status>unmodified</status>
      <modifiedWord/>
      <trackRevisions>false</trackRevisions>
    </reviewItem>
    <reviewItem>
      <errorID>572f6a4d-ef3f-47a0-88a1-1572ff6bb6d2</errorID>
      <errorWord>:</errorWord>
      <group>L1_Format</group>
      <groupName>格式问题</groupName>
      <ability>L2_HalfPunc</ability>
      <abilityName>全半角检查</abilityName>
      <candidateList>
        <item>：</item>
      </candidateList>
      <explain>文本全半角错误。</explain>
      <paraID> EEF53A3</paraID>
      <start>80</start>
      <end>81</end>
      <status>unmodified</status>
      <modifiedWord/>
      <trackRevisions>false</trackRevisions>
    </reviewItem>
    <reviewItem>
      <errorID>7526ae2f-3e01-47bc-b1d9-d71f4c83c9c7</errorID>
      <errorWord>0.5～5万</errorWord>
      <group>L1_Knowledge</group>
      <groupName>知识性问题</groupName>
      <ability>L2_Knowledge</ability>
      <abilityName>其他知识</abilityName>
      <candidateList>
        <item>0.5万～5万</item>
      </candidateList>
      <explain>1. “0.5～5万”中的单位“万”仅出现在后一个数字上，容易引起歧义；根据《现代汉语标点符号数字用法规范手册》，数字表示范围两边需要使用统一的格式。2. 根据标点国标 4.13 中的规则，数字、时间或地域连接符应使用（视觉上更长的）“—”或“～”。</explain>
      <paraID>5D8644C1</paraID>
      <start>18</start>
      <end>24</end>
      <status>unmodified</status>
      <modifiedWord/>
      <trackRevisions>false</trackRevisions>
    </reviewItem>
    <reviewItem>
      <errorID>e8ee6ae2-f30c-4f3b-8499-ec5788711a27</errorID>
      <errorWord>3~5万</errorWord>
      <group>L1_Knowledge</group>
      <groupName>知识性问题</groupName>
      <ability>L2_Knowledge</ability>
      <abilityName>其他知识</abilityName>
      <candidateList>
        <item>3万～5万</item>
      </candidateList>
      <explain>1. “3~5万”中的单位“万”仅出现在后一个数字上，容易引起歧义；根据《现代汉语标点符号数字用法规范手册》，数字表示范围两边需要使用统一的格式。2. 根据标点国标 4.13 中的规则，数字、时间或地域连接符应使用（视觉上更长的）“—”或“～”。</explain>
      <paraID>200A900F</paraID>
      <start>73</start>
      <end>77</end>
      <status>unmodified</status>
      <modifiedWord/>
      <trackRevisions>false</trackRevisions>
    </reviewItem>
    <reviewItem>
      <errorID>5783c784-a4fc-492c-ba4c-af9dbda54f2b</errorID>
      <errorWord>于</errorWord>
      <group>L1_Word</group>
      <groupName>字词问题</groupName>
      <ability>L2_Typo</ability>
      <abilityName>字词错误</abilityName>
      <candidateList>
        <item>与</item>
      </candidateList>
      <explain>存在发音相同字词的误用。</explain>
      <paraID>29C66DEF</paraID>
      <start>11</start>
      <end>12</end>
      <status>unmodified</status>
      <modifiedWord/>
      <trackRevisions>false</trackRevisions>
    </reviewItem>
    <reviewItem>
      <errorID>c4eafffd-dcec-441d-a67c-38c27a22450f</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5E9F6BE0</paraID>
      <start>43</start>
      <end>44</end>
      <status>modified</status>
      <modifiedWord>地</modifiedWord>
      <trackRevisions>false</trackRevisions>
    </reviewItem>
    <reviewItem>
      <errorID>25203d4b-e3a1-4059-899f-f16355d01519</errorID>
      <errorWord>配</errorWord>
      <group>L1_Word</group>
      <groupName>字词问题</groupName>
      <ability>L2_Typo</ability>
      <abilityName>字词错误</abilityName>
      <candidateList>
        <item>配备</item>
      </candidateList>
      <explain>❶〈动〉根据需要分配（人力或物力）：～骨干力量｜～三辆吉普车。❷〈动〉布置（兵力）：按地形～火力。❸〈名〉成套的设备、装备等：现代化的～。</explain>
      <paraID>7EF12D6E</paraID>
      <start>0</start>
      <end>2</end>
      <status>modified</status>
      <modifiedWord>配备</modifiedWord>
      <trackRevisions>false</trackRevisions>
    </reviewItem>
    <reviewItem>
      <errorID>f2ae35ce-550f-41b1-ace2-38233e5efb78</errorID>
      <errorWord>配</errorWord>
      <group>L1_Word</group>
      <groupName>字词问题</groupName>
      <ability>L2_Typo</ability>
      <abilityName>字词错误</abilityName>
      <candidateList>
        <item>配备</item>
      </candidateList>
      <explain>❶〈动〉根据需要分配（人力或物力）：～骨干力量｜～三辆吉普车。❷〈动〉布置（兵力）：按地形～火力。❸〈名〉成套的设备、装备等：现代化的～。</explain>
      <paraID>57644C3F</paraID>
      <start>0</start>
      <end>2</end>
      <status>modified</status>
      <modifiedWord>配备</modifiedWord>
      <trackRevisions>false</trackRevisions>
    </reviewItem>
    <reviewItem>
      <errorID>08be44ef-4874-4952-abda-34045e1cdcd1</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30A93F84</paraID>
      <start>89</start>
      <end>90</end>
      <status>modified</status>
      <modifiedWord>地</modifiedWord>
      <trackRevisions>false</trackRevisions>
    </reviewItem>
    <reviewItem>
      <errorID>a1c23aa6-c704-41d6-b32b-52d0c1e04a7e</errorID>
      <errorWord>2025年04月10日</errorWord>
      <group>L1_Knowledge</group>
      <groupName>知识性问题</groupName>
      <ability>L2_Time</ability>
      <abilityName>日期时间</abilityName>
      <candidateList>
        <item>2025年4月10日</item>
      </candidateList>
      <explain>根据日常书写习惯，月份一般会省略前导零。</explain>
      <paraID>727C3667</paraID>
      <start>0</start>
      <end>10</end>
      <status>modified</status>
      <modifiedWord>2025年4月10日</modifiedWord>
      <trackRevisions>false</trackRevisions>
    </reviewItem>
    <reviewItem>
      <errorID>ac9e9609-a79e-41a5-8e4c-18c22b67c64d</errorID>
      <errorWord>布</errorWord>
      <group>L1_Word</group>
      <groupName>字词问题</groupName>
      <ability>L2_Typo</ability>
      <abilityName>字词错误</abilityName>
      <candidateList>
        <item>布的</item>
      </candidateList>
      <explain/>
      <paraID>727C3667</paraID>
      <start>190</start>
      <end>191</end>
      <status>unmodified</status>
      <modifiedWord/>
      <trackRevisions>false</trackRevisions>
    </reviewItem>
    <reviewItem>
      <errorID>aff091e2-27cc-4697-ba2d-295e9182b1c5</errorID>
      <errorWord>水污染排放</errorWord>
      <group>L1_Knowledge</group>
      <groupName>知识性问题</groupName>
      <ability>L2_Knowledge</ability>
      <abilityName>其他知识</abilityName>
      <candidateList>
        <item>水污染物排放</item>
      </candidateList>
      <explain/>
      <paraID>7BDEDAC1</paraID>
      <start>19</start>
      <end>25</end>
      <status>modified</status>
      <modifiedWord>水污染物排放</modifiedWord>
      <trackRevisions>false</trackRevisions>
    </reviewItem>
    <reviewItem>
      <errorID>40d95e66-d7d3-4231-ad91-af90c8364e88</errorID>
      <errorWord>鲷长毛</errorWord>
      <group>L1_Word</group>
      <groupName>字词问题</groupName>
      <ability>L2_Typo</ability>
      <abilityName>字词错误</abilityName>
      <candidateList>
        <item>长毛</item>
      </candidateList>
      <explain/>
      <paraID>7C58E7ED</paraID>
      <start>0</start>
      <end>3</end>
      <status>unmodified</status>
      <modifiedWord/>
      <trackRevisions>false</trackRevisions>
    </reviewItem>
    <reviewItem>
      <errorID>18e6080c-4a5d-47d3-a7f3-ab7b001ac2ee</errorID>
      <errorWord>要</errorWord>
      <group>L1_Word</group>
      <groupName>字词问题</groupName>
      <ability>L2_Typo</ability>
      <abilityName>字词错误</abilityName>
      <candidateList>
        <item>要求</item>
      </candidateList>
      <explain>❶〈动〉提出具体愿望或条件，希望得到满足或实现：～转学｜～进步｜严格～自己。❷〈名〉所提出的具体愿望或条件：满足了他的～｜符合规定的～。</explain>
      <paraID>1D64E56E</paraID>
      <start>209</start>
      <end>211</end>
      <status>modified</status>
      <modifiedWord>要求</modifiedWord>
      <trackRevisions>false</trackRevisions>
    </reviewItem>
    <reviewItem>
      <errorID>f67a5bd8-1280-4a9a-98c1-99013279be63</errorID>
      <errorWord>(</errorWord>
      <group>L1_Format</group>
      <groupName>格式问题</groupName>
      <ability>L2_HalfPunc</ability>
      <abilityName>全半角检查</abilityName>
      <candidateList>
        <item>（</item>
      </candidateList>
      <explain>文本全半角错误。</explain>
      <paraID>7F8B79F5</paraID>
      <start>13</start>
      <end>14</end>
      <status>unmodified</status>
      <modifiedWord/>
      <trackRevisions>false</trackRevisions>
    </reviewItem>
    <reviewItem>
      <errorID>f8e64b5c-065a-48d2-9058-16f5dcb373bd</errorID>
      <errorWord>)</errorWord>
      <group>L1_Format</group>
      <groupName>格式问题</groupName>
      <ability>L2_HalfPunc</ability>
      <abilityName>全半角检查</abilityName>
      <candidateList>
        <item>）</item>
      </candidateList>
      <explain>文本全半角错误。</explain>
      <paraID>7F8B79F5</paraID>
      <start>21</start>
      <end>22</end>
      <status>unmodified</status>
      <modifiedWord/>
      <trackRevisions>false</trackRevisions>
    </reviewItem>
    <reviewItem>
      <errorID>8c94ceba-9d66-40cf-8694-11e70d71ac27</errorID>
      <errorWord>（</errorWord>
      <group>L1_Format</group>
      <groupName>格式问题</groupName>
      <ability>L2_HalfPunc</ability>
      <abilityName>全半角检查</abilityName>
      <candidateList>
        <item>(</item>
      </candidateList>
      <explain>文本全半角错误。</explain>
      <paraID> 134D7F4</paraID>
      <start>4</start>
      <end>5</end>
      <status>unmodified</status>
      <modifiedWord/>
      <trackRevisions>false</trackRevisions>
    </reviewItem>
    <reviewItem>
      <errorID>d814572d-3e32-4ea8-ac82-e97644d7a546</errorID>
      <errorWord>）</errorWord>
      <group>L1_Format</group>
      <groupName>格式问题</groupName>
      <ability>L2_HalfPunc</ability>
      <abilityName>全半角检查</abilityName>
      <candidateList>
        <item>)</item>
      </candidateList>
      <explain>文本全半角错误。</explain>
      <paraID> 134D7F4</paraID>
      <start>10</start>
      <end>11</end>
      <status>unmodified</status>
      <modifiedWord/>
      <trackRevisions>false</trackRevisions>
    </reviewItem>
    <reviewItem>
      <errorID>b041c2a1-7b88-4246-a3bf-f0e5f4c9d0bc</errorID>
      <errorWord>(</errorWord>
      <group>L1_Format</group>
      <groupName>格式问题</groupName>
      <ability>L2_HalfPunc</ability>
      <abilityName>全半角检查</abilityName>
      <candidateList>
        <item>（</item>
      </candidateList>
      <explain>文本全半角错误。</explain>
      <paraID>765F01E1</paraID>
      <start>13</start>
      <end>14</end>
      <status>unmodified</status>
      <modifiedWord/>
      <trackRevisions>false</trackRevisions>
    </reviewItem>
    <reviewItem>
      <errorID>724db430-ce3c-4eb4-ab7f-ba9a8ff4ec66</errorID>
      <errorWord>)</errorWord>
      <group>L1_Format</group>
      <groupName>格式问题</groupName>
      <ability>L2_HalfPunc</ability>
      <abilityName>全半角检查</abilityName>
      <candidateList>
        <item>）</item>
      </candidateList>
      <explain>文本全半角错误。</explain>
      <paraID>765F01E1</paraID>
      <start>21</start>
      <end>22</end>
      <status>unmodified</status>
      <modifiedWord/>
      <trackRevisions>false</trackRevisions>
    </reviewItem>
    <reviewItem>
      <errorID>d06916e5-d16e-49c7-9738-8aafb3a20dca</errorID>
      <errorWord>（</errorWord>
      <group>L1_Format</group>
      <groupName>格式问题</groupName>
      <ability>L2_HalfPunc</ability>
      <abilityName>全半角检查</abilityName>
      <candidateList>
        <item>(</item>
      </candidateList>
      <explain>文本全半角错误。</explain>
      <paraID>6007FB35</paraID>
      <start>3</start>
      <end>4</end>
      <status>unmodified</status>
      <modifiedWord/>
      <trackRevisions>false</trackRevisions>
    </reviewItem>
    <reviewItem>
      <errorID>d3239e09-979a-43b5-a884-7d724f79e0ec</errorID>
      <errorWord>）</errorWord>
      <group>L1_Format</group>
      <groupName>格式问题</groupName>
      <ability>L2_HalfPunc</ability>
      <abilityName>全半角检查</abilityName>
      <candidateList>
        <item>)</item>
      </candidateList>
      <explain>文本全半角错误。</explain>
      <paraID>6007FB35</paraID>
      <start>8</start>
      <end>9</end>
      <status>unmodified</status>
      <modifiedWord/>
      <trackRevisions>false</trackRevisions>
    </reviewItem>
    <reviewItem>
      <errorID>63f1dba5-d97d-43d9-9cad-752e86ec4111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1D4A015</paraID>
      <start>0</start>
      <end>2</end>
      <status>unmodified</status>
      <modifiedWord/>
      <trackRevisions>false</trackRevisions>
    </reviewItem>
    <reviewItem>
      <errorID>1730dc2b-00a6-40ea-867c-8fd51b457cda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7569696B</paraID>
      <start>0</start>
      <end>3</end>
      <status>unmodified</status>
      <modifiedWord/>
      <trackRevisions>false</trackRevisions>
    </reviewItem>
    <reviewItem>
      <errorID>268b7953-ec24-486a-b345-d6d3ba10b430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1F4192D7</paraID>
      <start>0</start>
      <end>3</end>
      <status>unmodified</status>
      <modifiedWord/>
      <trackRevisions>false</trackRevisions>
    </reviewItem>
    <reviewItem>
      <errorID>e186fe3f-dc25-457a-8d24-494bd6bf578f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388FAF9C</paraID>
      <start>0</start>
      <end>3</end>
      <status>unmodified</status>
      <modifiedWord/>
      <trackRevisions>false</trackRevisions>
    </reviewItem>
    <reviewItem>
      <errorID>24fe0957-77a5-4f8f-84c5-fd513bfa56d8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32AF23AD</paraID>
      <start>0</start>
      <end>3</end>
      <status>unmodified</status>
      <modifiedWord/>
      <trackRevisions>false</trackRevisions>
    </reviewItem>
    <reviewItem>
      <errorID>314d945e-c4b9-44d9-9119-87d43dbc0702</errorID>
      <errorWord>，</errorWord>
      <group>L1_Word</group>
      <groupName>字词问题</groupName>
      <ability>L2_Typo</ability>
      <abilityName>字词错误</abilityName>
      <candidateList>
        <item>，有</item>
      </candidateList>
      <explain/>
      <paraID>32AF23AD</paraID>
      <start>164</start>
      <end>165</end>
      <status>unmodified</status>
      <modifiedWord/>
      <trackRevisions>false</trackRevisions>
    </reviewItem>
    <reviewItem>
      <errorID>e55c1d79-3360-4a00-b8c4-c9d3f767e521</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5E6F8DF7</paraID>
      <start>0</start>
      <end>3</end>
      <status>unmodified</status>
      <modifiedWord/>
      <trackRevisions>false</trackRevisions>
    </reviewItem>
    <reviewItem>
      <errorID>83b52a66-0dd8-4c43-b2e5-d6772d15e5bc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6EE9B8A1</paraID>
      <start>0</start>
      <end>2</end>
      <status>unmodified</status>
      <modifiedWord/>
      <trackRevisions>false</trackRevisions>
    </reviewItem>
    <reviewItem>
      <errorID>663ff53c-676c-41e3-aae3-67ed7e284ccf</errorID>
      <errorWord>输运</errorWord>
      <group>L1_Word</group>
      <groupName>字词问题</groupName>
      <ability>L2_Typo</ability>
      <abilityName>字词错误</abilityName>
      <candidateList>
        <item>运输</item>
      </candidateList>
      <explain/>
      <paraID>5A331ED5</paraID>
      <start>40</start>
      <end>42</end>
      <status>modified</status>
      <modifiedWord>运输</modifiedWord>
      <trackRevisions>false</trackRevisions>
    </reviewItem>
    <reviewItem>
      <errorID>6bf51114-7a5c-44ba-b479-3f8c4a3ced2e</errorID>
      <errorWord>环保基础设施建设</errorWord>
      <group>L1_Political</group>
      <groupName>政治性问题</groupName>
      <ability>L2_Keyword</ability>
      <abilityName>固定表述</abilityName>
      <candidateList>
        <item>环境基础设施建设</item>
      </candidateList>
      <explain>词汇“环境基础设施建设”在特定场景下为固定表述形式，请确认此处的“环保基础设施建设”是否存在不当。</explain>
      <paraID>5D8BC817</paraID>
      <start>299</start>
      <end>307</end>
      <status>modified</status>
      <modifiedWord>环境基础设施建设</modifiedWord>
      <trackRevisions>false</trackRevisions>
    </reviewItem>
    <reviewItem>
      <errorID>3e41dc1c-7eee-4c9c-a4ed-df2b4bfa8751</errorID>
      <errorWord>鯛</errorWord>
      <group>L1_Word</group>
      <groupName>字词问题</groupName>
      <ability>L2_Fanti</ability>
      <abilityName>繁转简</abilityName>
      <candidateList>
        <item>鲷</item>
      </candidateList>
      <explain/>
      <paraID>7B84300B</paraID>
      <start>46</start>
      <end>47</end>
      <status>unmodified</status>
      <modifiedWord/>
      <trackRevisions>false</trackRevisions>
    </reviewItem>
    <reviewItem>
      <errorID>15de5e52-263a-4d5b-b04c-80e7b37215e2</errorID>
      <errorWord>着力于</errorWord>
      <group>L1_Word</group>
      <groupName>字词问题</groupName>
      <ability>L2_Typo</ability>
      <abilityName>字词错误</abilityName>
      <candidateList>
        <item>着力</item>
      </candidateList>
      <explain/>
      <paraID>7B84300B</paraID>
      <start>105</start>
      <end>108</end>
      <status>unmodified</status>
      <modifiedWord/>
      <trackRevisions>false</trackRevisions>
    </reviewItem>
    <reviewItem>
      <errorID>02f066fa-d3a4-4993-a677-4e9f71050e86</errorID>
      <errorWord>，</errorWord>
      <group>L1_Word</group>
      <groupName>字词问题</groupName>
      <ability>L2_Typo</ability>
      <abilityName>字词错误</abilityName>
      <candidateList>
        <item>，在</item>
      </candidateList>
      <explain/>
      <paraID>7B84300B</paraID>
      <start>271</start>
      <end>272</end>
      <status>unmodified</status>
      <modifiedWord/>
      <trackRevisions>false</trackRevisions>
    </reviewItem>
    <reviewItem>
      <errorID>a3f53268-48c9-4cf8-8d4d-b5f7e60edfdd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548613D2</paraID>
      <start>53</start>
      <end>54</end>
      <status>unmodified</status>
      <modifiedWord/>
      <trackRevisions>false</trackRevisions>
    </reviewItem>
    <reviewItem>
      <errorID>f2033ae4-c741-479e-837f-7b48c2975066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548613D2</paraID>
      <start>83</start>
      <end>84</end>
      <status>unmodified</status>
      <modifiedWord/>
      <trackRevisions>false</trackRevisions>
    </reviewItem>
    <reviewItem>
      <errorID>a289d9c2-ba2d-49dd-b3c7-85281f42b883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548613D2</paraID>
      <start>195</start>
      <end>196</end>
      <status>unmodified</status>
      <modifiedWord/>
      <trackRevisions>false</trackRevisions>
    </reviewItem>
    <reviewItem>
      <errorID>9054f18b-86c8-470c-9470-73ebf79d5939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4A0EEEBC</paraID>
      <start>21</start>
      <end>22</end>
      <status>unmodified</status>
      <modifiedWord/>
      <trackRevisions>false</trackRevisions>
    </reviewItem>
    <reviewItem>
      <errorID>0d7fc16c-bad1-4ae6-b73a-e0b0641e9cd0</errorID>
      <errorWord>-</errorWord>
      <group>L1_Format</group>
      <groupName>格式问题</groupName>
      <ability>L2_HalfPunc</ability>
      <abilityName>全半角检查</abilityName>
      <candidateList>
        <item>－</item>
      </candidateList>
      <explain>文本全半角错误。</explain>
      <paraID>4A0EEEBC</paraID>
      <start>44</start>
      <end>45</end>
      <status>unmodified</status>
      <modifiedWord/>
      <trackRevisions>false</trackRevisions>
    </reviewItem>
    <reviewItem>
      <errorID>f5b81a05-73a6-4736-863f-45960e395a95</errorID>
      <errorWord>-</errorWord>
      <group>L1_Format</group>
      <groupName>格式问题</groupName>
      <ability>L2_HalfPunc</ability>
      <abilityName>全半角检查</abilityName>
      <candidateList>
        <item>－</item>
      </candidateList>
      <explain>文本全半角错误。</explain>
      <paraID>4A0EEEBC</paraID>
      <start>48</start>
      <end>49</end>
      <status>unmodified</status>
      <modifiedWord/>
      <trackRevisions>false</trackRevisions>
    </reviewItem>
    <reviewItem>
      <errorID>0879a79b-4d34-4a82-a352-594f8f9778b5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5CA047A5</paraID>
      <start>37</start>
      <end>38</end>
      <status>unmodified</status>
      <modifiedWord/>
      <trackRevisions>false</trackRevisions>
    </reviewItem>
    <reviewItem>
      <errorID>cf4b81c9-479f-4df5-a392-c403c4b80190</errorID>
      <errorWord>．</errorWord>
      <group>L1_Format</group>
      <groupName>格式问题</groupName>
      <ability>L2_HalfPunc</ability>
      <abilityName>全半角检查</abilityName>
      <candidateList>
        <item>。</item>
      </candidateList>
      <explain>文本全半角错误。</explain>
      <paraID>5EA5A89D</paraID>
      <start>2</start>
      <end>3</end>
      <status>unmodified</status>
      <modifiedWord/>
      <trackRevisions>false</trackRevisions>
    </reviewItem>
    <reviewItem>
      <errorID>b77c9436-8e6c-43de-adf7-5c35c336eb30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4F9D9831</paraID>
      <start>0</start>
      <end>2</end>
      <status>unmodified</status>
      <modifiedWord/>
      <trackRevisions>false</trackRevisions>
    </reviewItem>
    <reviewItem>
      <errorID>4993ea4f-ded5-4416-9337-185ab7a0d0ef</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172122F0</paraID>
      <start>0</start>
      <end>2</end>
      <status>unmodified</status>
      <modifiedWord/>
      <trackRevisions>false</trackRevisions>
    </reviewItem>
    <reviewItem>
      <errorID>d9deae39-0949-45b7-ba21-3c3e9f9682a6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61EB466F</paraID>
      <start>0</start>
      <end>2</end>
      <status>unmodified</status>
      <modifiedWord/>
      <trackRevisions>false</trackRevisions>
    </reviewItem>
    <reviewItem>
      <errorID>3e451339-9f7a-4f07-b199-3e43306f62ba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BA9EF7D</paraID>
      <start>0</start>
      <end>2</end>
      <status>unmodified</status>
      <modifiedWord/>
      <trackRevisions>false</trackRevisions>
    </reviewItem>
    <reviewItem>
      <errorID>1f92358f-38c4-4b52-a43a-e859778b995a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725A4DD8</paraID>
      <start>0</start>
      <end>2</end>
      <status>unmodified</status>
      <modifiedWord/>
      <trackRevisions>false</trackRevisions>
    </reviewItem>
    <reviewItem>
      <errorID>049bee7e-d8c2-4f2b-92b3-a5123039f4d1</errorID>
      <errorWord>人工鱼礁</errorWord>
      <group>L1_Knowledge</group>
      <groupName>知识性问题</groupName>
      <ability>L2_Term</ability>
      <abilityName>专业术语</abilityName>
      <candidateList>
        <item>人工渔礁</item>
      </candidateList>
      <explain/>
      <paraID>7B907D4C</paraID>
      <start>22</start>
      <end>26</end>
      <status>unmodified</status>
      <modifiedWord/>
      <trackRevisions>false</trackRevisions>
    </reviewItem>
    <reviewItem>
      <errorID>7c7b5603-a312-455e-9f48-48ffaf079efe</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78E2968B</paraID>
      <start>27</start>
      <end>30</end>
      <status>unmodified</status>
      <modifiedWord/>
      <trackRevisions>false</trackRevisions>
    </reviewItem>
    <reviewItem>
      <errorID>8a0d67c7-c080-4c9d-a88c-76b6fe5ee740</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3DA75896</paraID>
      <start>21</start>
      <end>24</end>
      <status>unmodified</status>
      <modifiedWord/>
      <trackRevisions>false</trackRevisions>
    </reviewItem>
    <reviewItem>
      <errorID>5d1b5f12-fbd7-4688-b990-b9137d95df15</errorID>
      <errorWord>．</errorWord>
      <group>L1_Format</group>
      <groupName>格式问题</groupName>
      <ability>L2_HalfPunc</ability>
      <abilityName>全半角检查</abilityName>
      <candidateList>
        <item>。</item>
      </candidateList>
      <explain>文本全半角错误。</explain>
      <paraID>29B889D7</paraID>
      <start>2</start>
      <end>3</end>
      <status>unmodified</status>
      <modifiedWord/>
      <trackRevisions>false</trackRevisions>
    </reviewItem>
    <reviewItem>
      <errorID>fbc7eb5d-9119-4e35-86c9-6bf1bac3dcbe</errorID>
      <errorWord>．</errorWord>
      <group>L1_Format</group>
      <groupName>格式问题</groupName>
      <ability>L2_HalfPunc</ability>
      <abilityName>全半角检查</abilityName>
      <candidateList>
        <item>。</item>
      </candidateList>
      <explain>文本全半角错误。</explain>
      <paraID>446134B5</paraID>
      <start>2</start>
      <end>3</end>
      <status>unmodified</status>
      <modifiedWord/>
      <trackRevisions>false</trackRevisions>
    </reviewItem>
    <reviewItem>
      <errorID>bb5c3c1f-378b-4137-855b-08fbb02f2bd6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20F28ED8</paraID>
      <start>0</start>
      <end>2</end>
      <status>unmodified</status>
      <modifiedWord/>
      <trackRevisions>false</trackRevisions>
    </reviewItem>
    <reviewItem>
      <errorID>55c1e75d-6fb3-4ad5-8b07-75640f16fd26</errorID>
      <errorWord>．</errorWord>
      <group>L1_Format</group>
      <groupName>格式问题</groupName>
      <ability>L2_HalfPunc</ability>
      <abilityName>全半角检查</abilityName>
      <candidateList>
        <item>。</item>
      </candidateList>
      <explain>文本全半角错误。</explain>
      <paraID>20F28ED8</paraID>
      <start>2</start>
      <end>3</end>
      <status>unmodified</status>
      <modifiedWord/>
      <trackRevisions>false</trackRevisions>
    </reviewItem>
    <reviewItem>
      <errorID>b7d78502-92c5-4fec-a5fc-b78aa233f68b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707C65FA</paraID>
      <start>0</start>
      <end>2</end>
      <status>unmodified</status>
      <modifiedWord/>
      <trackRevisions>false</trackRevisions>
    </reviewItem>
    <reviewItem>
      <errorID>75bbe678-319b-4309-bad6-6840d6bd6e08</errorID>
      <errorWord>设置</errorWord>
      <group>L1_Word</group>
      <groupName>字词问题</groupName>
      <ability>L2_Typo</ability>
      <abilityName>字词错误</abilityName>
      <candidateList>
        <item>设施</item>
      </candidateList>
      <explain/>
      <paraID>707C65FA</paraID>
      <start>36</start>
      <end>38</end>
      <status>modified</status>
      <modifiedWord>设施</modifiedWord>
      <trackRevisions>false</trackRevisions>
    </reviewItem>
    <reviewItem>
      <errorID>65d2ce63-c2c5-442b-ab4a-c23ccd42890a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22BCB706</paraID>
      <start>17</start>
      <end>18</end>
      <status>unmodified</status>
      <modifiedWord/>
      <trackRevisions>false</trackRevisions>
    </reviewItem>
    <reviewItem>
      <errorID>4417158d-dd68-4ba5-9dd4-03da3512d7eb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1943D951</paraID>
      <start>17</start>
      <end>18</end>
      <status>unmodified</status>
      <modifiedWord/>
      <trackRevisions>false</trackRevisions>
    </reviewItem>
    <reviewItem>
      <errorID>397afec8-eab9-4e82-9636-5ca09f43c2c9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5DCA60AA</paraID>
      <start>113</start>
      <end>114</end>
      <status>unmodified</status>
      <modifiedWord/>
      <trackRevisions>false</trackRevisions>
    </reviewItem>
    <reviewItem>
      <errorID>38ad5353-592d-4c25-a81a-e8b4f7b0acb6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38947681</paraID>
      <start>0</start>
      <end>2</end>
      <status>unmodified</status>
      <modifiedWord/>
      <trackRevisions>false</trackRevisions>
    </reviewItem>
    <reviewItem>
      <errorID>d952355e-feac-4138-abfc-64230d889fbf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1C40D360</paraID>
      <start>0</start>
      <end>2</end>
      <status>unmodified</status>
      <modifiedWord/>
      <trackRevisions>false</trackRevisions>
    </reviewItem>
    <reviewItem>
      <errorID>c64a12ca-8cee-4083-925d-6a291f5e2ef9</errorID>
      <errorWord>期</errorWord>
      <group>L1_Word</group>
      <groupName>字词问题</groupName>
      <ability>L2_Typo</ability>
      <abilityName>字词错误</abilityName>
      <candidateList>
        <item>期间</item>
      </candidateList>
      <explain>〈名〉某个时期里面：农忙～｜春节～｜抗战～。</explain>
      <paraID>39B44A93</paraID>
      <start>2</start>
      <end>4</end>
      <status>modified</status>
      <modifiedWord>期间</modifiedWord>
      <trackRevisions>false</trackRevisions>
    </reviewItem>
    <reviewItem>
      <errorID>8e12acfa-5bbd-41e3-b914-972baecf03f0</errorID>
      <errorWord>)</errorWord>
      <group>L1_Format</group>
      <groupName>格式问题</groupName>
      <ability>L2_HalfPunc</ability>
      <abilityName>全半角检查</abilityName>
      <candidateList>
        <item>）</item>
      </candidateList>
      <explain>文本全半角错误。</explain>
      <paraID>54B7B5A6</paraID>
      <start>48</start>
      <end>49</end>
      <status>unmodified</status>
      <modifiedWord/>
      <trackRevisions>false</trackRevisions>
    </reviewItem>
    <reviewItem>
      <errorID>736a80b9-8804-420a-b8d3-954eb10d30ed</errorID>
      <errorWord>（</errorWord>
      <group>L1_Format</group>
      <groupName>格式问题</groupName>
      <ability>L2_HalfPunc</ability>
      <abilityName>全半角检查</abilityName>
      <candidateList>
        <item>(</item>
      </candidateList>
      <explain>文本全半角错误。</explain>
      <paraID>5EC17A1F</paraID>
      <start>7</start>
      <end>8</end>
      <status>unmodified</status>
      <modifiedWord/>
      <trackRevisions>false</trackRevisions>
    </reviewItem>
    <reviewItem>
      <errorID>a5bc0ed8-26fb-4bf2-bc9e-eaef2504cf61</errorID>
      <errorWord>）</errorWord>
      <group>L1_Format</group>
      <groupName>格式问题</groupName>
      <ability>L2_HalfPunc</ability>
      <abilityName>全半角检查</abilityName>
      <candidateList>
        <item>)</item>
      </candidateList>
      <explain>文本全半角错误。</explain>
      <paraID>5EC17A1F</paraID>
      <start>9</start>
      <end>10</end>
      <status>unmodified</status>
      <modifiedWord/>
      <trackRevisions>false</trackRevisions>
    </reviewItem>
    <reviewItem>
      <errorID>8f89e19a-b201-4242-81c2-59e1e769657e</errorID>
      <errorWord>小</errorWord>
      <group>L1_Word</group>
      <groupName>字词问题</groupName>
      <ability>L2_Typo</ability>
      <abilityName>字词错误</abilityName>
      <candidateList>
        <item>少</item>
      </candidateList>
      <explain>存在字形相近字词的误用。</explain>
      <paraID>54F486E0</paraID>
      <start>40</start>
      <end>41</end>
      <status>unmodified</status>
      <modifiedWord/>
      <trackRevisions>false</trackRevisions>
    </reviewItem>
    <reviewItem>
      <errorID>915162cc-7837-48fb-8122-5cff3160bdd1</errorID>
      <errorWord>《石化行业VOCs污染源排查工作指南》（以下简称指南）</errorWord>
      <group>L1_Knowledge</group>
      <groupName>知识性问题</groupName>
      <ability>L2_Knowledge</ability>
      <abilityName>其他知识</abilityName>
      <candidateList>
        <item>《石化行业VOCs污染源排查工作指南》（以下简称“指南”）</item>
      </candidateList>
      <explain>疑似政策文件、法律法规名称等书写不规范，请注意检查。</explain>
      <paraID>66AF160C</paraID>
      <start>2</start>
      <end>29</end>
      <status>unmodified</status>
      <modifiedWord/>
      <trackRevisions>false</trackRevisions>
    </reviewItem>
    <reviewItem>
      <errorID>13962e3a-ba5c-4d51-8e47-fa4f2145b83f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1354F267</paraID>
      <start>0</start>
      <end>2</end>
      <status>unmodified</status>
      <modifiedWord/>
      <trackRevisions>false</trackRevisions>
    </reviewItem>
    <reviewItem>
      <errorID>e40a2f8e-1d94-4899-81da-363b85dda592</errorID>
      <errorWord>一-</errorWord>
      <group>L1_Punc</group>
      <groupName>标点问题</groupName>
      <ability>L2_Punc</ability>
      <abilityName>标点符号检查</abilityName>
      <candidateList>
        <item>一</item>
      </candidateList>
      <explain/>
      <paraID>76D49914</paraID>
      <start>25</start>
      <end>27</end>
      <status>unmodified</status>
      <modifiedWord/>
      <trackRevisions>false</trackRevisions>
    </reviewItem>
    <reviewItem>
      <errorID>8aa84120-a099-489b-8f34-13ff3ed77a83</errorID>
      <errorWord>量轻</errorWord>
      <group>L1_Word</group>
      <groupName>字词问题</groupName>
      <ability>L2_Typo</ability>
      <abilityName>字词错误</abilityName>
      <candidateList>
        <item>轻量</item>
      </candidateList>
      <explain/>
      <paraID>71BDBD9B</paraID>
      <start>2</start>
      <end>4</end>
      <status>unmodified</status>
      <modifiedWord/>
      <trackRevisions>false</trackRevisions>
    </reviewItem>
    <reviewItem>
      <errorID>f63ba134-716a-4094-b090-9571bb41612b</errorID>
      <errorWord>其它</errorWord>
      <group>L1_Word</group>
      <groupName>字词问题</groupName>
      <ability>L2_Alias</ability>
      <abilityName>也作/曾用词</abilityName>
      <candidateList>
        <item>其他</item>
      </candidateList>
      <explain>词汇[其它]为不规范表述或旧称，其规范书面表述为[其他]。</explain>
      <paraID>3FC99A45</paraID>
      <start>0</start>
      <end>2</end>
      <status>modified</status>
      <modifiedWord>其他</modifiedWord>
      <trackRevisions>false</trackRevisions>
    </reviewItem>
    <reviewItem>
      <errorID>ca561446-a277-4a39-9e78-5eaa4414beed</errorID>
      <errorWord>其它</errorWord>
      <group>L1_Word</group>
      <groupName>字词问题</groupName>
      <ability>L2_Alias</ability>
      <abilityName>也作/曾用词</abilityName>
      <candidateList>
        <item>其他</item>
      </candidateList>
      <explain>词汇[其它]为不规范表述或旧称，其规范书面表述为[其他]。</explain>
      <paraID> DBFE8FE</paraID>
      <start>36</start>
      <end>38</end>
      <status>modified</status>
      <modifiedWord>其他</modifiedWord>
      <trackRevisions>false</trackRevisions>
    </reviewItem>
    <reviewItem>
      <errorID>6e7fbe0f-b157-45a8-b0b0-72f7dd8de26b</errorID>
      <errorWord>后由</errorWord>
      <group>L1_Word</group>
      <groupName>字词问题</groupName>
      <ability>L2_Typo</ability>
      <abilityName>字词错误</abilityName>
      <candidateList>
        <item>后</item>
      </candidateList>
      <explain>❶君主的妻子：皇～｜～妃。❷古代称君主：商之先～。❸（Hòu）〈名〉姓。</explain>
      <paraID>427C8FAE</paraID>
      <start>96</start>
      <end>98</end>
      <status>unmodified</status>
      <modifiedWord/>
      <trackRevisions>false</trackRevisions>
    </reviewItem>
    <reviewItem>
      <errorID>88d3bf29-1da9-4f18-a7d0-e8b04433c203</errorID>
      <errorWord>（</errorWord>
      <group>L1_Format</group>
      <groupName>格式问题</groupName>
      <ability>L2_HalfPunc</ability>
      <abilityName>全半角检查</abilityName>
      <candidateList>
        <item>(</item>
      </candidateList>
      <explain>文本全半角错误。</explain>
      <paraID>3DBFD21C</paraID>
      <start>12</start>
      <end>13</end>
      <status>unmodified</status>
      <modifiedWord/>
      <trackRevisions>false</trackRevisions>
    </reviewItem>
    <reviewItem>
      <errorID>a45b6649-715a-4fe3-9fa0-fd8490e2ff06</errorID>
      <errorWord>）</errorWord>
      <group>L1_Format</group>
      <groupName>格式问题</groupName>
      <ability>L2_HalfPunc</ability>
      <abilityName>全半角检查</abilityName>
      <candidateList>
        <item>)</item>
      </candidateList>
      <explain>文本全半角错误。</explain>
      <paraID>3DBFD21C</paraID>
      <start>22</start>
      <end>23</end>
      <status>unmodified</status>
      <modifiedWord/>
      <trackRevisions>false</trackRevisions>
    </reviewItem>
    <reviewItem>
      <errorID>e93553cc-fe6e-4bb2-8e9f-33067472c01f</errorID>
      <errorWord>（</errorWord>
      <group>L1_Format</group>
      <groupName>格式问题</groupName>
      <ability>L2_HalfPunc</ability>
      <abilityName>全半角检查</abilityName>
      <candidateList>
        <item>(</item>
      </candidateList>
      <explain>文本全半角错误。</explain>
      <paraID>3DBFD21C</paraID>
      <start>24</start>
      <end>25</end>
      <status>unmodified</status>
      <modifiedWord/>
      <trackRevisions>false</trackRevisions>
    </reviewItem>
    <reviewItem>
      <errorID>dfdaf42f-e251-4712-a6ce-4e988face3e1</errorID>
      <errorWord>）</errorWord>
      <group>L1_Format</group>
      <groupName>格式问题</groupName>
      <ability>L2_HalfPunc</ability>
      <abilityName>全半角检查</abilityName>
      <candidateList>
        <item>)</item>
      </candidateList>
      <explain>文本全半角错误。</explain>
      <paraID>3DBFD21C</paraID>
      <start>33</start>
      <end>34</end>
      <status>unmodified</status>
      <modifiedWord/>
      <trackRevisions>false</trackRevisions>
    </reviewItem>
    <reviewItem>
      <errorID>e6751d35-f8b7-4f9f-a410-dfb9b9901880</errorID>
      <errorWord>(</errorWord>
      <group>L1_Format</group>
      <groupName>格式问题</groupName>
      <ability>L2_HalfPunc</ability>
      <abilityName>全半角检查</abilityName>
      <candidateList>
        <item>（</item>
      </candidateList>
      <explain>文本全半角错误。</explain>
      <paraID>4C9AB926</paraID>
      <start>19</start>
      <end>20</end>
      <status>unmodified</status>
      <modifiedWord/>
      <trackRevisions>false</trackRevisions>
    </reviewItem>
    <reviewItem>
      <errorID>727b6aab-735c-409a-9c86-9b2b47486eb1</errorID>
      <errorWord>)</errorWord>
      <group>L1_Format</group>
      <groupName>格式问题</groupName>
      <ability>L2_HalfPunc</ability>
      <abilityName>全半角检查</abilityName>
      <candidateList>
        <item>）</item>
      </candidateList>
      <explain>文本全半角错误。</explain>
      <paraID>4C9AB926</paraID>
      <start>24</start>
      <end>25</end>
      <status>unmodified</status>
      <modifiedWord/>
      <trackRevisions>false</trackRevisions>
    </reviewItem>
    <reviewItem>
      <errorID>7c58703d-fd38-45d8-a88e-fed034811aa1</errorID>
      <errorWord>饱和蒸气</errorWord>
      <group>L1_Word</group>
      <groupName>字词问题</groupName>
      <ability>L2_Typo</ability>
      <abilityName>字词错误</abilityName>
      <candidateList>
        <item>饱和蒸汽</item>
      </candidateList>
      <explain/>
      <paraID>3D7CB057</paraID>
      <start>12</start>
      <end>16</end>
      <status>unmodified</status>
      <modifiedWord/>
      <trackRevisions>false</trackRevisions>
    </reviewItem>
    <reviewItem>
      <errorID>e7323b80-44f3-4e37-a506-fd490742a748</errorID>
      <errorWord>(</errorWord>
      <group>L1_Format</group>
      <groupName>格式问题</groupName>
      <ability>L2_HalfPunc</ability>
      <abilityName>全半角检查</abilityName>
      <candidateList>
        <item>（</item>
      </candidateList>
      <explain>文本全半角错误。</explain>
      <paraID>3D7CB057</paraID>
      <start>17</start>
      <end>18</end>
      <status>unmodified</status>
      <modifiedWord/>
      <trackRevisions>false</trackRevisions>
    </reviewItem>
    <reviewItem>
      <errorID>ea22b28c-3234-41ac-9d45-a2dd04b0e76a</errorID>
      <errorWord>)</errorWord>
      <group>L1_Format</group>
      <groupName>格式问题</groupName>
      <ability>L2_HalfPunc</ability>
      <abilityName>全半角检查</abilityName>
      <candidateList>
        <item>）</item>
      </candidateList>
      <explain>文本全半角错误。</explain>
      <paraID>3D7CB057</paraID>
      <start>21</start>
      <end>22</end>
      <status>unmodified</status>
      <modifiedWord/>
      <trackRevisions>false</trackRevisions>
    </reviewItem>
    <reviewItem>
      <errorID>182ad5cc-5955-450b-8918-7573720c7356</errorID>
      <errorWord>(</errorWord>
      <group>L1_Format</group>
      <groupName>格式问题</groupName>
      <ability>L2_HalfPunc</ability>
      <abilityName>全半角检查</abilityName>
      <candidateList>
        <item>（</item>
      </candidateList>
      <explain>文本全半角错误。</explain>
      <paraID>150DB5BF</paraID>
      <start>7</start>
      <end>8</end>
      <status>unmodified</status>
      <modifiedWord/>
      <trackRevisions>false</trackRevisions>
    </reviewItem>
    <reviewItem>
      <errorID>a60bee03-ccf0-4a6e-9d80-5cc1dd3a6b4d</errorID>
      <errorWord>)</errorWord>
      <group>L1_Format</group>
      <groupName>格式问题</groupName>
      <ability>L2_HalfPunc</ability>
      <abilityName>全半角检查</abilityName>
      <candidateList>
        <item>）</item>
      </candidateList>
      <explain>文本全半角错误。</explain>
      <paraID>150DB5BF</paraID>
      <start>12</start>
      <end>13</end>
      <status>unmodified</status>
      <modifiedWord/>
      <trackRevisions>false</trackRevisions>
    </reviewItem>
    <reviewItem>
      <errorID>92fbd6c1-983a-4a4f-afee-3e8d0a254510</errorID>
      <errorWord>(</errorWord>
      <group>L1_Format</group>
      <groupName>格式问题</groupName>
      <ability>L2_HalfPunc</ability>
      <abilityName>全半角检查</abilityName>
      <candidateList>
        <item>（</item>
      </candidateList>
      <explain>文本全半角错误。</explain>
      <paraID>1893D6C4</paraID>
      <start>6</start>
      <end>7</end>
      <status>unmodified</status>
      <modifiedWord/>
      <trackRevisions>false</trackRevisions>
    </reviewItem>
    <reviewItem>
      <errorID>bcbff091-18ba-4b59-9641-c5f79802103c</errorID>
      <errorWord>)</errorWord>
      <group>L1_Format</group>
      <groupName>格式问题</groupName>
      <ability>L2_HalfPunc</ability>
      <abilityName>全半角检查</abilityName>
      <candidateList>
        <item>）</item>
      </candidateList>
      <explain>文本全半角错误。</explain>
      <paraID>1893D6C4</paraID>
      <start>8</start>
      <end>9</end>
      <status>unmodified</status>
      <modifiedWord/>
      <trackRevisions>false</trackRevisions>
    </reviewItem>
    <reviewItem>
      <errorID>d6121220-38be-4ca2-8004-5964e63f3b77</errorID>
      <errorWord>饱和蒸气</errorWord>
      <group>L1_Word</group>
      <groupName>字词问题</groupName>
      <ability>L2_Typo</ability>
      <abilityName>字词错误</abilityName>
      <candidateList>
        <item>饱和蒸汽</item>
      </candidateList>
      <explain/>
      <paraID>7386B0C7</paraID>
      <start>0</start>
      <end>4</end>
      <status>unmodified</status>
      <modifiedWord/>
      <trackRevisions>false</trackRevisions>
    </reviewItem>
    <reviewItem>
      <errorID>f7717980-49ba-4935-a0cf-934ead852b14</errorID>
      <errorWord>(</errorWord>
      <group>L1_Format</group>
      <groupName>格式问题</groupName>
      <ability>L2_HalfPunc</ability>
      <abilityName>全半角检查</abilityName>
      <candidateList>
        <item>（</item>
      </candidateList>
      <explain>文本全半角错误。</explain>
      <paraID>1BED389F</paraID>
      <start>4</start>
      <end>5</end>
      <status>unmodified</status>
      <modifiedWord/>
      <trackRevisions>false</trackRevisions>
    </reviewItem>
    <reviewItem>
      <errorID>007221f6-1d20-4d24-9759-46621251ad6c</errorID>
      <errorWord>)</errorWord>
      <group>L1_Format</group>
      <groupName>格式问题</groupName>
      <ability>L2_HalfPunc</ability>
      <abilityName>全半角检查</abilityName>
      <candidateList>
        <item>）</item>
      </candidateList>
      <explain>文本全半角错误。</explain>
      <paraID>1BED389F</paraID>
      <start>9</start>
      <end>10</end>
      <status>unmodified</status>
      <modifiedWord/>
      <trackRevisions>false</trackRevisions>
    </reviewItem>
    <reviewItem>
      <errorID>f22008c3-ae19-43d3-b927-ed9b4cfb7f98</errorID>
      <errorWord>（</errorWord>
      <group>L1_Format</group>
      <groupName>格式问题</groupName>
      <ability>L2_HalfPunc</ability>
      <abilityName>全半角检查</abilityName>
      <candidateList>
        <item>(</item>
      </candidateList>
      <explain>文本全半角错误。</explain>
      <paraID>2843B5B7</paraID>
      <start>0</start>
      <end>1</end>
      <status>unmodified</status>
      <modifiedWord/>
      <trackRevisions>false</trackRevisions>
    </reviewItem>
    <reviewItem>
      <errorID>42a73c38-2cd8-4fdb-95aa-aa0ffb6f7104</errorID>
      <errorWord>）</errorWord>
      <group>L1_Format</group>
      <groupName>格式问题</groupName>
      <ability>L2_HalfPunc</ability>
      <abilityName>全半角检查</abilityName>
      <candidateList>
        <item>)</item>
      </candidateList>
      <explain>文本全半角错误。</explain>
      <paraID>2843B5B7</paraID>
      <start>5</start>
      <end>6</end>
      <status>unmodified</status>
      <modifiedWord/>
      <trackRevisions>false</trackRevisions>
    </reviewItem>
    <reviewItem>
      <errorID>b01e7c7e-2e4a-49fc-84a5-0d85e8071359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71F2AB06</paraID>
      <start>0</start>
      <end>2</end>
      <status>unmodified</status>
      <modifiedWord/>
      <trackRevisions>false</trackRevisions>
    </reviewItem>
    <reviewItem>
      <errorID>1111f3aa-99b0-4920-b537-a71872e0d007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7424C08A</paraID>
      <start>0</start>
      <end>2</end>
      <status>unmodified</status>
      <modifiedWord/>
      <trackRevisions>false</trackRevisions>
    </reviewItem>
    <reviewItem>
      <errorID>4d05e2fe-5993-4f14-ba9d-45c177c52ac5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45655A60</paraID>
      <start>0</start>
      <end>2</end>
      <status>unmodified</status>
      <modifiedWord/>
      <trackRevisions>false</trackRevisions>
    </reviewItem>
    <reviewItem>
      <errorID>b23475f2-5b47-4608-97d8-6dd65963a2fa</errorID>
      <errorWord>水域内</errorWord>
      <group>L1_Word</group>
      <groupName>字词问题</groupName>
      <ability>L2_Typo</ability>
      <abilityName>字词错误</abilityName>
      <candidateList>
        <item>水域</item>
      </candidateList>
      <explain/>
      <paraID>56E629FB</paraID>
      <start>205</start>
      <end>208</end>
      <status>unmodified</status>
      <modifiedWord/>
      <trackRevisions>false</trackRevisions>
    </reviewItem>
    <reviewItem>
      <errorID>f721a651-7674-4753-8276-b23ae7757272</errorID>
      <errorWord>不再会</errorWord>
      <group>L1_Word</group>
      <groupName>字词问题</groupName>
      <ability>L2_Typo</ability>
      <abilityName>字词错误</abilityName>
      <candidateList>
        <item>不再</item>
      </candidateList>
      <explain/>
      <paraID>1ED628AA</paraID>
      <start>127</start>
      <end>130</end>
      <status>unmodified</status>
      <modifiedWord/>
      <trackRevisions>false</trackRevisions>
    </reviewItem>
    <reviewItem>
      <errorID>bdd2026e-7610-4fc7-acd0-0d16a2a6a0f6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1F8FB8F</paraID>
      <start>0</start>
      <end>2</end>
      <status>unmodified</status>
      <modifiedWord/>
      <trackRevisions>false</trackRevisions>
    </reviewItem>
    <reviewItem>
      <errorID>4ebdb791-e2aa-4ee7-a194-0505e2cf146c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4339122F</paraID>
      <start>0</start>
      <end>2</end>
      <status>unmodified</status>
      <modifiedWord/>
      <trackRevisions>false</trackRevisions>
    </reviewItem>
    <reviewItem>
      <errorID>58f6d80e-c605-49bc-8216-2d732eac56f9</errorID>
      <errorWord>（</errorWord>
      <group>L1_Punc</group>
      <groupName>标点问题</groupName>
      <ability>L2_Punc</ability>
      <abilityName>标点符号检查</abilityName>
      <candidateList>
        <item/>
      </candidateList>
      <explain>同一形式括号套用。</explain>
      <paraID>67DB3CB8</paraID>
      <start>12</start>
      <end>13</end>
      <status>unmodified</status>
      <modifiedWord/>
      <trackRevisions>false</trackRevisions>
    </reviewItem>
    <reviewItem>
      <errorID>1b51a64e-fe4b-4e61-a09c-908b2efa74ae</errorID>
      <errorWord>(</errorWord>
      <group>L1_Punc</group>
      <groupName>标点问题</groupName>
      <ability>L2_Punc</ability>
      <abilityName>标点符号检查</abilityName>
      <candidateList/>
      <explain>同一形式括号套用。</explain>
      <paraID>67DB3CB8</paraID>
      <start>15</start>
      <end>16</end>
      <status>unmodified</status>
      <modifiedWord/>
      <trackRevisions>false</trackRevisions>
    </reviewItem>
    <reviewItem>
      <errorID>2b260a5b-738b-4d94-844c-f5c762049ef6</errorID>
      <errorWord>)</errorWord>
      <group>L1_Punc</group>
      <groupName>标点问题</groupName>
      <ability>L2_Punc</ability>
      <abilityName>标点符号检查</abilityName>
      <candidateList/>
      <explain>同一形式括号套用。</explain>
      <paraID>67DB3CB8</paraID>
      <start>17</start>
      <end>18</end>
      <status>unmodified</status>
      <modifiedWord/>
      <trackRevisions>false</trackRevisions>
    </reviewItem>
    <reviewItem>
      <errorID>e3c38262-f844-4150-911a-fd58b7860c07</errorID>
      <errorWord>）</errorWord>
      <group>L1_Punc</group>
      <groupName>标点问题</groupName>
      <ability>L2_Punc</ability>
      <abilityName>标点符号检查</abilityName>
      <candidateList/>
      <explain>同一形式括号套用。</explain>
      <paraID>67DB3CB8</paraID>
      <start>20</start>
      <end>21</end>
      <status>unmodified</status>
      <modifiedWord/>
      <trackRevisions>false</trackRevisions>
    </reviewItem>
    <reviewItem>
      <errorID>01dd751f-4fe7-40f1-b537-efb361467a48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561EA7D1</paraID>
      <start>0</start>
      <end>2</end>
      <status>unmodified</status>
      <modifiedWord/>
      <trackRevisions>false</trackRevisions>
    </reviewItem>
    <reviewItem>
      <errorID>b884513b-77bb-4458-8435-676a30ad21c3</errorID>
      <errorWord>（</errorWord>
      <group>L1_Format</group>
      <groupName>格式问题</groupName>
      <ability>L2_HalfPunc</ability>
      <abilityName>全半角检查</abilityName>
      <candidateList>
        <item>(</item>
      </candidateList>
      <explain>文本全半角错误。</explain>
      <paraID>62C58759</paraID>
      <start>0</start>
      <end>1</end>
      <status>unmodified</status>
      <modifiedWord/>
      <trackRevisions>false</trackRevisions>
    </reviewItem>
    <reviewItem>
      <errorID>9a58feaa-6c6f-4cc3-b9fc-e227a0c3bcd1</errorID>
      <errorWord>）</errorWord>
      <group>L1_Format</group>
      <groupName>格式问题</groupName>
      <ability>L2_HalfPunc</ability>
      <abilityName>全半角检查</abilityName>
      <candidateList>
        <item>)</item>
      </candidateList>
      <explain>文本全半角错误。</explain>
      <paraID>62C58759</paraID>
      <start>5</start>
      <end>6</end>
      <status>unmodified</status>
      <modifiedWord/>
      <trackRevisions>false</trackRevisions>
    </reviewItem>
    <reviewItem>
      <errorID>cc100615-6f16-4d0d-9b90-d90824166cf1</errorID>
      <errorWord>（</errorWord>
      <group>L1_Format</group>
      <groupName>格式问题</groupName>
      <ability>L2_HalfPunc</ability>
      <abilityName>全半角检查</abilityName>
      <candidateList>
        <item>(</item>
      </candidateList>
      <explain>文本全半角错误。</explain>
      <paraID>2EAA572C</paraID>
      <start>0</start>
      <end>1</end>
      <status>unmodified</status>
      <modifiedWord/>
      <trackRevisions>false</trackRevisions>
    </reviewItem>
    <reviewItem>
      <errorID>d4a90307-bade-475d-b78d-f5b080a72728</errorID>
      <errorWord>）</errorWord>
      <group>L1_Format</group>
      <groupName>格式问题</groupName>
      <ability>L2_HalfPunc</ability>
      <abilityName>全半角检查</abilityName>
      <candidateList>
        <item>)</item>
      </candidateList>
      <explain>文本全半角错误。</explain>
      <paraID>2EAA572C</paraID>
      <start>4</start>
      <end>5</end>
      <status>unmodified</status>
      <modifiedWord/>
      <trackRevisions>false</trackRevisions>
    </reviewItem>
    <reviewItem>
      <errorID>7a9e3597-56d2-4bba-bd7a-006fa688f179</errorID>
      <errorWord>（</errorWord>
      <group>L1_Format</group>
      <groupName>格式问题</groupName>
      <ability>L2_HalfPunc</ability>
      <abilityName>全半角检查</abilityName>
      <candidateList>
        <item>(</item>
      </candidateList>
      <explain>文本全半角错误。</explain>
      <paraID>7B3A67CE</paraID>
      <start>0</start>
      <end>1</end>
      <status>unmodified</status>
      <modifiedWord/>
      <trackRevisions>false</trackRevisions>
    </reviewItem>
    <reviewItem>
      <errorID>ea5d80c4-a338-47ac-9037-5f77ec3b8f9b</errorID>
      <errorWord>）</errorWord>
      <group>L1_Format</group>
      <groupName>格式问题</groupName>
      <ability>L2_HalfPunc</ability>
      <abilityName>全半角检查</abilityName>
      <candidateList>
        <item>)</item>
      </candidateList>
      <explain>文本全半角错误。</explain>
      <paraID>7B3A67CE</paraID>
      <start>5</start>
      <end>6</end>
      <status>unmodified</status>
      <modifiedWord/>
      <trackRevisions>false</trackRevisions>
    </reviewItem>
    <reviewItem>
      <errorID>b19203d6-0a01-4fdb-be4a-c23710fd2216</errorID>
      <errorWord>（</errorWord>
      <group>L1_Format</group>
      <groupName>格式问题</groupName>
      <ability>L2_HalfPunc</ability>
      <abilityName>全半角检查</abilityName>
      <candidateList>
        <item>(</item>
      </candidateList>
      <explain>文本全半角错误。</explain>
      <paraID>3E78F8A4</paraID>
      <start>0</start>
      <end>1</end>
      <status>unmodified</status>
      <modifiedWord/>
      <trackRevisions>false</trackRevisions>
    </reviewItem>
    <reviewItem>
      <errorID>e988b317-2a26-41c2-bf03-759054ca84ee</errorID>
      <errorWord>）</errorWord>
      <group>L1_Format</group>
      <groupName>格式问题</groupName>
      <ability>L2_HalfPunc</ability>
      <abilityName>全半角检查</abilityName>
      <candidateList>
        <item>)</item>
      </candidateList>
      <explain>文本全半角错误。</explain>
      <paraID>3E78F8A4</paraID>
      <start>4</start>
      <end>5</end>
      <status>unmodified</status>
      <modifiedWord/>
      <trackRevisions>false</trackRevisions>
    </reviewItem>
    <reviewItem>
      <errorID>e1283168-2642-49fb-9e3b-12c296315349</errorID>
      <errorWord>（</errorWord>
      <group>L1_Format</group>
      <groupName>格式问题</groupName>
      <ability>L2_HalfPunc</ability>
      <abilityName>全半角检查</abilityName>
      <candidateList>
        <item>(</item>
      </candidateList>
      <explain>文本全半角错误。</explain>
      <paraID>43A82E8F</paraID>
      <start>0</start>
      <end>1</end>
      <status>unmodified</status>
      <modifiedWord/>
      <trackRevisions>false</trackRevisions>
    </reviewItem>
    <reviewItem>
      <errorID>1b57735b-6611-4a04-b363-124a7bb1af6a</errorID>
      <errorWord>）</errorWord>
      <group>L1_Format</group>
      <groupName>格式问题</groupName>
      <ability>L2_HalfPunc</ability>
      <abilityName>全半角检查</abilityName>
      <candidateList>
        <item>)</item>
      </candidateList>
      <explain>文本全半角错误。</explain>
      <paraID>43A82E8F</paraID>
      <start>5</start>
      <end>6</end>
      <status>unmodified</status>
      <modifiedWord/>
      <trackRevisions>false</trackRevisions>
    </reviewItem>
    <reviewItem>
      <errorID>b23a602f-6d57-4ba0-9443-27f33c972004</errorID>
      <errorWord>（</errorWord>
      <group>L1_Format</group>
      <groupName>格式问题</groupName>
      <ability>L2_HalfPunc</ability>
      <abilityName>全半角检查</abilityName>
      <candidateList>
        <item>(</item>
      </candidateList>
      <explain>文本全半角错误。</explain>
      <paraID>3531DB6D</paraID>
      <start>0</start>
      <end>1</end>
      <status>unmodified</status>
      <modifiedWord/>
      <trackRevisions>false</trackRevisions>
    </reviewItem>
    <reviewItem>
      <errorID>b2ee9edf-0bec-427b-9425-30879bbca090</errorID>
      <errorWord>）</errorWord>
      <group>L1_Format</group>
      <groupName>格式问题</groupName>
      <ability>L2_HalfPunc</ability>
      <abilityName>全半角检查</abilityName>
      <candidateList>
        <item>)</item>
      </candidateList>
      <explain>文本全半角错误。</explain>
      <paraID>3531DB6D</paraID>
      <start>4</start>
      <end>5</end>
      <status>unmodified</status>
      <modifiedWord/>
      <trackRevisions>false</trackRevisions>
    </reviewItem>
    <reviewItem>
      <errorID>2cadcae9-d95b-410c-b4ba-3e6d2a63a6ce</errorID>
      <errorWord>维</errorWord>
      <group>L1_Word</group>
      <groupName>字词问题</groupName>
      <ability>L2_Typo</ability>
      <abilityName>字词错误</abilityName>
      <candidateList>
        <item>危</item>
      </candidateList>
      <explain/>
      <paraID> D733091</paraID>
      <start>0</start>
      <end>1</end>
      <status>unmodified</status>
      <modifiedWord/>
      <trackRevisions>false</trackRevisions>
    </reviewItem>
    <reviewItem>
      <errorID>b47ce8b9-7c71-4fae-8d10-1e594612fd9a</errorID>
      <errorWord>浸蚀</errorWord>
      <group>L1_Word</group>
      <groupName>字词问题</groupName>
      <ability>L2_Typo</ability>
      <abilityName>字词错误</abilityName>
      <candidateList>
        <item>侵蚀</item>
      </candidateList>
      <explain>存在字形相近字词的误用。</explain>
      <paraID> 3268494</paraID>
      <start>115</start>
      <end>117</end>
      <status>modified</status>
      <modifiedWord>侵蚀</modifiedWord>
      <trackRevisions>false</trackRevisions>
    </reviewItem>
    <reviewItem>
      <errorID>f04d9e6b-8458-4ebb-9cda-de04c6cc1b5a</errorID>
      <errorWord>其它重要</errorWord>
      <group>L1_Word</group>
      <groupName>字词问题</groupName>
      <ability>L2_Alias</ability>
      <abilityName>也作/曾用词</abilityName>
      <candidateList>
        <item>其他重要</item>
      </candidateList>
      <explain>词汇[其它重要]为不规范表述或旧称，其规范书面表述为[其他重要]。</explain>
      <paraID> 3268494</paraID>
      <start>272</start>
      <end>276</end>
      <status>modified</status>
      <modifiedWord>其他重要</modifiedWord>
      <trackRevisions>false</trackRevisions>
    </reviewItem>
    <reviewItem>
      <errorID>e6b1f81b-1e1d-495a-89c7-35ab55491036</errorID>
      <errorWord>-</errorWord>
      <group>L1_Format</group>
      <groupName>格式问题</groupName>
      <ability>L2_HalfPunc</ability>
      <abilityName>全半角检查</abilityName>
      <candidateList>
        <item>－</item>
      </candidateList>
      <explain>文本全半角错误。</explain>
      <paraID>3394E298</paraID>
      <start>47</start>
      <end>48</end>
      <status>unmodified</status>
      <modifiedWord/>
      <trackRevisions>false</trackRevisions>
    </reviewItem>
    <reviewItem>
      <errorID>72dc9913-0b0e-4c46-8477-bc62822fb21e</errorID>
      <errorWord>~</errorWord>
      <group>L1_Format</group>
      <groupName>格式问题</groupName>
      <ability>L2_HalfPunc</ability>
      <abilityName>全半角检查</abilityName>
      <candidateList>
        <item>～</item>
      </candidateList>
      <explain>文本全半角错误。</explain>
      <paraID>3394E298</paraID>
      <start>79</start>
      <end>80</end>
      <status>unmodified</status>
      <modifiedWord/>
      <trackRevisions>false</trackRevisions>
    </reviewItem>
    <reviewItem>
      <errorID>d031a2e6-4fca-41ef-b715-21e5aacc0531</errorID>
      <errorWord>~</errorWord>
      <group>L1_Format</group>
      <groupName>格式问题</groupName>
      <ability>L2_HalfPunc</ability>
      <abilityName>全半角检查</abilityName>
      <candidateList>
        <item>～</item>
      </candidateList>
      <explain>文本全半角错误。</explain>
      <paraID>3AA89FE4</paraID>
      <start>78</start>
      <end>79</end>
      <status>unmodified</status>
      <modifiedWord/>
      <trackRevisions>false</trackRevisions>
    </reviewItem>
    <reviewItem>
      <errorID>3953cc07-65e3-4742-b149-b663455b4dc1</errorID>
      <errorWord>~</errorWord>
      <group>L1_Format</group>
      <groupName>格式问题</groupName>
      <ability>L2_HalfPunc</ability>
      <abilityName>全半角检查</abilityName>
      <candidateList>
        <item>～</item>
      </candidateList>
      <explain>文本全半角错误。</explain>
      <paraID>386C8A25</paraID>
      <start>69</start>
      <end>70</end>
      <status>unmodified</status>
      <modifiedWord/>
      <trackRevisions>false</trackRevisions>
    </reviewItem>
    <reviewItem>
      <errorID>e9492831-44ef-4dad-ae96-568de3744b30</errorID>
      <errorWord>~</errorWord>
      <group>L1_Format</group>
      <groupName>格式问题</groupName>
      <ability>L2_HalfPunc</ability>
      <abilityName>全半角检查</abilityName>
      <candidateList>
        <item>～</item>
      </candidateList>
      <explain>文本全半角错误。</explain>
      <paraID>386C8A25</paraID>
      <start>98</start>
      <end>99</end>
      <status>unmodified</status>
      <modifiedWord/>
      <trackRevisions>false</trackRevisions>
    </reviewItem>
    <reviewItem>
      <errorID>ef120433-d544-4461-ba98-dac0650ae657</errorID>
      <errorWord>多年地</errorWord>
      <group>L1_Word</group>
      <groupName>字词问题</groupName>
      <ability>L2_Typo</ability>
      <abilityName>字词错误</abilityName>
      <candidateList>
        <item>多年</item>
      </candidateList>
      <explain/>
      <paraID>386C8A25</paraID>
      <start>137</start>
      <end>140</end>
      <status>unmodified</status>
      <modifiedWord/>
      <trackRevisions>false</trackRevisions>
    </reviewItem>
    <reviewItem>
      <errorID>c9965b1d-f8f2-4c00-a045-e602c9535d9e</errorID>
      <errorWord>~</errorWord>
      <group>L1_Format</group>
      <groupName>格式问题</groupName>
      <ability>L2_HalfPunc</ability>
      <abilityName>全半角检查</abilityName>
      <candidateList>
        <item>～</item>
      </candidateList>
      <explain>文本全半角错误。</explain>
      <paraID>7A7EC117</paraID>
      <start>67</start>
      <end>68</end>
      <status>unmodified</status>
      <modifiedWord/>
      <trackRevisions>false</trackRevisions>
    </reviewItem>
    <reviewItem>
      <errorID>4acf23a1-8f0a-4c6c-993e-39987b0c8320</errorID>
      <errorWord>~</errorWord>
      <group>L1_Format</group>
      <groupName>格式问题</groupName>
      <ability>L2_HalfPunc</ability>
      <abilityName>全半角检查</abilityName>
      <candidateList>
        <item>～</item>
      </candidateList>
      <explain>文本全半角错误。</explain>
      <paraID>678CC8E7</paraID>
      <start>49</start>
      <end>50</end>
      <status>unmodified</status>
      <modifiedWord/>
      <trackRevisions>false</trackRevisions>
    </reviewItem>
    <reviewItem>
      <errorID>80605a95-7e44-4204-8d11-551497e7fa7f</errorID>
      <errorWord>~</errorWord>
      <group>L1_Format</group>
      <groupName>格式问题</groupName>
      <ability>L2_HalfPunc</ability>
      <abilityName>全半角检查</abilityName>
      <candidateList>
        <item>～</item>
      </candidateList>
      <explain>文本全半角错误。</explain>
      <paraID>21730370</paraID>
      <start>63</start>
      <end>64</end>
      <status>unmodified</status>
      <modifiedWord/>
      <trackRevisions>false</trackRevisions>
    </reviewItem>
    <reviewItem>
      <errorID>901dd923-0b6b-40f8-a4c0-c5d2bc142f5e</errorID>
      <errorWord>(</errorWord>
      <group>L1_Format</group>
      <groupName>格式问题</groupName>
      <ability>L2_HalfPunc</ability>
      <abilityName>全半角检查</abilityName>
      <candidateList>
        <item>（</item>
      </candidateList>
      <explain>文本全半角错误。</explain>
      <paraID>4BCDDEEB</paraID>
      <start>87</start>
      <end>88</end>
      <status>unmodified</status>
      <modifiedWord/>
      <trackRevisions>false</trackRevisions>
    </reviewItem>
    <reviewItem>
      <errorID>d67cf858-b956-4244-820f-29a8dde9fe31</errorID>
      <errorWord>)</errorWord>
      <group>L1_Format</group>
      <groupName>格式问题</groupName>
      <ability>L2_HalfPunc</ability>
      <abilityName>全半角检查</abilityName>
      <candidateList>
        <item>）</item>
      </candidateList>
      <explain>文本全半角错误。</explain>
      <paraID>4BCDDEEB</paraID>
      <start>90</start>
      <end>91</end>
      <status>unmodified</status>
      <modifiedWord/>
      <trackRevisions>false</trackRevisions>
    </reviewItem>
    <reviewItem>
      <errorID>78846054-ebbd-471f-8120-c4f2b1422fdc</errorID>
      <errorWord>(</errorWord>
      <group>L1_Format</group>
      <groupName>格式问题</groupName>
      <ability>L2_HalfPunc</ability>
      <abilityName>全半角检查</abilityName>
      <candidateList>
        <item>（</item>
      </candidateList>
      <explain>文本全半角错误。</explain>
      <paraID>772C6905</paraID>
      <start>11</start>
      <end>12</end>
      <status>unmodified</status>
      <modifiedWord/>
      <trackRevisions>false</trackRevisions>
    </reviewItem>
    <reviewItem>
      <errorID>e7d7823a-b1b0-4d2f-9dc7-2c18ed37a548</errorID>
      <errorWord>)</errorWord>
      <group>L1_Format</group>
      <groupName>格式问题</groupName>
      <ability>L2_HalfPunc</ability>
      <abilityName>全半角检查</abilityName>
      <candidateList>
        <item>）</item>
      </candidateList>
      <explain>文本全半角错误。</explain>
      <paraID>772C6905</paraID>
      <start>14</start>
      <end>15</end>
      <status>unmodified</status>
      <modifiedWord/>
      <trackRevisions>false</trackRevisions>
    </reviewItem>
    <reviewItem>
      <errorID>7b25f6ae-4cba-453b-886b-2302666c74f8</errorID>
      <errorWord>~</errorWord>
      <group>L1_Format</group>
      <groupName>格式问题</groupName>
      <ability>L2_HalfPunc</ability>
      <abilityName>全半角检查</abilityName>
      <candidateList>
        <item>～</item>
      </candidateList>
      <explain>文本全半角错误。</explain>
      <paraID>14D5D5FB</paraID>
      <start>120</start>
      <end>121</end>
      <status>unmodified</status>
      <modifiedWord/>
      <trackRevisions>false</trackRevisions>
    </reviewItem>
    <reviewItem>
      <errorID>f0792c29-fd66-44f4-a068-a7f8d6469618</errorID>
      <errorWord>拖褶</errorWord>
      <group>L1_Word</group>
      <groupName>字词问题</groupName>
      <ability>L2_Typo</ability>
      <abilityName>字词错误</abilityName>
      <candidateList>
        <item>皱褶</item>
      </candidateList>
      <explain/>
      <paraID>14D5D5FB</paraID>
      <start>149</start>
      <end>151</end>
      <status>unmodified</status>
      <modifiedWord/>
      <trackRevisions>false</trackRevisions>
    </reviewItem>
    <reviewItem>
      <errorID>16f91faf-bef6-458a-a51b-bb77dd1daf51</errorID>
      <errorWord>二大类</errorWord>
      <group>L1_Word</group>
      <groupName>字词问题</groupName>
      <ability>L2_Typo</ability>
      <abilityName>字词错误</abilityName>
      <candidateList>
        <item>两大类</item>
      </candidateList>
      <explain/>
      <paraID>313DE177</paraID>
      <start>53</start>
      <end>56</end>
      <status>modified</status>
      <modifiedWord>两大类</modifiedWord>
      <trackRevisions>false</trackRevisions>
    </reviewItem>
    <reviewItem>
      <errorID>9c51d7b0-8b32-4beb-b35b-0b732dd249f6</errorID>
      <errorWord>(</errorWord>
      <group>L1_Format</group>
      <groupName>格式问题</groupName>
      <ability>L2_HalfPunc</ability>
      <abilityName>全半角检查</abilityName>
      <candidateList>
        <item>（</item>
      </candidateList>
      <explain>文本全半角错误。</explain>
      <paraID>7ACD9A8E</paraID>
      <start>123</start>
      <end>124</end>
      <status>unmodified</status>
      <modifiedWord/>
      <trackRevisions>false</trackRevisions>
    </reviewItem>
    <reviewItem>
      <errorID>55f3ef6d-f305-4300-919b-899e94bb8c9a</errorID>
      <errorWord>)</errorWord>
      <group>L1_Format</group>
      <groupName>格式问题</groupName>
      <ability>L2_HalfPunc</ability>
      <abilityName>全半角检查</abilityName>
      <candidateList>
        <item>）</item>
      </candidateList>
      <explain>文本全半角错误。</explain>
      <paraID>7ACD9A8E</paraID>
      <start>129</start>
      <end>130</end>
      <status>unmodified</status>
      <modifiedWord/>
      <trackRevisions>false</trackRevisions>
    </reviewItem>
    <reviewItem>
      <errorID>5ef1b2ba-01e8-41e1-9080-71a54beef455</errorID>
      <errorWord>主要的生活和工业用水以地表水为主</errorWord>
      <group>L1_Grammar</group>
      <groupName>语法问题</groupName>
      <ability>L2_Grammar</ability>
      <abilityName>语法错误</abilityName>
      <candidateList>
        <item>的生活和工业用水以地表水为主</item>
      </candidateList>
      <explain/>
      <paraID>7ACD9A8E</paraID>
      <start>171</start>
      <end>187</end>
      <status>unmodified</status>
      <modifiedWord/>
      <trackRevisions>false</trackRevisions>
    </reviewItem>
    <reviewItem>
      <errorID>d1bd2adc-acfc-4d24-82e5-059bac92c801</errorID>
      <errorWord>分</errorWord>
      <group>L1_Word</group>
      <groupName>字词问题</groupName>
      <ability>L2_Typo</ability>
      <abilityName>字词错误</abilityName>
      <candidateList>
        <item>分为</item>
      </candidateList>
      <explain/>
      <paraID>129030D3</paraID>
      <start>17</start>
      <end>18</end>
      <status>unmodified</status>
      <modifiedWord/>
      <trackRevisions>false</trackRevisions>
    </reviewItem>
    <reviewItem>
      <errorID>8a9ff98a-b3c1-446a-acf1-9984fee8a66f</errorID>
      <errorWord>二大类</errorWord>
      <group>L1_Word</group>
      <groupName>字词问题</groupName>
      <ability>L2_Typo</ability>
      <abilityName>字词错误</abilityName>
      <candidateList>
        <item>两大类</item>
      </candidateList>
      <explain/>
      <paraID>129030D3</paraID>
      <start>35</start>
      <end>38</end>
      <status>modified</status>
      <modifiedWord>两大类</modifiedWord>
      <trackRevisions>false</trackRevisions>
    </reviewItem>
    <reviewItem>
      <errorID>17064056-9392-4b30-bd5a-1f2994baaefd</errorID>
      <errorWord>~</errorWord>
      <group>L1_Format</group>
      <groupName>格式问题</groupName>
      <ability>L2_HalfPunc</ability>
      <abilityName>全半角检查</abilityName>
      <candidateList>
        <item>～</item>
      </candidateList>
      <explain>文本全半角错误。</explain>
      <paraID>5F1BC552</paraID>
      <start>54</start>
      <end>55</end>
      <status>unmodified</status>
      <modifiedWord/>
      <trackRevisions>false</trackRevisions>
    </reviewItem>
    <reviewItem>
      <errorID>358877d6-ff91-4425-8a7a-4ddaf1872aed</errorID>
      <errorWord>~</errorWord>
      <group>L1_Format</group>
      <groupName>格式问题</groupName>
      <ability>L2_HalfPunc</ability>
      <abilityName>全半角检查</abilityName>
      <candidateList>
        <item>～</item>
      </candidateList>
      <explain>文本全半角错误。</explain>
      <paraID>31388849</paraID>
      <start>145</start>
      <end>146</end>
      <status>unmodified</status>
      <modifiedWord/>
      <trackRevisions>false</trackRevisions>
    </reviewItem>
    <reviewItem>
      <errorID>fd71bf27-645c-40d7-9e5c-b2e1e556ee78</errorID>
      <errorWord>：</errorWord>
      <group>L1_Format</group>
      <groupName>格式问题</groupName>
      <ability>L2_HalfPunc</ability>
      <abilityName>全半角检查</abilityName>
      <candidateList>
        <item>:</item>
      </candidateList>
      <explain>文本全半角错误。</explain>
      <paraID>4671CD9D</paraID>
      <start>56</start>
      <end>57</end>
      <status>unmodified</status>
      <modifiedWord/>
      <trackRevisions>false</trackRevisions>
    </reviewItem>
    <reviewItem>
      <errorID>fc75d1e0-692c-4c22-8505-5a0b073348b7</errorID>
      <errorWord>主要为陇状低丘地貌为主</errorWord>
      <group>L1_Grammar</group>
      <groupName>语法问题</groupName>
      <ability>L2_Grammar</ability>
      <abilityName>语法错误</abilityName>
      <candidateList>
        <item>为陇状低丘地貌为主</item>
      </candidateList>
      <explain/>
      <paraID>62C1A916</paraID>
      <start>50</start>
      <end>61</end>
      <status>unmodified</status>
      <modifiedWord/>
      <trackRevisions>false</trackRevisions>
    </reviewItem>
    <reviewItem>
      <errorID>184c59da-9992-4bfe-a7a2-f3e23ce45bd8</errorID>
      <errorWord>：</errorWord>
      <group>L1_Format</group>
      <groupName>格式问题</groupName>
      <ability>L2_HalfPunc</ability>
      <abilityName>全半角检查</abilityName>
      <candidateList>
        <item>:</item>
      </candidateList>
      <explain>文本全半角错误。</explain>
      <paraID>62C1A916</paraID>
      <start>96</start>
      <end>97</end>
      <status>unmodified</status>
      <modifiedWord/>
      <trackRevisions>false</trackRevisions>
    </reviewItem>
    <reviewItem>
      <errorID>3e787003-64bb-4faf-bfc2-0911eadcf9a9</errorID>
      <errorWord>布</errorWord>
      <group>L1_Word</group>
      <groupName>字词问题</groupName>
      <ability>L2_Typo</ability>
      <abilityName>字词错误</abilityName>
      <candidateList>
        <item>布在</item>
      </candidateList>
      <explain/>
      <paraID>29BA9C97</paraID>
      <start>11</start>
      <end>12</end>
      <status>unmodified</status>
      <modifiedWord/>
      <trackRevisions>false</trackRevisions>
    </reviewItem>
    <reviewItem>
      <errorID>5a3e4cfd-2621-43a8-9c9d-151d39816466</errorID>
      <errorWord>(</errorWord>
      <group>L1_Format</group>
      <groupName>格式问题</groupName>
      <ability>L2_HalfPunc</ability>
      <abilityName>全半角检查</abilityName>
      <candidateList>
        <item>（</item>
      </candidateList>
      <explain>文本全半角错误。</explain>
      <paraID>5114A441</paraID>
      <start>37</start>
      <end>38</end>
      <status>unmodified</status>
      <modifiedWord/>
      <trackRevisions>false</trackRevisions>
    </reviewItem>
    <reviewItem>
      <errorID>4cb8061d-074f-48ba-b26c-46fed7788a38</errorID>
      <errorWord>)</errorWord>
      <group>L1_Format</group>
      <groupName>格式问题</groupName>
      <ability>L2_HalfPunc</ability>
      <abilityName>全半角检查</abilityName>
      <candidateList>
        <item>）</item>
      </candidateList>
      <explain>文本全半角错误。</explain>
      <paraID>5114A441</paraID>
      <start>46</start>
      <end>47</end>
      <status>unmodified</status>
      <modifiedWord/>
      <trackRevisions>false</trackRevisions>
    </reviewItem>
    <reviewItem>
      <errorID>eed623f4-2f3f-426f-85b5-dcbda3fe6ee7</errorID>
      <errorWord>(</errorWord>
      <group>L1_Format</group>
      <groupName>格式问题</groupName>
      <ability>L2_HalfPunc</ability>
      <abilityName>全半角检查</abilityName>
      <candidateList>
        <item>（</item>
      </candidateList>
      <explain>文本全半角错误。</explain>
      <paraID>5114A441</paraID>
      <start>53</start>
      <end>54</end>
      <status>unmodified</status>
      <modifiedWord/>
      <trackRevisions>false</trackRevisions>
    </reviewItem>
    <reviewItem>
      <errorID>23b3432e-8bae-467f-bf4b-6820c87c9d64</errorID>
      <errorWord>)</errorWord>
      <group>L1_Format</group>
      <groupName>格式问题</groupName>
      <ability>L2_HalfPunc</ability>
      <abilityName>全半角检查</abilityName>
      <candidateList>
        <item>）</item>
      </candidateList>
      <explain>文本全半角错误。</explain>
      <paraID>5114A441</paraID>
      <start>60</start>
      <end>61</end>
      <status>unmodified</status>
      <modifiedWord/>
      <trackRevisions>false</trackRevisions>
    </reviewItem>
    <reviewItem>
      <errorID>d8971c83-aeeb-4d57-8b49-71ac2eb60dff</errorID>
      <errorWord>(</errorWord>
      <group>L1_Format</group>
      <groupName>格式问题</groupName>
      <ability>L2_HalfPunc</ability>
      <abilityName>全半角检查</abilityName>
      <candidateList>
        <item>（</item>
      </candidateList>
      <explain>文本全半角错误。</explain>
      <paraID>3633085A</paraID>
      <start>225</start>
      <end>226</end>
      <status>unmodified</status>
      <modifiedWord/>
      <trackRevisions>false</trackRevisions>
    </reviewItem>
    <reviewItem>
      <errorID>388dc5da-397a-4579-b7a0-92b7dbaacef7</errorID>
      <errorWord>)</errorWord>
      <group>L1_Format</group>
      <groupName>格式问题</groupName>
      <ability>L2_HalfPunc</ability>
      <abilityName>全半角检查</abilityName>
      <candidateList>
        <item>）</item>
      </candidateList>
      <explain>文本全半角错误。</explain>
      <paraID>3633085A</paraID>
      <start>237</start>
      <end>238</end>
      <status>unmodified</status>
      <modifiedWord/>
      <trackRevisions>false</trackRevisions>
    </reviewItem>
    <reviewItem>
      <errorID>fbd3737d-6da1-4950-ad8b-6680c0735e90</errorID>
      <errorWord>5～10％</errorWord>
      <group>L1_Knowledge</group>
      <groupName>知识性问题</groupName>
      <ability>L2_Knowledge</ability>
      <abilityName>其他知识</abilityName>
      <candidateList>
        <item>5％～10％</item>
      </candidateList>
      <explain>1. “5～10％”中的单位“％”仅出现在后一个数字上，容易引起歧义；根据《现代汉语标点符号数字用法规范手册》，数字表示范围两边需要使用统一的格式。2. 根据标点国标 4.13 中的规则，数字、时间或地域连接符应使用（视觉上更长的）“—”或“～”。</explain>
      <paraID>3633085A</paraID>
      <start>262</start>
      <end>267</end>
      <status>unmodified</status>
      <modifiedWord/>
      <trackRevisions>false</trackRevisions>
    </reviewItem>
    <reviewItem>
      <errorID>aa2252c0-dafb-4c75-8de1-661d0d39c6d8</errorID>
      <errorWord>(</errorWord>
      <group>L1_Format</group>
      <groupName>格式问题</groupName>
      <ability>L2_HalfPunc</ability>
      <abilityName>全半角检查</abilityName>
      <candidateList>
        <item>（</item>
      </candidateList>
      <explain>文本全半角错误。</explain>
      <paraID>3633085A</paraID>
      <start>277</start>
      <end>278</end>
      <status>unmodified</status>
      <modifiedWord/>
      <trackRevisions>false</trackRevisions>
    </reviewItem>
    <reviewItem>
      <errorID>9886fe94-cc9b-474a-a868-25c8a2e5be12</errorID>
      <errorWord>)</errorWord>
      <group>L1_Format</group>
      <groupName>格式问题</groupName>
      <ability>L2_HalfPunc</ability>
      <abilityName>全半角检查</abilityName>
      <candidateList>
        <item>）</item>
      </candidateList>
      <explain>文本全半角错误。</explain>
      <paraID>3633085A</paraID>
      <start>285</start>
      <end>286</end>
      <status>unmodified</status>
      <modifiedWord/>
      <trackRevisions>false</trackRevisions>
    </reviewItem>
    <reviewItem>
      <errorID>7c2d98d0-75ac-4ff5-bd4f-ad20b73c9e4f</errorID>
      <errorWord>93—98％</errorWord>
      <group>L1_Knowledge</group>
      <groupName>知识性问题</groupName>
      <ability>L2_Knowledge</ability>
      <abilityName>其他知识</abilityName>
      <candidateList>
        <item>93％—98％</item>
      </candidateList>
      <explain>1. “93—98％”中的单位“％”仅出现在后一个数字上，容易引起歧义；根据《现代汉语标点符号数字用法规范手册》，数字表示范围两边需要使用统一的格式。2. 根据标点国标 4.13 中的规则，数字、时间或地域连接符应使用（视觉上更长的）“—”或“～”。</explain>
      <paraID>3633085A</paraID>
      <start>308</start>
      <end>314</end>
      <status>unmodified</status>
      <modifiedWord/>
      <trackRevisions>false</trackRevisions>
    </reviewItem>
    <reviewItem>
      <errorID>80486ebe-775c-4d3e-8690-069ac76b6691</errorID>
      <errorWord>风况</errorWord>
      <group>L1_Word</group>
      <groupName>字词问题</groupName>
      <ability>L2_Typo</ability>
      <abilityName>字词错误</abilityName>
      <candidateList>
        <item>风险</item>
      </candidateList>
      <explain>〈名〉可能发生的危险：担～｜冒着～去搞试验。</explain>
      <paraID>749CD186</paraID>
      <start>0</start>
      <end>2</end>
      <status>unmodified</status>
      <modifiedWord/>
      <trackRevisions>false</trackRevisions>
    </reviewItem>
    <reviewItem>
      <errorID>86d835e6-392a-4f9a-94a4-0f8ce7821138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7B6DC510</paraID>
      <start>41</start>
      <end>42</end>
      <status>unmodified</status>
      <modifiedWord/>
      <trackRevisions>false</trackRevisions>
    </reviewItem>
    <reviewItem>
      <errorID>ead3d251-1633-4fca-9555-456875f93efb</errorID>
      <errorWord>三月</errorWord>
      <group>L1_Word</group>
      <groupName>字词问题</groupName>
      <ability>L2_Typo</ability>
      <abilityName>字词错误</abilityName>
      <candidateList>
        <item>月</item>
      </candidateList>
      <explain/>
      <paraID>5CAB22E4</paraID>
      <start>23</start>
      <end>25</end>
      <status>unmodified</status>
      <modifiedWord/>
      <trackRevisions>false</trackRevisions>
    </reviewItem>
    <reviewItem>
      <errorID>7b9f95ce-222e-43d0-bfaa-fe4090f79cb4</errorID>
      <errorWord>，</errorWord>
      <group>L1_Word</group>
      <groupName>字词问题</groupName>
      <ability>L2_Typo</ability>
      <abilityName>字词错误</abilityName>
      <candidateList>
        <item>，根</item>
      </candidateList>
      <explain/>
      <paraID>5CAB22E4</paraID>
      <start>29</start>
      <end>30</end>
      <status>unmodified</status>
      <modifiedWord/>
      <trackRevisions>false</trackRevisions>
    </reviewItem>
    <reviewItem>
      <errorID>42bb0816-f20b-42c4-9b4f-fddc17c54f86</errorID>
      <errorWord>~</errorWord>
      <group>L1_Format</group>
      <groupName>格式问题</groupName>
      <ability>L2_HalfPunc</ability>
      <abilityName>全半角检查</abilityName>
      <candidateList>
        <item>～</item>
      </candidateList>
      <explain>文本全半角错误。</explain>
      <paraID>5CAB22E4</paraID>
      <start>52</start>
      <end>53</end>
      <status>unmodified</status>
      <modifiedWord/>
      <trackRevisions>false</trackRevisions>
    </reviewItem>
    <reviewItem>
      <errorID>3834121b-ca74-4b57-9a8a-8c98e2b014ec</errorID>
      <errorWord>-</errorWord>
      <group>L1_Format</group>
      <groupName>格式问题</groupName>
      <ability>L2_HalfPunc</ability>
      <abilityName>全半角检查</abilityName>
      <candidateList>
        <item>－</item>
      </candidateList>
      <explain>文本全半角错误。</explain>
      <paraID>7F2E7041</paraID>
      <start>135</start>
      <end>136</end>
      <status>unmodified</status>
      <modifiedWord/>
      <trackRevisions>false</trackRevisions>
    </reviewItem>
    <reviewItem>
      <errorID>1df6aeb1-06a1-4c99-8547-cb6fa4ef2a67</errorID>
      <errorWord>破外</errorWord>
      <group>L1_Word</group>
      <groupName>字词问题</groupName>
      <ability>L2_Typo</ability>
      <abilityName>字词错误</abilityName>
      <candidateList>
        <item>破坏</item>
      </candidateList>
      <explain>〈动〉❶使建筑物等损坏：～桥梁｜～文物。❷使事物受到损害：～生产｜～名誉。❸变革（社会制度、风俗习惯等）。❹违反（规章、条约等）：～协定｜～规矩。❺（物体的组织或结构）损坏：维生素C因受热而～。</explain>
      <paraID>39CC5B8D</paraID>
      <start>115</start>
      <end>117</end>
      <status>modified</status>
      <modifiedWord>破坏</modifiedWord>
      <trackRevisions>false</trackRevisions>
    </reviewItem>
    <reviewItem>
      <errorID>1517e5a9-ed51-403e-9b0c-5b9e445f14a4</errorID>
      <errorWord>80～90%</errorWord>
      <group>L1_Knowledge</group>
      <groupName>知识性问题</groupName>
      <ability>L2_Knowledge</ability>
      <abilityName>其他知识</abilityName>
      <candidateList>
        <item>80%～90%</item>
      </candidateList>
      <explain>1. “80～90%”中的单位“%”仅出现在后一个数字上，容易引起歧义；根据《现代汉语标点符号数字用法规范手册》，数字表示范围两边需要使用统一的格式。2. 根据标点国标 4.13 中的规则，数字、时间或地域连接符应使用（视觉上更长的）“—”或“～”。</explain>
      <paraID>68F213A3</paraID>
      <start>79</start>
      <end>85</end>
      <status>unmodified</status>
      <modifiedWord/>
      <trackRevisions>false</trackRevisions>
    </reviewItem>
    <reviewItem>
      <errorID>02c783f6-36aa-4cca-8500-0896dc8f4af6</errorID>
      <errorWord>50～60%</errorWord>
      <group>L1_Knowledge</group>
      <groupName>知识性问题</groupName>
      <ability>L2_Knowledge</ability>
      <abilityName>其他知识</abilityName>
      <candidateList>
        <item>50%～60%</item>
      </candidateList>
      <explain>1. “50～60%”中的单位“%”仅出现在后一个数字上，容易引起歧义；根据《现代汉语标点符号数字用法规范手册》，数字表示范围两边需要使用统一的格式。2. 根据标点国标 4.13 中的规则，数字、时间或地域连接符应使用（视觉上更长的）“—”或“～”。</explain>
      <paraID>68F213A3</paraID>
      <start>123</start>
      <end>129</end>
      <status>unmodified</status>
      <modifiedWord/>
      <trackRevisions>false</trackRevisions>
    </reviewItem>
    <reviewItem>
      <errorID>790d0d35-a514-4733-b27d-ab5025320e9f</errorID>
      <errorWord>30～40%</errorWord>
      <group>L1_Knowledge</group>
      <groupName>知识性问题</groupName>
      <ability>L2_Knowledge</ability>
      <abilityName>其他知识</abilityName>
      <candidateList>
        <item>30%～40%</item>
      </candidateList>
      <explain>1. “30～40%”中的单位“%”仅出现在后一个数字上，容易引起歧义；根据《现代汉语标点符号数字用法规范手册》，数字表示范围两边需要使用统一的格式。2. 根据标点国标 4.13 中的规则，数字、时间或地域连接符应使用（视觉上更长的）“—”或“～”。</explain>
      <paraID>68F213A3</paraID>
      <start>156</start>
      <end>162</end>
      <status>unmodified</status>
      <modifiedWord/>
      <trackRevisions>false</trackRevisions>
    </reviewItem>
    <reviewItem>
      <errorID>bb6f6f68-2b62-40b1-914b-5c9b3e4d8125</errorID>
      <errorWord>耳环</errorWord>
      <group>L1_Word</group>
      <groupName>字词问题</groupName>
      <ability>L2_Typo</ability>
      <abilityName>字词错误</abilityName>
      <candidateList>
        <item>耳</item>
      </candidateList>
      <explain/>
      <paraID>402FDC5B</paraID>
      <start>21</start>
      <end>23</end>
      <status>unmodified</status>
      <modifiedWord/>
      <trackRevisions>false</trackRevisions>
    </reviewItem>
    <reviewItem>
      <errorID>f3cf3971-745f-4841-8192-90ea72ce339f</errorID>
      <errorWord>耳环</errorWord>
      <group>L1_Word</group>
      <groupName>字词问题</groupName>
      <ability>L2_Typo</ability>
      <abilityName>字词错误</abilityName>
      <candidateList>
        <item>耳</item>
      </candidateList>
      <explain/>
      <paraID>402FDC5B</paraID>
      <start>113</start>
      <end>115</end>
      <status>unmodified</status>
      <modifiedWord/>
      <trackRevisions>false</trackRevisions>
    </reviewItem>
    <reviewItem>
      <errorID>a7957d5b-0eb1-44be-9465-e6a97f511ffd</errorID>
      <errorWord>(</errorWord>
      <group>L1_Format</group>
      <groupName>格式问题</groupName>
      <ability>L2_HalfPunc</ability>
      <abilityName>全半角检查</abilityName>
      <candidateList>
        <item>（</item>
      </candidateList>
      <explain>文本全半角错误。</explain>
      <paraID>11320E0A</paraID>
      <start>106</start>
      <end>107</end>
      <status>unmodified</status>
      <modifiedWord/>
      <trackRevisions>false</trackRevisions>
    </reviewItem>
    <reviewItem>
      <errorID>9479b54b-550c-4a2d-9bec-3a5ffaab2096</errorID>
      <errorWord>)</errorWord>
      <group>L1_Format</group>
      <groupName>格式问题</groupName>
      <ability>L2_HalfPunc</ability>
      <abilityName>全半角检查</abilityName>
      <candidateList>
        <item>）</item>
      </candidateList>
      <explain>文本全半角错误。</explain>
      <paraID>11320E0A</paraID>
      <start>112</start>
      <end>113</end>
      <status>unmodified</status>
      <modifiedWord/>
      <trackRevisions>false</trackRevisions>
    </reviewItem>
    <reviewItem>
      <errorID>dc93843a-aec2-4fb2-888a-1475944e3d28</errorID>
      <errorWord>主要的生活和工业用水以地表水为主</errorWord>
      <group>L1_Grammar</group>
      <groupName>语法问题</groupName>
      <ability>L2_Grammar</ability>
      <abilityName>语法错误</abilityName>
      <candidateList>
        <item>的生活和工业用水以地表水为主</item>
      </candidateList>
      <explain/>
      <paraID>11320E0A</paraID>
      <start>154</start>
      <end>170</end>
      <status>unmodified</status>
      <modifiedWord/>
      <trackRevisions>false</trackRevisions>
    </reviewItem>
    <reviewItem>
      <errorID>e0030400-6d61-4337-99d2-8739949a768c</errorID>
      <errorWord>(</errorWord>
      <group>L1_Format</group>
      <groupName>格式问题</groupName>
      <ability>L2_HalfPunc</ability>
      <abilityName>全半角检查</abilityName>
      <candidateList>
        <item>（</item>
      </candidateList>
      <explain>文本全半角错误。</explain>
      <paraID>75F09A5F</paraID>
      <start>3</start>
      <end>4</end>
      <status>unmodified</status>
      <modifiedWord/>
      <trackRevisions>false</trackRevisions>
    </reviewItem>
    <reviewItem>
      <errorID>ec877180-eb11-474f-a8a1-8cb5a2720c6a</errorID>
      <errorWord>)</errorWord>
      <group>L1_Format</group>
      <groupName>格式问题</groupName>
      <ability>L2_HalfPunc</ability>
      <abilityName>全半角检查</abilityName>
      <candidateList>
        <item>）</item>
      </candidateList>
      <explain>文本全半角错误。</explain>
      <paraID>75F09A5F</paraID>
      <start>5</start>
      <end>6</end>
      <status>unmodified</status>
      <modifiedWord/>
      <trackRevisions>false</trackRevisions>
    </reviewItem>
    <reviewItem>
      <errorID>6ed613a4-705a-4370-b3a6-f7b3978397ae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7DBBD319</paraID>
      <start>36</start>
      <end>37</end>
      <status>unmodified</status>
      <modifiedWord/>
      <trackRevisions>false</trackRevisions>
    </reviewItem>
    <reviewItem>
      <errorID>d09aee20-109d-4faf-81c5-fa77189b8455</errorID>
      <errorWord>须赤</errorWord>
      <group>L1_Word</group>
      <groupName>字词问题</groupName>
      <ability>L2_Typo</ability>
      <abilityName>字词错误</abilityName>
      <candidateList>
        <item>赤须</item>
      </candidateList>
      <explain/>
      <paraID>7F83CD07</paraID>
      <start>125</start>
      <end>127</end>
      <status>unmodified</status>
      <modifiedWord/>
      <trackRevisions>false</trackRevisions>
    </reviewItem>
    <reviewItem>
      <errorID>552a7092-695c-4d41-b57f-880df7080a97</errorID>
      <errorWord>资源最</errorWord>
      <group>L1_Word</group>
      <groupName>字词问题</groupName>
      <ability>L2_Typo</ability>
      <abilityName>字词错误</abilityName>
      <candidateList>
        <item>资源量</item>
      </candidateList>
      <explain/>
      <paraID>7F83CD07</paraID>
      <start>223</start>
      <end>226</end>
      <status>unmodified</status>
      <modifiedWord/>
      <trackRevisions>false</trackRevisions>
    </reviewItem>
    <reviewItem>
      <errorID>5f7645a9-6792-4e03-b611-8cd2c6431b5c</errorID>
      <errorWord>2020年02月</errorWord>
      <group>L1_Knowledge</group>
      <groupName>知识性问题</groupName>
      <ability>L2_Time</ability>
      <abilityName>日期时间</abilityName>
      <candidateList>
        <item>2020年2月</item>
      </candidateList>
      <explain>根据日常书写习惯，月份一般会省略前导零。</explain>
      <paraID>37088620</paraID>
      <start>0</start>
      <end>8</end>
      <status>unmodified</status>
      <modifiedWord/>
      <trackRevisions>false</trackRevisions>
    </reviewItem>
    <reviewItem>
      <errorID>6086fbb7-e6b1-44b9-85e0-471adfd9f6ce</errorID>
      <errorWord>范围内</errorWord>
      <group>L1_Word</group>
      <groupName>字词问题</groupName>
      <ability>L2_Typo</ability>
      <abilityName>字词错误</abilityName>
      <candidateList>
        <item>范围</item>
      </candidateList>
      <explain>❶〈名〉周围界限：地区～｜工作～｜活动～｜他们谈话的～很广，涉及政治、科学、文学等各方面。❷〈书〉〈动〉限制；概括：纵横四溢，不可～。</explain>
      <paraID>143231B8</paraID>
      <start>5</start>
      <end>8</end>
      <status>unmodified</status>
      <modifiedWord/>
      <trackRevisions>false</trackRevisions>
    </reviewItem>
    <reviewItem>
      <errorID>23418f59-20ae-4b00-9d61-3a852cbe8320</errorID>
      <errorWord>(</errorWord>
      <group>L1_Format</group>
      <groupName>格式问题</groupName>
      <ability>L2_HalfPunc</ability>
      <abilityName>全半角检查</abilityName>
      <candidateList>
        <item>（</item>
      </candidateList>
      <explain>文本全半角错误。</explain>
      <paraID>208A7A0C</paraID>
      <start>0</start>
      <end>1</end>
      <status>unmodified</status>
      <modifiedWord/>
      <trackRevisions>false</trackRevisions>
    </reviewItem>
    <reviewItem>
      <errorID>71637d7d-4ab6-4567-a93e-1edc3fdf64e4</errorID>
      <errorWord>)</errorWord>
      <group>L1_Format</group>
      <groupName>格式问题</groupName>
      <ability>L2_HalfPunc</ability>
      <abilityName>全半角检查</abilityName>
      <candidateList>
        <item>）</item>
      </candidateList>
      <explain>文本全半角错误。</explain>
      <paraID>208A7A0C</paraID>
      <start>3</start>
      <end>4</end>
      <status>unmodified</status>
      <modifiedWord/>
      <trackRevisions>false</trackRevisions>
    </reviewItem>
    <reviewItem>
      <errorID>28f6a149-ef59-4360-9a7c-f8e0c499cee7</errorID>
      <errorWord>（</errorWord>
      <group>L1_Format</group>
      <groupName>格式问题</groupName>
      <ability>L2_HalfPunc</ability>
      <abilityName>全半角检查</abilityName>
      <candidateList>
        <item>(</item>
      </candidateList>
      <explain>文本全半角错误。</explain>
      <paraID>6182B5AF</paraID>
      <start>0</start>
      <end>1</end>
      <status>unmodified</status>
      <modifiedWord/>
      <trackRevisions>false</trackRevisions>
    </reviewItem>
    <reviewItem>
      <errorID>1ee6e6b7-f51d-44ec-be14-fcd9191c767c</errorID>
      <errorWord>；</errorWord>
      <group>L1_Format</group>
      <groupName>格式问题</groupName>
      <ability>L2_HalfPunc</ability>
      <abilityName>全半角检查</abilityName>
      <candidateList>
        <item>;</item>
      </candidateList>
      <explain>文本全半角错误。</explain>
      <paraID>6182B5AF</paraID>
      <start>11</start>
      <end>12</end>
      <status>unmodified</status>
      <modifiedWord/>
      <trackRevisions>false</trackRevisions>
    </reviewItem>
    <reviewItem>
      <errorID>d6260b52-6c04-420e-83d2-c963c5ec68ed</errorID>
      <errorWord>；</errorWord>
      <group>L1_Format</group>
      <groupName>格式问题</groupName>
      <ability>L2_HalfPunc</ability>
      <abilityName>全半角检查</abilityName>
      <candidateList>
        <item>;</item>
      </candidateList>
      <explain>文本全半角错误。</explain>
      <paraID>6182B5AF</paraID>
      <start>22</start>
      <end>23</end>
      <status>unmodified</status>
      <modifiedWord/>
      <trackRevisions>false</trackRevisions>
    </reviewItem>
    <reviewItem>
      <errorID>02fe28eb-3bb6-44f3-bba7-cbf9096049de</errorID>
      <errorWord>；</errorWord>
      <group>L1_Format</group>
      <groupName>格式问题</groupName>
      <ability>L2_HalfPunc</ability>
      <abilityName>全半角检查</abilityName>
      <candidateList>
        <item>;</item>
      </candidateList>
      <explain>文本全半角错误。</explain>
      <paraID>6182B5AF</paraID>
      <start>32</start>
      <end>33</end>
      <status>unmodified</status>
      <modifiedWord/>
      <trackRevisions>false</trackRevisions>
    </reviewItem>
    <reviewItem>
      <errorID>0c68c0bd-de0e-47ab-81d9-cf3e8b357d38</errorID>
      <errorWord>）</errorWord>
      <group>L1_Format</group>
      <groupName>格式问题</groupName>
      <ability>L2_HalfPunc</ability>
      <abilityName>全半角检查</abilityName>
      <candidateList>
        <item>)</item>
      </candidateList>
      <explain>文本全半角错误。</explain>
      <paraID>6182B5AF</paraID>
      <start>42</start>
      <end>43</end>
      <status>unmodified</status>
      <modifiedWord/>
      <trackRevisions>false</trackRevisions>
    </reviewItem>
    <reviewItem>
      <errorID>8daae86a-c1b3-4f96-ad3e-864d24bca459</errorID>
      <errorWord>，</errorWord>
      <group>L1_Format</group>
      <groupName>格式问题</groupName>
      <ability>L2_HalfPunc</ability>
      <abilityName>全半角检查</abilityName>
      <candidateList>
        <item>,</item>
      </candidateList>
      <explain>文本全半角错误。</explain>
      <paraID>44787581</paraID>
      <start>1</start>
      <end>2</end>
      <status>unmodified</status>
      <modifiedWord/>
      <trackRevisions>false</trackRevisions>
    </reviewItem>
    <reviewItem>
      <errorID>15a73e9a-d427-48ea-9a18-b1499a7259f5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18AD7AD4</paraID>
      <start>0</start>
      <end>2</end>
      <status>unmodified</status>
      <modifiedWord/>
      <trackRevisions>false</trackRevisions>
    </reviewItem>
    <reviewItem>
      <errorID>8b2454ba-0406-4dd7-af18-9af4a45fb89a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28E9EA2F</paraID>
      <start>0</start>
      <end>2</end>
      <status>unmodified</status>
      <modifiedWord/>
      <trackRevisions>false</trackRevisions>
    </reviewItem>
    <reviewItem>
      <errorID>5af9765c-ba0c-46a0-b807-ef048a89aad0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4972E45E</paraID>
      <start>0</start>
      <end>2</end>
      <status>unmodified</status>
      <modifiedWord/>
      <trackRevisions>false</trackRevisions>
    </reviewItem>
    <reviewItem>
      <errorID>e91ae5d0-4cbe-455c-8c7f-03047b201324</errorID>
      <errorWord>(</errorWord>
      <group>L1_Format</group>
      <groupName>格式问题</groupName>
      <ability>L2_HalfPunc</ability>
      <abilityName>全半角检查</abilityName>
      <candidateList>
        <item>（</item>
      </candidateList>
      <explain>文本全半角错误。</explain>
      <paraID>3603EC34</paraID>
      <start>110</start>
      <end>111</end>
      <status>unmodified</status>
      <modifiedWord/>
      <trackRevisions>false</trackRevisions>
    </reviewItem>
    <reviewItem>
      <errorID>f488c585-8ce8-4968-b03a-9ee29bbadfd4</errorID>
      <errorWord>)</errorWord>
      <group>L1_Format</group>
      <groupName>格式问题</groupName>
      <ability>L2_HalfPunc</ability>
      <abilityName>全半角检查</abilityName>
      <candidateList>
        <item>）</item>
      </candidateList>
      <explain>文本全半角错误。</explain>
      <paraID>3603EC34</paraID>
      <start>122</start>
      <end>123</end>
      <status>unmodified</status>
      <modifiedWord/>
      <trackRevisions>false</trackRevisions>
    </reviewItem>
    <reviewItem>
      <errorID>b0a84b4a-0577-434f-935e-4fe56f067d1b</errorID>
      <errorWord>（</errorWord>
      <group>L1_Format</group>
      <groupName>格式问题</groupName>
      <ability>L2_HalfPunc</ability>
      <abilityName>全半角检查</abilityName>
      <candidateList>
        <item>(</item>
      </candidateList>
      <explain>文本全半角错误。</explain>
      <paraID>29A9E765</paraID>
      <start>0</start>
      <end>1</end>
      <status>unmodified</status>
      <modifiedWord/>
      <trackRevisions>false</trackRevisions>
    </reviewItem>
    <reviewItem>
      <errorID>10f44a59-7186-41a8-a11b-0522a69bf224</errorID>
      <errorWord>）</errorWord>
      <group>L1_Format</group>
      <groupName>格式问题</groupName>
      <ability>L2_HalfPunc</ability>
      <abilityName>全半角检查</abilityName>
      <candidateList>
        <item>)</item>
      </candidateList>
      <explain>文本全半角错误。</explain>
      <paraID>29A9E765</paraID>
      <start>6</start>
      <end>7</end>
      <status>unmodified</status>
      <modifiedWord/>
      <trackRevisions>false</trackRevisions>
    </reviewItem>
    <reviewItem>
      <errorID>f442b52d-06b9-462c-a883-67d02f3c64f1</errorID>
      <errorWord>（</errorWord>
      <group>L1_Format</group>
      <groupName>格式问题</groupName>
      <ability>L2_HalfPunc</ability>
      <abilityName>全半角检查</abilityName>
      <candidateList>
        <item>(</item>
      </candidateList>
      <explain>文本全半角错误。</explain>
      <paraID> 1E3D47E</paraID>
      <start>0</start>
      <end>1</end>
      <status>unmodified</status>
      <modifiedWord/>
      <trackRevisions>false</trackRevisions>
    </reviewItem>
    <reviewItem>
      <errorID>3ddcac3a-b595-49e7-b4ab-1cca2f45cb1d</errorID>
      <errorWord>）</errorWord>
      <group>L1_Format</group>
      <groupName>格式问题</groupName>
      <ability>L2_HalfPunc</ability>
      <abilityName>全半角检查</abilityName>
      <candidateList>
        <item>)</item>
      </candidateList>
      <explain>文本全半角错误。</explain>
      <paraID> 1E3D47E</paraID>
      <start>6</start>
      <end>7</end>
      <status>unmodified</status>
      <modifiedWord/>
      <trackRevisions>false</trackRevisions>
    </reviewItem>
    <reviewItem>
      <errorID>9bef4a09-3879-4b75-8bcf-0212bd402ab6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735E81D9</paraID>
      <start>0</start>
      <end>2</end>
      <status>unmodified</status>
      <modifiedWord/>
      <trackRevisions>false</trackRevisions>
    </reviewItem>
    <reviewItem>
      <errorID>ebb340c4-72fe-4bcf-b69f-011960094247</errorID>
      <errorWord>12月03日</errorWord>
      <group>L1_Knowledge</group>
      <groupName>知识性问题</groupName>
      <ability>L2_Time</ability>
      <abilityName>日期时间</abilityName>
      <candidateList>
        <item>12月3日</item>
      </candidateList>
      <explain>根据日常书写习惯，日期一般会省略前导零。</explain>
      <paraID> 6E1F973</paraID>
      <start>27</start>
      <end>33</end>
      <status>unmodified</status>
      <modifiedWord/>
      <trackRevisions>false</trackRevisions>
    </reviewItem>
    <reviewItem>
      <errorID>c56fcbfe-089c-466a-924f-e4fa54d6400e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1A1EF2B9</paraID>
      <start>0</start>
      <end>2</end>
      <status>unmodified</status>
      <modifiedWord/>
      <trackRevisions>false</trackRevisions>
    </reviewItem>
    <reviewItem>
      <errorID>c8351a35-f4b3-494a-9013-85c1256eceb5</errorID>
      <errorWord>解吸</errorWord>
      <group>L1_Word</group>
      <groupName>字词问题</groupName>
      <ability>L2_Typo</ability>
      <abilityName>字词错误</abilityName>
      <candidateList>
        <item>解析</item>
      </candidateList>
      <explain/>
      <paraID>66A1EB3B</paraID>
      <start>24</start>
      <end>26</end>
      <status>unmodified</status>
      <modifiedWord/>
      <trackRevisions>false</trackRevisions>
    </reviewItem>
    <reviewItem>
      <errorID>2a2d712d-b978-4b36-8876-bea43a80c85e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6F0CA30C</paraID>
      <start>6</start>
      <end>7</end>
      <status>unmodified</status>
      <modifiedWord/>
      <trackRevisions>false</trackRevisions>
    </reviewItem>
    <reviewItem>
      <errorID>27d6d6f2-308f-442b-9350-84a17d510076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3EDEE943</paraID>
      <start>0</start>
      <end>2</end>
      <status>unmodified</status>
      <modifiedWord/>
      <trackRevisions>false</trackRevisions>
    </reviewItem>
    <reviewItem>
      <errorID>10cb6aad-56a8-4bbf-a523-7ce05af6368f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271CE224</paraID>
      <start>0</start>
      <end>2</end>
      <status>unmodified</status>
      <modifiedWord/>
      <trackRevisions>false</trackRevisions>
    </reviewItem>
    <reviewItem>
      <errorID>5b0f04a1-452c-44df-8310-682d9c366a34</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68CB0E9C</paraID>
      <start>0</start>
      <end>2</end>
      <status>unmodified</status>
      <modifiedWord/>
      <trackRevisions>false</trackRevisions>
    </reviewItem>
    <reviewItem>
      <errorID>d155d79f-8939-4062-80b7-8618668e8f27</errorID>
      <errorWord>检测点位</errorWord>
      <group>L1_Knowledge</group>
      <groupName>知识性问题</groupName>
      <ability>L2_Term</ability>
      <abilityName>专业术语</abilityName>
      <candidateList>
        <item>监测点位</item>
      </candidateList>
      <explain/>
      <paraID>5BE635E6</paraID>
      <start>0</start>
      <end>4</end>
      <status>unmodified</status>
      <modifiedWord/>
      <trackRevisions>false</trackRevisions>
    </reviewItem>
    <reviewItem>
      <errorID>f63caf5a-31cd-401d-9970-db1b56592eaa</errorID>
      <errorWord>~</errorWord>
      <group>L1_Format</group>
      <groupName>格式问题</groupName>
      <ability>L2_HalfPunc</ability>
      <abilityName>全半角检查</abilityName>
      <candidateList>
        <item>～</item>
      </candidateList>
      <explain>文本全半角错误。</explain>
      <paraID> 3D66D07</paraID>
      <start>65</start>
      <end>66</end>
      <status>unmodified</status>
      <modifiedWord/>
      <trackRevisions>false</trackRevisions>
    </reviewItem>
    <reviewItem>
      <errorID>0a866bca-88ee-4213-b11a-719d68946f32</errorID>
      <errorWord>检测点位</errorWord>
      <group>L1_Knowledge</group>
      <groupName>知识性问题</groupName>
      <ability>L2_Term</ability>
      <abilityName>专业术语</abilityName>
      <candidateList>
        <item>监测点位</item>
      </candidateList>
      <explain/>
      <paraID>6AAEABA1</paraID>
      <start>0</start>
      <end>4</end>
      <status>unmodified</status>
      <modifiedWord/>
      <trackRevisions>false</trackRevisions>
    </reviewItem>
    <reviewItem>
      <errorID>804bce89-5a4b-487a-9b8b-7e81a1d00385</errorID>
      <errorWord>III类</errorWord>
      <group>L1_Knowledge</group>
      <groupName>知识性问题</groupName>
      <ability>L2_Knowledge</ability>
      <abilityName>其他知识</abilityName>
      <candidateList>
        <item>Ⅲ类</item>
      </candidateList>
      <explain/>
      <paraID>2EB4C39E</paraID>
      <start>29</start>
      <end>33</end>
      <status>unmodified</status>
      <modifiedWord/>
      <trackRevisions>false</trackRevisions>
    </reviewItem>
    <reviewItem>
      <errorID>6857c61e-e3d2-47d8-9443-bcd132b0ffae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1DF5270E</paraID>
      <start>16</start>
      <end>17</end>
      <status>unmodified</status>
      <modifiedWord/>
      <trackRevisions>false</trackRevisions>
    </reviewItem>
    <reviewItem>
      <errorID>cca8204e-7b26-4e74-b5a7-6e49035832bd</errorID>
      <errorWord>（</errorWord>
      <group>L1_Punc</group>
      <groupName>标点问题</groupName>
      <ability>L2_Punc</ability>
      <abilityName>标点符号检查</abilityName>
      <candidateList>
        <item/>
      </candidateList>
      <explain>同一形式括号套用。</explain>
      <paraID>2B241945</paraID>
      <start>69</start>
      <end>70</end>
      <status>unmodified</status>
      <modifiedWord/>
      <trackRevisions>false</trackRevisions>
    </reviewItem>
    <reviewItem>
      <errorID>0fc0a0ff-ec3c-42d1-a64d-76f125223627</errorID>
      <errorWord>(</errorWord>
      <group>L1_Punc</group>
      <groupName>标点问题</groupName>
      <ability>L2_Punc</ability>
      <abilityName>标点符号检查</abilityName>
      <candidateList/>
      <explain>同一形式括号套用。</explain>
      <paraID>2B241945</paraID>
      <start>77</start>
      <end>78</end>
      <status>unmodified</status>
      <modifiedWord/>
      <trackRevisions>false</trackRevisions>
    </reviewItem>
    <reviewItem>
      <errorID>1033c27c-0d33-4ba3-b1c7-79cdfd1bf333</errorID>
      <errorWord>)</errorWord>
      <group>L1_Punc</group>
      <groupName>标点问题</groupName>
      <ability>L2_Punc</ability>
      <abilityName>标点符号检查</abilityName>
      <candidateList/>
      <explain>同一形式括号套用。</explain>
      <paraID>2B241945</paraID>
      <start>79</start>
      <end>80</end>
      <status>unmodified</status>
      <modifiedWord/>
      <trackRevisions>false</trackRevisions>
    </reviewItem>
    <reviewItem>
      <errorID>6920f3bf-7e8c-4f11-b28b-8a4d0d53c1b9</errorID>
      <errorWord>(</errorWord>
      <group>L1_Punc</group>
      <groupName>标点问题</groupName>
      <ability>L2_Punc</ability>
      <abilityName>标点符号检查</abilityName>
      <candidateList/>
      <explain>同一形式括号套用。</explain>
      <paraID>2B241945</paraID>
      <start>88</start>
      <end>89</end>
      <status>unmodified</status>
      <modifiedWord/>
      <trackRevisions>false</trackRevisions>
    </reviewItem>
    <reviewItem>
      <errorID>38bc1109-af12-4d5c-ae9b-c6f9a5e643fb</errorID>
      <errorWord>)</errorWord>
      <group>L1_Punc</group>
      <groupName>标点问题</groupName>
      <ability>L2_Punc</ability>
      <abilityName>标点符号检查</abilityName>
      <candidateList/>
      <explain>同一形式括号套用。</explain>
      <paraID>2B241945</paraID>
      <start>90</start>
      <end>91</end>
      <status>unmodified</status>
      <modifiedWord/>
      <trackRevisions>false</trackRevisions>
    </reviewItem>
    <reviewItem>
      <errorID>10d95695-1147-46f7-adeb-a8844cfc42a9</errorID>
      <errorWord>）</errorWord>
      <group>L1_Punc</group>
      <groupName>标点问题</groupName>
      <ability>L2_Punc</ability>
      <abilityName>标点符号检查</abilityName>
      <candidateList/>
      <explain>同一形式括号套用。</explain>
      <paraID>2B241945</paraID>
      <start>91</start>
      <end>92</end>
      <status>unmodified</status>
      <modifiedWord/>
      <trackRevisions>false</trackRevisions>
    </reviewItem>
    <reviewItem>
      <errorID>e26ed05c-e89b-43c6-a655-e9ff5d7d8605</errorID>
      <errorWord>（</errorWord>
      <group>L1_Punc</group>
      <groupName>标点问题</groupName>
      <ability>L2_Punc</ability>
      <abilityName>标点符号检查</abilityName>
      <candidateList>
        <item/>
      </candidateList>
      <explain>同一形式括号套用。</explain>
      <paraID>623D24EE</paraID>
      <start>9</start>
      <end>10</end>
      <status>unmodified</status>
      <modifiedWord/>
      <trackRevisions>false</trackRevisions>
    </reviewItem>
    <reviewItem>
      <errorID>93453cb0-61cf-49a0-b553-dfc94cbf2c70</errorID>
      <errorWord>(</errorWord>
      <group>L1_Punc</group>
      <groupName>标点问题</groupName>
      <ability>L2_Punc</ability>
      <abilityName>标点符号检查</abilityName>
      <candidateList/>
      <explain>同一形式括号套用。</explain>
      <paraID>623D24EE</paraID>
      <start>15</start>
      <end>16</end>
      <status>unmodified</status>
      <modifiedWord/>
      <trackRevisions>false</trackRevisions>
    </reviewItem>
    <reviewItem>
      <errorID>3142aafd-e4df-435e-92e2-f79deee19800</errorID>
      <errorWord>)</errorWord>
      <group>L1_Punc</group>
      <groupName>标点问题</groupName>
      <ability>L2_Punc</ability>
      <abilityName>标点符号检查</abilityName>
      <candidateList/>
      <explain>同一形式括号套用。</explain>
      <paraID>623D24EE</paraID>
      <start>17</start>
      <end>18</end>
      <status>unmodified</status>
      <modifiedWord/>
      <trackRevisions>false</trackRevisions>
    </reviewItem>
    <reviewItem>
      <errorID>417ea743-ed49-4ed6-b3b9-00675340636b</errorID>
      <errorWord>）</errorWord>
      <group>L1_Punc</group>
      <groupName>标点问题</groupName>
      <ability>L2_Punc</ability>
      <abilityName>标点符号检查</abilityName>
      <candidateList/>
      <explain>同一形式括号套用。</explain>
      <paraID>623D24EE</paraID>
      <start>18</start>
      <end>19</end>
      <status>unmodified</status>
      <modifiedWord/>
      <trackRevisions>false</trackRevisions>
    </reviewItem>
    <reviewItem>
      <errorID>cb757c40-dc8e-4b3d-b167-23f1922849d1</errorID>
      <errorWord>(</errorWord>
      <group>L1_Format</group>
      <groupName>格式问题</groupName>
      <ability>L2_HalfPunc</ability>
      <abilityName>全半角检查</abilityName>
      <candidateList>
        <item>（</item>
      </candidateList>
      <explain>文本全半角错误。</explain>
      <paraID>2FC2AB37</paraID>
      <start>3</start>
      <end>4</end>
      <status>unmodified</status>
      <modifiedWord/>
      <trackRevisions>false</trackRevisions>
    </reviewItem>
    <reviewItem>
      <errorID>c6dfd4b8-a9b4-4b49-89eb-836fa2970737</errorID>
      <errorWord>)</errorWord>
      <group>L1_Format</group>
      <groupName>格式问题</groupName>
      <ability>L2_HalfPunc</ability>
      <abilityName>全半角检查</abilityName>
      <candidateList>
        <item>）</item>
      </candidateList>
      <explain>文本全半角错误。</explain>
      <paraID>2FC2AB37</paraID>
      <start>11</start>
      <end>12</end>
      <status>unmodified</status>
      <modifiedWord/>
      <trackRevisions>false</trackRevisions>
    </reviewItem>
    <reviewItem>
      <errorID>3669780c-8a30-4157-af99-f5d9c6b3b0d8</errorID>
      <errorWord>记录记录</errorWord>
      <group>L1_Word</group>
      <groupName>字词问题</groupName>
      <ability>L2_Typo</ability>
      <abilityName>字词错误</abilityName>
      <candidateList>
        <item>记录</item>
      </candidateList>
      <explain>❶〈动〉把听到的话或发生的事写下来：～在案。❷〈名〉当场记录下来的材料：会议～。❸〈名〉做记录的人：推举他当～。‖也作纪录。❹同“纪录”▲。</explain>
      <paraID>2FC2AB37</paraID>
      <start>363</start>
      <end>365</end>
      <status>modified</status>
      <modifiedWord>记录</modifiedWord>
      <trackRevisions>false</trackRevisions>
    </reviewItem>
    <reviewItem>
      <errorID>7fcd9c96-1a9a-411c-8dc0-6472ce6289e1</errorID>
      <errorWord>记录记录</errorWord>
      <group>L1_Word</group>
      <groupName>字词问题</groupName>
      <ability>L2_Typo</ability>
      <abilityName>字词错误</abilityName>
      <candidateList>
        <item>记录</item>
      </candidateList>
      <explain>❶〈动〉把听到的话或发生的事写下来：～在案。❷〈名〉当场记录下来的材料：会议～。❸〈名〉做记录的人：推举他当～。‖也作纪录。❹同“纪录”▲。</explain>
      <paraID>74C8D187</paraID>
      <start>50</start>
      <end>52</end>
      <status>modified</status>
      <modifiedWord>记录</modifiedWord>
      <trackRevisions>false</trackRevisions>
    </reviewItem>
    <reviewItem>
      <errorID>e9c7d684-00bc-43d5-bd72-509ab2bdeb08</errorID>
      <errorWord>（</errorWord>
      <group>L1_Format</group>
      <groupName>格式问题</groupName>
      <ability>L2_HalfPunc</ability>
      <abilityName>全半角检查</abilityName>
      <candidateList>
        <item>(</item>
      </candidateList>
      <explain>文本全半角错误。</explain>
      <paraID>66D38DD6</paraID>
      <start>1</start>
      <end>2</end>
      <status>unmodified</status>
      <modifiedWord/>
      <trackRevisions>false</trackRevisions>
    </reviewItem>
    <reviewItem>
      <errorID>31b2a161-cf0c-40e1-aa83-03d22d46ee65</errorID>
      <errorWord>）</errorWord>
      <group>L1_Format</group>
      <groupName>格式问题</groupName>
      <ability>L2_HalfPunc</ability>
      <abilityName>全半角检查</abilityName>
      <candidateList>
        <item>)</item>
      </candidateList>
      <explain>文本全半角错误。</explain>
      <paraID>66D38DD6</paraID>
      <start>7</start>
      <end>8</end>
      <status>unmodified</status>
      <modifiedWord/>
      <trackRevisions>false</trackRevisions>
    </reviewItem>
    <reviewItem>
      <errorID>600117e5-ac57-46d4-bd77-e86a892a0404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649D67FE</paraID>
      <start>0</start>
      <end>2</end>
      <status>unmodified</status>
      <modifiedWord/>
      <trackRevisions>false</trackRevisions>
    </reviewItem>
    <reviewItem>
      <errorID>1ec9bce1-3070-47b8-9df0-518454c95b4b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5FC1F41D</paraID>
      <start>0</start>
      <end>2</end>
      <status>unmodified</status>
      <modifiedWord/>
      <trackRevisions>false</trackRevisions>
    </reviewItem>
    <reviewItem>
      <errorID>366e9cea-244d-460d-a52e-ec056ec8239c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ECA9C98</paraID>
      <start>0</start>
      <end>2</end>
      <status>unmodified</status>
      <modifiedWord/>
      <trackRevisions>false</trackRevisions>
    </reviewItem>
    <reviewItem>
      <errorID>9bed1bcf-c8f1-4ee4-aaa8-882024b69a3e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73D5180A</paraID>
      <start>0</start>
      <end>2</end>
      <status>unmodified</status>
      <modifiedWord/>
      <trackRevisions>false</trackRevisions>
    </reviewItem>
    <reviewItem>
      <errorID>d9700840-08be-4070-9396-8db5a04c4609</errorID>
      <errorWord>1,</errorWord>
      <group>L1_Format</group>
      <groupName>格式问题</groupName>
      <ability>L2_Ordinal</ability>
      <abilityName>序号格式</abilityName>
      <candidateList>
        <item>1.</item>
      </candidateList>
      <explain>当前序号格式不规范，建议修改为规范格式[1.]。</explain>
      <paraID>2F17BDF0</paraID>
      <start>0</start>
      <end>2</end>
      <status>unmodified</status>
      <modifiedWord/>
      <trackRevisions>false</trackRevisions>
    </reviewItem>
    <reviewItem>
      <errorID>f3e5f1db-82a3-4e46-a2f9-7cea155ecb6b</errorID>
      <errorWord>1,</errorWord>
      <group>L1_Format</group>
      <groupName>格式问题</groupName>
      <ability>L2_Ordinal</ability>
      <abilityName>序号格式</abilityName>
      <candidateList>
        <item>1.</item>
      </candidateList>
      <explain>当前序号格式不规范，建议修改为规范格式[1.]。</explain>
      <paraID>6293318A</paraID>
      <start>0</start>
      <end>2</end>
      <status>unmodified</status>
      <modifiedWord/>
      <trackRevisions>false</trackRevisions>
    </reviewItem>
    <reviewItem>
      <errorID>10df425a-2d69-4e4c-93af-27cda7c65fab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DFFB0FD</paraID>
      <start>0</start>
      <end>2</end>
      <status>unmodified</status>
      <modifiedWord/>
      <trackRevisions>false</trackRevisions>
    </reviewItem>
    <reviewItem>
      <errorID>2dc2feea-74c9-47b4-8178-7dcd15880bfb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2FD1B28C</paraID>
      <start>0</start>
      <end>2</end>
      <status>unmodified</status>
      <modifiedWord/>
      <trackRevisions>false</trackRevisions>
    </reviewItem>
    <reviewItem>
      <errorID>743544ac-43e8-4100-a425-abb7933adb69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15442A53</paraID>
      <start>0</start>
      <end>2</end>
      <status>unmodified</status>
      <modifiedWord/>
      <trackRevisions>false</trackRevisions>
    </reviewItem>
    <reviewItem>
      <errorID>0ed9bbab-1abf-47cf-9eb1-993ed5885a00</errorID>
      <errorWord>1,</errorWord>
      <group>L1_Format</group>
      <groupName>格式问题</groupName>
      <ability>L2_Ordinal</ability>
      <abilityName>序号格式</abilityName>
      <candidateList>
        <item>1.</item>
      </candidateList>
      <explain>当前序号格式不规范，建议修改为规范格式[1.]。</explain>
      <paraID>183E141B</paraID>
      <start>0</start>
      <end>2</end>
      <status>unmodified</status>
      <modifiedWord/>
      <trackRevisions>false</trackRevisions>
    </reviewItem>
    <reviewItem>
      <errorID>3c3d67fc-b467-4cc4-957c-5a5bcca242be</errorID>
      <errorWord>1,</errorWord>
      <group>L1_Format</group>
      <groupName>格式问题</groupName>
      <ability>L2_Ordinal</ability>
      <abilityName>序号格式</abilityName>
      <candidateList>
        <item>1.</item>
      </candidateList>
      <explain>当前序号格式不规范，建议修改为规范格式[1.]。</explain>
      <paraID>43DCEA48</paraID>
      <start>0</start>
      <end>2</end>
      <status>unmodified</status>
      <modifiedWord/>
      <trackRevisions>false</trackRevisions>
    </reviewItem>
    <reviewItem>
      <errorID>63396ad4-1349-4260-b71d-833c6c5ddf81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6B43C7F9</paraID>
      <start>0</start>
      <end>2</end>
      <status>unmodified</status>
      <modifiedWord/>
      <trackRevisions>false</trackRevisions>
    </reviewItem>
    <reviewItem>
      <errorID>ae223ea1-0197-42b3-b692-e6d0032a29e8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5BD29429</paraID>
      <start>0</start>
      <end>2</end>
      <status>unmodified</status>
      <modifiedWord/>
      <trackRevisions>false</trackRevisions>
    </reviewItem>
    <reviewItem>
      <errorID>048c6a01-cdc9-4f7f-9747-435903ad6752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191C1EFF</paraID>
      <start>0</start>
      <end>2</end>
      <status>unmodified</status>
      <modifiedWord/>
      <trackRevisions>false</trackRevisions>
    </reviewItem>
    <reviewItem>
      <errorID>7a78a945-d542-487c-bf45-af7e8d44dd5f</errorID>
      <errorWord>如下</errorWord>
      <group>L1_Word</group>
      <groupName>字词问题</groupName>
      <ability>L2_Typo</ability>
      <abilityName>字词错误</abilityName>
      <candidateList>
        <item>下</item>
      </candidateList>
      <explain>〈动〉趋向动词。用在动词后。❶表示由高处到低处：坐～｜躺～｜传～一道命令。❷表示有空间，能容纳：坐得～｜这个剧场能容～上千人｜这间屋子太小，睡不～六个人。❸表示动作的完成或结果：打～基础｜定～计策｜准备～材料。</explain>
      <paraID>6CCD3423</paraID>
      <start>9</start>
      <end>11</end>
      <status>unmodified</status>
      <modifiedWord/>
      <trackRevisions>false</trackRevisions>
    </reviewItem>
    <reviewItem>
      <errorID>ce753a9d-72bd-47f5-84bf-ec6f53c1ddf1</errorID>
      <errorWord>PH值</errorWord>
      <group>L1_Word</group>
      <groupName>字词问题</groupName>
      <ability>L2_Typo</ability>
      <abilityName>字词错误</abilityName>
      <candidateList>
        <item>pH值</item>
      </candidateList>
      <explain/>
      <paraID>6EC87CDF</paraID>
      <start>0</start>
      <end>3</end>
      <status>unmodified</status>
      <modifiedWord/>
      <trackRevisions>false</trackRevisions>
    </reviewItem>
    <reviewItem>
      <errorID>347a916e-2cd8-4f80-b65c-97de9a330c94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762BA5FA</paraID>
      <start>0</start>
      <end>2</end>
      <status>unmodified</status>
      <modifiedWord/>
      <trackRevisions>false</trackRevisions>
    </reviewItem>
    <reviewItem>
      <errorID>96502b69-0605-4e7d-bf3d-bf00640a1aa7</errorID>
      <errorWord>容量法</errorWord>
      <group>L1_Knowledge</group>
      <groupName>知识性问题</groupName>
      <ability>L2_Term</ability>
      <abilityName>专业术语</abilityName>
      <candidateList>
        <item>滴定法</item>
      </candidateList>
      <explain>医学名词[容量法]为不规范表述或旧称，其规范书面表述为[滴定法]。</explain>
      <paraID>25425093</paraID>
      <start>9</start>
      <end>12</end>
      <status>unmodified</status>
      <modifiedWord/>
      <trackRevisions>false</trackRevisions>
    </reviewItem>
    <reviewItem>
      <errorID>2a2245a2-477a-4bb2-a919-bd0715d377b9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530A0864</paraID>
      <start>0</start>
      <end>2</end>
      <status>unmodified</status>
      <modifiedWord/>
      <trackRevisions>false</trackRevisions>
    </reviewItem>
    <reviewItem>
      <errorID>2d84202c-f1b4-4d80-aa5f-91109c74f6be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525073E7</paraID>
      <start>0</start>
      <end>2</end>
      <status>unmodified</status>
      <modifiedWord/>
      <trackRevisions>false</trackRevisions>
    </reviewItem>
    <reviewItem>
      <errorID>19c86d27-2b3b-4897-bc60-b9050bce435c</errorID>
      <errorWord>如下</errorWord>
      <group>L1_Word</group>
      <groupName>字词问题</groupName>
      <ability>L2_Typo</ability>
      <abilityName>字词错误</abilityName>
      <candidateList>
        <item>下</item>
      </candidateList>
      <explain>〈动〉趋向动词。用在动词后。❶表示由高处到低处：坐～｜躺～｜传～一道命令。❷表示有空间，能容纳：坐得～｜这个剧场能容～上千人｜这间屋子太小，睡不～六个人。❸表示动作的完成或结果：打～基础｜定～计策｜准备～材料。</explain>
      <paraID>66BE2C46</paraID>
      <start>12</start>
      <end>14</end>
      <status>unmodified</status>
      <modifiedWord/>
      <trackRevisions>false</trackRevisions>
    </reviewItem>
    <reviewItem>
      <errorID>bc17d929-f257-4d8a-b40a-958561498d1a</errorID>
      <errorWord>（</errorWord>
      <group>L1_Format</group>
      <groupName>格式问题</groupName>
      <ability>L2_HalfPunc</ability>
      <abilityName>全半角检查</abilityName>
      <candidateList>
        <item>(</item>
      </candidateList>
      <explain>文本全半角错误。</explain>
      <paraID>523BC443</paraID>
      <start>0</start>
      <end>1</end>
      <status>unmodified</status>
      <modifiedWord/>
      <trackRevisions>false</trackRevisions>
    </reviewItem>
    <reviewItem>
      <errorID>98cf2a2e-90cd-4b6a-96d6-2161d6b3c71b</errorID>
      <errorWord>）</errorWord>
      <group>L1_Format</group>
      <groupName>格式问题</groupName>
      <ability>L2_HalfPunc</ability>
      <abilityName>全半角检查</abilityName>
      <candidateList>
        <item>)</item>
      </candidateList>
      <explain>文本全半角错误。</explain>
      <paraID>523BC443</paraID>
      <start>6</start>
      <end>7</end>
      <status>unmodified</status>
      <modifiedWord/>
      <trackRevisions>false</trackRevisions>
    </reviewItem>
    <reviewItem>
      <errorID>fd52d6b4-49c9-4d42-a29c-b26a262c2584</errorID>
      <errorWord>（</errorWord>
      <group>L1_Format</group>
      <groupName>格式问题</groupName>
      <ability>L2_HalfPunc</ability>
      <abilityName>全半角检查</abilityName>
      <candidateList>
        <item>(</item>
      </candidateList>
      <explain>文本全半角错误。</explain>
      <paraID>616DAC51</paraID>
      <start>0</start>
      <end>1</end>
      <status>unmodified</status>
      <modifiedWord/>
      <trackRevisions>false</trackRevisions>
    </reviewItem>
    <reviewItem>
      <errorID>45f09d6e-1109-4810-9669-ef98ce5f5a94</errorID>
      <errorWord>）</errorWord>
      <group>L1_Format</group>
      <groupName>格式问题</groupName>
      <ability>L2_HalfPunc</ability>
      <abilityName>全半角检查</abilityName>
      <candidateList>
        <item>)</item>
      </candidateList>
      <explain>文本全半角错误。</explain>
      <paraID>616DAC51</paraID>
      <start>6</start>
      <end>7</end>
      <status>unmodified</status>
      <modifiedWord/>
      <trackRevisions>false</trackRevisions>
    </reviewItem>
    <reviewItem>
      <errorID>7dc12ec9-2f44-4407-ad17-6c8aebafa678</errorID>
      <errorWord>（</errorWord>
      <group>L1_Format</group>
      <groupName>格式问题</groupName>
      <ability>L2_HalfPunc</ability>
      <abilityName>全半角检查</abilityName>
      <candidateList>
        <item>(</item>
      </candidateList>
      <explain>文本全半角错误。</explain>
      <paraID>2663D689</paraID>
      <start>0</start>
      <end>1</end>
      <status>unmodified</status>
      <modifiedWord/>
      <trackRevisions>false</trackRevisions>
    </reviewItem>
    <reviewItem>
      <errorID>3bbe178e-41ea-48bd-ac43-a0ac83a6ae55</errorID>
      <errorWord>）</errorWord>
      <group>L1_Format</group>
      <groupName>格式问题</groupName>
      <ability>L2_HalfPunc</ability>
      <abilityName>全半角检查</abilityName>
      <candidateList>
        <item>)</item>
      </candidateList>
      <explain>文本全半角错误。</explain>
      <paraID>2663D689</paraID>
      <start>6</start>
      <end>7</end>
      <status>unmodified</status>
      <modifiedWord/>
      <trackRevisions>false</trackRevisions>
    </reviewItem>
    <reviewItem>
      <errorID>32bf45d9-69aa-4db1-b6bd-51ef3e4545af</errorID>
      <errorWord>（</errorWord>
      <group>L1_Format</group>
      <groupName>格式问题</groupName>
      <ability>L2_HalfPunc</ability>
      <abilityName>全半角检查</abilityName>
      <candidateList>
        <item>(</item>
      </candidateList>
      <explain>文本全半角错误。</explain>
      <paraID> 1DEA44C</paraID>
      <start>0</start>
      <end>1</end>
      <status>unmodified</status>
      <modifiedWord/>
      <trackRevisions>false</trackRevisions>
    </reviewItem>
    <reviewItem>
      <errorID>6674f85d-b2b1-4f00-9398-16a04ba5199e</errorID>
      <errorWord>）</errorWord>
      <group>L1_Format</group>
      <groupName>格式问题</groupName>
      <ability>L2_HalfPunc</ability>
      <abilityName>全半角检查</abilityName>
      <candidateList>
        <item>)</item>
      </candidateList>
      <explain>文本全半角错误。</explain>
      <paraID> 1DEA44C</paraID>
      <start>6</start>
      <end>7</end>
      <status>unmodified</status>
      <modifiedWord/>
      <trackRevisions>false</trackRevisions>
    </reviewItem>
    <reviewItem>
      <errorID>7e520cca-73c8-47c4-beb2-b76bc742801c</errorID>
      <errorWord>（</errorWord>
      <group>L1_Format</group>
      <groupName>格式问题</groupName>
      <ability>L2_HalfPunc</ability>
      <abilityName>全半角检查</abilityName>
      <candidateList>
        <item>(</item>
      </candidateList>
      <explain>文本全半角错误。</explain>
      <paraID>266355FA</paraID>
      <start>0</start>
      <end>1</end>
      <status>unmodified</status>
      <modifiedWord/>
      <trackRevisions>false</trackRevisions>
    </reviewItem>
    <reviewItem>
      <errorID>c7b73117-c473-416f-8b1a-41c3e3282c14</errorID>
      <errorWord>）</errorWord>
      <group>L1_Format</group>
      <groupName>格式问题</groupName>
      <ability>L2_HalfPunc</ability>
      <abilityName>全半角检查</abilityName>
      <candidateList>
        <item>)</item>
      </candidateList>
      <explain>文本全半角错误。</explain>
      <paraID>266355FA</paraID>
      <start>6</start>
      <end>7</end>
      <status>unmodified</status>
      <modifiedWord/>
      <trackRevisions>false</trackRevisions>
    </reviewItem>
    <reviewItem>
      <errorID>aa0b2c7d-74cf-41d0-8fdf-bf683921a12f</errorID>
      <errorWord>（</errorWord>
      <group>L1_Format</group>
      <groupName>格式问题</groupName>
      <ability>L2_HalfPunc</ability>
      <abilityName>全半角检查</abilityName>
      <candidateList>
        <item>(</item>
      </candidateList>
      <explain>文本全半角错误。</explain>
      <paraID> E2B970B</paraID>
      <start>0</start>
      <end>1</end>
      <status>unmodified</status>
      <modifiedWord/>
      <trackRevisions>false</trackRevisions>
    </reviewItem>
    <reviewItem>
      <errorID>7fd43fe9-1163-4c40-9d6a-5881e58e1ed0</errorID>
      <errorWord>）</errorWord>
      <group>L1_Format</group>
      <groupName>格式问题</groupName>
      <ability>L2_HalfPunc</ability>
      <abilityName>全半角检查</abilityName>
      <candidateList>
        <item>)</item>
      </candidateList>
      <explain>文本全半角错误。</explain>
      <paraID> E2B970B</paraID>
      <start>6</start>
      <end>7</end>
      <status>unmodified</status>
      <modifiedWord/>
      <trackRevisions>false</trackRevisions>
    </reviewItem>
    <reviewItem>
      <errorID>db3c503a-d9be-48e6-af14-519fe4883f33</errorID>
      <errorWord>（</errorWord>
      <group>L1_Format</group>
      <groupName>格式问题</groupName>
      <ability>L2_HalfPunc</ability>
      <abilityName>全半角检查</abilityName>
      <candidateList>
        <item>(</item>
      </candidateList>
      <explain>文本全半角错误。</explain>
      <paraID>5A448012</paraID>
      <start>0</start>
      <end>1</end>
      <status>unmodified</status>
      <modifiedWord/>
      <trackRevisions>false</trackRevisions>
    </reviewItem>
    <reviewItem>
      <errorID>55fbbedc-2c1e-433e-810b-20656fa164a3</errorID>
      <errorWord>）</errorWord>
      <group>L1_Format</group>
      <groupName>格式问题</groupName>
      <ability>L2_HalfPunc</ability>
      <abilityName>全半角检查</abilityName>
      <candidateList>
        <item>)</item>
      </candidateList>
      <explain>文本全半角错误。</explain>
      <paraID>5A448012</paraID>
      <start>6</start>
      <end>7</end>
      <status>unmodified</status>
      <modifiedWord/>
      <trackRevisions>false</trackRevisions>
    </reviewItem>
    <reviewItem>
      <errorID>61f11d56-277c-406e-94fe-7a5462812ebd</errorID>
      <errorWord>（</errorWord>
      <group>L1_Format</group>
      <groupName>格式问题</groupName>
      <ability>L2_HalfPunc</ability>
      <abilityName>全半角检查</abilityName>
      <candidateList>
        <item>(</item>
      </candidateList>
      <explain>文本全半角错误。</explain>
      <paraID>4D3ADB14</paraID>
      <start>0</start>
      <end>1</end>
      <status>unmodified</status>
      <modifiedWord/>
      <trackRevisions>false</trackRevisions>
    </reviewItem>
    <reviewItem>
      <errorID>99baa50d-5287-44cc-ae0c-9920c030d9b2</errorID>
      <errorWord>）</errorWord>
      <group>L1_Format</group>
      <groupName>格式问题</groupName>
      <ability>L2_HalfPunc</ability>
      <abilityName>全半角检查</abilityName>
      <candidateList>
        <item>)</item>
      </candidateList>
      <explain>文本全半角错误。</explain>
      <paraID>4D3ADB14</paraID>
      <start>6</start>
      <end>7</end>
      <status>unmodified</status>
      <modifiedWord/>
      <trackRevisions>false</trackRevisions>
    </reviewItem>
    <reviewItem>
      <errorID>05426b2d-4465-4bcf-9914-b0b08ade79c0</errorID>
      <errorWord>（</errorWord>
      <group>L1_Format</group>
      <groupName>格式问题</groupName>
      <ability>L2_HalfPunc</ability>
      <abilityName>全半角检查</abilityName>
      <candidateList>
        <item>(</item>
      </candidateList>
      <explain>文本全半角错误。</explain>
      <paraID>1BD79F97</paraID>
      <start>0</start>
      <end>1</end>
      <status>unmodified</status>
      <modifiedWord/>
      <trackRevisions>false</trackRevisions>
    </reviewItem>
    <reviewItem>
      <errorID>15f0bcfb-8ff1-4a55-ad6b-7df2456043e6</errorID>
      <errorWord>）</errorWord>
      <group>L1_Format</group>
      <groupName>格式问题</groupName>
      <ability>L2_HalfPunc</ability>
      <abilityName>全半角检查</abilityName>
      <candidateList>
        <item>)</item>
      </candidateList>
      <explain>文本全半角错误。</explain>
      <paraID>1BD79F97</paraID>
      <start>6</start>
      <end>7</end>
      <status>unmodified</status>
      <modifiedWord/>
      <trackRevisions>false</trackRevisions>
    </reviewItem>
    <reviewItem>
      <errorID>1ea2cff3-559a-4247-90ca-8fb45b463181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2B232B6A</paraID>
      <start>0</start>
      <end>2</end>
      <status>unmodified</status>
      <modifiedWord/>
      <trackRevisions>false</trackRevisions>
    </reviewItem>
    <reviewItem>
      <errorID>0dfb2fd2-faf5-4c08-b17a-f8416b747304</errorID>
      <errorWord>处</errorWord>
      <group>L1_Word</group>
      <groupName>字词问题</groupName>
      <ability>L2_Typo</ability>
      <abilityName>字词错误</abilityName>
      <candidateList>
        <item>除</item>
      </candidateList>
      <explain/>
      <paraID>173572FE</paraID>
      <start>9</start>
      <end>10</end>
      <status>unmodified</status>
      <modifiedWord/>
      <trackRevisions>false</trackRevisions>
    </reviewItem>
    <reviewItem>
      <errorID>b2bca628-5791-4e56-9bac-0735975f50e8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49937439</paraID>
      <start>0</start>
      <end>2</end>
      <status>unmodified</status>
      <modifiedWord/>
      <trackRevisions>false</trackRevisions>
    </reviewItem>
    <reviewItem>
      <errorID>e661ad7e-6f7d-434d-87ad-19032cfadc47</errorID>
      <errorWord>端尖</errorWord>
      <group>L1_Word</group>
      <groupName>字词问题</groupName>
      <ability>L2_Typo</ability>
      <abilityName>字词错误</abilityName>
      <candidateList>
        <item>尖端</item>
      </candidateList>
      <explain/>
      <paraID>73378E83</paraID>
      <start>0</start>
      <end>2</end>
      <status>unmodified</status>
      <modifiedWord/>
      <trackRevisions>false</trackRevisions>
    </reviewItem>
    <reviewItem>
      <errorID>bab3f66c-a428-49b9-9676-44b11bb866eb</errorID>
      <errorWord>端尖</errorWord>
      <group>L1_Word</group>
      <groupName>字词问题</groupName>
      <ability>L2_Typo</ability>
      <abilityName>字词错误</abilityName>
      <candidateList>
        <item>尖端</item>
      </candidateList>
      <explain/>
      <paraID>3CFB1E79</paraID>
      <start>0</start>
      <end>2</end>
      <status>unmodified</status>
      <modifiedWord/>
      <trackRevisions>false</trackRevisions>
    </reviewItem>
    <reviewItem>
      <errorID>38e9a52f-ad8b-45e8-b1a2-32c5f80f29ba</errorID>
      <errorWord>端尖</errorWord>
      <group>L1_Word</group>
      <groupName>字词问题</groupName>
      <ability>L2_Typo</ability>
      <abilityName>字词错误</abilityName>
      <candidateList>
        <item>尖端</item>
      </candidateList>
      <explain/>
      <paraID>414B532A</paraID>
      <start>0</start>
      <end>2</end>
      <status>unmodified</status>
      <modifiedWord/>
      <trackRevisions>false</trackRevisions>
    </reviewItem>
    <reviewItem>
      <errorID>ddf1c383-7cd3-4e3b-844d-c7d9de882091</errorID>
      <errorWord>端尖</errorWord>
      <group>L1_Word</group>
      <groupName>字词问题</groupName>
      <ability>L2_Typo</ability>
      <abilityName>字词错误</abilityName>
      <candidateList>
        <item>尖端</item>
      </candidateList>
      <explain/>
      <paraID>2CAA8FC6</paraID>
      <start>0</start>
      <end>2</end>
      <status>unmodified</status>
      <modifiedWord/>
      <trackRevisions>false</trackRevisions>
    </reviewItem>
    <reviewItem>
      <errorID>af13af32-c973-4921-b5db-f360b32a5a10</errorID>
      <errorWord>（</errorWord>
      <group>L1_Format</group>
      <groupName>格式问题</groupName>
      <ability>L2_HalfPunc</ability>
      <abilityName>全半角检查</abilityName>
      <candidateList>
        <item>(</item>
      </candidateList>
      <explain>文本全半角错误。</explain>
      <paraID>288A4A6F</paraID>
      <start>0</start>
      <end>1</end>
      <status>unmodified</status>
      <modifiedWord/>
      <trackRevisions>false</trackRevisions>
    </reviewItem>
    <reviewItem>
      <errorID>59a8d119-bdd7-49d1-b948-ecfa9a7cfef8</errorID>
      <errorWord>）</errorWord>
      <group>L1_Format</group>
      <groupName>格式问题</groupName>
      <ability>L2_HalfPunc</ability>
      <abilityName>全半角检查</abilityName>
      <candidateList>
        <item>)</item>
      </candidateList>
      <explain>文本全半角错误。</explain>
      <paraID>288A4A6F</paraID>
      <start>6</start>
      <end>7</end>
      <status>unmodified</status>
      <modifiedWord/>
      <trackRevisions>false</trackRevisions>
    </reviewItem>
    <reviewItem>
      <errorID>50a87122-bd12-4e97-8f0e-f6f103b0e795</errorID>
      <errorWord>(</errorWord>
      <group>L1_Format</group>
      <groupName>格式问题</groupName>
      <ability>L2_HalfPunc</ability>
      <abilityName>全半角检查</abilityName>
      <candidateList>
        <item>（</item>
      </candidateList>
      <explain>文本全半角错误。</explain>
      <paraID>16CEFDBB</paraID>
      <start>3</start>
      <end>4</end>
      <status>unmodified</status>
      <modifiedWord/>
      <trackRevisions>false</trackRevisions>
    </reviewItem>
    <reviewItem>
      <errorID>4fc81cf1-d7f9-478a-86ba-740ca4a5e84d</errorID>
      <errorWord>)</errorWord>
      <group>L1_Format</group>
      <groupName>格式问题</groupName>
      <ability>L2_HalfPunc</ability>
      <abilityName>全半角检查</abilityName>
      <candidateList>
        <item>）</item>
      </candidateList>
      <explain>文本全半角错误。</explain>
      <paraID>16CEFDBB</paraID>
      <start>8</start>
      <end>9</end>
      <status>unmodified</status>
      <modifiedWord/>
      <trackRevisions>false</trackRevisions>
    </reviewItem>
    <reviewItem>
      <errorID>0dca61fc-603a-4b98-9dd9-18f8a48e347d</errorID>
      <errorWord>脊索动物</errorWord>
      <group>L1_Word</group>
      <groupName>字词问题</groupName>
      <ability>L2_Typo</ability>
      <abilityName>字词错误</abilityName>
      <candidateList>
        <item>脊椎动物</item>
      </candidateList>
      <explain/>
      <paraID> 2B58E93</paraID>
      <start>0</start>
      <end>4</end>
      <status>unmodified</status>
      <modifiedWord/>
      <trackRevisions>false</trackRevisions>
    </reviewItem>
    <reviewItem>
      <errorID>34ef1177-ca11-40c4-8863-2a0aea31d959</errorID>
      <errorWord>脊索动物</errorWord>
      <group>L1_Word</group>
      <groupName>字词问题</groupName>
      <ability>L2_Typo</ability>
      <abilityName>字词错误</abilityName>
      <candidateList>
        <item>脊椎动物</item>
      </candidateList>
      <explain/>
      <paraID>15A897B7</paraID>
      <start>0</start>
      <end>4</end>
      <status>unmodified</status>
      <modifiedWord/>
      <trackRevisions>false</trackRevisions>
    </reviewItem>
    <reviewItem>
      <errorID>bf41d26d-3b89-4714-adab-828b92f615c2</errorID>
      <errorWord>（</errorWord>
      <group>L1_Format</group>
      <groupName>格式问题</groupName>
      <ability>L2_HalfPunc</ability>
      <abilityName>全半角检查</abilityName>
      <candidateList>
        <item>(</item>
      </candidateList>
      <explain>文本全半角错误。</explain>
      <paraID>1190DFD7</paraID>
      <start>0</start>
      <end>1</end>
      <status>unmodified</status>
      <modifiedWord/>
      <trackRevisions>false</trackRevisions>
    </reviewItem>
    <reviewItem>
      <errorID>3dbf8473-f84f-4067-b6f1-0e735934ae9d</errorID>
      <errorWord>）</errorWord>
      <group>L1_Format</group>
      <groupName>格式问题</groupName>
      <ability>L2_HalfPunc</ability>
      <abilityName>全半角检查</abilityName>
      <candidateList>
        <item>)</item>
      </candidateList>
      <explain>文本全半角错误。</explain>
      <paraID>1190DFD7</paraID>
      <start>7</start>
      <end>8</end>
      <status>unmodified</status>
      <modifiedWord/>
      <trackRevisions>false</trackRevisions>
    </reviewItem>
    <reviewItem>
      <errorID>c275f842-8ad2-415e-a6f7-2b3e64c34036</errorID>
      <errorWord>鮋</errorWord>
      <group>L1_Word</group>
      <groupName>字词问题</groupName>
      <ability>L2_Fanti</ability>
      <abilityName>繁转简</abilityName>
      <candidateList>
        <item>鲉</item>
      </candidateList>
      <explain/>
      <paraID> CFA328E</paraID>
      <start>2</start>
      <end>3</end>
      <status>unmodified</status>
      <modifiedWord/>
      <trackRevisions>false</trackRevisions>
    </reviewItem>
    <reviewItem>
      <errorID>0c290573-38a5-48fc-850c-b497721b8b57</errorID>
      <errorWord>有限期</errorWord>
      <group>L1_Word</group>
      <groupName>字词问题</groupName>
      <ability>L2_Typo</ability>
      <abilityName>字词错误</abilityName>
      <candidateList>
        <item>有效期</item>
      </candidateList>
      <explain/>
      <paraID>656CF29C</paraID>
      <start>76</start>
      <end>79</end>
      <status>unmodified</status>
      <modifiedWord/>
      <trackRevisions>false</trackRevisions>
    </reviewItem>
    <reviewItem>
      <errorID>c60d1f7e-9377-4ffa-af6a-24ece02112a8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41FBE92</paraID>
      <start>0</start>
      <end>2</end>
      <status>unmodified</status>
      <modifiedWord/>
      <trackRevisions>false</trackRevisions>
    </reviewItem>
    <reviewItem>
      <errorID>5054fe95-8022-4099-91b4-d7641faf49be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22E0DF05</paraID>
      <start>0</start>
      <end>2</end>
      <status>unmodified</status>
      <modifiedWord/>
      <trackRevisions>false</trackRevisions>
    </reviewItem>
    <reviewItem>
      <errorID>04d0ac57-032a-4cdd-a21f-15f429fa9cc5</errorID>
      <errorWord>潮差为</errorWord>
      <group>L1_Word</group>
      <groupName>字词问题</groupName>
      <ability>L2_Typo</ability>
      <abilityName>字词错误</abilityName>
      <candidateList>
        <item>潮差</item>
      </candidateList>
      <explain/>
      <paraID>349083EE</paraID>
      <start>66</start>
      <end>69</end>
      <status>unmodified</status>
      <modifiedWord/>
      <trackRevisions>false</trackRevisions>
    </reviewItem>
    <reviewItem>
      <errorID>81514075-7d3a-4531-b493-221f4209ed5c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1444997B</paraID>
      <start>0</start>
      <end>2</end>
      <status>unmodified</status>
      <modifiedWord/>
      <trackRevisions>false</trackRevisions>
    </reviewItem>
    <reviewItem>
      <errorID>44e2b6d3-ae58-4737-a2ee-33c019636857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632497CD</paraID>
      <start>0</start>
      <end>2</end>
      <status>unmodified</status>
      <modifiedWord/>
      <trackRevisions>false</trackRevisions>
    </reviewItem>
    <reviewItem>
      <errorID>5177fcb1-a79a-4fd2-bdee-c452e026bdaf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511BFB55</paraID>
      <start>17</start>
      <end>18</end>
      <status>unmodified</status>
      <modifiedWord/>
      <trackRevisions>false</trackRevisions>
    </reviewItem>
    <reviewItem>
      <errorID>4c551648-5510-413b-8684-4cdd9b2f9159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511BFB55</paraID>
      <start>46</start>
      <end>47</end>
      <status>unmodified</status>
      <modifiedWord/>
      <trackRevisions>false</trackRevisions>
    </reviewItem>
    <reviewItem>
      <errorID>f790805a-9ba6-444d-a656-1afe5a6ef94c</errorID>
      <errorWord>&gt;</errorWord>
      <group>L1_Format</group>
      <groupName>格式问题</groupName>
      <ability>L2_HalfPunc</ability>
      <abilityName>全半角检查</abilityName>
      <candidateList>
        <item>〉</item>
      </candidateList>
      <explain>文本全半角错误。</explain>
      <paraID>37ABD831</paraID>
      <start>17</start>
      <end>18</end>
      <status>unmodified</status>
      <modifiedWord/>
      <trackRevisions>false</trackRevisions>
    </reviewItem>
    <reviewItem>
      <errorID>de76fb0b-1cce-465a-bf3c-2fd0fae9562d</errorID>
      <errorWord>&gt;</errorWord>
      <group>L1_Format</group>
      <groupName>格式问题</groupName>
      <ability>L2_HalfPunc</ability>
      <abilityName>全半角检查</abilityName>
      <candidateList>
        <item>〉</item>
      </candidateList>
      <explain>文本全半角错误。</explain>
      <paraID>37ABD831</paraID>
      <start>20</start>
      <end>21</end>
      <status>unmodified</status>
      <modifiedWord/>
      <trackRevisions>false</trackRevisions>
    </reviewItem>
    <reviewItem>
      <errorID>b63d4c94-a77e-45f5-b6fb-7a6e73ded7e3</errorID>
      <errorWord>)</errorWord>
      <group>L1_Format</group>
      <groupName>格式问题</groupName>
      <ability>L2_HalfPunc</ability>
      <abilityName>全半角检查</abilityName>
      <candidateList>
        <item>）</item>
      </candidateList>
      <explain>文本全半角错误。</explain>
      <paraID>537814F8</paraID>
      <start>19</start>
      <end>20</end>
      <status>unmodified</status>
      <modifiedWord/>
      <trackRevisions>false</trackRevisions>
    </reviewItem>
    <reviewItem>
      <errorID>3417703a-4f5f-4aba-a658-0a3677ef27f8</errorID>
      <errorWord>)</errorWord>
      <group>L1_Format</group>
      <groupName>格式问题</groupName>
      <ability>L2_HalfPunc</ability>
      <abilityName>全半角检查</abilityName>
      <candidateList>
        <item>）</item>
      </candidateList>
      <explain>文本全半角错误。</explain>
      <paraID>250C5C52</paraID>
      <start>19</start>
      <end>20</end>
      <status>unmodified</status>
      <modifiedWord/>
      <trackRevisions>false</trackRevisions>
    </reviewItem>
    <reviewItem>
      <errorID>d574303b-e625-4776-be04-a47b11b32d69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2DE198D6</paraID>
      <start>0</start>
      <end>2</end>
      <status>unmodified</status>
      <modifiedWord/>
      <trackRevisions>false</trackRevisions>
    </reviewItem>
    <reviewItem>
      <errorID>a3b23d1e-7327-4617-9b27-6da9a5e1cd34</errorID>
      <errorWord>临近</errorWord>
      <group>L1_Word</group>
      <groupName>字词问题</groupName>
      <ability>L2_Typo</ability>
      <abilityName>字词错误</abilityName>
      <candidateList>
        <item>邻近</item>
      </candidateList>
      <explain>存在发音相同字词的误用。</explain>
      <paraID>6FF0B917</paraID>
      <start>32</start>
      <end>34</end>
      <status>modified</status>
      <modifiedWord>邻近</modifiedWord>
      <trackRevisions>false</trackRevisions>
    </reviewItem>
    <reviewItem>
      <errorID>d8078ecb-7064-423a-8d3d-b05d3513356a</errorID>
      <errorWord>期</errorWord>
      <group>L1_Word</group>
      <groupName>字词问题</groupName>
      <ability>L2_Typo</ability>
      <abilityName>字词错误</abilityName>
      <candidateList>
        <item>气</item>
      </candidateList>
      <explain/>
      <paraID>680EEFCE</paraID>
      <start>94</start>
      <end>95</end>
      <status>unmodified</status>
      <modifiedWord/>
      <trackRevisions>false</trackRevisions>
    </reviewItem>
    <reviewItem>
      <errorID>da3e4e4c-58a4-483c-bc38-0dce7029611d</errorID>
      <errorWord>~</errorWord>
      <group>L1_Format</group>
      <groupName>格式问题</groupName>
      <ability>L2_HalfPunc</ability>
      <abilityName>全半角检查</abilityName>
      <candidateList>
        <item>～</item>
      </candidateList>
      <explain>文本全半角错误。</explain>
      <paraID>1BE29793</paraID>
      <start>74</start>
      <end>75</end>
      <status>unmodified</status>
      <modifiedWord/>
      <trackRevisions>false</trackRevisions>
    </reviewItem>
    <reviewItem>
      <errorID>bffe173c-f230-47ed-9ae7-c5393184703e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74136087</paraID>
      <start>0</start>
      <end>2</end>
      <status>unmodified</status>
      <modifiedWord/>
      <trackRevisions>false</trackRevisions>
    </reviewItem>
    <reviewItem>
      <errorID>f17b5ce5-db75-4993-bc90-2e9a596af164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174C425</paraID>
      <start>0</start>
      <end>2</end>
      <status>unmodified</status>
      <modifiedWord/>
      <trackRevisions>false</trackRevisions>
    </reviewItem>
    <reviewItem>
      <errorID>8a98de7d-46d8-4001-a6a8-d921506bb18b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3931A44D</paraID>
      <start>0</start>
      <end>2</end>
      <status>unmodified</status>
      <modifiedWord/>
      <trackRevisions>false</trackRevisions>
    </reviewItem>
    <reviewItem>
      <errorID>8f3dd911-79d2-406c-8a3f-b5981bbd9149</errorID>
      <errorWord>主要是</errorWord>
      <group>L1_Word</group>
      <groupName>字词问题</groupName>
      <ability>L2_Typo</ability>
      <abilityName>字词错误</abilityName>
      <candidateList>
        <item>主要</item>
      </candidateList>
      <explain>〈形〉属性词。有关事物中最重要的；起决定作用的：～原因｜～目的｜～人物。</explain>
      <paraID>383EA42B</paraID>
      <start>12</start>
      <end>15</end>
      <status>unmodified</status>
      <modifiedWord/>
      <trackRevisions>false</trackRevisions>
    </reviewItem>
    <reviewItem>
      <errorID>17b24e91-ba01-49d8-87c5-eb09a8852a13</errorID>
      <errorWord>)</errorWord>
      <group>L1_Format</group>
      <groupName>格式问题</groupName>
      <ability>L2_HalfPunc</ability>
      <abilityName>全半角检查</abilityName>
      <candidateList>
        <item>）</item>
      </candidateList>
      <explain>文本全半角错误。</explain>
      <paraID>1DAB3310</paraID>
      <start>17</start>
      <end>18</end>
      <status>unmodified</status>
      <modifiedWord/>
      <trackRevisions>false</trackRevisions>
    </reviewItem>
    <reviewItem>
      <errorID>4c5885e4-e9b3-4e4e-bd89-c1c203333d38</errorID>
      <errorWord>)</errorWord>
      <group>L1_Format</group>
      <groupName>格式问题</groupName>
      <ability>L2_HalfPunc</ability>
      <abilityName>全半角检查</abilityName>
      <candidateList>
        <item>）</item>
      </candidateList>
      <explain>文本全半角错误。</explain>
      <paraID>1DAB3310</paraID>
      <start>36</start>
      <end>37</end>
      <status>unmodified</status>
      <modifiedWord/>
      <trackRevisions>false</trackRevisions>
    </reviewItem>
    <reviewItem>
      <errorID>00088082-9780-4b11-8a07-72794b528592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5A925737</paraID>
      <start>0</start>
      <end>2</end>
      <status>unmodified</status>
      <modifiedWord/>
      <trackRevisions>false</trackRevisions>
    </reviewItem>
    <reviewItem>
      <errorID>42ef0eaa-26cc-4a8e-a2b7-898c5c90c468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56B7A3F9</paraID>
      <start>0</start>
      <end>2</end>
      <status>unmodified</status>
      <modifiedWord/>
      <trackRevisions>false</trackRevisions>
    </reviewItem>
    <reviewItem>
      <errorID>5cdbed15-8cbe-433d-95b7-8a403d96ff39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1B09B06C</paraID>
      <start>0</start>
      <end>2</end>
      <status>unmodified</status>
      <modifiedWord/>
      <trackRevisions>false</trackRevisions>
    </reviewItem>
    <reviewItem>
      <errorID>7640b750-949e-4897-ad36-36cb20438942</errorID>
      <errorWord>主要是</errorWord>
      <group>L1_Word</group>
      <groupName>字词问题</groupName>
      <ability>L2_Typo</ability>
      <abilityName>字词错误</abilityName>
      <candidateList>
        <item>主要</item>
      </candidateList>
      <explain>〈形〉属性词。有关事物中最重要的；起决定作用的：～原因｜～目的｜～人物。</explain>
      <paraID>3EF855CA</paraID>
      <start>5</start>
      <end>8</end>
      <status>unmodified</status>
      <modifiedWord/>
      <trackRevisions>false</trackRevisions>
    </reviewItem>
    <reviewItem>
      <errorID>ada64771-e864-4142-98db-91f2bfa9578d</errorID>
      <errorWord>其中其中</errorWord>
      <group>L1_Word</group>
      <groupName>字词问题</groupName>
      <ability>L2_Typo</ability>
      <abilityName>字词错误</abilityName>
      <candidateList>
        <item>其中</item>
      </candidateList>
      <explain>〈名〉方位词。那里面：不知～奥妙｜气象站一共五个人，～三个是新来的。</explain>
      <paraID>5B98E177</paraID>
      <start>0</start>
      <end>2</end>
      <status>modified</status>
      <modifiedWord>其中</modifiedWord>
      <trackRevisions>false</trackRevisions>
    </reviewItem>
    <reviewItem>
      <errorID>99e8b426-b817-400f-a2a1-a71ec0b42cb1</errorID>
      <errorWord>同步进行种</errorWord>
      <group>L1_Word</group>
      <groupName>字词问题</groupName>
      <ability>L2_Typo</ability>
      <abilityName>字词错误</abilityName>
      <candidateList>
        <item>同步进行</item>
      </candidateList>
      <explain/>
      <paraID>6ADA926E</paraID>
      <start>39</start>
      <end>43</end>
      <status>modified</status>
      <modifiedWord>同步进行</modifiedWord>
      <trackRevisions>false</trackRevisions>
    </reviewItem>
    <reviewItem>
      <errorID>1a25ac22-bb2c-4b8f-8446-0af7ac42e13e</errorID>
      <errorWord>（</errorWord>
      <group>L1_Format</group>
      <groupName>格式问题</groupName>
      <ability>L2_HalfPunc</ability>
      <abilityName>全半角检查</abilityName>
      <candidateList>
        <item>(</item>
      </candidateList>
      <explain>文本全半角错误。</explain>
      <paraID>4F03E38D</paraID>
      <start>9</start>
      <end>10</end>
      <status>unmodified</status>
      <modifiedWord/>
      <trackRevisions>false</trackRevisions>
    </reviewItem>
    <reviewItem>
      <errorID>c6f72442-7a83-4fd1-918f-7e8ce76f4490</errorID>
      <errorWord>）</errorWord>
      <group>L1_Format</group>
      <groupName>格式问题</groupName>
      <ability>L2_HalfPunc</ability>
      <abilityName>全半角检查</abilityName>
      <candidateList>
        <item>)</item>
      </candidateList>
      <explain>文本全半角错误。</explain>
      <paraID>4F03E38D</paraID>
      <start>12</start>
      <end>13</end>
      <status>unmodified</status>
      <modifiedWord/>
      <trackRevisions>false</trackRevisions>
    </reviewItem>
    <reviewItem>
      <errorID>8b1be144-feb4-4a45-ae82-c29ca1888ca5</errorID>
      <errorWord>-</errorWord>
      <group>L1_Format</group>
      <groupName>格式问题</groupName>
      <ability>L2_HalfPunc</ability>
      <abilityName>全半角检查</abilityName>
      <candidateList>
        <item>－</item>
      </candidateList>
      <explain>文本全半角错误。</explain>
      <paraID>1FD0F8AC</paraID>
      <start>88</start>
      <end>89</end>
      <status>unmodified</status>
      <modifiedWord/>
      <trackRevisions>false</trackRevisions>
    </reviewItem>
    <reviewItem>
      <errorID>4b84f6f8-1250-496d-acbb-b255f0d26169</errorID>
      <errorWord>)</errorWord>
      <group>L1_Format</group>
      <groupName>格式问题</groupName>
      <ability>L2_HalfPunc</ability>
      <abilityName>全半角检查</abilityName>
      <candidateList>
        <item>）</item>
      </candidateList>
      <explain>文本全半角错误。</explain>
      <paraID>1FD0F8AC</paraID>
      <start>137</start>
      <end>138</end>
      <status>unmodified</status>
      <modifiedWord/>
      <trackRevisions>false</trackRevisions>
    </reviewItem>
    <reviewItem>
      <errorID>e9a9700e-b279-4af8-9138-e22c0eb70bba</errorID>
      <errorWord>主要以工业区及海域为主</errorWord>
      <group>L1_Grammar</group>
      <groupName>语法问题</groupName>
      <ability>L2_Grammar</ability>
      <abilityName>语法错误</abilityName>
      <candidateList>
        <item>以工业区及海域为主</item>
      </candidateList>
      <explain/>
      <paraID>3B687748</paraID>
      <start>14</start>
      <end>25</end>
      <status>unmodified</status>
      <modifiedWord/>
      <trackRevisions>false</trackRevisions>
    </reviewItem>
    <reviewItem>
      <errorID>3c296a7a-a95b-4fb0-be75-9fad6f093bd1</errorID>
      <errorWord>主要以工业区及海域为主</errorWord>
      <group>L1_Grammar</group>
      <groupName>语法问题</groupName>
      <ability>L2_Grammar</ability>
      <abilityName>语法错误</abilityName>
      <candidateList>
        <item>以工业区及海域为主</item>
      </candidateList>
      <explain/>
      <paraID>21200BCF</paraID>
      <start>28</start>
      <end>39</end>
      <status>unmodified</status>
      <modifiedWord/>
      <trackRevisions>false</trackRevisions>
    </reviewItem>
    <reviewItem>
      <errorID>2f5734cc-d64a-4c14-9e0e-117764814ded</errorID>
      <errorWord>生成周期</errorWord>
      <group>L1_Knowledge</group>
      <groupName>知识性问题</groupName>
      <ability>L2_Term</ability>
      <abilityName>专业术语</abilityName>
      <candidateList>
        <item>生命周期</item>
      </candidateList>
      <explain/>
      <paraID>1563AEA2</paraID>
      <start>110</start>
      <end>114</end>
      <status>unmodified</status>
      <modifiedWord/>
      <trackRevisions>false</trackRevisions>
    </reviewItem>
    <reviewItem>
      <errorID>7ac301ed-6e7c-49ac-9f62-bde1b86b33a6</errorID>
      <errorWord>海拔高度</errorWord>
      <group>L1_Word</group>
      <groupName>字词问题</groupName>
      <ability>L2_Typo</ability>
      <abilityName>字词错误</abilityName>
      <candidateList>
        <item>海拔</item>
      </candidateList>
      <explain>〈名〉从平均海平面起算的高度。</explain>
      <paraID>7A62A7C4</paraID>
      <start>2</start>
      <end>6</end>
      <status>unmodified</status>
      <modifiedWord/>
      <trackRevisions>false</trackRevisions>
    </reviewItem>
    <reviewItem>
      <errorID>97d3fa3a-277d-4b39-865e-edc79959a5b4</errorID>
      <errorWord>(</errorWord>
      <group>L1_Format</group>
      <groupName>格式问题</groupName>
      <ability>L2_HalfPunc</ability>
      <abilityName>全半角检查</abilityName>
      <candidateList>
        <item>（</item>
      </candidateList>
      <explain>文本全半角错误。</explain>
      <paraID>6D565407</paraID>
      <start>18</start>
      <end>19</end>
      <status>unmodified</status>
      <modifiedWord/>
      <trackRevisions>false</trackRevisions>
    </reviewItem>
    <reviewItem>
      <errorID>760b61c6-fa2c-403d-8046-26cdbb2f4e2f</errorID>
      <errorWord>)</errorWord>
      <group>L1_Format</group>
      <groupName>格式问题</groupName>
      <ability>L2_HalfPunc</ability>
      <abilityName>全半角检查</abilityName>
      <candidateList>
        <item>）</item>
      </candidateList>
      <explain>文本全半角错误。</explain>
      <paraID>6D565407</paraID>
      <start>29</start>
      <end>30</end>
      <status>unmodified</status>
      <modifiedWord/>
      <trackRevisions>false</trackRevisions>
    </reviewItem>
    <reviewItem>
      <errorID>504da461-c0ce-466b-8e5b-af6284afb716</errorID>
      <errorWord>(</errorWord>
      <group>L1_Format</group>
      <groupName>格式问题</groupName>
      <ability>L2_HalfPunc</ability>
      <abilityName>全半角检查</abilityName>
      <candidateList>
        <item>（</item>
      </candidateList>
      <explain>文本全半角错误。</explain>
      <paraID>2AA19D56</paraID>
      <start>21</start>
      <end>22</end>
      <status>unmodified</status>
      <modifiedWord/>
      <trackRevisions>false</trackRevisions>
    </reviewItem>
    <reviewItem>
      <errorID>49f31c05-f385-49d6-8b4a-11907e65c90f</errorID>
      <errorWord>)</errorWord>
      <group>L1_Format</group>
      <groupName>格式问题</groupName>
      <ability>L2_HalfPunc</ability>
      <abilityName>全半角检查</abilityName>
      <candidateList>
        <item>）</item>
      </candidateList>
      <explain>文本全半角错误。</explain>
      <paraID>2AA19D56</paraID>
      <start>26</start>
      <end>27</end>
      <status>unmodified</status>
      <modifiedWord/>
      <trackRevisions>false</trackRevisions>
    </reviewItem>
    <reviewItem>
      <errorID>b534f372-1d99-49d8-88fc-bf2bcdb1d587</errorID>
      <errorWord>）</errorWord>
      <group>L1_Word</group>
      <groupName>字词问题</groupName>
      <ability>L2_Typo</ability>
      <abilityName>字词错误</abilityName>
      <candidateList>
        <item>）第</item>
      </candidateList>
      <explain/>
      <paraID>2D41AA89</paraID>
      <start>48</start>
      <end>49</end>
      <status>unmodified</status>
      <modifiedWord/>
      <trackRevisions>false</trackRevisions>
    </reviewItem>
    <reviewItem>
      <errorID>3cd1c53a-416e-4721-8a71-d0a0b156579d</errorID>
      <errorWord>泄露</errorWord>
      <group>L1_Word</group>
      <groupName>字词问题</groupName>
      <ability>L2_Typo</ability>
      <abilityName>字词错误</abilityName>
      <candidateList>
        <item>泄漏</item>
      </candidateList>
      <explain>存在发音相同字词的误用。</explain>
      <paraID>4C747CC4</paraID>
      <start>60</start>
      <end>62</end>
      <status>modified</status>
      <modifiedWord>泄漏</modifiedWord>
      <trackRevisions>false</trackRevisions>
    </reviewItem>
    <reviewItem>
      <errorID>92a95f25-6e4f-4b99-9df5-c048d8bf4d1c</errorID>
      <errorWord>(</errorWord>
      <group>L1_Format</group>
      <groupName>格式问题</groupName>
      <ability>L2_HalfPunc</ability>
      <abilityName>全半角检查</abilityName>
      <candidateList>
        <item>（</item>
      </candidateList>
      <explain>文本全半角错误。</explain>
      <paraID>5569128A</paraID>
      <start>18</start>
      <end>19</end>
      <status>unmodified</status>
      <modifiedWord/>
      <trackRevisions>false</trackRevisions>
    </reviewItem>
    <reviewItem>
      <errorID>e5d413a5-9ebd-4cba-a6a8-f95559d94e9b</errorID>
      <errorWord>)</errorWord>
      <group>L1_Format</group>
      <groupName>格式问题</groupName>
      <ability>L2_HalfPunc</ability>
      <abilityName>全半角检查</abilityName>
      <candidateList>
        <item>）</item>
      </candidateList>
      <explain>文本全半角错误。</explain>
      <paraID>5569128A</paraID>
      <start>29</start>
      <end>30</end>
      <status>unmodified</status>
      <modifiedWord/>
      <trackRevisions>false</trackRevisions>
    </reviewItem>
    <reviewItem>
      <errorID>cbb43ade-155e-4667-b15e-d9607a95e8ef</errorID>
      <errorWord>的的</errorWord>
      <group>L1_Word</group>
      <groupName>字词问题</groupName>
      <ability>L2_Typo</ability>
      <abilityName>字词错误</abilityName>
      <candidateList>
        <item>的</item>
      </candidateList>
      <explain>“的”常用于连接修饰语与名词性中心语，表示属性、所属或描述。</explain>
      <paraID>6A85E008</paraID>
      <start>28</start>
      <end>29</end>
      <status>modified</status>
      <modifiedWord>的</modifiedWord>
      <trackRevisions>false</trackRevisions>
    </reviewItem>
    <reviewItem>
      <errorID>f2220dfa-d72f-47d8-8765-3368711e79a5</errorID>
      <errorWord>（</errorWord>
      <group>L1_Format</group>
      <groupName>格式问题</groupName>
      <ability>L2_HalfPunc</ability>
      <abilityName>全半角检查</abilityName>
      <candidateList>
        <item>(</item>
      </candidateList>
      <explain>文本全半角错误。</explain>
      <paraID>4E8FB9CA</paraID>
      <start>0</start>
      <end>1</end>
      <status>unmodified</status>
      <modifiedWord/>
      <trackRevisions>false</trackRevisions>
    </reviewItem>
    <reviewItem>
      <errorID>617dd083-2a35-42c5-afa9-30f66e3d0241</errorID>
      <errorWord>）</errorWord>
      <group>L1_Format</group>
      <groupName>格式问题</groupName>
      <ability>L2_HalfPunc</ability>
      <abilityName>全半角检查</abilityName>
      <candidateList>
        <item>)</item>
      </candidateList>
      <explain>文本全半角错误。</explain>
      <paraID>4E8FB9CA</paraID>
      <start>2</start>
      <end>3</end>
      <status>unmodified</status>
      <modifiedWord/>
      <trackRevisions>false</trackRevisions>
    </reviewItem>
    <reviewItem>
      <errorID>8eb2772d-eab5-4f67-aadf-2fe2209909ca</errorID>
      <errorWord>酸化油</errorWord>
      <group>L1_Word</group>
      <groupName>字词问题</groupName>
      <ability>L2_Typo</ability>
      <abilityName>字词错误</abilityName>
      <candidateList>
        <item>酸油</item>
      </candidateList>
      <explain/>
      <paraID>308B1C6E</paraID>
      <start>2</start>
      <end>5</end>
      <status>unmodified</status>
      <modifiedWord/>
      <trackRevisions>false</trackRevisions>
    </reviewItem>
    <reviewItem>
      <errorID>3ce4aebf-50bd-461c-bada-e5b0075fc8b0</errorID>
      <errorWord>酸化油</errorWord>
      <group>L1_Word</group>
      <groupName>字词问题</groupName>
      <ability>L2_Typo</ability>
      <abilityName>字词错误</abilityName>
      <candidateList>
        <item>酸油</item>
      </candidateList>
      <explain/>
      <paraID>1AF7E197</paraID>
      <start>2</start>
      <end>5</end>
      <status>unmodified</status>
      <modifiedWord/>
      <trackRevisions>false</trackRevisions>
    </reviewItem>
    <reviewItem>
      <errorID>3d75681a-ef37-4d53-aad3-98a9ae521801</errorID>
      <errorWord>(</errorWord>
      <group>L1_Format</group>
      <groupName>格式问题</groupName>
      <ability>L2_HalfPunc</ability>
      <abilityName>全半角检查</abilityName>
      <candidateList>
        <item>（</item>
      </candidateList>
      <explain>文本全半角错误。</explain>
      <paraID>36AD85FF</paraID>
      <start>13</start>
      <end>14</end>
      <status>unmodified</status>
      <modifiedWord/>
      <trackRevisions>false</trackRevisions>
    </reviewItem>
    <reviewItem>
      <errorID>d4fbda65-8d2c-4a52-b01d-b8ef005e5d4f</errorID>
      <errorWord>)</errorWord>
      <group>L1_Format</group>
      <groupName>格式问题</groupName>
      <ability>L2_HalfPunc</ability>
      <abilityName>全半角检查</abilityName>
      <candidateList>
        <item>）</item>
      </candidateList>
      <explain>文本全半角错误。</explain>
      <paraID>36AD85FF</paraID>
      <start>16</start>
      <end>17</end>
      <status>unmodified</status>
      <modifiedWord/>
      <trackRevisions>false</trackRevisions>
    </reviewItem>
    <reviewItem>
      <errorID>cc64bf37-fe6f-44cc-83f2-22064c79274c</errorID>
      <errorWord>油性组分</errorWord>
      <group>L1_Knowledge</group>
      <groupName>知识性问题</groupName>
      <ability>L2_Term</ability>
      <abilityName>专业术语</abilityName>
      <candidateList>
        <item>活性组分</item>
      </candidateList>
      <explain/>
      <paraID>726ABD8C</paraID>
      <start>10</start>
      <end>14</end>
      <status>unmodified</status>
      <modifiedWord/>
      <trackRevisions>false</trackRevisions>
    </reviewItem>
    <reviewItem>
      <errorID>c6fc9048-1262-4807-987f-274081aac3bc</errorID>
      <errorWord>&gt;</errorWord>
      <group>L1_Punc</group>
      <groupName>标点问题</groupName>
      <ability>L2_Punc</ability>
      <abilityName>标点符号检查</abilityName>
      <candidateList/>
      <explain/>
      <paraID>2237FD8C</paraID>
      <start>0</start>
      <end>1</end>
      <status>unmodified</status>
      <modifiedWord/>
      <trackRevisions>false</trackRevisions>
    </reviewItem>
    <reviewItem>
      <errorID>75de630c-3584-4410-ba2b-7edcddf20174</errorID>
      <errorWord>&gt;</errorWord>
      <group>L1_Punc</group>
      <groupName>标点问题</groupName>
      <ability>L2_Punc</ability>
      <abilityName>标点符号检查</abilityName>
      <candidateList/>
      <explain/>
      <paraID>62724978</paraID>
      <start>0</start>
      <end>1</end>
      <status>unmodified</status>
      <modifiedWord/>
      <trackRevisions>false</trackRevisions>
    </reviewItem>
    <reviewItem>
      <errorID>16e50234-1f8f-43f6-bcd7-0d59ba984b07</errorID>
      <errorWord>&gt;</errorWord>
      <group>L1_Punc</group>
      <groupName>标点问题</groupName>
      <ability>L2_Punc</ability>
      <abilityName>标点符号检查</abilityName>
      <candidateList/>
      <explain/>
      <paraID>156AD73B</paraID>
      <start>0</start>
      <end>1</end>
      <status>unmodified</status>
      <modifiedWord/>
      <trackRevisions>false</trackRevisions>
    </reviewItem>
    <reviewItem>
      <errorID>9fdbaef8-e3c9-4e6b-b70e-0e0f0dd969ab</errorID>
      <errorWord>&gt;</errorWord>
      <group>L1_Punc</group>
      <groupName>标点问题</groupName>
      <ability>L2_Punc</ability>
      <abilityName>标点符号检查</abilityName>
      <candidateList/>
      <explain/>
      <paraID> 6208E52</paraID>
      <start>0</start>
      <end>1</end>
      <status>unmodified</status>
      <modifiedWord/>
      <trackRevisions>false</trackRevisions>
    </reviewItem>
    <reviewItem>
      <errorID>b11e3741-368d-451c-acf3-6fd2e5da2b23</errorID>
      <errorWord>(</errorWord>
      <group>L1_Format</group>
      <groupName>格式问题</groupName>
      <ability>L2_HalfPunc</ability>
      <abilityName>全半角检查</abilityName>
      <candidateList>
        <item>（</item>
      </candidateList>
      <explain>文本全半角错误。</explain>
      <paraID>13D30CD9</paraID>
      <start>3</start>
      <end>4</end>
      <status>unmodified</status>
      <modifiedWord/>
      <trackRevisions>false</trackRevisions>
    </reviewItem>
    <reviewItem>
      <errorID>23fd5152-5c76-4cb1-ba15-5a91f34b67a0</errorID>
      <errorWord>)</errorWord>
      <group>L1_Format</group>
      <groupName>格式问题</groupName>
      <ability>L2_HalfPunc</ability>
      <abilityName>全半角检查</abilityName>
      <candidateList>
        <item>）</item>
      </candidateList>
      <explain>文本全半角错误。</explain>
      <paraID>13D30CD9</paraID>
      <start>15</start>
      <end>16</end>
      <status>unmodified</status>
      <modifiedWord/>
      <trackRevisions>false</trackRevisions>
    </reviewItem>
    <reviewItem>
      <errorID>db0e7360-2481-40ac-9e6a-aa1091312010</errorID>
      <errorWord>(</errorWord>
      <group>L1_Format</group>
      <groupName>格式问题</groupName>
      <ability>L2_HalfPunc</ability>
      <abilityName>全半角检查</abilityName>
      <candidateList>
        <item>（</item>
      </candidateList>
      <explain>文本全半角错误。</explain>
      <paraID>  E37CA0</paraID>
      <start>5</start>
      <end>6</end>
      <status>unmodified</status>
      <modifiedWord/>
      <trackRevisions>false</trackRevisions>
    </reviewItem>
    <reviewItem>
      <errorID>65c1c3c4-64bf-40bd-aabb-8c1fa769259d</errorID>
      <errorWord>)</errorWord>
      <group>L1_Format</group>
      <groupName>格式问题</groupName>
      <ability>L2_HalfPunc</ability>
      <abilityName>全半角检查</abilityName>
      <candidateList>
        <item>）</item>
      </candidateList>
      <explain>文本全半角错误。</explain>
      <paraID>  E37CA0</paraID>
      <start>10</start>
      <end>11</end>
      <status>unmodified</status>
      <modifiedWord/>
      <trackRevisions>false</trackRevisions>
    </reviewItem>
    <reviewItem>
      <errorID>6e831106-bade-4394-94a0-d215a5e6cab7</errorID>
      <errorWord>&gt;</errorWord>
      <group>L1_Punc</group>
      <groupName>标点问题</groupName>
      <ability>L2_Punc</ability>
      <abilityName>标点符号检查</abilityName>
      <candidateList/>
      <explain/>
      <paraID>21386C43</paraID>
      <start>0</start>
      <end>1</end>
      <status>unmodified</status>
      <modifiedWord/>
      <trackRevisions>false</trackRevisions>
    </reviewItem>
    <reviewItem>
      <errorID>6e05ab7c-6a95-418b-a2e9-824bd5a89ddd</errorID>
      <errorWord>(</errorWord>
      <group>L1_Format</group>
      <groupName>格式问题</groupName>
      <ability>L2_HalfPunc</ability>
      <abilityName>全半角检查</abilityName>
      <candidateList>
        <item>（</item>
      </candidateList>
      <explain>文本全半角错误。</explain>
      <paraID>51DD9FCA</paraID>
      <start>3</start>
      <end>4</end>
      <status>unmodified</status>
      <modifiedWord/>
      <trackRevisions>false</trackRevisions>
    </reviewItem>
    <reviewItem>
      <errorID>131bc2c5-5a32-45db-a002-f348c7d43128</errorID>
      <errorWord>)</errorWord>
      <group>L1_Format</group>
      <groupName>格式问题</groupName>
      <ability>L2_HalfPunc</ability>
      <abilityName>全半角检查</abilityName>
      <candidateList>
        <item>）</item>
      </candidateList>
      <explain>文本全半角错误。</explain>
      <paraID>51DD9FCA</paraID>
      <start>9</start>
      <end>10</end>
      <status>unmodified</status>
      <modifiedWord/>
      <trackRevisions>false</trackRevisions>
    </reviewItem>
    <reviewItem>
      <errorID>34c17734-7153-41d7-b201-26fcf753128c</errorID>
      <errorWord>&gt;</errorWord>
      <group>L1_Punc</group>
      <groupName>标点问题</groupName>
      <ability>L2_Punc</ability>
      <abilityName>标点符号检查</abilityName>
      <candidateList/>
      <explain/>
      <paraID>29E20432</paraID>
      <start>0</start>
      <end>1</end>
      <status>unmodified</status>
      <modifiedWord/>
      <trackRevisions>false</trackRevisions>
    </reviewItem>
    <reviewItem>
      <errorID>e5b3d9b7-4795-4d57-a8c4-2592ef18fcdc</errorID>
      <errorWord>(</errorWord>
      <group>L1_Format</group>
      <groupName>格式问题</groupName>
      <ability>L2_HalfPunc</ability>
      <abilityName>全半角检查</abilityName>
      <candidateList>
        <item>（</item>
      </candidateList>
      <explain>文本全半角错误。</explain>
      <paraID>7EF1CC36</paraID>
      <start>3</start>
      <end>4</end>
      <status>unmodified</status>
      <modifiedWord/>
      <trackRevisions>false</trackRevisions>
    </reviewItem>
    <reviewItem>
      <errorID>63f2d145-cea1-4c97-98cb-88087d8b4735</errorID>
      <errorWord>)</errorWord>
      <group>L1_Format</group>
      <groupName>格式问题</groupName>
      <ability>L2_HalfPunc</ability>
      <abilityName>全半角检查</abilityName>
      <candidateList>
        <item>）</item>
      </candidateList>
      <explain>文本全半角错误。</explain>
      <paraID>7EF1CC36</paraID>
      <start>9</start>
      <end>10</end>
      <status>unmodified</status>
      <modifiedWord/>
      <trackRevisions>false</trackRevisions>
    </reviewItem>
    <reviewItem>
      <errorID>44419a88-90ad-481d-864a-d651854567c0</errorID>
      <errorWord>风</errorWord>
      <group>L1_Word</group>
      <groupName>字词问题</groupName>
      <ability>L2_Typo</ability>
      <abilityName>字词错误</abilityName>
      <candidateList>
        <item>风险</item>
      </candidateList>
      <explain>〈名〉可能发生的危险：担～｜冒着～去搞试验。</explain>
      <paraID>56EA2535</paraID>
      <start>6</start>
      <end>7</end>
      <status>unmodified</status>
      <modifiedWord/>
      <trackRevisions>false</trackRevisions>
    </reviewItem>
    <reviewItem>
      <errorID>28c7a041-5f8a-4ad9-8f00-1c1e8475602e</errorID>
      <errorWord>：/</errorWord>
      <group>L1_Punc</group>
      <groupName>标点问题</groupName>
      <ability>L2_Punc</ability>
      <abilityName>标点符号检查</abilityName>
      <candidateList>
        <item>：</item>
      </candidateList>
      <explain/>
      <paraID>6F52FE2B</paraID>
      <start>3</start>
      <end>5</end>
      <status>unmodified</status>
      <modifiedWord/>
      <trackRevisions>false</trackRevisions>
    </reviewItem>
    <reviewItem>
      <errorID>25ce8f15-2ed0-48f9-b1a9-10bf05a80e9e</errorID>
      <errorWord>：/</errorWord>
      <group>L1_Punc</group>
      <groupName>标点问题</groupName>
      <ability>L2_Punc</ability>
      <abilityName>标点符号检查</abilityName>
      <candidateList>
        <item>：</item>
      </candidateList>
      <explain/>
      <paraID>  9680D8</paraID>
      <start>3</start>
      <end>5</end>
      <status>unmodified</status>
      <modifiedWord/>
      <trackRevisions>false</trackRevisions>
    </reviewItem>
    <reviewItem>
      <errorID>fe04eabf-fb8a-440c-afa6-c88b3ac90aca</errorID>
      <errorWord>：/</errorWord>
      <group>L1_Punc</group>
      <groupName>标点问题</groupName>
      <ability>L2_Punc</ability>
      <abilityName>标点符号检查</abilityName>
      <candidateList>
        <item>：</item>
      </candidateList>
      <explain/>
      <paraID>6956D94D</paraID>
      <start>4</start>
      <end>6</end>
      <status>unmodified</status>
      <modifiedWord/>
      <trackRevisions>false</trackRevisions>
    </reviewItem>
    <reviewItem>
      <errorID>bc9774b3-187c-48e3-a2d8-3a761d279de6</errorID>
      <errorWord>：/</errorWord>
      <group>L1_Punc</group>
      <groupName>标点问题</groupName>
      <ability>L2_Punc</ability>
      <abilityName>标点符号检查</abilityName>
      <candidateList>
        <item>：</item>
      </candidateList>
      <explain/>
      <paraID>51E1997B</paraID>
      <start>4</start>
      <end>6</end>
      <status>unmodified</status>
      <modifiedWord/>
      <trackRevisions>false</trackRevisions>
    </reviewItem>
    <reviewItem>
      <errorID>c36e1b6f-a996-45f8-a568-2979aba19cd6</errorID>
      <errorWord>：/</errorWord>
      <group>L1_Punc</group>
      <groupName>标点问题</groupName>
      <ability>L2_Punc</ability>
      <abilityName>标点符号检查</abilityName>
      <candidateList>
        <item>：</item>
      </candidateList>
      <explain/>
      <paraID>27DE5874</paraID>
      <start>9</start>
      <end>11</end>
      <status>unmodified</status>
      <modifiedWord/>
      <trackRevisions>false</trackRevisions>
    </reviewItem>
    <reviewItem>
      <errorID>45a6aa27-f029-437a-ab1d-7ad5ba48058c</errorID>
      <errorWord>：/</errorWord>
      <group>L1_Punc</group>
      <groupName>标点问题</groupName>
      <ability>L2_Punc</ability>
      <abilityName>标点符号检查</abilityName>
      <candidateList>
        <item>：</item>
      </candidateList>
      <explain/>
      <paraID>70BA632D</paraID>
      <start>3</start>
      <end>5</end>
      <status>unmodified</status>
      <modifiedWord/>
      <trackRevisions>false</trackRevisions>
    </reviewItem>
    <reviewItem>
      <errorID>a74b257f-1ca8-4e16-b226-dfc945e15a82</errorID>
      <errorWord>饱和蒸气</errorWord>
      <group>L1_Word</group>
      <groupName>字词问题</groupName>
      <ability>L2_Typo</ability>
      <abilityName>字词错误</abilityName>
      <candidateList>
        <item>饱和蒸汽</item>
      </candidateList>
      <explain/>
      <paraID>6077776D</paraID>
      <start>0</start>
      <end>4</end>
      <status>unmodified</status>
      <modifiedWord/>
      <trackRevisions>false</trackRevisions>
    </reviewItem>
    <reviewItem>
      <errorID>0af37e9b-7da5-46f1-b9d3-e7fae76bce32</errorID>
      <errorWord>沸溅</errorWord>
      <group>L1_Word</group>
      <groupName>字词问题</groupName>
      <ability>L2_Typo</ability>
      <abilityName>字词错误</abilityName>
      <candidateList>
        <item>沸腾</item>
      </candidateList>
      <explain/>
      <paraID>6CF95D87</paraID>
      <start>7</start>
      <end>9</end>
      <status>unmodified</status>
      <modifiedWord/>
      <trackRevisions>false</trackRevisions>
    </reviewItem>
    <reviewItem>
      <errorID>6330adfc-7246-4dc1-81fa-58644fd1062d</errorID>
      <errorWord>：</errorWord>
      <group>L1_Format</group>
      <groupName>格式问题</groupName>
      <ability>L2_HalfPunc</ability>
      <abilityName>全半角检查</abilityName>
      <candidateList>
        <item>:</item>
      </candidateList>
      <explain>文本全半角错误。</explain>
      <paraID> BA63527</paraID>
      <start>38</start>
      <end>39</end>
      <status>unmodified</status>
      <modifiedWord/>
      <trackRevisions>false</trackRevisions>
    </reviewItem>
    <reviewItem>
      <errorID>390b2053-8b5c-4491-96ad-273996b6060d</errorID>
      <errorWord>：</errorWord>
      <group>L1_Format</group>
      <groupName>格式问题</groupName>
      <ability>L2_HalfPunc</ability>
      <abilityName>全半角检查</abilityName>
      <candidateList>
        <item>:</item>
      </candidateList>
      <explain>文本全半角错误。</explain>
      <paraID> AF6FC22</paraID>
      <start>19</start>
      <end>20</end>
      <status>unmodified</status>
      <modifiedWord/>
      <trackRevisions>false</trackRevisions>
    </reviewItem>
    <reviewItem>
      <errorID>b77edd86-3e95-450c-ab8b-9d9eadb6dcf9</errorID>
      <errorWord>咔挫</errorWord>
      <group>L1_Word</group>
      <groupName>字词问题</groupName>
      <ability>L2_Typo</ability>
      <abilityName>字词错误</abilityName>
      <candidateList>
        <item>咔唑</item>
      </candidateList>
      <explain>存在字形相近字词的误用。</explain>
      <paraID>775516D5</paraID>
      <start>15</start>
      <end>17</end>
      <status>unmodified</status>
      <modifiedWord/>
      <trackRevisions>false</trackRevisions>
    </reviewItem>
    <reviewItem>
      <errorID>df25f458-d624-44d0-8efc-ff266c8e2be7</errorID>
      <errorWord>蒸汽压</errorWord>
      <group>L1_Word</group>
      <groupName>字词问题</groupName>
      <ability>L2_Typo</ability>
      <abilityName>字词错误</abilityName>
      <candidateList>
        <item>蒸气压</item>
      </candidateList>
      <explain/>
      <paraID>775516D5</paraID>
      <start>32</start>
      <end>35</end>
      <status>unmodified</status>
      <modifiedWord/>
      <trackRevisions>false</trackRevisions>
    </reviewItem>
    <reviewItem>
      <errorID>e76e93ca-899c-4c20-a43d-a31f1bb53124</errorID>
      <errorWord>砂土</errorWord>
      <group>L1_Word</group>
      <groupName>字词问题</groupName>
      <ability>L2_Typo</ability>
      <abilityName>字词错误</abilityName>
      <candidateList>
        <item>沙土</item>
      </candidateList>
      <explain/>
      <paraID>568E086E</paraID>
      <start>44</start>
      <end>46</end>
      <status>unmodified</status>
      <modifiedWord/>
      <trackRevisions>false</trackRevisions>
    </reviewItem>
    <reviewItem>
      <errorID>addbc037-5ec6-416e-b1f4-b906abddd844</errorID>
      <errorWord>物质</errorWord>
      <group>L1_Word</group>
      <groupName>字词问题</groupName>
      <ability>L2_Typo</ability>
      <abilityName>字词错误</abilityName>
      <candidateList>
        <item>物资</item>
      </candidateList>
      <explain/>
      <paraID>1C05DFAF</paraID>
      <start>4</start>
      <end>6</end>
      <status>unmodified</status>
      <modifiedWord/>
      <trackRevisions>false</trackRevisions>
    </reviewItem>
    <reviewItem>
      <errorID>2da49760-f758-474e-bdb5-50a41c21d2da</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61536F77</paraID>
      <start>0</start>
      <end>2</end>
      <status>unmodified</status>
      <modifiedWord/>
      <trackRevisions>false</trackRevisions>
    </reviewItem>
    <reviewItem>
      <errorID>527ec818-e187-4e2b-ac1c-08c6c7869fc9</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44D7CE6D</paraID>
      <start>0</start>
      <end>2</end>
      <status>unmodified</status>
      <modifiedWord/>
      <trackRevisions>false</trackRevisions>
    </reviewItem>
    <reviewItem>
      <errorID>2a736119-58f3-4d5f-b0b6-eb82c72aaaa0</errorID>
      <errorWord>收纳</errorWord>
      <group>L1_Word</group>
      <groupName>字词问题</groupName>
      <ability>L2_Typo</ability>
      <abilityName>字词错误</abilityName>
      <candidateList>
        <item>受纳</item>
      </candidateList>
      <explain/>
      <paraID>1E7DEA69</paraID>
      <start>20</start>
      <end>22</end>
      <status>unmodified</status>
      <modifiedWord/>
      <trackRevisions>false</trackRevisions>
    </reviewItem>
    <reviewItem>
      <errorID>93a8b462-4a98-49d3-bdf9-992e714e1ad6</errorID>
      <errorWord>中渡</errorWord>
      <group>L1_Word</group>
      <groupName>字词问题</groupName>
      <ability>L2_Typo</ability>
      <abilityName>字词错误</abilityName>
      <candidateList>
        <item>中度</item>
      </candidateList>
      <explain/>
      <paraID>5CD9A1F5</paraID>
      <start>110</start>
      <end>112</end>
      <status>unmodified</status>
      <modifiedWord/>
      <trackRevisions>false</trackRevisions>
    </reviewItem>
    <reviewItem>
      <errorID>f785f109-fb51-4c72-a45b-fdd2da3bad66</errorID>
      <errorWord>,</errorWord>
      <group>L1_Format</group>
      <groupName>格式问题</groupName>
      <ability>L2_HalfPunc</ability>
      <abilityName>全半角检查</abilityName>
      <candidateList>
        <item>，</item>
      </candidateList>
      <explain>文本全半角错误。</explain>
      <paraID>2C3D8B4B</paraID>
      <start>17</start>
      <end>18</end>
      <status>unmodified</status>
      <modifiedWord/>
      <trackRevisions>false</trackRevisions>
    </reviewItem>
    <reviewItem>
      <errorID>202aca38-5047-47dc-b838-5296877d21bc</errorID>
      <errorWord>(</errorWord>
      <group>L1_Format</group>
      <groupName>格式问题</groupName>
      <ability>L2_HalfPunc</ability>
      <abilityName>全半角检查</abilityName>
      <candidateList>
        <item>（</item>
      </candidateList>
      <explain>文本全半角错误。</explain>
      <paraID>38CB3D9B</paraID>
      <start>23</start>
      <end>24</end>
      <status>unmodified</status>
      <modifiedWord/>
      <trackRevisions>false</trackRevisions>
    </reviewItem>
    <reviewItem>
      <errorID>796a8626-0c13-42bc-b657-fbc65525a533</errorID>
      <errorWord>)</errorWord>
      <group>L1_Format</group>
      <groupName>格式问题</groupName>
      <ability>L2_HalfPunc</ability>
      <abilityName>全半角检查</abilityName>
      <candidateList>
        <item>）</item>
      </candidateList>
      <explain>文本全半角错误。</explain>
      <paraID>38CB3D9B</paraID>
      <start>28</start>
      <end>29</end>
      <status>unmodified</status>
      <modifiedWord/>
      <trackRevisions>false</trackRevisions>
    </reviewItem>
    <reviewItem>
      <errorID>e70a82bf-04ab-4f3c-9193-ea1751b808da</errorID>
      <errorWord>(</errorWord>
      <group>L1_Format</group>
      <groupName>格式问题</groupName>
      <ability>L2_HalfPunc</ability>
      <abilityName>全半角检查</abilityName>
      <candidateList>
        <item>（</item>
      </candidateList>
      <explain>文本全半角错误。</explain>
      <paraID>38CB3D9B</paraID>
      <start>96</start>
      <end>97</end>
      <status>unmodified</status>
      <modifiedWord/>
      <trackRevisions>false</trackRevisions>
    </reviewItem>
    <reviewItem>
      <errorID>62c6c3d8-97a7-4826-93f0-0121eca4a7e3</errorID>
      <errorWord>)</errorWord>
      <group>L1_Format</group>
      <groupName>格式问题</groupName>
      <ability>L2_HalfPunc</ability>
      <abilityName>全半角检查</abilityName>
      <candidateList>
        <item>）</item>
      </candidateList>
      <explain>文本全半角错误。</explain>
      <paraID>38CB3D9B</paraID>
      <start>115</start>
      <end>116</end>
      <status>unmodified</status>
      <modifiedWord/>
      <trackRevisions>false</trackRevisions>
    </reviewItem>
    <reviewItem>
      <errorID>eb2408c1-1392-4e36-baa2-0e77bd24ff36</errorID>
      <errorWord>瀕</errorWord>
      <group>L1_Word</group>
      <groupName>字词问题</groupName>
      <ability>L2_Fanti</ability>
      <abilityName>繁转简</abilityName>
      <candidateList>
        <item>濒</item>
      </candidateList>
      <explain/>
      <paraID>38CB3D9B</paraID>
      <start>217</start>
      <end>218</end>
      <status>unmodified</status>
      <modifiedWord/>
      <trackRevisions>false</trackRevisions>
    </reviewItem>
    <reviewItem>
      <errorID>8ff0591e-dc1c-46bd-bbd5-f8ee1cf957d7</errorID>
      <errorWord>；或</errorWord>
      <group>L1_Word</group>
      <groupName>字词问题</groupName>
      <ability>L2_Typo</ability>
      <abilityName>字词错误</abilityName>
      <candidateList>
        <item>；</item>
      </candidateList>
      <explain/>
      <paraID>38CB3D9B</paraID>
      <start>273</start>
      <end>275</end>
      <status>unmodified</status>
      <modifiedWord/>
      <trackRevisions>false</trackRevisions>
    </reviewItem>
    <reviewItem>
      <errorID>3459ba0a-ed45-4014-8bd1-0cc3f8b35b46</errorID>
      <errorWord>(</errorWord>
      <group>L1_Format</group>
      <groupName>格式问题</groupName>
      <ability>L2_HalfPunc</ability>
      <abilityName>全半角检查</abilityName>
      <candidateList>
        <item>（</item>
      </candidateList>
      <explain>文本全半角错误。</explain>
      <paraID>74A29BC9</paraID>
      <start>23</start>
      <end>24</end>
      <status>unmodified</status>
      <modifiedWord/>
      <trackRevisions>false</trackRevisions>
    </reviewItem>
    <reviewItem>
      <errorID>ea7608af-a28b-4a95-9ebe-59b48087e358</errorID>
      <errorWord>)</errorWord>
      <group>L1_Format</group>
      <groupName>格式问题</groupName>
      <ability>L2_HalfPunc</ability>
      <abilityName>全半角检查</abilityName>
      <candidateList>
        <item>）</item>
      </candidateList>
      <explain>文本全半角错误。</explain>
      <paraID>74A29BC9</paraID>
      <start>28</start>
      <end>29</end>
      <status>unmodified</status>
      <modifiedWord/>
      <trackRevisions>false</trackRevisions>
    </reviewItem>
    <reviewItem>
      <errorID>d49ae0a2-e433-4a7a-b865-48f07c1e261e</errorID>
      <errorWord>,</errorWord>
      <group>L1_Format</group>
      <groupName>格式问题</groupName>
      <ability>L2_HalfPunc</ability>
      <abilityName>全半角检查</abilityName>
      <candidateList>
        <item>，</item>
      </candidateList>
      <explain>文本全半角错误。</explain>
      <paraID>74A29BC9</paraID>
      <start>66</start>
      <end>67</end>
      <status>unmodified</status>
      <modifiedWord/>
      <trackRevisions>false</trackRevisions>
    </reviewItem>
    <reviewItem>
      <errorID>e50e100d-dda5-4d7d-94df-dc67fa64f6fa</errorID>
      <errorWord>区城</errorWord>
      <group>L1_Word</group>
      <groupName>字词问题</groupName>
      <ability>L2_Typo</ability>
      <abilityName>字词错误</abilityName>
      <candidateList>
        <item>区域</item>
      </candidateList>
      <explain/>
      <paraID>74A29BC9</paraID>
      <start>127</start>
      <end>129</end>
      <status>modified</status>
      <modifiedWord>区域</modifiedWord>
      <trackRevisions>false</trackRevisions>
    </reviewItem>
    <reviewItem>
      <errorID>43258395-9297-4da2-8a94-4f68bee28c97</errorID>
      <errorWord>(</errorWord>
      <group>L1_Format</group>
      <groupName>格式问题</groupName>
      <ability>L2_HalfPunc</ability>
      <abilityName>全半角检查</abilityName>
      <candidateList>
        <item>（</item>
      </candidateList>
      <explain>文本全半角错误。</explain>
      <paraID>390E19C4</paraID>
      <start>5</start>
      <end>6</end>
      <status>unmodified</status>
      <modifiedWord/>
      <trackRevisions>false</trackRevisions>
    </reviewItem>
    <reviewItem>
      <errorID>0d5b7d18-3d26-43d9-a924-47e9f846dcb4</errorID>
      <errorWord>)</errorWord>
      <group>L1_Format</group>
      <groupName>格式问题</groupName>
      <ability>L2_HalfPunc</ability>
      <abilityName>全半角检查</abilityName>
      <candidateList>
        <item>）</item>
      </candidateList>
      <explain>文本全半角错误。</explain>
      <paraID>390E19C4</paraID>
      <start>10</start>
      <end>11</end>
      <status>unmodified</status>
      <modifiedWord/>
      <trackRevisions>false</trackRevisions>
    </reviewItem>
    <reviewItem>
      <errorID>c3a2c5e7-3549-4938-8d45-a2c66c217e24</errorID>
      <errorWord>III</errorWord>
      <group>L1_Knowledge</group>
      <groupName>知识性问题</groupName>
      <ability>L2_Knowledge</ability>
      <abilityName>其他知识</abilityName>
      <candidateList>
        <item>Ⅲ</item>
      </candidateList>
      <explain/>
      <paraID>43285AC6</paraID>
      <start>54</start>
      <end>57</end>
      <status>unmodified</status>
      <modifiedWord/>
      <trackRevisions>false</trackRevisions>
    </reviewItem>
    <reviewItem>
      <errorID>e4b3095b-5b5a-4557-b8fc-6125e9554ce0</errorID>
      <errorWord>群种</errorWord>
      <group>L1_Word</group>
      <groupName>字词问题</groupName>
      <ability>L2_Typo</ability>
      <abilityName>字词错误</abilityName>
      <candidateList>
        <item>种群</item>
      </candidateList>
      <explain/>
      <paraID> F2347BD</paraID>
      <start>33</start>
      <end>35</end>
      <status>unmodified</status>
      <modifiedWord/>
      <trackRevisions>false</trackRevisions>
    </reviewItem>
    <reviewItem>
      <errorID>ef69fdf8-f944-490f-a05a-2cd6ffc33cd6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88460AE</paraID>
      <start>74</start>
      <end>75</end>
      <status>unmodified</status>
      <modifiedWord/>
      <trackRevisions>false</trackRevisions>
    </reviewItem>
    <reviewItem>
      <errorID>3955f056-17be-485b-b835-1ecb4bd8b2d3</errorID>
      <errorWord>七十年代</errorWord>
      <group>L1_Word</group>
      <groupName>字词问题</groupName>
      <ability>L2_Typo</ability>
      <abilityName>字词错误</abilityName>
      <candidateList>
        <item>70年代</item>
      </candidateList>
      <explain/>
      <paraID> 88460AE</paraID>
      <start>147</start>
      <end>151</end>
      <status>unmodified</status>
      <modifiedWord/>
      <trackRevisions>false</trackRevisions>
    </reviewItem>
    <reviewItem>
      <errorID>e7da0e65-1c85-4a83-92c9-b097d33dc12f</errorID>
      <errorWord>是由于碰撞引起的</errorWord>
      <group>L1_Grammar</group>
      <groupName>语法问题</groupName>
      <ability>L2_Grammar</ability>
      <abilityName>语法错误</abilityName>
      <candidateList>
        <item>是由于碰撞</item>
      </candidateList>
      <explain/>
      <paraID> 88460AE</paraID>
      <start>185</start>
      <end>193</end>
      <status>unmodified</status>
      <modifiedWord/>
      <trackRevisions>false</trackRevisions>
    </reviewItem>
    <reviewItem>
      <errorID>c35d0bc7-8b85-409a-92f1-d383f929eabf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56214A43</paraID>
      <start>7</start>
      <end>8</end>
      <status>unmodified</status>
      <modifiedWord/>
      <trackRevisions>false</trackRevisions>
    </reviewItem>
    <reviewItem>
      <errorID>f745dc8b-967b-42de-bb6f-9bd053cf69fd</errorID>
      <errorWord>绝大多说</errorWord>
      <group>L1_Word</group>
      <groupName>字词问题</groupName>
      <ability>L2_Typo</ability>
      <abilityName>字词错误</abilityName>
      <candidateList>
        <item>绝大多数</item>
      </candidateList>
      <explain/>
      <paraID>13A8EE5B</paraID>
      <start>137</start>
      <end>141</end>
      <status>modified</status>
      <modifiedWord>绝大多数</modifiedWord>
      <trackRevisions>false</trackRevisions>
    </reviewItem>
    <reviewItem>
      <errorID>3c7cbef9-d48c-4aa9-9798-2b415331501b</errorID>
      <errorWord>1990年代</errorWord>
      <group>L1_Knowledge</group>
      <groupName>知识性问题</groupName>
      <ability>L2_Time</ability>
      <abilityName>日期时间</abilityName>
      <candidateList>
        <item>20世纪90年代</item>
      </candidateList>
      <explain>年代表述建议使用世纪+年代的格式。</explain>
      <paraID>7BA13DF3</paraID>
      <start>36</start>
      <end>42</end>
      <status>unmodified</status>
      <modifiedWord/>
      <trackRevisions>false</trackRevisions>
    </reviewItem>
    <reviewItem>
      <errorID>eeb171d0-aa61-4eed-afe6-f8208b838925</errorID>
      <errorWord>-2018年</errorWord>
      <group>L1_Word</group>
      <groupName>字词问题</groupName>
      <ability>L2_Typo</ability>
      <abilityName>字词错误</abilityName>
      <candidateList>
        <item>—2018年</item>
      </candidateList>
      <explain/>
      <paraID>7BA13DF3</paraID>
      <start>140</start>
      <end>146</end>
      <status>unmodified</status>
      <modifiedWord/>
      <trackRevisions>false</trackRevisions>
    </reviewItem>
    <reviewItem>
      <errorID>36ce1cc3-09a7-4765-8089-11227406970b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403192E6</paraID>
      <start>24</start>
      <end>25</end>
      <status>unmodified</status>
      <modifiedWord/>
      <trackRevisions>false</trackRevisions>
    </reviewItem>
    <reviewItem>
      <errorID>31905d16-d289-4ada-ab5c-d0a2b0969c98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509BB3A8</paraID>
      <start>7</start>
      <end>8</end>
      <status>unmodified</status>
      <modifiedWord/>
      <trackRevisions>false</trackRevisions>
    </reviewItem>
    <reviewItem>
      <errorID>c281ea66-1782-4175-918d-380dbd90fed5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7FEB3E3</paraID>
      <start>10</start>
      <end>11</end>
      <status>unmodified</status>
      <modifiedWord/>
      <trackRevisions>false</trackRevisions>
    </reviewItem>
    <reviewItem>
      <errorID>396e0746-8253-4fc1-8668-86a732061936</errorID>
      <errorWord>其</errorWord>
      <group>L1_Word</group>
      <groupName>字词问题</groupName>
      <ability>L2_Typo</ability>
      <abilityName>字词错误</abilityName>
      <candidateList>
        <item>起</item>
      </candidateList>
      <explain>〈动〉趋向动词。❶用在动词后，表示向上：抬～箱子往外走。❷用在动词后，表示力量够得上或够不上：经得～考验｜太贵了，买不～。注意动词和“起”之间常有“得”字或“不”字。❸用在动词后，表示事物随动作出现：乐队奏～迎宾曲｜会场响～热烈掌声。❹用在动词后，表示动作涉及人或事：他多次问～过你｜想～一件事。</explain>
      <paraID>47BC2408</paraID>
      <start>29</start>
      <end>30</end>
      <status>unmodified</status>
      <modifiedWord/>
      <trackRevisions>false</trackRevisions>
    </reviewItem>
    <reviewItem>
      <errorID>4b0dd97e-ef16-4289-bc14-c0c087134d73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19471DA5</paraID>
      <start>4</start>
      <end>5</end>
      <status>unmodified</status>
      <modifiedWord/>
      <trackRevisions>false</trackRevisions>
    </reviewItem>
    <reviewItem>
      <errorID>b3e64cad-9760-4d2d-999e-d377bf0f4306</errorID>
      <errorWord>主要以小事故为主</errorWord>
      <group>L1_Grammar</group>
      <groupName>语法问题</groupName>
      <ability>L2_Grammar</ability>
      <abilityName>语法错误</abilityName>
      <candidateList>
        <item>以小事故为主</item>
      </candidateList>
      <explain/>
      <paraID>19471DA5</paraID>
      <start>34</start>
      <end>42</end>
      <status>unmodified</status>
      <modifiedWord/>
      <trackRevisions>false</trackRevisions>
    </reviewItem>
    <reviewItem>
      <errorID>2ef326fa-b220-4cc9-9460-8b51db99b246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2D7FE185</paraID>
      <start>4</start>
      <end>5</end>
      <status>unmodified</status>
      <modifiedWord/>
      <trackRevisions>false</trackRevisions>
    </reviewItem>
    <reviewItem>
      <errorID>6ae75b4e-26eb-4da1-ad1e-73b34c681488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3681F4D6</paraID>
      <start>12</start>
      <end>13</end>
      <status>unmodified</status>
      <modifiedWord/>
      <trackRevisions>false</trackRevisions>
    </reviewItem>
    <reviewItem>
      <errorID>cbfdd3f3-5f01-42aa-b2d6-08d3ecdce5e0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7FFD3758</paraID>
      <start>48</start>
      <end>49</end>
      <status>unmodified</status>
      <modifiedWord/>
      <trackRevisions>false</trackRevisions>
    </reviewItem>
    <reviewItem>
      <errorID>084da687-38fb-4f8b-93e0-4501960c0cbb</errorID>
      <errorWord>＇</errorWord>
      <group>L1_Format</group>
      <groupName>格式问题</groupName>
      <ability>L2_HalfPunc</ability>
      <abilityName>全半角检查</abilityName>
      <candidateList>
        <item>'</item>
      </candidateList>
      <explain>文本全半角错误。</explain>
      <paraID>64AFCFEF</paraID>
      <start>5</start>
      <end>6</end>
      <status>unmodified</status>
      <modifiedWord/>
      <trackRevisions>false</trackRevisions>
    </reviewItem>
    <reviewItem>
      <errorID>92698763-432f-4113-b427-cfd5e7b1a7fe</errorID>
      <errorWord>＇</errorWord>
      <group>L1_Format</group>
      <groupName>格式问题</groupName>
      <ability>L2_HalfPunc</ability>
      <abilityName>全半角检查</abilityName>
      <candidateList>
        <item>'</item>
      </candidateList>
      <explain>文本全半角错误。</explain>
      <paraID>64AFCFEF</paraID>
      <start>17</start>
      <end>18</end>
      <status>unmodified</status>
      <modifiedWord/>
      <trackRevisions>false</trackRevisions>
    </reviewItem>
    <reviewItem>
      <errorID>bebeb694-4d44-4260-bb5c-6af3affac992</errorID>
      <errorWord>＇</errorWord>
      <group>L1_Format</group>
      <groupName>格式问题</groupName>
      <ability>L2_HalfPunc</ability>
      <abilityName>全半角检查</abilityName>
      <candidateList>
        <item>'</item>
      </candidateList>
      <explain>文本全半角错误。</explain>
      <paraID>79DE03CB</paraID>
      <start>5</start>
      <end>6</end>
      <status>unmodified</status>
      <modifiedWord/>
      <trackRevisions>false</trackRevisions>
    </reviewItem>
    <reviewItem>
      <errorID>ecb11464-d04c-4a4a-bd04-f197c7b56652</errorID>
      <errorWord>＇</errorWord>
      <group>L1_Format</group>
      <groupName>格式问题</groupName>
      <ability>L2_HalfPunc</ability>
      <abilityName>全半角检查</abilityName>
      <candidateList>
        <item>'</item>
      </candidateList>
      <explain>文本全半角错误。</explain>
      <paraID>79DE03CB</paraID>
      <start>17</start>
      <end>18</end>
      <status>unmodified</status>
      <modifiedWord/>
      <trackRevisions>false</trackRevisions>
    </reviewItem>
    <reviewItem>
      <errorID>b43161d1-28b3-4aee-b8e8-8627f3432f34</errorID>
      <errorWord>＇</errorWord>
      <group>L1_Format</group>
      <groupName>格式问题</groupName>
      <ability>L2_HalfPunc</ability>
      <abilityName>全半角检查</abilityName>
      <candidateList>
        <item>'</item>
      </candidateList>
      <explain>文本全半角错误。</explain>
      <paraID>1383C20A</paraID>
      <start>5</start>
      <end>6</end>
      <status>unmodified</status>
      <modifiedWord/>
      <trackRevisions>false</trackRevisions>
    </reviewItem>
    <reviewItem>
      <errorID>4110a4be-327e-494e-b49f-de9dee7ecc54</errorID>
      <errorWord>＇</errorWord>
      <group>L1_Format</group>
      <groupName>格式问题</groupName>
      <ability>L2_HalfPunc</ability>
      <abilityName>全半角检查</abilityName>
      <candidateList>
        <item>'</item>
      </candidateList>
      <explain>文本全半角错误。</explain>
      <paraID>1383C20A</paraID>
      <start>17</start>
      <end>18</end>
      <status>unmodified</status>
      <modifiedWord/>
      <trackRevisions>false</trackRevisions>
    </reviewItem>
    <reviewItem>
      <errorID>86dc26af-2579-4ac8-808c-471bb3ebcce5</errorID>
      <errorWord>＇</errorWord>
      <group>L1_Format</group>
      <groupName>格式问题</groupName>
      <ability>L2_HalfPunc</ability>
      <abilityName>全半角检查</abilityName>
      <candidateList>
        <item>'</item>
      </candidateList>
      <explain>文本全半角错误。</explain>
      <paraID>4CB2CB0D</paraID>
      <start>5</start>
      <end>6</end>
      <status>unmodified</status>
      <modifiedWord/>
      <trackRevisions>false</trackRevisions>
    </reviewItem>
    <reviewItem>
      <errorID>071ad305-6d64-460d-bb1b-c16f4bff141a</errorID>
      <errorWord>＇</errorWord>
      <group>L1_Format</group>
      <groupName>格式问题</groupName>
      <ability>L2_HalfPunc</ability>
      <abilityName>全半角检查</abilityName>
      <candidateList>
        <item>'</item>
      </candidateList>
      <explain>文本全半角错误。</explain>
      <paraID>4CB2CB0D</paraID>
      <start>16</start>
      <end>17</end>
      <status>unmodified</status>
      <modifiedWord/>
      <trackRevisions>false</trackRevisions>
    </reviewItem>
    <reviewItem>
      <errorID>c868c8ef-db9c-4181-8abf-c4729cb39351</errorID>
      <errorWord>＇</errorWord>
      <group>L1_Format</group>
      <groupName>格式问题</groupName>
      <ability>L2_HalfPunc</ability>
      <abilityName>全半角检查</abilityName>
      <candidateList>
        <item>'</item>
      </candidateList>
      <explain>文本全半角错误。</explain>
      <paraID>301AF2F2</paraID>
      <start>5</start>
      <end>6</end>
      <status>unmodified</status>
      <modifiedWord/>
      <trackRevisions>false</trackRevisions>
    </reviewItem>
    <reviewItem>
      <errorID>6bbd6afa-bb30-46a4-afa9-842e7bac1055</errorID>
      <errorWord>＇</errorWord>
      <group>L1_Format</group>
      <groupName>格式问题</groupName>
      <ability>L2_HalfPunc</ability>
      <abilityName>全半角检查</abilityName>
      <candidateList>
        <item>'</item>
      </candidateList>
      <explain>文本全半角错误。</explain>
      <paraID>301AF2F2</paraID>
      <start>16</start>
      <end>17</end>
      <status>unmodified</status>
      <modifiedWord/>
      <trackRevisions>false</trackRevisions>
    </reviewItem>
    <reviewItem>
      <errorID>f9c3a796-e03c-42db-b47e-96dbcbc6fcef</errorID>
      <errorWord>＇</errorWord>
      <group>L1_Format</group>
      <groupName>格式问题</groupName>
      <ability>L2_HalfPunc</ability>
      <abilityName>全半角检查</abilityName>
      <candidateList>
        <item>'</item>
      </candidateList>
      <explain>文本全半角错误。</explain>
      <paraID>5DC5A569</paraID>
      <start>5</start>
      <end>6</end>
      <status>unmodified</status>
      <modifiedWord/>
      <trackRevisions>false</trackRevisions>
    </reviewItem>
    <reviewItem>
      <errorID>0e313b95-ce2f-414e-8939-168d9e31a126</errorID>
      <errorWord>＇</errorWord>
      <group>L1_Format</group>
      <groupName>格式问题</groupName>
      <ability>L2_HalfPunc</ability>
      <abilityName>全半角检查</abilityName>
      <candidateList>
        <item>'</item>
      </candidateList>
      <explain>文本全半角错误。</explain>
      <paraID>5DC5A569</paraID>
      <start>14</start>
      <end>15</end>
      <status>unmodified</status>
      <modifiedWord/>
      <trackRevisions>false</trackRevisions>
    </reviewItem>
    <reviewItem>
      <errorID>27d6429c-b4d8-45e4-b6e2-adb4cdae19b4</errorID>
      <errorWord>＇</errorWord>
      <group>L1_Format</group>
      <groupName>格式问题</groupName>
      <ability>L2_HalfPunc</ability>
      <abilityName>全半角检查</abilityName>
      <candidateList>
        <item>'</item>
      </candidateList>
      <explain>文本全半角错误。</explain>
      <paraID> FB4F4B6</paraID>
      <start>5</start>
      <end>6</end>
      <status>unmodified</status>
      <modifiedWord/>
      <trackRevisions>false</trackRevisions>
    </reviewItem>
    <reviewItem>
      <errorID>6fdd77f1-88ce-4c68-8ed7-e769c6e5480b</errorID>
      <errorWord>＇</errorWord>
      <group>L1_Format</group>
      <groupName>格式问题</groupName>
      <ability>L2_HalfPunc</ability>
      <abilityName>全半角检查</abilityName>
      <candidateList>
        <item>'</item>
      </candidateList>
      <explain>文本全半角错误。</explain>
      <paraID> FB4F4B6</paraID>
      <start>17</start>
      <end>18</end>
      <status>unmodified</status>
      <modifiedWord/>
      <trackRevisions>false</trackRevisions>
    </reviewItem>
    <reviewItem>
      <errorID>d0b48fdf-64e4-4ca0-96d9-366bfff0c960</errorID>
      <errorWord>＇</errorWord>
      <group>L1_Format</group>
      <groupName>格式问题</groupName>
      <ability>L2_HalfPunc</ability>
      <abilityName>全半角检查</abilityName>
      <candidateList>
        <item>'</item>
      </candidateList>
      <explain>文本全半角错误。</explain>
      <paraID>5705EE12</paraID>
      <start>5</start>
      <end>6</end>
      <status>unmodified</status>
      <modifiedWord/>
      <trackRevisions>false</trackRevisions>
    </reviewItem>
    <reviewItem>
      <errorID>1cbb3016-63e7-4f01-bb08-4df88a8d4688</errorID>
      <errorWord>＇</errorWord>
      <group>L1_Format</group>
      <groupName>格式问题</groupName>
      <ability>L2_HalfPunc</ability>
      <abilityName>全半角检查</abilityName>
      <candidateList>
        <item>'</item>
      </candidateList>
      <explain>文本全半角错误。</explain>
      <paraID>5705EE12</paraID>
      <start>17</start>
      <end>18</end>
      <status>unmodified</status>
      <modifiedWord/>
      <trackRevisions>false</trackRevisions>
    </reviewItem>
    <reviewItem>
      <errorID>2e5916dd-99c2-42b1-82b6-7942ab8a43f8</errorID>
      <errorWord>＇</errorWord>
      <group>L1_Format</group>
      <groupName>格式问题</groupName>
      <ability>L2_HalfPunc</ability>
      <abilityName>全半角检查</abilityName>
      <candidateList>
        <item>'</item>
      </candidateList>
      <explain>文本全半角错误。</explain>
      <paraID>124C4F6F</paraID>
      <start>5</start>
      <end>6</end>
      <status>unmodified</status>
      <modifiedWord/>
      <trackRevisions>false</trackRevisions>
    </reviewItem>
    <reviewItem>
      <errorID>4fbe3972-d359-4b6a-ae13-525abde5a012</errorID>
      <errorWord>＇</errorWord>
      <group>L1_Format</group>
      <groupName>格式问题</groupName>
      <ability>L2_HalfPunc</ability>
      <abilityName>全半角检查</abilityName>
      <candidateList>
        <item>'</item>
      </candidateList>
      <explain>文本全半角错误。</explain>
      <paraID>124C4F6F</paraID>
      <start>15</start>
      <end>16</end>
      <status>unmodified</status>
      <modifiedWord/>
      <trackRevisions>false</trackRevisions>
    </reviewItem>
    <reviewItem>
      <errorID>126eac50-8ec3-48e4-b097-6a4b953d7034</errorID>
      <errorWord>＇</errorWord>
      <group>L1_Format</group>
      <groupName>格式问题</groupName>
      <ability>L2_HalfPunc</ability>
      <abilityName>全半角检查</abilityName>
      <candidateList>
        <item>'</item>
      </candidateList>
      <explain>文本全半角错误。</explain>
      <paraID>6D6C0AF1</paraID>
      <start>7</start>
      <end>8</end>
      <status>unmodified</status>
      <modifiedWord/>
      <trackRevisions>false</trackRevisions>
    </reviewItem>
    <reviewItem>
      <errorID>1baefe21-758c-4e1b-a24e-536f081423ef</errorID>
      <errorWord>＇</errorWord>
      <group>L1_Format</group>
      <groupName>格式问题</groupName>
      <ability>L2_HalfPunc</ability>
      <abilityName>全半角检查</abilityName>
      <candidateList>
        <item>'</item>
      </candidateList>
      <explain>文本全半角错误。</explain>
      <paraID>6D6C0AF1</paraID>
      <start>16</start>
      <end>17</end>
      <status>unmodified</status>
      <modifiedWord/>
      <trackRevisions>false</trackRevisions>
    </reviewItem>
    <reviewItem>
      <errorID>c0e876e8-1829-4242-a57f-577a95dc7998</errorID>
      <errorWord>＇</errorWord>
      <group>L1_Format</group>
      <groupName>格式问题</groupName>
      <ability>L2_HalfPunc</ability>
      <abilityName>全半角检查</abilityName>
      <candidateList>
        <item>'</item>
      </candidateList>
      <explain>文本全半角错误。</explain>
      <paraID>24984BFD</paraID>
      <start>9</start>
      <end>10</end>
      <status>unmodified</status>
      <modifiedWord/>
      <trackRevisions>false</trackRevisions>
    </reviewItem>
    <reviewItem>
      <errorID>9e3c5e05-417a-41e9-8bd3-c580e2803662</errorID>
      <errorWord>＇</errorWord>
      <group>L1_Format</group>
      <groupName>格式问题</groupName>
      <ability>L2_HalfPunc</ability>
      <abilityName>全半角检查</abilityName>
      <candidateList>
        <item>'</item>
      </candidateList>
      <explain>文本全半角错误。</explain>
      <paraID>24984BFD</paraID>
      <start>22</start>
      <end>23</end>
      <status>unmodified</status>
      <modifiedWord/>
      <trackRevisions>false</trackRevisions>
    </reviewItem>
    <reviewItem>
      <errorID>0471584b-9b3e-487a-a21e-35881e1bbbee</errorID>
      <errorWord>＇</errorWord>
      <group>L1_Format</group>
      <groupName>格式问题</groupName>
      <ability>L2_HalfPunc</ability>
      <abilityName>全半角检查</abilityName>
      <candidateList>
        <item>'</item>
      </candidateList>
      <explain>文本全半角错误。</explain>
      <paraID>269EAA4B</paraID>
      <start>9</start>
      <end>10</end>
      <status>unmodified</status>
      <modifiedWord/>
      <trackRevisions>false</trackRevisions>
    </reviewItem>
    <reviewItem>
      <errorID>94d50f13-a410-4300-bd67-1aa8c84f9375</errorID>
      <errorWord>＇</errorWord>
      <group>L1_Format</group>
      <groupName>格式问题</groupName>
      <ability>L2_HalfPunc</ability>
      <abilityName>全半角检查</abilityName>
      <candidateList>
        <item>'</item>
      </candidateList>
      <explain>文本全半角错误。</explain>
      <paraID>269EAA4B</paraID>
      <start>22</start>
      <end>23</end>
      <status>unmodified</status>
      <modifiedWord/>
      <trackRevisions>false</trackRevisions>
    </reviewItem>
    <reviewItem>
      <errorID>dba7e2ac-0f34-4c01-9629-37692102c2c6</errorID>
      <errorWord>（</errorWord>
      <group>L1_Format</group>
      <groupName>格式问题</groupName>
      <ability>L2_HalfPunc</ability>
      <abilityName>全半角检查</abilityName>
      <candidateList>
        <item>(</item>
      </candidateList>
      <explain>文本全半角错误。</explain>
      <paraID> BA53788</paraID>
      <start>10</start>
      <end>11</end>
      <status>unmodified</status>
      <modifiedWord/>
      <trackRevisions>false</trackRevisions>
    </reviewItem>
    <reviewItem>
      <errorID>a1ad3132-cfbe-4896-a54b-fb32db8a3e4e</errorID>
      <errorWord>）</errorWord>
      <group>L1_Format</group>
      <groupName>格式问题</groupName>
      <ability>L2_HalfPunc</ability>
      <abilityName>全半角检查</abilityName>
      <candidateList>
        <item>)</item>
      </candidateList>
      <explain>文本全半角错误。</explain>
      <paraID> BA53788</paraID>
      <start>14</start>
      <end>15</end>
      <status>unmodified</status>
      <modifiedWord/>
      <trackRevisions>false</trackRevisions>
    </reviewItem>
    <reviewItem>
      <errorID>24be53e3-504c-4047-9cbe-51cfb0e2163b</errorID>
      <errorWord>（</errorWord>
      <group>L1_Format</group>
      <groupName>格式问题</groupName>
      <ability>L2_HalfPunc</ability>
      <abilityName>全半角检查</abilityName>
      <candidateList>
        <item>(</item>
      </candidateList>
      <explain>文本全半角错误。</explain>
      <paraID>4D699ED8</paraID>
      <start>10</start>
      <end>11</end>
      <status>unmodified</status>
      <modifiedWord/>
      <trackRevisions>false</trackRevisions>
    </reviewItem>
    <reviewItem>
      <errorID>c180c665-5e85-49dd-8db8-b6a04d294f9c</errorID>
      <errorWord>）</errorWord>
      <group>L1_Format</group>
      <groupName>格式问题</groupName>
      <ability>L2_HalfPunc</ability>
      <abilityName>全半角检查</abilityName>
      <candidateList>
        <item>)</item>
      </candidateList>
      <explain>文本全半角错误。</explain>
      <paraID>4D699ED8</paraID>
      <start>14</start>
      <end>15</end>
      <status>unmodified</status>
      <modifiedWord/>
      <trackRevisions>false</trackRevisions>
    </reviewItem>
    <reviewItem>
      <errorID>e9e70853-9707-4683-a537-c93f4a3c88cf</errorID>
      <errorWord>(</errorWord>
      <group>L1_Format</group>
      <groupName>格式问题</groupName>
      <ability>L2_HalfPunc</ability>
      <abilityName>全半角检查</abilityName>
      <candidateList>
        <item>（</item>
      </candidateList>
      <explain>文本全半角错误。</explain>
      <paraID>72FD8F63</paraID>
      <start>37</start>
      <end>38</end>
      <status>unmodified</status>
      <modifiedWord/>
      <trackRevisions>false</trackRevisions>
    </reviewItem>
    <reviewItem>
      <errorID>bd7bf903-cbc3-4b29-a8f3-7c77807b2e02</errorID>
      <errorWord>)</errorWord>
      <group>L1_Format</group>
      <groupName>格式问题</groupName>
      <ability>L2_HalfPunc</ability>
      <abilityName>全半角检查</abilityName>
      <candidateList>
        <item>）</item>
      </candidateList>
      <explain>文本全半角错误。</explain>
      <paraID>72FD8F63</paraID>
      <start>49</start>
      <end>50</end>
      <status>unmodified</status>
      <modifiedWord/>
      <trackRevisions>false</trackRevisions>
    </reviewItem>
    <reviewItem>
      <errorID>6bc5e03c-155b-499d-b428-b3978b9a01c4</errorID>
      <errorWord>消防等</errorWord>
      <group>L1_Word</group>
      <groupName>字词问题</groupName>
      <ability>L2_Typo</ability>
      <abilityName>字词错误</abilityName>
      <candidateList>
        <item>消防</item>
      </candidateList>
      <explain/>
      <paraID>298628CB</paraID>
      <start>126</start>
      <end>129</end>
      <status>unmodified</status>
      <modifiedWord/>
      <trackRevisions>false</trackRevisions>
    </reviewItem>
    <reviewItem>
      <errorID>f4d7d1d7-8216-44f7-80ac-40e0f4320b0a</errorID>
      <errorWord>《建设项目环境风险评价技术导则（HJ169-2018）》</errorWord>
      <group>L1_Knowledge</group>
      <groupName>知识性问题</groupName>
      <ability>L2_Knowledge</ability>
      <abilityName>其他知识</abilityName>
      <candidateList>
        <item>《建设项目环境风险评价技术导则》（HJ169-2018）</item>
      </candidateList>
      <explain>疑似政策文件、法律法规名称等书写不规范，请注意检查。</explain>
      <paraID> 619865A</paraID>
      <start>2</start>
      <end>30</end>
      <status>unmodified</status>
      <modifiedWord/>
      <trackRevisions>false</trackRevisions>
    </reviewItem>
    <reviewItem>
      <errorID>44009ec2-ebb9-4533-9edc-0c9ed30a0e70</errorID>
      <errorWord>主要以前两者为主</errorWord>
      <group>L1_Grammar</group>
      <groupName>语法问题</groupName>
      <ability>L2_Grammar</ability>
      <abilityName>语法错误</abilityName>
      <candidateList>
        <item>以前两者为主</item>
      </candidateList>
      <explain/>
      <paraID>6F9DABB9</paraID>
      <start>33</start>
      <end>41</end>
      <status>unmodified</status>
      <modifiedWord/>
      <trackRevisions>false</trackRevisions>
    </reviewItem>
    <reviewItem>
      <errorID>82d55470-681a-4062-8bc6-da50e33dcb7b</errorID>
      <errorWord>(</errorWord>
      <group>L1_Format</group>
      <groupName>格式问题</groupName>
      <ability>L2_HalfPunc</ability>
      <abilityName>全半角检查</abilityName>
      <candidateList>
        <item>（</item>
      </candidateList>
      <explain>文本全半角错误。</explain>
      <paraID>197AFDC1</paraID>
      <start>2</start>
      <end>3</end>
      <status>unmodified</status>
      <modifiedWord/>
      <trackRevisions>false</trackRevisions>
    </reviewItem>
    <reviewItem>
      <errorID>8c44dfd0-8ac2-45d9-bf55-2b1f27b8ef2f</errorID>
      <errorWord>)</errorWord>
      <group>L1_Format</group>
      <groupName>格式问题</groupName>
      <ability>L2_HalfPunc</ability>
      <abilityName>全半角检查</abilityName>
      <candidateList>
        <item>）</item>
      </candidateList>
      <explain>文本全半角错误。</explain>
      <paraID>197AFDC1</paraID>
      <start>14</start>
      <end>15</end>
      <status>unmodified</status>
      <modifiedWord/>
      <trackRevisions>false</trackRevisions>
    </reviewItem>
    <reviewItem>
      <errorID>f666bf2a-d09f-4e22-8890-1a5f25814ec4</errorID>
      <errorWord>(</errorWord>
      <group>L1_Format</group>
      <groupName>格式问题</groupName>
      <ability>L2_HalfPunc</ability>
      <abilityName>全半角检查</abilityName>
      <candidateList>
        <item>（</item>
      </candidateList>
      <explain>文本全半角错误。</explain>
      <paraID>4FF67C48</paraID>
      <start>2</start>
      <end>3</end>
      <status>unmodified</status>
      <modifiedWord/>
      <trackRevisions>false</trackRevisions>
    </reviewItem>
    <reviewItem>
      <errorID>c1d9d605-fe3a-4861-bb61-66a7e96e93f0</errorID>
      <errorWord>)</errorWord>
      <group>L1_Format</group>
      <groupName>格式问题</groupName>
      <ability>L2_HalfPunc</ability>
      <abilityName>全半角检查</abilityName>
      <candidateList>
        <item>）</item>
      </candidateList>
      <explain>文本全半角错误。</explain>
      <paraID>4FF67C48</paraID>
      <start>5</start>
      <end>6</end>
      <status>unmodified</status>
      <modifiedWord/>
      <trackRevisions>false</trackRevisions>
    </reviewItem>
    <reviewItem>
      <errorID>4980790e-55ed-4666-9b25-6cc9bea115e0</errorID>
      <errorWord>(</errorWord>
      <group>L1_Format</group>
      <groupName>格式问题</groupName>
      <ability>L2_HalfPunc</ability>
      <abilityName>全半角检查</abilityName>
      <candidateList>
        <item>（</item>
      </candidateList>
      <explain>文本全半角错误。</explain>
      <paraID>2820B57D</paraID>
      <start>2</start>
      <end>3</end>
      <status>unmodified</status>
      <modifiedWord/>
      <trackRevisions>false</trackRevisions>
    </reviewItem>
    <reviewItem>
      <errorID>60009be0-3d16-47cc-a9ba-12c3c7b7a373</errorID>
      <errorWord>)</errorWord>
      <group>L1_Format</group>
      <groupName>格式问题</groupName>
      <ability>L2_HalfPunc</ability>
      <abilityName>全半角检查</abilityName>
      <candidateList>
        <item>）</item>
      </candidateList>
      <explain>文本全半角错误。</explain>
      <paraID>2820B57D</paraID>
      <start>5</start>
      <end>6</end>
      <status>unmodified</status>
      <modifiedWord/>
      <trackRevisions>false</trackRevisions>
    </reviewItem>
    <reviewItem>
      <errorID>918ea71d-7b4b-4c66-ad87-652860d6807c</errorID>
      <errorWord>变型</errorWord>
      <group>L1_Word</group>
      <groupName>字词问题</groupName>
      <ability>L2_Typo</ability>
      <abilityName>字词错误</abilityName>
      <candidateList>
        <item>变形</item>
      </candidateList>
      <explain>存在发音相同字词的误用。</explain>
      <paraID>3F8CCA2E</paraID>
      <start>16</start>
      <end>18</end>
      <status>modified</status>
      <modifiedWord>变形</modifiedWord>
      <trackRevisions>false</trackRevisions>
    </reviewItem>
    <reviewItem>
      <errorID>62296e24-3fb7-423a-abfa-0ec50f746d95</errorID>
      <errorWord>码头面</errorWord>
      <group>L1_Word</group>
      <groupName>字词问题</groupName>
      <ability>L2_Typo</ability>
      <abilityName>字词错误</abilityName>
      <candidateList>
        <item>码头</item>
      </candidateList>
      <explain/>
      <paraID>1800DB50</paraID>
      <start>6</start>
      <end>8</end>
      <status>modified</status>
      <modifiedWord>码头</modifiedWord>
      <trackRevisions>false</trackRevisions>
    </reviewItem>
    <reviewItem>
      <errorID>9a424526-036a-4bfd-bc69-41ee7b195fd3</errorID>
      <errorWord>其它</errorWord>
      <group>L1_Word</group>
      <groupName>字词问题</groupName>
      <ability>L2_Alias</ability>
      <abilityName>也作/曾用词</abilityName>
      <candidateList>
        <item>其他</item>
      </candidateList>
      <explain>词汇[其它]为不规范表述或旧称，其规范书面表述为[其他]。</explain>
      <paraID>64323DF6</paraID>
      <start>9</start>
      <end>11</end>
      <status>modified</status>
      <modifiedWord>其他</modifiedWord>
      <trackRevisions>false</trackRevisions>
    </reviewItem>
    <reviewItem>
      <errorID>488b7678-1ee7-41f2-8cf2-546eaae4f2fa</errorID>
      <errorWord>操作失误码</errorWord>
      <group>L1_Word</group>
      <groupName>字词问题</groupName>
      <ability>L2_Typo</ability>
      <abilityName>字词错误</abilityName>
      <candidateList>
        <item>操作失误</item>
      </candidateList>
      <explain/>
      <paraID>4E27EB50</paraID>
      <start>12</start>
      <end>16</end>
      <status>modified</status>
      <modifiedWord>操作失误</modifiedWord>
      <trackRevisions>false</trackRevisions>
    </reviewItem>
    <reviewItem>
      <errorID>b9801312-1285-41ca-82bf-59b97b2476ef</errorID>
      <errorWord>其它</errorWord>
      <group>L1_Word</group>
      <groupName>字词问题</groupName>
      <ability>L2_Alias</ability>
      <abilityName>也作/曾用词</abilityName>
      <candidateList>
        <item>其他</item>
      </candidateList>
      <explain>词汇[其它]为不规范表述或旧称，其规范书面表述为[其他]。</explain>
      <paraID>4E27EB50</paraID>
      <start>19</start>
      <end>21</end>
      <status>modified</status>
      <modifiedWord>其他</modifiedWord>
      <trackRevisions>false</trackRevisions>
    </reviewItem>
    <reviewItem>
      <errorID>907af6ef-2c9c-4a9e-95ae-0d626ad3c44a</errorID>
      <errorWord>況</errorWord>
      <group>L1_Word</group>
      <groupName>字词问题</groupName>
      <ability>L2_Fanti</ability>
      <abilityName>繁转简</abilityName>
      <candidateList>
        <item>况</item>
      </candidateList>
      <explain/>
      <paraID>5EAE6834</paraID>
      <start>22</start>
      <end>23</end>
      <status>unmodified</status>
      <modifiedWord/>
      <trackRevisions>false</trackRevisions>
    </reviewItem>
    <reviewItem>
      <errorID>21449328-8d19-4ab2-9705-23fa4bd05146</errorID>
      <errorWord>飘浮</errorWord>
      <group>L1_Word</group>
      <groupName>字词问题</groupName>
      <ability>L2_Typo</ability>
      <abilityName>字词错误</abilityName>
      <candidateList>
        <item>漂浮</item>
      </candidateList>
      <explain>❶〈动〉漂▲：水上～着几只小船◇离开了幼儿园，孩子们的笑容总是～在我的脑海里。❷〈形〉比喻工作、学习等不踏实，不深入：作风～。‖也作飘浮。</explain>
      <paraID>6F76E5FE</paraID>
      <start>72</start>
      <end>74</end>
      <status>unmodified</status>
      <modifiedWord/>
      <trackRevisions>false</trackRevisions>
    </reviewItem>
    <reviewItem>
      <errorID>7a7df8f7-fe89-460f-8e7d-20cd09e66f65</errorID>
      <errorWord>载</errorWord>
      <group>L1_Word</group>
      <groupName>字词问题</groupName>
      <ability>L2_Typo</ability>
      <abilityName>字词错误</abilityName>
      <candidateList>
        <item>在</item>
      </candidateList>
      <explain>❶〈动〉存在；生存：精神永～｜留得青山～，不怕没柴烧｜父母都～。❷〈动〉表示人或事物的位置：我今天晚上不～厂里｜你的钢笔～桌子上呢。❸〈动〉留在：～职｜～位。❹〈动〉参加（某团体）；属于（某团体）：～党｜～组织。❺〈动〉在于；决定于：事～人为｜学习好，主要～自己努力。❻“在”和“所”连用，表示强调，下面多连“不”：～所不辞｜～所不惜｜～所不计｜～所难免。</explain>
      <paraID>6F76E5FE</paraID>
      <start>133</start>
      <end>134</end>
      <status>unmodified</status>
      <modifiedWord/>
      <trackRevisions>false</trackRevisions>
    </reviewItem>
    <reviewItem>
      <errorID>6e1ca89d-121f-4d8d-97de-82c67a3a787a</errorID>
      <errorWord>一且</errorWord>
      <group>L1_Knowledge</group>
      <groupName>知识性问题</groupName>
      <ability>L2_Knowledge</ability>
      <abilityName>其他知识</abilityName>
      <candidateList>
        <item>一期</item>
      </candidateList>
      <explain/>
      <paraID>5CA034C1</paraID>
      <start>12</start>
      <end>14</end>
      <status>modified</status>
      <modifiedWord>一期</modifiedWord>
      <trackRevisions>false</trackRevisions>
    </reviewItem>
    <reviewItem>
      <errorID>005d8564-b628-4e6d-8454-da37f10b3ef0</errorID>
      <errorWord>造成次污染</errorWord>
      <group>L1_Word</group>
      <groupName>字词问题</groupName>
      <ability>L2_Typo</ability>
      <abilityName>字词错误</abilityName>
      <candidateList>
        <item>造成二次污染</item>
      </candidateList>
      <explain/>
      <paraID>71146FE9</paraID>
      <start>91</start>
      <end>97</end>
      <status>modified</status>
      <modifiedWord>造成二次污染</modifiedWord>
      <trackRevisions>false</trackRevisions>
    </reviewItem>
    <reviewItem>
      <errorID>cfd64538-53dd-48c3-92b5-400d4816b548</errorID>
      <errorWord>~</errorWord>
      <group>L1_Format</group>
      <groupName>格式问题</groupName>
      <ability>L2_HalfPunc</ability>
      <abilityName>全半角检查</abilityName>
      <candidateList>
        <item>～</item>
      </candidateList>
      <explain>文本全半角错误。</explain>
      <paraID>266E3563</paraID>
      <start>1</start>
      <end>2</end>
      <status>unmodified</status>
      <modifiedWord/>
      <trackRevisions>false</trackRevisions>
    </reviewItem>
    <reviewItem>
      <errorID>9e1457b5-ed0d-4666-998f-6f75efacd448</errorID>
      <errorWord>~</errorWord>
      <group>L1_Format</group>
      <groupName>格式问题</groupName>
      <ability>L2_HalfPunc</ability>
      <abilityName>全半角检查</abilityName>
      <candidateList>
        <item>～</item>
      </candidateList>
      <explain>文本全半角错误。</explain>
      <paraID>43FB4EBD</paraID>
      <start>1</start>
      <end>2</end>
      <status>unmodified</status>
      <modifiedWord/>
      <trackRevisions>false</trackRevisions>
    </reviewItem>
    <reviewItem>
      <errorID>24389b80-9914-4c96-9909-1d1ca708aaf7</errorID>
      <errorWord>~</errorWord>
      <group>L1_Format</group>
      <groupName>格式问题</groupName>
      <ability>L2_HalfPunc</ability>
      <abilityName>全半角检查</abilityName>
      <candidateList>
        <item>～</item>
      </candidateList>
      <explain>文本全半角错误。</explain>
      <paraID>  B28D5F</paraID>
      <start>1</start>
      <end>2</end>
      <status>unmodified</status>
      <modifiedWord/>
      <trackRevisions>false</trackRevisions>
    </reviewItem>
    <reviewItem>
      <errorID>90b36caa-c756-462f-aa51-e099891cd824</errorID>
      <errorWord>~</errorWord>
      <group>L1_Format</group>
      <groupName>格式问题</groupName>
      <ability>L2_HalfPunc</ability>
      <abilityName>全半角检查</abilityName>
      <candidateList>
        <item>～</item>
      </candidateList>
      <explain>文本全半角错误。</explain>
      <paraID>7C23918B</paraID>
      <start>1</start>
      <end>2</end>
      <status>unmodified</status>
      <modifiedWord/>
      <trackRevisions>false</trackRevisions>
    </reviewItem>
    <reviewItem>
      <errorID>bc831a99-ad92-4ca6-95d7-803d3e8f1f33</errorID>
      <errorWord>~</errorWord>
      <group>L1_Format</group>
      <groupName>格式问题</groupName>
      <ability>L2_HalfPunc</ability>
      <abilityName>全半角检查</abilityName>
      <candidateList>
        <item>～</item>
      </candidateList>
      <explain>文本全半角错误。</explain>
      <paraID>7ABE4C47</paraID>
      <start>1</start>
      <end>2</end>
      <status>unmodified</status>
      <modifiedWord/>
      <trackRevisions>false</trackRevisions>
    </reviewItem>
    <reviewItem>
      <errorID>538a176c-cbed-4cdb-a0a5-aafde86a6e14</errorID>
      <errorWord>~</errorWord>
      <group>L1_Format</group>
      <groupName>格式问题</groupName>
      <ability>L2_HalfPunc</ability>
      <abilityName>全半角检查</abilityName>
      <candidateList>
        <item>～</item>
      </candidateList>
      <explain>文本全半角错误。</explain>
      <paraID>7C8405E6</paraID>
      <start>1</start>
      <end>2</end>
      <status>unmodified</status>
      <modifiedWord/>
      <trackRevisions>false</trackRevisions>
    </reviewItem>
    <reviewItem>
      <errorID>084adec9-6f4c-4001-91c6-ef3f7a8e30eb</errorID>
      <errorWord>~</errorWord>
      <group>L1_Format</group>
      <groupName>格式问题</groupName>
      <ability>L2_HalfPunc</ability>
      <abilityName>全半角检查</abilityName>
      <candidateList>
        <item>～</item>
      </candidateList>
      <explain>文本全半角错误。</explain>
      <paraID>350E13E9</paraID>
      <start>1</start>
      <end>2</end>
      <status>unmodified</status>
      <modifiedWord/>
      <trackRevisions>false</trackRevisions>
    </reviewItem>
    <reviewItem>
      <errorID>9ea94bcf-6c8a-441b-a661-62c078cd2b3e</errorID>
      <errorWord>~</errorWord>
      <group>L1_Format</group>
      <groupName>格式问题</groupName>
      <ability>L2_HalfPunc</ability>
      <abilityName>全半角检查</abilityName>
      <candidateList>
        <item>～</item>
      </candidateList>
      <explain>文本全半角错误。</explain>
      <paraID>32100C84</paraID>
      <start>1</start>
      <end>2</end>
      <status>unmodified</status>
      <modifiedWord/>
      <trackRevisions>false</trackRevisions>
    </reviewItem>
    <reviewItem>
      <errorID>0e3c78e0-d99d-4dcc-892e-25d67ff69633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7E9F0DF8</paraID>
      <start>0</start>
      <end>2</end>
      <status>unmodified</status>
      <modifiedWord/>
      <trackRevisions>false</trackRevisions>
    </reviewItem>
    <reviewItem>
      <errorID>d7b1eb7e-96e4-4101-a164-674f69ac2326</errorID>
      <errorWord>约</errorWord>
      <group>L1_Word</group>
      <groupName>字词问题</groupName>
      <ability>L2_Typo</ability>
      <abilityName>字词错误</abilityName>
      <candidateList>
        <item>越</item>
      </candidateList>
      <explain>存在发音相同字词的误用。</explain>
      <paraID>51D7DBD4</paraID>
      <start>65</start>
      <end>66</end>
      <status>unmodified</status>
      <modifiedWord/>
      <trackRevisions>false</trackRevisions>
    </reviewItem>
    <reviewItem>
      <errorID>ff5d3436-9489-4274-96d2-4ae2c817b35e</errorID>
      <errorWord>重点浓度</errorWord>
      <group>L1_Word</group>
      <groupName>字词问题</groupName>
      <ability>L2_Typo</ability>
      <abilityName>字词错误</abilityName>
      <candidateList>
        <item>终点浓度</item>
      </candidateList>
      <explain/>
      <paraID>4CE09E2D</paraID>
      <start>3</start>
      <end>7</end>
      <status>unmodified</status>
      <modifiedWord/>
      <trackRevisions>false</trackRevisions>
    </reviewItem>
    <reviewItem>
      <errorID>4c80217c-5bc3-4006-9806-f492759ab77c</errorID>
      <errorWord>为</errorWord>
      <group>L1_Word</group>
      <groupName>字词问题</groupName>
      <ability>L2_Typo</ability>
      <abilityName>字词错误</abilityName>
      <candidateList>
        <item>的</item>
      </candidateList>
      <explain>存在字形相近字词的误用。</explain>
      <paraID>32E1E2D6</paraID>
      <start>37</start>
      <end>38</end>
      <status>unmodified</status>
      <modifiedWord/>
      <trackRevisions>false</trackRevisions>
    </reviewItem>
    <reviewItem>
      <errorID>73bcb169-1014-4927-95bb-50ab9fd0926b</errorID>
      <errorWord>后可</errorWord>
      <group>L1_Word</group>
      <groupName>字词问题</groupName>
      <ability>L2_Typo</ability>
      <abilityName>字词错误</abilityName>
      <candidateList>
        <item>后</item>
      </candidateList>
      <explain>❶君主的妻子：皇～｜～妃。❷古代称君主：商之先～。❸（Hòu）〈名〉姓。</explain>
      <paraID>6F6C2475</paraID>
      <start>2</start>
      <end>4</end>
      <status>unmodified</status>
      <modifiedWord/>
      <trackRevisions>false</trackRevisions>
    </reviewItem>
    <reviewItem>
      <errorID>8aaad537-a13d-4201-8ba3-ff610fdb7aa6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78B68E1</paraID>
      <start>0</start>
      <end>2</end>
      <status>unmodified</status>
      <modifiedWord/>
      <trackRevisions>false</trackRevisions>
    </reviewItem>
    <reviewItem>
      <errorID>7ae55fe8-d5fc-45fd-b03e-b175f2a99708</errorID>
      <errorWord>、、</errorWord>
      <group>L1_Punc</group>
      <groupName>标点问题</groupName>
      <ability>L2_Punc</ability>
      <abilityName>标点符号检查</abilityName>
      <candidateList>
        <item>、</item>
      </candidateList>
      <explain/>
      <paraID> EB07ED8</paraID>
      <start>28</start>
      <end>30</end>
      <status>unmodified</status>
      <modifiedWord/>
      <trackRevisions>false</trackRevisions>
    </reviewItem>
    <reviewItem>
      <errorID>ff11d620-1ffb-4160-a4a5-0b8aabd11b62</errorID>
      <errorWord>泄露</errorWord>
      <group>L1_Word</group>
      <groupName>字词问题</groupName>
      <ability>L2_Typo</ability>
      <abilityName>字词错误</abilityName>
      <candidateList>
        <item>泄漏</item>
      </candidateList>
      <explain>存在发音相同字词的误用。</explain>
      <paraID> EB07ED8</paraID>
      <start>72</start>
      <end>74</end>
      <status>modified</status>
      <modifiedWord>泄漏</modifiedWord>
      <trackRevisions>false</trackRevisions>
    </reviewItem>
    <reviewItem>
      <errorID>63e09b57-c60b-4f2e-8b3d-24bd96785d2a</errorID>
      <errorWord>泄露</errorWord>
      <group>L1_Word</group>
      <groupName>字词问题</groupName>
      <ability>L2_Typo</ability>
      <abilityName>字词错误</abilityName>
      <candidateList>
        <item>泄漏</item>
      </candidateList>
      <explain>存在发音相同字词的误用。</explain>
      <paraID> EB07ED8</paraID>
      <start>90</start>
      <end>92</end>
      <status>modified</status>
      <modifiedWord>泄漏</modifiedWord>
      <trackRevisions>false</trackRevisions>
    </reviewItem>
    <reviewItem>
      <errorID>81218745-3fda-4a96-a67c-b6e720948b46</errorID>
      <errorWord>泄露</errorWord>
      <group>L1_Word</group>
      <groupName>字词问题</groupName>
      <ability>L2_Typo</ability>
      <abilityName>字词错误</abilityName>
      <candidateList>
        <item>泄漏</item>
      </candidateList>
      <explain>存在发音相同字词的误用。</explain>
      <paraID> EB07ED8</paraID>
      <start>102</start>
      <end>104</end>
      <status>modified</status>
      <modifiedWord>泄漏</modifiedWord>
      <trackRevisions>false</trackRevisions>
    </reviewItem>
    <reviewItem>
      <errorID>a4a3ff2a-cd64-4ae8-9224-24725ca93577</errorID>
      <errorWord>]0</errorWord>
      <group>L1_Punc</group>
      <groupName>标点问题</groupName>
      <ability>L2_Punc</ability>
      <abilityName>标点符号检查</abilityName>
      <candidateList>
        <item>〕0</item>
      </candidateList>
      <explain/>
      <paraID>5F20F9B6</paraID>
      <start>19</start>
      <end>21</end>
      <status>unmodified</status>
      <modifiedWord/>
      <trackRevisions>false</trackRevisions>
    </reviewItem>
    <reviewItem>
      <errorID>26e8ba06-e8a2-4a51-9b6c-142d4e1d0ff0</errorID>
      <errorWord>)</errorWord>
      <group>L1_Format</group>
      <groupName>格式问题</groupName>
      <ability>L2_HalfPunc</ability>
      <abilityName>全半角检查</abilityName>
      <candidateList>
        <item>）</item>
      </candidateList>
      <explain>文本全半角错误。</explain>
      <paraID>2C117BC9</paraID>
      <start>21</start>
      <end>22</end>
      <status>unmodified</status>
      <modifiedWord/>
      <trackRevisions>false</trackRevisions>
    </reviewItem>
    <reviewItem>
      <errorID>fd7c3937-1655-4fa1-856d-d4191ddb3413</errorID>
      <errorWord>)</errorWord>
      <group>L1_Format</group>
      <groupName>格式问题</groupName>
      <ability>L2_HalfPunc</ability>
      <abilityName>全半角检查</abilityName>
      <candidateList>
        <item>）</item>
      </candidateList>
      <explain>文本全半角错误。</explain>
      <paraID> E215B93</paraID>
      <start>21</start>
      <end>22</end>
      <status>unmodified</status>
      <modifiedWord/>
      <trackRevisions>false</trackRevisions>
    </reviewItem>
    <reviewItem>
      <errorID>101a447b-3f58-4eb7-a43c-b1a919f4764f</errorID>
      <errorWord>液体汽化</errorWord>
      <group>L1_Word</group>
      <groupName>字词问题</groupName>
      <ability>L2_Typo</ability>
      <abilityName>字词错误</abilityName>
      <candidateList>
        <item>液体气化</item>
      </candidateList>
      <explain/>
      <paraID>3283B3F6</paraID>
      <start>2</start>
      <end>6</end>
      <status>unmodified</status>
      <modifiedWord/>
      <trackRevisions>false</trackRevisions>
    </reviewItem>
    <reviewItem>
      <errorID>53cbfcef-e61e-4534-92d7-8f31e1ed8355</errorID>
      <errorWord>)</errorWord>
      <group>L1_Format</group>
      <groupName>格式问题</groupName>
      <ability>L2_HalfPunc</ability>
      <abilityName>全半角检查</abilityName>
      <candidateList>
        <item>）</item>
      </candidateList>
      <explain>文本全半角错误。</explain>
      <paraID>680B4F0F</paraID>
      <start>20</start>
      <end>21</end>
      <status>unmodified</status>
      <modifiedWord/>
      <trackRevisions>false</trackRevisions>
    </reviewItem>
    <reviewItem>
      <errorID>a4002e08-4489-4848-9792-e2eb416a55f6</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3255A065</paraID>
      <start>0</start>
      <end>2</end>
      <status>unmodified</status>
      <modifiedWord/>
      <trackRevisions>false</trackRevisions>
    </reviewItem>
    <reviewItem>
      <errorID>a4bfc728-2733-41f5-9aaf-c073c7c089be</errorID>
      <errorWord>①、</errorWord>
      <group>L1_Format</group>
      <groupName>格式问题</groupName>
      <ability>L2_Ordinal</ability>
      <abilityName>序号格式</abilityName>
      <candidateList>
        <item>①</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5111D5ED</paraID>
      <start>14</start>
      <end>16</end>
      <status>unmodified</status>
      <modifiedWord/>
      <trackRevisions>false</trackRevisions>
    </reviewItem>
    <reviewItem>
      <errorID>3f989024-43d0-4001-9e12-d8589bc2be30</errorID>
      <errorWord>②、</errorWord>
      <group>L1_Format</group>
      <groupName>格式问题</groupName>
      <ability>L2_Ordinal</ability>
      <abilityName>序号格式</abilityName>
      <candidateList>
        <item>②</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2F280EDE</paraID>
      <start>14</start>
      <end>16</end>
      <status>unmodified</status>
      <modifiedWord/>
      <trackRevisions>false</trackRevisions>
    </reviewItem>
    <reviewItem>
      <errorID>35e70609-723a-4437-af75-e2dce15065d3</errorID>
      <errorWord>计</errorWord>
      <group>L1_Word</group>
      <groupName>字词问题</groupName>
      <ability>L2_Typo</ability>
      <abilityName>字词错误</abilityName>
      <candidateList>
        <item>计算</item>
      </candidateList>
      <explain/>
      <paraID>6427CBEA</paraID>
      <start>15</start>
      <end>16</end>
      <status>unmodified</status>
      <modifiedWord/>
      <trackRevisions>false</trackRevisions>
    </reviewItem>
    <reviewItem>
      <errorID>8e420af6-35a5-4e46-8d58-5b9d20884fc1</errorID>
      <errorWord>水域内</errorWord>
      <group>L1_Word</group>
      <groupName>字词问题</groupName>
      <ability>L2_Typo</ability>
      <abilityName>字词错误</abilityName>
      <candidateList>
        <item>水域</item>
      </candidateList>
      <explain/>
      <paraID> F75663F</paraID>
      <start>140</start>
      <end>143</end>
      <status>unmodified</status>
      <modifiedWord/>
      <trackRevisions>false</trackRevisions>
    </reviewItem>
    <reviewItem>
      <errorID>4a6fd8d3-7de0-4191-97de-8636d16be796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20531A5</paraID>
      <start>0</start>
      <end>2</end>
      <status>unmodified</status>
      <modifiedWord/>
      <trackRevisions>false</trackRevisions>
    </reviewItem>
    <reviewItem>
      <errorID>c03e9934-d963-4036-8ebd-3d0f6213c998</errorID>
      <errorWord>30%~50%</errorWord>
      <group>L1_Knowledge</group>
      <groupName>知识性问题</groupName>
      <ability>L2_Knowledge</ability>
      <abilityName>其他知识</abilityName>
      <candidateList>
        <item>30%～50%</item>
      </candidateList>
      <explain>1. “30%~50%”中的单位“%”仅出现在后一个数字上，容易引起歧义；根据《现代汉语标点符号数字用法规范手册》，数字表示范围两边需要使用统一的格式。2. 根据标点国标 4.13 中的规则，数字、时间或地域连接符应使用（视觉上更长的）“—”或“～”。</explain>
      <paraID>65ECE389</paraID>
      <start>106</start>
      <end>113</end>
      <status>unmodified</status>
      <modifiedWord/>
      <trackRevisions>false</trackRevisions>
    </reviewItem>
    <reviewItem>
      <errorID>70d37694-21ef-4842-9307-979663b7655d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72F733A0</paraID>
      <start>0</start>
      <end>2</end>
      <status>unmodified</status>
      <modifiedWord/>
      <trackRevisions>false</trackRevisions>
    </reviewItem>
    <reviewItem>
      <errorID>f49ab28d-d729-4afc-beca-312c3db6c8a5</errorID>
      <errorWord>（</errorWord>
      <group>L1_Format</group>
      <groupName>格式问题</groupName>
      <ability>L2_HalfPunc</ability>
      <abilityName>全半角检查</abilityName>
      <candidateList>
        <item>(</item>
      </candidateList>
      <explain>文本全半角错误。</explain>
      <paraID>334235FB</paraID>
      <start>0</start>
      <end>1</end>
      <status>unmodified</status>
      <modifiedWord/>
      <trackRevisions>false</trackRevisions>
    </reviewItem>
    <reviewItem>
      <errorID>1ddaed50-cd50-46e3-b3ff-3a8c0db6de43</errorID>
      <errorWord>）</errorWord>
      <group>L1_Format</group>
      <groupName>格式问题</groupName>
      <ability>L2_HalfPunc</ability>
      <abilityName>全半角检查</abilityName>
      <candidateList>
        <item>)</item>
      </candidateList>
      <explain>文本全半角错误。</explain>
      <paraID>334235FB</paraID>
      <start>2</start>
      <end>3</end>
      <status>unmodified</status>
      <modifiedWord/>
      <trackRevisions>false</trackRevisions>
    </reviewItem>
    <reviewItem>
      <errorID>14c41857-4295-4e40-ade5-3a70bd154520</errorID>
      <errorWord>x、</errorWord>
      <group>L1_Format</group>
      <groupName>格式问题</groupName>
      <ability>L2_Ordinal</ability>
      <abilityName>序号格式</abilityName>
      <candidateList>
        <item>x.</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28826794</paraID>
      <start>0</start>
      <end>2</end>
      <status>unmodified</status>
      <modifiedWord/>
      <trackRevisions>false</trackRevisions>
    </reviewItem>
    <reviewItem>
      <errorID>0b649728-c241-4716-8ed5-5d8c5cf5b165</errorID>
      <errorWord>（</errorWord>
      <group>L1_Format</group>
      <groupName>格式问题</groupName>
      <ability>L2_HalfPunc</ability>
      <abilityName>全半角检查</abilityName>
      <candidateList>
        <item>(</item>
      </candidateList>
      <explain>文本全半角错误。</explain>
      <paraID>4BCDD3FE</paraID>
      <start>0</start>
      <end>1</end>
      <status>unmodified</status>
      <modifiedWord/>
      <trackRevisions>false</trackRevisions>
    </reviewItem>
    <reviewItem>
      <errorID>185990b0-2401-4708-a1d1-dbcaa63cdf84</errorID>
      <errorWord>）</errorWord>
      <group>L1_Format</group>
      <groupName>格式问题</groupName>
      <ability>L2_HalfPunc</ability>
      <abilityName>全半角检查</abilityName>
      <candidateList>
        <item>)</item>
      </candidateList>
      <explain>文本全半角错误。</explain>
      <paraID>4BCDD3FE</paraID>
      <start>2</start>
      <end>3</end>
      <status>unmodified</status>
      <modifiedWord/>
      <trackRevisions>false</trackRevisions>
    </reviewItem>
    <reviewItem>
      <errorID>55e8b79f-4dae-4704-ab47-7da3fb411630</errorID>
      <errorWord>（</errorWord>
      <group>L1_Format</group>
      <groupName>格式问题</groupName>
      <ability>L2_HalfPunc</ability>
      <abilityName>全半角检查</abilityName>
      <candidateList>
        <item>(</item>
      </candidateList>
      <explain>文本全半角错误。</explain>
      <paraID>16869D58</paraID>
      <start>0</start>
      <end>1</end>
      <status>unmodified</status>
      <modifiedWord/>
      <trackRevisions>false</trackRevisions>
    </reviewItem>
    <reviewItem>
      <errorID>037f2cda-c95d-4dfe-b66b-a7c0d5642ca7</errorID>
      <errorWord>）</errorWord>
      <group>L1_Format</group>
      <groupName>格式问题</groupName>
      <ability>L2_HalfPunc</ability>
      <abilityName>全半角检查</abilityName>
      <candidateList>
        <item>)</item>
      </candidateList>
      <explain>文本全半角错误。</explain>
      <paraID>16869D58</paraID>
      <start>2</start>
      <end>3</end>
      <status>unmodified</status>
      <modifiedWord/>
      <trackRevisions>false</trackRevisions>
    </reviewItem>
    <reviewItem>
      <errorID>772f37a3-0914-4239-b42f-9212e67fb8bd</errorID>
      <errorWord>-</errorWord>
      <group>L1_Format</group>
      <groupName>格式问题</groupName>
      <ability>L2_HalfPunc</ability>
      <abilityName>全半角检查</abilityName>
      <candidateList>
        <item>－</item>
      </candidateList>
      <explain>文本全半角错误。</explain>
      <paraID>43BBDFED</paraID>
      <start>4</start>
      <end>5</end>
      <status>unmodified</status>
      <modifiedWord/>
      <trackRevisions>false</trackRevisions>
    </reviewItem>
    <reviewItem>
      <errorID>0747fbd8-c1bd-4c6d-b9af-edaa6d38ff0b</errorID>
      <errorWord>（</errorWord>
      <group>L1_Format</group>
      <groupName>格式问题</groupName>
      <ability>L2_HalfPunc</ability>
      <abilityName>全半角检查</abilityName>
      <candidateList>
        <item>(</item>
      </candidateList>
      <explain>文本全半角错误。</explain>
      <paraID> 16E2BB1</paraID>
      <start>0</start>
      <end>1</end>
      <status>unmodified</status>
      <modifiedWord/>
      <trackRevisions>false</trackRevisions>
    </reviewItem>
    <reviewItem>
      <errorID>3a6033ba-ae7d-4c0c-b8f8-5d1ac16251bf</errorID>
      <errorWord>）</errorWord>
      <group>L1_Format</group>
      <groupName>格式问题</groupName>
      <ability>L2_HalfPunc</ability>
      <abilityName>全半角检查</abilityName>
      <candidateList>
        <item>)</item>
      </candidateList>
      <explain>文本全半角错误。</explain>
      <paraID> 16E2BB1</paraID>
      <start>2</start>
      <end>3</end>
      <status>unmodified</status>
      <modifiedWord/>
      <trackRevisions>false</trackRevisions>
    </reviewItem>
    <reviewItem>
      <errorID>860a4908-bcb7-464d-8802-5ce547bc49c2</errorID>
      <errorWord>（</errorWord>
      <group>L1_Format</group>
      <groupName>格式问题</groupName>
      <ability>L2_HalfPunc</ability>
      <abilityName>全半角检查</abilityName>
      <candidateList>
        <item>(</item>
      </candidateList>
      <explain>文本全半角错误。</explain>
      <paraID> 649E39C</paraID>
      <start>0</start>
      <end>1</end>
      <status>unmodified</status>
      <modifiedWord/>
      <trackRevisions>false</trackRevisions>
    </reviewItem>
    <reviewItem>
      <errorID>b14f10a6-374f-4367-b60b-cac94f0e0ae3</errorID>
      <errorWord>）</errorWord>
      <group>L1_Format</group>
      <groupName>格式问题</groupName>
      <ability>L2_HalfPunc</ability>
      <abilityName>全半角检查</abilityName>
      <candidateList>
        <item>)</item>
      </candidateList>
      <explain>文本全半角错误。</explain>
      <paraID> 649E39C</paraID>
      <start>2</start>
      <end>3</end>
      <status>unmodified</status>
      <modifiedWord/>
      <trackRevisions>false</trackRevisions>
    </reviewItem>
    <reviewItem>
      <errorID>d903422c-32aa-4bd9-bd81-2820e3927199</errorID>
      <errorWord>-</errorWord>
      <group>L1_Format</group>
      <groupName>格式问题</groupName>
      <ability>L2_HalfPunc</ability>
      <abilityName>全半角检查</abilityName>
      <candidateList>
        <item>－</item>
      </candidateList>
      <explain>文本全半角错误。</explain>
      <paraID>2C60E259</paraID>
      <start>5</start>
      <end>6</end>
      <status>unmodified</status>
      <modifiedWord/>
      <trackRevisions>false</trackRevisions>
    </reviewItem>
    <reviewItem>
      <errorID>7c5a4386-7d1f-4c82-90dd-927a15d228e1</errorID>
      <errorWord>-</errorWord>
      <group>L1_Format</group>
      <groupName>格式问题</groupName>
      <ability>L2_HalfPunc</ability>
      <abilityName>全半角检查</abilityName>
      <candidateList>
        <item>－</item>
      </candidateList>
      <explain>文本全半角错误。</explain>
      <paraID>2C60E259</paraID>
      <start>15</start>
      <end>16</end>
      <status>unmodified</status>
      <modifiedWord/>
      <trackRevisions>false</trackRevisions>
    </reviewItem>
    <reviewItem>
      <errorID>f96a869b-b45c-4404-aaa8-7cb75c79c041</errorID>
      <errorWord>（</errorWord>
      <group>L1_Format</group>
      <groupName>格式问题</groupName>
      <ability>L2_HalfPunc</ability>
      <abilityName>全半角检查</abilityName>
      <candidateList>
        <item>(</item>
      </candidateList>
      <explain>文本全半角错误。</explain>
      <paraID>5EB39198</paraID>
      <start>0</start>
      <end>1</end>
      <status>unmodified</status>
      <modifiedWord/>
      <trackRevisions>false</trackRevisions>
    </reviewItem>
    <reviewItem>
      <errorID>a123d62f-39b5-4aa1-aa71-2ca172cb6aa1</errorID>
      <errorWord>）</errorWord>
      <group>L1_Format</group>
      <groupName>格式问题</groupName>
      <ability>L2_HalfPunc</ability>
      <abilityName>全半角检查</abilityName>
      <candidateList>
        <item>)</item>
      </candidateList>
      <explain>文本全半角错误。</explain>
      <paraID>5EB39198</paraID>
      <start>2</start>
      <end>3</end>
      <status>unmodified</status>
      <modifiedWord/>
      <trackRevisions>false</trackRevisions>
    </reviewItem>
    <reviewItem>
      <errorID>988b9ac9-fdfa-4dc8-8fe5-996bd4dcd028</errorID>
      <errorWord>（</errorWord>
      <group>L1_Format</group>
      <groupName>格式问题</groupName>
      <ability>L2_HalfPunc</ability>
      <abilityName>全半角检查</abilityName>
      <candidateList>
        <item>(</item>
      </candidateList>
      <explain>文本全半角错误。</explain>
      <paraID>21AAFC84</paraID>
      <start>0</start>
      <end>1</end>
      <status>unmodified</status>
      <modifiedWord/>
      <trackRevisions>false</trackRevisions>
    </reviewItem>
    <reviewItem>
      <errorID>d0e2dfd6-252a-4269-a4b9-484d912bb437</errorID>
      <errorWord>）</errorWord>
      <group>L1_Format</group>
      <groupName>格式问题</groupName>
      <ability>L2_HalfPunc</ability>
      <abilityName>全半角检查</abilityName>
      <candidateList>
        <item>)</item>
      </candidateList>
      <explain>文本全半角错误。</explain>
      <paraID>21AAFC84</paraID>
      <start>2</start>
      <end>3</end>
      <status>unmodified</status>
      <modifiedWord/>
      <trackRevisions>false</trackRevisions>
    </reviewItem>
    <reviewItem>
      <errorID>6c2c3746-16df-4f09-a901-5c30005ad09a</errorID>
      <errorWord>外海开</errorWord>
      <group>L1_Word</group>
      <groupName>字词问题</groupName>
      <ability>L2_Typo</ability>
      <abilityName>字词错误</abilityName>
      <candidateList>
        <item>外海</item>
      </candidateList>
      <explain/>
      <paraID>76FE908B</paraID>
      <start>43</start>
      <end>46</end>
      <status>unmodified</status>
      <modifiedWord/>
      <trackRevisions>false</trackRevisions>
    </reviewItem>
    <reviewItem>
      <errorID>358da304-61fc-4baf-863f-c0e1c5895097</errorID>
      <errorWord>)</errorWord>
      <group>L1_Format</group>
      <groupName>格式问题</groupName>
      <ability>L2_HalfPunc</ability>
      <abilityName>全半角检查</abilityName>
      <candidateList>
        <item>）</item>
      </candidateList>
      <explain>文本全半角错误。</explain>
      <paraID>76FE908B</paraID>
      <start>138</start>
      <end>139</end>
      <status>unmodified</status>
      <modifiedWord/>
      <trackRevisions>false</trackRevisions>
    </reviewItem>
    <reviewItem>
      <errorID>50cb3d78-30e9-486b-b33c-1f3fb0270105</errorID>
      <errorWord>)</errorWord>
      <group>L1_Format</group>
      <groupName>格式问题</groupName>
      <ability>L2_HalfPunc</ability>
      <abilityName>全半角检查</abilityName>
      <candidateList>
        <item>）</item>
      </candidateList>
      <explain>文本全半角错误。</explain>
      <paraID>76FE908B</paraID>
      <start>169</start>
      <end>170</end>
      <status>unmodified</status>
      <modifiedWord/>
      <trackRevisions>false</trackRevisions>
    </reviewItem>
    <reviewItem>
      <errorID>b006f7eb-0cd5-49fd-aeeb-90fdd70bd97b</errorID>
      <errorWord>日本、台湾</errorWord>
      <group>L1_Political</group>
      <groupName>政治性问题</groupName>
      <ability>L2_Unpolitical</ability>
      <abilityName>政治敏感错误</abilityName>
      <candidateList/>
      <explain/>
      <paraID>76FE908B</paraID>
      <start>489</start>
      <end>494</end>
      <status>unmodified</status>
      <modifiedWord/>
      <trackRevisions>false</trackRevisions>
    </reviewItem>
    <reviewItem>
      <errorID>e48d7c4c-edbb-4539-a07d-e0eb57a45950</errorID>
      <errorWord>福建</errorWord>
      <group>L1_Political</group>
      <groupName>政治性问题</groupName>
      <ability>L2_Unpolitical</ability>
      <abilityName>政治敏感错误</abilityName>
      <candidateList/>
      <explain>省级行政单位不能与国家并列。</explain>
      <paraID>76FE908B</paraID>
      <start>495</start>
      <end>497</end>
      <status>unmodified</status>
      <modifiedWord/>
      <trackRevisions>false</trackRevisions>
    </reviewItem>
    <reviewItem>
      <errorID>a2dba48a-c5d4-4c33-abe4-3a2d542bfa00</errorID>
      <errorWord>包括了</errorWord>
      <group>L1_Word</group>
      <groupName>字词问题</groupName>
      <ability>L2_Typo</ability>
      <abilityName>字词错误</abilityName>
      <candidateList>
        <item>包括</item>
      </candidateList>
      <explain/>
      <paraID>28D68086</paraID>
      <start>51</start>
      <end>54</end>
      <status>unmodified</status>
      <modifiedWord/>
      <trackRevisions>false</trackRevisions>
    </reviewItem>
    <reviewItem>
      <errorID>33ee7c7c-febe-4c4d-a0b5-0a2a6b6a2907</errorID>
      <errorWord>(</errorWord>
      <group>L1_Format</group>
      <groupName>格式问题</groupName>
      <ability>L2_HalfPunc</ability>
      <abilityName>全半角检查</abilityName>
      <candidateList>
        <item>（</item>
      </candidateList>
      <explain>文本全半角错误。</explain>
      <paraID>3FD64CD5</paraID>
      <start>30</start>
      <end>31</end>
      <status>unmodified</status>
      <modifiedWord/>
      <trackRevisions>false</trackRevisions>
    </reviewItem>
    <reviewItem>
      <errorID>bfc709af-9045-4835-b3aa-bc93335a754e</errorID>
      <errorWord>)</errorWord>
      <group>L1_Format</group>
      <groupName>格式问题</groupName>
      <ability>L2_HalfPunc</ability>
      <abilityName>全半角检查</abilityName>
      <candidateList>
        <item>）</item>
      </candidateList>
      <explain>文本全半角错误。</explain>
      <paraID>3FD64CD5</paraID>
      <start>35</start>
      <end>36</end>
      <status>unmodified</status>
      <modifiedWord/>
      <trackRevisions>false</trackRevisions>
    </reviewItem>
    <reviewItem>
      <errorID>d72cd7b3-fa15-4b86-a158-13efc70d459f</errorID>
      <errorWord>~</errorWord>
      <group>L1_Format</group>
      <groupName>格式问题</groupName>
      <ability>L2_HalfPunc</ability>
      <abilityName>全半角检查</abilityName>
      <candidateList>
        <item>～</item>
      </candidateList>
      <explain>文本全半角错误。</explain>
      <paraID>2BFB48BD</paraID>
      <start>77</start>
      <end>78</end>
      <status>unmodified</status>
      <modifiedWord/>
      <trackRevisions>false</trackRevisions>
    </reviewItem>
    <reviewItem>
      <errorID>81e458cb-04bf-4b5a-8207-cb464da170ce</errorID>
      <errorWord>，</errorWord>
      <group>L1_Word</group>
      <groupName>字词问题</groupName>
      <ability>L2_Typo</ability>
      <abilityName>字词错误</abilityName>
      <candidateList>
        <item>，对</item>
      </candidateList>
      <explain/>
      <paraID>7BFECBA1</paraID>
      <start>178</start>
      <end>179</end>
      <status>unmodified</status>
      <modifiedWord/>
      <trackRevisions>false</trackRevisions>
    </reviewItem>
    <reviewItem>
      <errorID>08ec6a27-829e-407c-9a8f-1f02de4f3e53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7BFECBA1</paraID>
      <start>217</start>
      <end>218</end>
      <status>unmodified</status>
      <modifiedWord/>
      <trackRevisions>false</trackRevisions>
    </reviewItem>
    <reviewItem>
      <errorID>553c4bc0-a53b-4a90-93fd-7c46438e1c36</errorID>
      <errorWord>潮位开</errorWord>
      <group>L1_Word</group>
      <groupName>字词问题</groupName>
      <ability>L2_Typo</ability>
      <abilityName>字词错误</abilityName>
      <candidateList>
        <item>潮位</item>
      </candidateList>
      <explain/>
      <paraID>3CA0D079</paraID>
      <start>98</start>
      <end>101</end>
      <status>unmodified</status>
      <modifiedWord/>
      <trackRevisions>false</trackRevisions>
    </reviewItem>
    <reviewItem>
      <errorID>a0ae7066-ec77-41ca-950b-a7b47cc4c80a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3CA0D079</paraID>
      <start>323</start>
      <end>324</end>
      <status>unmodified</status>
      <modifiedWord/>
      <trackRevisions>false</trackRevisions>
    </reviewItem>
    <reviewItem>
      <errorID>f0132f14-d01f-4c9b-ab59-d58f6b5cd17d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7C4563E1</paraID>
      <start>62</start>
      <end>63</end>
      <status>unmodified</status>
      <modifiedWord/>
      <trackRevisions>false</trackRevisions>
    </reviewItem>
    <reviewItem>
      <errorID>055e8ce5-b254-4c85-ba29-6de8425c56f6</errorID>
      <errorWord>~</errorWord>
      <group>L1_Format</group>
      <groupName>格式问题</groupName>
      <ability>L2_HalfPunc</ability>
      <abilityName>全半角检查</abilityName>
      <candidateList>
        <item>～</item>
      </candidateList>
      <explain>文本全半角错误。</explain>
      <paraID>2A734332</paraID>
      <start>5</start>
      <end>6</end>
      <status>unmodified</status>
      <modifiedWord/>
      <trackRevisions>false</trackRevisions>
    </reviewItem>
    <reviewItem>
      <errorID>49d12c0d-c664-4347-82b5-d781526847fb</errorID>
      <errorWord>导致了</errorWord>
      <group>L1_Word</group>
      <groupName>字词问题</groupName>
      <ability>L2_Typo</ability>
      <abilityName>字词错误</abilityName>
      <candidateList>
        <item>导致</item>
      </candidateList>
      <explain>〈动〉引起：由一些小的矛盾～双方关系破裂。</explain>
      <paraID>2A734332</paraID>
      <start>162</start>
      <end>165</end>
      <status>unmodified</status>
      <modifiedWord/>
      <trackRevisions>false</trackRevisions>
    </reviewItem>
    <reviewItem>
      <errorID>0d97917f-0508-46d5-9ca8-fba823e1bd07</errorID>
      <errorWord>(</errorWord>
      <group>L1_Format</group>
      <groupName>格式问题</groupName>
      <ability>L2_HalfPunc</ability>
      <abilityName>全半角检查</abilityName>
      <candidateList>
        <item>（</item>
      </candidateList>
      <explain>文本全半角错误。</explain>
      <paraID>2A734332</paraID>
      <start>212</start>
      <end>213</end>
      <status>unmodified</status>
      <modifiedWord/>
      <trackRevisions>false</trackRevisions>
    </reviewItem>
    <reviewItem>
      <errorID>4871bc92-fa5e-4116-bee9-cbb8f35a6c6d</errorID>
      <errorWord>)</errorWord>
      <group>L1_Format</group>
      <groupName>格式问题</groupName>
      <ability>L2_HalfPunc</ability>
      <abilityName>全半角检查</abilityName>
      <candidateList>
        <item>）</item>
      </candidateList>
      <explain>文本全半角错误。</explain>
      <paraID>2A734332</paraID>
      <start>229</start>
      <end>230</end>
      <status>unmodified</status>
      <modifiedWord/>
      <trackRevisions>false</trackRevisions>
    </reviewItem>
    <reviewItem>
      <errorID>7f8dd728-bf14-403c-9310-23f6ba0cb9bc</errorID>
      <errorWord>~</errorWord>
      <group>L1_Format</group>
      <groupName>格式问题</groupName>
      <ability>L2_HalfPunc</ability>
      <abilityName>全半角检查</abilityName>
      <candidateList>
        <item>～</item>
      </candidateList>
      <explain>文本全半角错误。</explain>
      <paraID>5593875B</paraID>
      <start>9</start>
      <end>10</end>
      <status>unmodified</status>
      <modifiedWord/>
      <trackRevisions>false</trackRevisions>
    </reviewItem>
    <reviewItem>
      <errorID>61473886-a29b-4445-9b4f-a23196c4923d</errorID>
      <errorWord>~</errorWord>
      <group>L1_Format</group>
      <groupName>格式问题</groupName>
      <ability>L2_HalfPunc</ability>
      <abilityName>全半角检查</abilityName>
      <candidateList>
        <item>～</item>
      </candidateList>
      <explain>文本全半角错误。</explain>
      <paraID>5593875B</paraID>
      <start>66</start>
      <end>67</end>
      <status>unmodified</status>
      <modifiedWord/>
      <trackRevisions>false</trackRevisions>
    </reviewItem>
    <reviewItem>
      <errorID>3db073ce-b57d-4c9e-b25b-2458cbc24923</errorID>
      <errorWord>-</errorWord>
      <group>L1_Format</group>
      <groupName>格式问题</groupName>
      <ability>L2_HalfPunc</ability>
      <abilityName>全半角检查</abilityName>
      <candidateList>
        <item>－</item>
      </candidateList>
      <explain>文本全半角错误。</explain>
      <paraID>5593875B</paraID>
      <start>339</start>
      <end>340</end>
      <status>unmodified</status>
      <modifiedWord/>
      <trackRevisions>false</trackRevisions>
    </reviewItem>
    <reviewItem>
      <errorID>cebf9529-685b-4782-b355-7edc0253bfe7</errorID>
      <errorWord>泄露</errorWord>
      <group>L1_Word</group>
      <groupName>字词问题</groupName>
      <ability>L2_Typo</ability>
      <abilityName>字词错误</abilityName>
      <candidateList>
        <item>泄漏</item>
      </candidateList>
      <explain>存在发音相同字词的误用。</explain>
      <paraID>1A8DCC94</paraID>
      <start>13</start>
      <end>15</end>
      <status>modified</status>
      <modifiedWord>泄漏</modifiedWord>
      <trackRevisions>false</trackRevisions>
    </reviewItem>
    <reviewItem>
      <errorID>005f9265-a8d5-4c3b-8593-0875e712b1d2</errorID>
      <errorWord>水域内</errorWord>
      <group>L1_Word</group>
      <groupName>字词问题</groupName>
      <ability>L2_Typo</ability>
      <abilityName>字词错误</abilityName>
      <candidateList>
        <item>水域</item>
      </candidateList>
      <explain/>
      <paraID>6CAFFD56</paraID>
      <start>46</start>
      <end>49</end>
      <status>unmodified</status>
      <modifiedWord/>
      <trackRevisions>false</trackRevisions>
    </reviewItem>
    <reviewItem>
      <errorID>68acbb83-4de9-4d36-b73d-5e2f30a711f9</errorID>
      <errorWord>3成</errorWord>
      <group>L1_Knowledge</group>
      <groupName>知识性问题</groupName>
      <ability>L2_Knowledge</ability>
      <abilityName>其他知识</abilityName>
      <candidateList>
        <item>三成</item>
      </candidateList>
      <explain>根据《现代汉语标点符号数字用法规范手册》，中文表示比例，建议使用中文数字。如“3成”改为“三成”。</explain>
      <paraID>3492425C</paraID>
      <start>165</start>
      <end>167</end>
      <status>unmodified</status>
      <modifiedWord/>
      <trackRevisions>false</trackRevisions>
    </reviewItem>
    <reviewItem>
      <errorID>45245255-5998-46ff-8066-0dbe31383925</errorID>
      <errorWord>破环</errorWord>
      <group>L1_Word</group>
      <groupName>字词问题</groupName>
      <ability>L2_Typo</ability>
      <abilityName>字词错误</abilityName>
      <candidateList>
        <item>破坏</item>
      </candidateList>
      <explain>〈动〉❶使建筑物等损坏：～桥梁｜～文物。❷使事物受到损害：～生产｜～名誉。❸变革（社会制度、风俗习惯等）。❹违反（规章、条约等）：～协定｜～规矩。❺（物体的组织或结构）损坏：维生素C因受热而～。</explain>
      <paraID>50F152FC</paraID>
      <start>18</start>
      <end>20</end>
      <status>unmodified</status>
      <modifiedWord/>
      <trackRevisions>false</trackRevisions>
    </reviewItem>
    <reviewItem>
      <errorID>461c7f67-ccab-47b5-9211-72fa7b3d552a</errorID>
      <errorWord>(</errorWord>
      <group>L1_Format</group>
      <groupName>格式问题</groupName>
      <ability>L2_HalfPunc</ability>
      <abilityName>全半角检查</abilityName>
      <candidateList>
        <item>（</item>
      </candidateList>
      <explain>文本全半角错误。</explain>
      <paraID> D3DC62C</paraID>
      <start>21</start>
      <end>22</end>
      <status>unmodified</status>
      <modifiedWord/>
      <trackRevisions>false</trackRevisions>
    </reviewItem>
    <reviewItem>
      <errorID>21c76af7-10e0-4b45-86c1-f094e2b104d9</errorID>
      <errorWord>)</errorWord>
      <group>L1_Format</group>
      <groupName>格式问题</groupName>
      <ability>L2_HalfPunc</ability>
      <abilityName>全半角检查</abilityName>
      <candidateList>
        <item>）</item>
      </candidateList>
      <explain>文本全半角错误。</explain>
      <paraID> D3DC62C</paraID>
      <start>27</start>
      <end>28</end>
      <status>unmodified</status>
      <modifiedWord/>
      <trackRevisions>false</trackRevisions>
    </reviewItem>
    <reviewItem>
      <errorID>b337c348-fa60-4c2e-8475-8f888291ccb7</errorID>
      <errorWord>(</errorWord>
      <group>L1_Format</group>
      <groupName>格式问题</groupName>
      <ability>L2_HalfPunc</ability>
      <abilityName>全半角检查</abilityName>
      <candidateList>
        <item>（</item>
      </candidateList>
      <explain>文本全半角错误。</explain>
      <paraID> D3DC62C</paraID>
      <start>52</start>
      <end>53</end>
      <status>unmodified</status>
      <modifiedWord/>
      <trackRevisions>false</trackRevisions>
    </reviewItem>
    <reviewItem>
      <errorID>2357f12e-a03f-4a85-b6f6-bc2ab2122cc6</errorID>
      <errorWord>)</errorWord>
      <group>L1_Format</group>
      <groupName>格式问题</groupName>
      <ability>L2_HalfPunc</ability>
      <abilityName>全半角检查</abilityName>
      <candidateList>
        <item>）</item>
      </candidateList>
      <explain>文本全半角错误。</explain>
      <paraID> D3DC62C</paraID>
      <start>54</start>
      <end>55</end>
      <status>unmodified</status>
      <modifiedWord/>
      <trackRevisions>false</trackRevisions>
    </reviewItem>
    <reviewItem>
      <errorID>9e7e2af2-a313-4b6b-b15d-656b1a308d88</errorID>
      <errorWord>(</errorWord>
      <group>L1_Format</group>
      <groupName>格式问题</groupName>
      <ability>L2_HalfPunc</ability>
      <abilityName>全半角检查</abilityName>
      <candidateList>
        <item>（</item>
      </candidateList>
      <explain>文本全半角错误。</explain>
      <paraID>5ACD86BF</paraID>
      <start>116</start>
      <end>117</end>
      <status>unmodified</status>
      <modifiedWord/>
      <trackRevisions>false</trackRevisions>
    </reviewItem>
    <reviewItem>
      <errorID>fb07502a-c1ae-4747-85f9-2fe223105804</errorID>
      <errorWord>)</errorWord>
      <group>L1_Format</group>
      <groupName>格式问题</groupName>
      <ability>L2_HalfPunc</ability>
      <abilityName>全半角检查</abilityName>
      <candidateList>
        <item>）</item>
      </candidateList>
      <explain>文本全半角错误。</explain>
      <paraID>5ACD86BF</paraID>
      <start>118</start>
      <end>119</end>
      <status>unmodified</status>
      <modifiedWord/>
      <trackRevisions>false</trackRevisions>
    </reviewItem>
    <reviewItem>
      <errorID>99abca2b-ce11-42e7-bbb9-27a0c12b6c41</errorID>
      <errorWord>(</errorWord>
      <group>L1_Format</group>
      <groupName>格式问题</groupName>
      <ability>L2_HalfPunc</ability>
      <abilityName>全半角检查</abilityName>
      <candidateList>
        <item>（</item>
      </candidateList>
      <explain>文本全半角错误。</explain>
      <paraID>5ACD86BF</paraID>
      <start>126</start>
      <end>127</end>
      <status>unmodified</status>
      <modifiedWord/>
      <trackRevisions>false</trackRevisions>
    </reviewItem>
    <reviewItem>
      <errorID>e63e37f0-7710-47c0-969a-14259aae4d80</errorID>
      <errorWord>)</errorWord>
      <group>L1_Format</group>
      <groupName>格式问题</groupName>
      <ability>L2_HalfPunc</ability>
      <abilityName>全半角检查</abilityName>
      <candidateList>
        <item>）</item>
      </candidateList>
      <explain>文本全半角错误。</explain>
      <paraID>5ACD86BF</paraID>
      <start>128</start>
      <end>129</end>
      <status>unmodified</status>
      <modifiedWord/>
      <trackRevisions>false</trackRevisions>
    </reviewItem>
    <reviewItem>
      <errorID>df210e13-60bf-4517-8258-faeb9f0950c3</errorID>
      <errorWord>数组</errorWord>
      <group>L1_Word</group>
      <groupName>字词问题</groupName>
      <ability>L2_Typo</ability>
      <abilityName>字词错误</abilityName>
      <candidateList>
        <item>组</item>
      </candidateList>
      <explain/>
      <paraID>516352C1</paraID>
      <start>12</start>
      <end>14</end>
      <status>unmodified</status>
      <modifiedWord/>
      <trackRevisions>false</trackRevisions>
    </reviewItem>
    <reviewItem>
      <errorID>3175e4b4-7516-43d0-b831-e3054e4e0b57</errorID>
      <errorWord>-</errorWord>
      <group>L1_Format</group>
      <groupName>格式问题</groupName>
      <ability>L2_HalfPunc</ability>
      <abilityName>全半角检查</abilityName>
      <candidateList>
        <item>－</item>
      </candidateList>
      <explain>文本全半角错误。</explain>
      <paraID>2157F78D</paraID>
      <start>4</start>
      <end>5</end>
      <status>unmodified</status>
      <modifiedWord/>
      <trackRevisions>false</trackRevisions>
    </reviewItem>
    <reviewItem>
      <errorID>6ed9daf9-cf35-4af1-bb45-be450ad7f8ad</errorID>
      <errorWord>饱和蒸气</errorWord>
      <group>L1_Word</group>
      <groupName>字词问题</groupName>
      <ability>L2_Typo</ability>
      <abilityName>字词错误</abilityName>
      <candidateList>
        <item>饱和蒸汽</item>
      </candidateList>
      <explain/>
      <paraID>2157F78D</paraID>
      <start>31</start>
      <end>35</end>
      <status>unmodified</status>
      <modifiedWord/>
      <trackRevisions>false</trackRevisions>
    </reviewItem>
    <reviewItem>
      <errorID>ae978795-233e-49f4-a815-85302f6c22f9</errorID>
      <errorWord>油量减小</errorWord>
      <group>L1_Word</group>
      <groupName>字词问题</groupName>
      <ability>L2_Typo</ability>
      <abilityName>字词错误</abilityName>
      <candidateList>
        <item>油量减少</item>
      </candidateList>
      <explain/>
      <paraID>2ECE93A9</paraID>
      <start>30</start>
      <end>34</end>
      <status>unmodified</status>
      <modifiedWord/>
      <trackRevisions>false</trackRevisions>
    </reviewItem>
    <reviewItem>
      <errorID>08eb3896-1798-45b1-b238-3e94560f1fac</errorID>
      <errorWord>机率为</errorWord>
      <group>L1_Word</group>
      <groupName>字词问题</groupName>
      <ability>L2_Typo</ability>
      <abilityName>字词错误</abilityName>
      <candidateList>
        <item>概率为</item>
      </candidateList>
      <explain/>
      <paraID>6A84F3BE</paraID>
      <start>59</start>
      <end>62</end>
      <status>unmodified</status>
      <modifiedWord/>
      <trackRevisions>false</trackRevisions>
    </reviewItem>
    <reviewItem>
      <errorID>e7796d56-03c6-4097-ab33-d1789cf68f08</errorID>
      <errorWord>.</errorWord>
      <group>L1_Format</group>
      <groupName>格式问题</groupName>
      <ability>L2_HalfPunc</ability>
      <abilityName>全半角检查</abilityName>
      <candidateList>
        <item>。</item>
      </candidateList>
      <explain>文本全半角错误。</explain>
      <paraID>364B93A7</paraID>
      <start>146</start>
      <end>147</end>
      <status>unmodified</status>
      <modifiedWord/>
      <trackRevisions>false</trackRevisions>
    </reviewItem>
    <reviewItem>
      <errorID>b373dc72-0649-4534-8b1a-f8ed49ec37e5</errorID>
      <errorWord>登陆</errorWord>
      <group>L1_Word</group>
      <groupName>字词问题</groupName>
      <ability>L2_Typo</ability>
      <abilityName>字词错误</abilityName>
      <candidateList>
        <item>登录</item>
      </candidateList>
      <explain>存在发音相同字词的误用。</explain>
      <paraID>62D33B71</paraID>
      <start>3</start>
      <end>5</end>
      <status>unmodified</status>
      <modifiedWord/>
      <trackRevisions>false</trackRevisions>
    </reviewItem>
    <reviewItem>
      <errorID>a5a207fd-cbd5-444e-b4a7-31aab6dbebda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BD00A66</paraID>
      <start>61</start>
      <end>62</end>
      <status>unmodified</status>
      <modifiedWord/>
      <trackRevisions>false</trackRevisions>
    </reviewItem>
    <reviewItem>
      <errorID>b45a2752-4d31-4289-a0e8-17e5308ce42c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BD00A66</paraID>
      <start>126</start>
      <end>127</end>
      <status>unmodified</status>
      <modifiedWord/>
      <trackRevisions>false</trackRevisions>
    </reviewItem>
    <reviewItem>
      <errorID>8534a86b-7d34-405b-9d85-cfb103b360b6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BD00A66</paraID>
      <start>175</start>
      <end>176</end>
      <status>unmodified</status>
      <modifiedWord/>
      <trackRevisions>false</trackRevisions>
    </reviewItem>
    <reviewItem>
      <errorID>3033ebcb-228e-4dfc-bdee-f30044c79d94</errorID>
      <errorWord>~</errorWord>
      <group>L1_Format</group>
      <groupName>格式问题</groupName>
      <ability>L2_HalfPunc</ability>
      <abilityName>全半角检查</abilityName>
      <candidateList>
        <item>～</item>
      </candidateList>
      <explain>文本全半角错误。</explain>
      <paraID> BD00A66</paraID>
      <start>201</start>
      <end>202</end>
      <status>unmodified</status>
      <modifiedWord/>
      <trackRevisions>false</trackRevisions>
    </reviewItem>
    <reviewItem>
      <errorID>082abf3e-fb26-46a9-89d9-e70f39808b45</errorID>
      <errorWord>海开</errorWord>
      <group>L1_Word</group>
      <groupName>字词问题</groupName>
      <ability>L2_Typo</ability>
      <abilityName>字词错误</abilityName>
      <candidateList>
        <item>海岸</item>
      </candidateList>
      <explain/>
      <paraID> BD00A66</paraID>
      <start>247</start>
      <end>249</end>
      <status>unmodified</status>
      <modifiedWord/>
      <trackRevisions>false</trackRevisions>
    </reviewItem>
    <reviewItem>
      <errorID>33be591a-efe6-4ec7-999e-942405c858d4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BD00A66</paraID>
      <start>287</start>
      <end>288</end>
      <status>unmodified</status>
      <modifiedWord/>
      <trackRevisions>false</trackRevisions>
    </reviewItem>
    <reviewItem>
      <errorID>da22ca70-1833-4632-8f68-4384e40a37b1</errorID>
      <errorWord>-</errorWord>
      <group>L1_Format</group>
      <groupName>格式问题</groupName>
      <ability>L2_HalfPunc</ability>
      <abilityName>全半角检查</abilityName>
      <candidateList>
        <item>－</item>
      </candidateList>
      <explain>文本全半角错误。</explain>
      <paraID>7FB9CC37</paraID>
      <start>72</start>
      <end>73</end>
      <status>unmodified</status>
      <modifiedWord/>
      <trackRevisions>false</trackRevisions>
    </reviewItem>
    <reviewItem>
      <errorID>2e280731-7cd8-41e7-b267-60c712bfcc26</errorID>
      <errorWord>登陆</errorWord>
      <group>L1_Word</group>
      <groupName>字词问题</groupName>
      <ability>L2_Typo</ability>
      <abilityName>字词错误</abilityName>
      <candidateList>
        <item>登录</item>
      </candidateList>
      <explain>存在发音相同字词的误用。</explain>
      <paraID>7725369A</paraID>
      <start>3</start>
      <end>5</end>
      <status>unmodified</status>
      <modifiedWord/>
      <trackRevisions>false</trackRevisions>
    </reviewItem>
    <reviewItem>
      <errorID>b3cb8c1d-6b75-4980-bafb-c1648ef0f93f</errorID>
      <errorWord>登陆</errorWord>
      <group>L1_Word</group>
      <groupName>字词问题</groupName>
      <ability>L2_Typo</ability>
      <abilityName>字词错误</abilityName>
      <candidateList>
        <item>登录</item>
      </candidateList>
      <explain>存在发音相同字词的误用。</explain>
      <paraID>19EAB13C</paraID>
      <start>2</start>
      <end>4</end>
      <status>unmodified</status>
      <modifiedWord/>
      <trackRevisions>false</trackRevisions>
    </reviewItem>
    <reviewItem>
      <errorID>fa5e20b1-4ac7-4899-abf5-168e43c4964d</errorID>
      <errorWord>-</errorWord>
      <group>L1_Format</group>
      <groupName>格式问题</groupName>
      <ability>L2_HalfPunc</ability>
      <abilityName>全半角检查</abilityName>
      <candidateList>
        <item>－</item>
      </candidateList>
      <explain>文本全半角错误。</explain>
      <paraID>382CF8F8</paraID>
      <start>88</start>
      <end>89</end>
      <status>unmodified</status>
      <modifiedWord/>
      <trackRevisions>false</trackRevisions>
    </reviewItem>
    <reviewItem>
      <errorID>9c994ca8-1396-4988-bf80-06bdd1a782f4</errorID>
      <errorWord>8-9小时</errorWord>
      <group>L1_Word</group>
      <groupName>字词问题</groupName>
      <ability>L2_Typo</ability>
      <abilityName>字词错误</abilityName>
      <candidateList>
        <item>8～9小时</item>
      </candidateList>
      <explain/>
      <paraID>382CF8F8</paraID>
      <start>104</start>
      <end>109</end>
      <status>unmodified</status>
      <modifiedWord/>
      <trackRevisions>false</trackRevisions>
    </reviewItem>
    <reviewItem>
      <errorID>37dc9f01-a75c-405f-9583-17de188f3136</errorID>
      <errorWord>登陆</errorWord>
      <group>L1_Word</group>
      <groupName>字词问题</groupName>
      <ability>L2_Typo</ability>
      <abilityName>字词错误</abilityName>
      <candidateList>
        <item>登录</item>
      </candidateList>
      <explain>存在发音相同字词的误用。</explain>
      <paraID>5758D57F</paraID>
      <start>3</start>
      <end>5</end>
      <status>unmodified</status>
      <modifiedWord/>
      <trackRevisions>false</trackRevisions>
    </reviewItem>
    <reviewItem>
      <errorID>f435b063-f8a8-4b68-9386-45247fa9cc75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7A42A293</paraID>
      <start>41</start>
      <end>42</end>
      <status>unmodified</status>
      <modifiedWord/>
      <trackRevisions>false</trackRevisions>
    </reviewItem>
    <reviewItem>
      <errorID>cde87290-dce7-42d2-9401-521346dea55c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7A42A293</paraID>
      <start>190</start>
      <end>191</end>
      <status>unmodified</status>
      <modifiedWord/>
      <trackRevisions>false</trackRevisions>
    </reviewItem>
    <reviewItem>
      <errorID>789f4dba-69f5-4398-b093-b1c8b127f92c</errorID>
      <errorWord>泄露</errorWord>
      <group>L1_Word</group>
      <groupName>字词问题</groupName>
      <ability>L2_Typo</ability>
      <abilityName>字词错误</abilityName>
      <candidateList>
        <item>泄漏</item>
      </candidateList>
      <explain>存在发音相同字词的误用。</explain>
      <paraID>59F57549</paraID>
      <start>6</start>
      <end>8</end>
      <status>modified</status>
      <modifiedWord>泄漏</modifiedWord>
      <trackRevisions>false</trackRevisions>
    </reviewItem>
    <reviewItem>
      <errorID>e1265038-e249-4d8f-bb4c-aef252d43ea8</errorID>
      <errorWord>物质型</errorWord>
      <group>L1_Word</group>
      <groupName>字词问题</groupName>
      <ability>L2_Typo</ability>
      <abilityName>字词错误</abilityName>
      <candidateList>
        <item>物质</item>
      </candidateList>
      <explain/>
      <paraID>676638BD</paraID>
      <start>43</start>
      <end>46</end>
      <status>unmodified</status>
      <modifiedWord/>
      <trackRevisions>false</trackRevisions>
    </reviewItem>
    <reviewItem>
      <errorID>38c8d8ec-8d72-4115-a157-b768a561f377</errorID>
      <errorWord>漂移</errorWord>
      <group>L1_Word</group>
      <groupName>字词问题</groupName>
      <ability>L2_Typo</ability>
      <abilityName>字词错误</abilityName>
      <candidateList>
        <item>飘移</item>
      </candidateList>
      <explain/>
      <paraID>676638BD</paraID>
      <start>85</start>
      <end>87</end>
      <status>unmodified</status>
      <modifiedWord/>
      <trackRevisions>false</trackRevisions>
    </reviewItem>
    <reviewItem>
      <errorID>d387fa9f-758e-4c5d-8685-c78745a064e1</errorID>
      <errorWord>乙烯乙烯</errorWord>
      <group>L1_Word</group>
      <groupName>字词问题</groupName>
      <ability>L2_Typo</ability>
      <abilityName>字词错误</abilityName>
      <candidateList>
        <item>乙烯</item>
      </candidateList>
      <explain/>
      <paraID>36C668B0</paraID>
      <start>7</start>
      <end>9</end>
      <status>modified</status>
      <modifiedWord>乙烯</modifiedWord>
      <trackRevisions>false</trackRevisions>
    </reviewItem>
    <reviewItem>
      <errorID>045a6475-f8a4-4fdb-af05-568e86237a2a</errorID>
      <errorWord>泄露</errorWord>
      <group>L1_Word</group>
      <groupName>字词问题</groupName>
      <ability>L2_Typo</ability>
      <abilityName>字词错误</abilityName>
      <candidateList>
        <item>泄漏</item>
      </candidateList>
      <explain/>
      <paraID>36C668B0</paraID>
      <start>9</start>
      <end>11</end>
      <status>modified</status>
      <modifiedWord>泄漏</modifiedWord>
      <trackRevisions>false</trackRevisions>
    </reviewItem>
    <reviewItem>
      <errorID>8f98c3af-8837-4f9a-ac3c-3ec9060e2ae8</errorID>
      <errorWord>泄露</errorWord>
      <group>L1_Word</group>
      <groupName>字词问题</groupName>
      <ability>L2_Typo</ability>
      <abilityName>字词错误</abilityName>
      <candidateList>
        <item>泄漏</item>
      </candidateList>
      <explain/>
      <paraID> 193655C</paraID>
      <start>183</start>
      <end>185</end>
      <status>modified</status>
      <modifiedWord>泄漏</modifiedWord>
      <trackRevisions>false</trackRevisions>
    </reviewItem>
    <reviewItem>
      <errorID>3edc3c78-0857-4fe9-9d9d-c76fd58d597f</errorID>
      <errorWord>乙烯乙烯</errorWord>
      <group>L1_Word</group>
      <groupName>字词问题</groupName>
      <ability>L2_Typo</ability>
      <abilityName>字词错误</abilityName>
      <candidateList>
        <item>乙烯</item>
      </candidateList>
      <explain/>
      <paraID> 193655C</paraID>
      <start>211</start>
      <end>213</end>
      <status>modified</status>
      <modifiedWord>乙烯</modifiedWord>
      <trackRevisions>false</trackRevisions>
    </reviewItem>
    <reviewItem>
      <errorID>8e5f334f-ed48-4b53-add7-121e7a917f50</errorID>
      <errorWord>~</errorWord>
      <group>L1_Format</group>
      <groupName>格式问题</groupName>
      <ability>L2_HalfPunc</ability>
      <abilityName>全半角检查</abilityName>
      <candidateList>
        <item>～</item>
      </candidateList>
      <explain>文本全半角错误。</explain>
      <paraID> 193655C</paraID>
      <start>232</start>
      <end>233</end>
      <status>unmodified</status>
      <modifiedWord/>
      <trackRevisions>false</trackRevisions>
    </reviewItem>
    <reviewItem>
      <errorID>be3627dd-2fd8-46ec-acaf-b3b0b40354be</errorID>
      <errorWord>乙烯乙烯</errorWord>
      <group>L1_Word</group>
      <groupName>字词问题</groupName>
      <ability>L2_Typo</ability>
      <abilityName>字词错误</abilityName>
      <candidateList>
        <item>乙烯</item>
      </candidateList>
      <explain/>
      <paraID>4CF2460D</paraID>
      <start>14</start>
      <end>16</end>
      <status>modified</status>
      <modifiedWord>乙烯</modifiedWord>
      <trackRevisions>false</trackRevisions>
    </reviewItem>
    <reviewItem>
      <errorID>ab5f0c8a-f667-4eae-96f2-1cdfbd834775</errorID>
      <errorWord>泄露</errorWord>
      <group>L1_Word</group>
      <groupName>字词问题</groupName>
      <ability>L2_Typo</ability>
      <abilityName>字词错误</abilityName>
      <candidateList>
        <item>泄漏</item>
      </candidateList>
      <explain/>
      <paraID>4CF2460D</paraID>
      <start>16</start>
      <end>18</end>
      <status>modified</status>
      <modifiedWord>泄漏</modifiedWord>
      <trackRevisions>false</trackRevisions>
    </reviewItem>
    <reviewItem>
      <errorID>40b57a57-1066-4121-8bcc-aa4ff0107989</errorID>
      <errorWord>登陆</errorWord>
      <group>L1_Word</group>
      <groupName>字词问题</groupName>
      <ability>L2_Typo</ability>
      <abilityName>字词错误</abilityName>
      <candidateList>
        <item>登录</item>
      </candidateList>
      <explain>存在发音相同字词的误用。</explain>
      <paraID>729CF370</paraID>
      <start>3</start>
      <end>5</end>
      <status>unmodified</status>
      <modifiedWord/>
      <trackRevisions>false</trackRevisions>
    </reviewItem>
    <reviewItem>
      <errorID>7204f836-d553-4013-9f7c-27ece2664291</errorID>
      <errorWord>泄露</errorWord>
      <group>L1_Word</group>
      <groupName>字词问题</groupName>
      <ability>L2_Typo</ability>
      <abilityName>字词错误</abilityName>
      <candidateList>
        <item>泄漏</item>
      </candidateList>
      <explain/>
      <paraID>5D34A941</paraID>
      <start>23</start>
      <end>25</end>
      <status>modified</status>
      <modifiedWord>泄漏</modifiedWord>
      <trackRevisions>false</trackRevisions>
    </reviewItem>
    <reviewItem>
      <errorID>efa0e139-d758-4ed6-a75c-0e9bd26335d8</errorID>
      <errorWord>泄露</errorWord>
      <group>L1_Word</group>
      <groupName>字词问题</groupName>
      <ability>L2_Typo</ability>
      <abilityName>字词错误</abilityName>
      <candidateList>
        <item>泄漏</item>
      </candidateList>
      <explain>存在发音相同字词的误用。</explain>
      <paraID>6B9165A6</paraID>
      <start>23</start>
      <end>25</end>
      <status>modified</status>
      <modifiedWord>泄漏</modifiedWord>
      <trackRevisions>false</trackRevisions>
    </reviewItem>
    <reviewItem>
      <errorID>6665550a-dcd6-416a-86aa-e94c8f8e85f1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30DE96BA</paraID>
      <start>65</start>
      <end>66</end>
      <status>unmodified</status>
      <modifiedWord/>
      <trackRevisions>false</trackRevisions>
    </reviewItem>
    <reviewItem>
      <errorID>458cc708-3e69-40ec-9878-e9f8da8f6e97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30DE96BA</paraID>
      <start>132</start>
      <end>133</end>
      <status>unmodified</status>
      <modifiedWord/>
      <trackRevisions>false</trackRevisions>
    </reviewItem>
    <reviewItem>
      <errorID>57e8f950-3e48-4177-af11-b12b0968fa32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30DE96BA</paraID>
      <start>179</start>
      <end>180</end>
      <status>unmodified</status>
      <modifiedWord/>
      <trackRevisions>false</trackRevisions>
    </reviewItem>
    <reviewItem>
      <errorID>a3756b15-e3ab-4436-b0b7-dbf672fe55c2</errorID>
      <errorWord>~</errorWord>
      <group>L1_Format</group>
      <groupName>格式问题</groupName>
      <ability>L2_HalfPunc</ability>
      <abilityName>全半角检查</abilityName>
      <candidateList>
        <item>～</item>
      </candidateList>
      <explain>文本全半角错误。</explain>
      <paraID>30DE96BA</paraID>
      <start>206</start>
      <end>207</end>
      <status>unmodified</status>
      <modifiedWord/>
      <trackRevisions>false</trackRevisions>
    </reviewItem>
    <reviewItem>
      <errorID>086b1150-14b8-46b5-a7dc-c4445cf91c24</errorID>
      <errorWord>海开</errorWord>
      <group>L1_Word</group>
      <groupName>字词问题</groupName>
      <ability>L2_Typo</ability>
      <abilityName>字词错误</abilityName>
      <candidateList>
        <item>海岸</item>
      </candidateList>
      <explain/>
      <paraID>30DE96BA</paraID>
      <start>225</start>
      <end>227</end>
      <status>unmodified</status>
      <modifiedWord/>
      <trackRevisions>false</trackRevisions>
    </reviewItem>
    <reviewItem>
      <errorID>ca4d6199-005e-4934-b18a-801ff7e9c19e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30DE96BA</paraID>
      <start>265</start>
      <end>266</end>
      <status>unmodified</status>
      <modifiedWord/>
      <trackRevisions>false</trackRevisions>
    </reviewItem>
    <reviewItem>
      <errorID>8bb54dc5-b02d-4ef7-a53b-ddaba951e1d0</errorID>
      <errorWord>，</errorWord>
      <group>L1_Word</group>
      <groupName>字词问题</groupName>
      <ability>L2_Typo</ability>
      <abilityName>字词错误</abilityName>
      <candidateList>
        <item>，根</item>
      </candidateList>
      <explain/>
      <paraID>30DE96BA</paraID>
      <start>274</start>
      <end>275</end>
      <status>unmodified</status>
      <modifiedWord/>
      <trackRevisions>false</trackRevisions>
    </reviewItem>
    <reviewItem>
      <errorID>1f30aee4-d2ea-447e-93ff-4686153adbbc</errorID>
      <errorWord>泄露</errorWord>
      <group>L1_Word</group>
      <groupName>字词问题</groupName>
      <ability>L2_Typo</ability>
      <abilityName>字词错误</abilityName>
      <candidateList>
        <item>泄漏</item>
      </candidateList>
      <explain>存在发音相同字词的误用。</explain>
      <paraID>30DE96BA</paraID>
      <start>300</start>
      <end>302</end>
      <status>modified</status>
      <modifiedWord>泄漏</modifiedWord>
      <trackRevisions>false</trackRevisions>
    </reviewItem>
    <reviewItem>
      <errorID>c32602f5-59e4-4462-acb3-527bb25cb28b</errorID>
      <errorWord>泄露</errorWord>
      <group>L1_Word</group>
      <groupName>字词问题</groupName>
      <ability>L2_Typo</ability>
      <abilityName>字词错误</abilityName>
      <candidateList>
        <item>泄漏</item>
      </candidateList>
      <explain/>
      <paraID>30DE96BA</paraID>
      <start>319</start>
      <end>321</end>
      <status>modified</status>
      <modifiedWord>泄漏</modifiedWord>
      <trackRevisions>false</trackRevisions>
    </reviewItem>
    <reviewItem>
      <errorID>b81d09bd-4bb7-4a3b-8ca0-abc3da5d7a9a</errorID>
      <errorWord>~</errorWord>
      <group>L1_Format</group>
      <groupName>格式问题</groupName>
      <ability>L2_HalfPunc</ability>
      <abilityName>全半角检查</abilityName>
      <candidateList>
        <item>～</item>
      </candidateList>
      <explain>文本全半角错误。</explain>
      <paraID>30DE96BA</paraID>
      <start>361</start>
      <end>362</end>
      <status>unmodified</status>
      <modifiedWord/>
      <trackRevisions>false</trackRevisions>
    </reviewItem>
    <reviewItem>
      <errorID>5c0fbca4-4b04-4197-8404-9a6be70241f2</errorID>
      <errorWord>泄露</errorWord>
      <group>L1_Word</group>
      <groupName>字词问题</groupName>
      <ability>L2_Typo</ability>
      <abilityName>字词错误</abilityName>
      <candidateList>
        <item>泄漏</item>
      </candidateList>
      <explain/>
      <paraID>43E77403</paraID>
      <start>23</start>
      <end>25</end>
      <status>modified</status>
      <modifiedWord>泄漏</modifiedWord>
      <trackRevisions>false</trackRevisions>
    </reviewItem>
    <reviewItem>
      <errorID>73a844f2-df3b-4117-8356-871d119e5fba</errorID>
      <errorWord>泄露</errorWord>
      <group>L1_Word</group>
      <groupName>字词问题</groupName>
      <ability>L2_Typo</ability>
      <abilityName>字词错误</abilityName>
      <candidateList>
        <item>泄漏</item>
      </candidateList>
      <explain>存在发音相同字词的误用。</explain>
      <paraID>6B0A9946</paraID>
      <start>23</start>
      <end>25</end>
      <status>modified</status>
      <modifiedWord>泄漏</modifiedWord>
      <trackRevisions>false</trackRevisions>
    </reviewItem>
    <reviewItem>
      <errorID>9399db83-90fd-4d15-bc1c-ef50bf829a47</errorID>
      <errorWord>泄露</errorWord>
      <group>L1_Word</group>
      <groupName>字词问题</groupName>
      <ability>L2_Typo</ability>
      <abilityName>字词错误</abilityName>
      <candidateList>
        <item>泄漏</item>
      </candidateList>
      <explain>存在发音相同字词的误用。</explain>
      <paraID>1C8B8F2D</paraID>
      <start>22</start>
      <end>24</end>
      <status>modified</status>
      <modifiedWord>泄漏</modifiedWord>
      <trackRevisions>false</trackRevisions>
    </reviewItem>
    <reviewItem>
      <errorID>3f920f4d-dc25-4edd-9f9e-c256c58fbeed</errorID>
      <errorWord>-</errorWord>
      <group>L1_Format</group>
      <groupName>格式问题</groupName>
      <ability>L2_HalfPunc</ability>
      <abilityName>全半角检查</abilityName>
      <candidateList>
        <item>－</item>
      </candidateList>
      <explain>文本全半角错误。</explain>
      <paraID>1C8B8F2D</paraID>
      <start>77</start>
      <end>78</end>
      <status>unmodified</status>
      <modifiedWord/>
      <trackRevisions>false</trackRevisions>
    </reviewItem>
    <reviewItem>
      <errorID>42588460-b53d-4955-b36e-e12234ad6382</errorID>
      <errorWord>泄露</errorWord>
      <group>L1_Word</group>
      <groupName>字词问题</groupName>
      <ability>L2_Typo</ability>
      <abilityName>字词错误</abilityName>
      <candidateList>
        <item>泄漏</item>
      </candidateList>
      <explain/>
      <paraID>1C8B8F2D</paraID>
      <start>179</start>
      <end>181</end>
      <status>modified</status>
      <modifiedWord>泄漏</modifiedWord>
      <trackRevisions>false</trackRevisions>
    </reviewItem>
    <reviewItem>
      <errorID>a1686eaa-262a-4c3f-87bb-1e6e5c4086e4</errorID>
      <errorWord>~</errorWord>
      <group>L1_Format</group>
      <groupName>格式问题</groupName>
      <ability>L2_HalfPunc</ability>
      <abilityName>全半角检查</abilityName>
      <candidateList>
        <item>～</item>
      </candidateList>
      <explain>文本全半角错误。</explain>
      <paraID>1C8B8F2D</paraID>
      <start>220</start>
      <end>221</end>
      <status>unmodified</status>
      <modifiedWord/>
      <trackRevisions>false</trackRevisions>
    </reviewItem>
    <reviewItem>
      <errorID>936e7f51-9f9e-40ce-a583-9275a4a1cb72</errorID>
      <errorWord>登陆</errorWord>
      <group>L1_Word</group>
      <groupName>字词问题</groupName>
      <ability>L2_Typo</ability>
      <abilityName>字词错误</abilityName>
      <candidateList>
        <item>登录</item>
      </candidateList>
      <explain>存在发音相同字词的误用。</explain>
      <paraID>1AA19929</paraID>
      <start>3</start>
      <end>5</end>
      <status>unmodified</status>
      <modifiedWord/>
      <trackRevisions>false</trackRevisions>
    </reviewItem>
    <reviewItem>
      <errorID>07f44d59-f39c-4073-8fa4-4e73287f4116</errorID>
      <errorWord>泄露</errorWord>
      <group>L1_Word</group>
      <groupName>字词问题</groupName>
      <ability>L2_Typo</ability>
      <abilityName>字词错误</abilityName>
      <candidateList>
        <item>泄漏</item>
      </candidateList>
      <explain/>
      <paraID>  8FA480</paraID>
      <start>23</start>
      <end>25</end>
      <status>modified</status>
      <modifiedWord>泄漏</modifiedWord>
      <trackRevisions>false</trackRevisions>
    </reviewItem>
    <reviewItem>
      <errorID>98910f54-22c6-4127-9df1-cc23778f2af3</errorID>
      <errorWord>泄露</errorWord>
      <group>L1_Word</group>
      <groupName>字词问题</groupName>
      <ability>L2_Typo</ability>
      <abilityName>字词错误</abilityName>
      <candidateList>
        <item>泄漏</item>
      </candidateList>
      <explain>存在发音相同字词的误用。</explain>
      <paraID>148E6E73</paraID>
      <start>25</start>
      <end>27</end>
      <status>modified</status>
      <modifiedWord>泄漏</modifiedWord>
      <trackRevisions>false</trackRevisions>
    </reviewItem>
    <reviewItem>
      <errorID>162fa94d-367f-45ee-a388-35c7a7e7e558</errorID>
      <errorWord>泄露</errorWord>
      <group>L1_Word</group>
      <groupName>字词问题</groupName>
      <ability>L2_Typo</ability>
      <abilityName>字词错误</abilityName>
      <candidateList>
        <item>泄漏</item>
      </candidateList>
      <explain/>
      <paraID> 28AEDE9</paraID>
      <start>23</start>
      <end>25</end>
      <status>modified</status>
      <modifiedWord>泄漏</modifiedWord>
      <trackRevisions>false</trackRevisions>
    </reviewItem>
    <reviewItem>
      <errorID>4cf5f457-8475-4227-9805-1cc3d46164a8</errorID>
      <errorWord>泄露</errorWord>
      <group>L1_Word</group>
      <groupName>字词问题</groupName>
      <ability>L2_Typo</ability>
      <abilityName>字词错误</abilityName>
      <candidateList>
        <item>泄漏</item>
      </candidateList>
      <explain/>
      <paraID> 28AEDE9</paraID>
      <start>93</start>
      <end>95</end>
      <status>modified</status>
      <modifiedWord>泄漏</modifiedWord>
      <trackRevisions>false</trackRevisions>
    </reviewItem>
    <reviewItem>
      <errorID>128de32e-3168-4086-9c6b-9186a3d66174</errorID>
      <errorWord>~</errorWord>
      <group>L1_Format</group>
      <groupName>格式问题</groupName>
      <ability>L2_HalfPunc</ability>
      <abilityName>全半角检查</abilityName>
      <candidateList>
        <item>～</item>
      </candidateList>
      <explain>文本全半角错误。</explain>
      <paraID> 28AEDE9</paraID>
      <start>135</start>
      <end>136</end>
      <status>unmodified</status>
      <modifiedWord/>
      <trackRevisions>false</trackRevisions>
    </reviewItem>
    <reviewItem>
      <errorID>9626a994-8497-4430-b87c-83d80d58fc7f</errorID>
      <errorWord>泄露</errorWord>
      <group>L1_Word</group>
      <groupName>字词问题</groupName>
      <ability>L2_Typo</ability>
      <abilityName>字词错误</abilityName>
      <candidateList>
        <item>泄漏</item>
      </candidateList>
      <explain/>
      <paraID>5E07E21F</paraID>
      <start>23</start>
      <end>25</end>
      <status>modified</status>
      <modifiedWord>泄漏</modifiedWord>
      <trackRevisions>false</trackRevisions>
    </reviewItem>
    <reviewItem>
      <errorID>dd9c7e05-c4c2-4b93-9f22-3c74dd619f5f</errorID>
      <errorWord>泄露</errorWord>
      <group>L1_Word</group>
      <groupName>字词问题</groupName>
      <ability>L2_Typo</ability>
      <abilityName>字词错误</abilityName>
      <candidateList>
        <item>泄漏</item>
      </candidateList>
      <explain>存在发音相同字词的误用。</explain>
      <paraID>  9B5EE7</paraID>
      <start>24</start>
      <end>26</end>
      <status>modified</status>
      <modifiedWord>泄漏</modifiedWord>
      <trackRevisions>false</trackRevisions>
    </reviewItem>
    <reviewItem>
      <errorID>bc4bba48-1359-4963-abe1-68edd5661a49</errorID>
      <errorWord>泄露</errorWord>
      <group>L1_Word</group>
      <groupName>字词问题</groupName>
      <ability>L2_Typo</ability>
      <abilityName>字词错误</abilityName>
      <candidateList>
        <item>泄漏</item>
      </candidateList>
      <explain/>
      <paraID>787B799C</paraID>
      <start>22</start>
      <end>24</end>
      <status>modified</status>
      <modifiedWord>泄漏</modifiedWord>
      <trackRevisions>false</trackRevisions>
    </reviewItem>
    <reviewItem>
      <errorID>e424af71-bf3d-4ee2-a905-24fc37f883d4</errorID>
      <errorWord>-</errorWord>
      <group>L1_Format</group>
      <groupName>格式问题</groupName>
      <ability>L2_HalfPunc</ability>
      <abilityName>全半角检查</abilityName>
      <candidateList>
        <item>－</item>
      </candidateList>
      <explain>文本全半角错误。</explain>
      <paraID>787B799C</paraID>
      <start>93</start>
      <end>94</end>
      <status>unmodified</status>
      <modifiedWord/>
      <trackRevisions>false</trackRevisions>
    </reviewItem>
    <reviewItem>
      <errorID>6d624991-d389-46db-af2a-4432ce1abb0c</errorID>
      <errorWord>8-9小时</errorWord>
      <group>L1_Word</group>
      <groupName>字词问题</groupName>
      <ability>L2_Typo</ability>
      <abilityName>字词错误</abilityName>
      <candidateList>
        <item>8～9小时</item>
      </candidateList>
      <explain/>
      <paraID>787B799C</paraID>
      <start>110</start>
      <end>115</end>
      <status>unmodified</status>
      <modifiedWord/>
      <trackRevisions>false</trackRevisions>
    </reviewItem>
    <reviewItem>
      <errorID>f4c571c6-cf3c-4017-9a04-a192a9540852</errorID>
      <errorWord>泄露</errorWord>
      <group>L1_Word</group>
      <groupName>字词问题</groupName>
      <ability>L2_Typo</ability>
      <abilityName>字词错误</abilityName>
      <candidateList>
        <item>泄漏</item>
      </candidateList>
      <explain/>
      <paraID>787B799C</paraID>
      <start>196</start>
      <end>198</end>
      <status>modified</status>
      <modifiedWord>泄漏</modifiedWord>
      <trackRevisions>false</trackRevisions>
    </reviewItem>
    <reviewItem>
      <errorID>2d549cf7-c13a-4c48-9ae6-82fc79103ae3</errorID>
      <errorWord>~</errorWord>
      <group>L1_Format</group>
      <groupName>格式问题</groupName>
      <ability>L2_HalfPunc</ability>
      <abilityName>全半角检查</abilityName>
      <candidateList>
        <item>～</item>
      </candidateList>
      <explain>文本全半角错误。</explain>
      <paraID>787B799C</paraID>
      <start>238</start>
      <end>239</end>
      <status>unmodified</status>
      <modifiedWord/>
      <trackRevisions>false</trackRevisions>
    </reviewItem>
    <reviewItem>
      <errorID>40d01f2e-e3d8-4737-9d67-a0b90e8d2e09</errorID>
      <errorWord>登陆</errorWord>
      <group>L1_Word</group>
      <groupName>字词问题</groupName>
      <ability>L2_Typo</ability>
      <abilityName>字词错误</abilityName>
      <candidateList>
        <item>登录</item>
      </candidateList>
      <explain>存在发音相同字词的误用。</explain>
      <paraID>7CDDDE3E</paraID>
      <start>3</start>
      <end>5</end>
      <status>unmodified</status>
      <modifiedWord/>
      <trackRevisions>false</trackRevisions>
    </reviewItem>
    <reviewItem>
      <errorID>effe5098-77c1-4e53-99cd-63191556a1ec</errorID>
      <errorWord>泄露</errorWord>
      <group>L1_Word</group>
      <groupName>字词问题</groupName>
      <ability>L2_Typo</ability>
      <abilityName>字词错误</abilityName>
      <candidateList>
        <item>泄漏</item>
      </candidateList>
      <explain/>
      <paraID>4EC8B34A</paraID>
      <start>20</start>
      <end>22</end>
      <status>modified</status>
      <modifiedWord>泄漏</modifiedWord>
      <trackRevisions>false</trackRevisions>
    </reviewItem>
    <reviewItem>
      <errorID>39288fe5-967f-42bc-a8a3-2c2eaba818f1</errorID>
      <errorWord>泄露</errorWord>
      <group>L1_Word</group>
      <groupName>字词问题</groupName>
      <ability>L2_Typo</ability>
      <abilityName>字词错误</abilityName>
      <candidateList>
        <item>泄漏</item>
      </candidateList>
      <explain>存在发音相同字词的误用。</explain>
      <paraID>76CCAE75</paraID>
      <start>25</start>
      <end>27</end>
      <status>modified</status>
      <modifiedWord>泄漏</modifiedWord>
      <trackRevisions>false</trackRevisions>
    </reviewItem>
    <reviewItem>
      <errorID>767cef91-04c5-44e5-adf1-9fc1fa91886f</errorID>
      <errorWord>泄露</errorWord>
      <group>L1_Word</group>
      <groupName>字词问题</groupName>
      <ability>L2_Typo</ability>
      <abilityName>字词错误</abilityName>
      <candidateList>
        <item>泄漏</item>
      </candidateList>
      <explain/>
      <paraID>416EFB7D</paraID>
      <start>10</start>
      <end>12</end>
      <status>modified</status>
      <modifiedWord>泄漏</modifiedWord>
      <trackRevisions>false</trackRevisions>
    </reviewItem>
    <reviewItem>
      <errorID>99e47871-061e-4623-a9e8-08f99ee6b05b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416EFB7D</paraID>
      <start>53</start>
      <end>54</end>
      <status>unmodified</status>
      <modifiedWord/>
      <trackRevisions>false</trackRevisions>
    </reviewItem>
    <reviewItem>
      <errorID>bec550ae-a38b-4d8a-b6cd-c3c238c23d3d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416EFB7D</paraID>
      <start>198</start>
      <end>199</end>
      <status>unmodified</status>
      <modifiedWord/>
      <trackRevisions>false</trackRevisions>
    </reviewItem>
    <reviewItem>
      <errorID>2420d6e0-c4ab-44f0-a6ac-903453b1ea00</errorID>
      <errorWord>~</errorWord>
      <group>L1_Format</group>
      <groupName>格式问题</groupName>
      <ability>L2_HalfPunc</ability>
      <abilityName>全半角检查</abilityName>
      <candidateList>
        <item>～</item>
      </candidateList>
      <explain>文本全半角错误。</explain>
      <paraID>416EFB7D</paraID>
      <start>256</start>
      <end>257</end>
      <status>unmodified</status>
      <modifiedWord/>
      <trackRevisions>false</trackRevisions>
    </reviewItem>
    <reviewItem>
      <errorID>05605d50-b1a7-48a3-97b7-021e582594cc</errorID>
      <errorWord>~</errorWord>
      <group>L1_Format</group>
      <groupName>格式问题</groupName>
      <ability>L2_HalfPunc</ability>
      <abilityName>全半角检查</abilityName>
      <candidateList>
        <item>～</item>
      </candidateList>
      <explain>文本全半角错误。</explain>
      <paraID>416EFB7D</paraID>
      <start>346</start>
      <end>347</end>
      <status>unmodified</status>
      <modifiedWord/>
      <trackRevisions>false</trackRevisions>
    </reviewItem>
    <reviewItem>
      <errorID>bac15734-1983-4169-8e26-5d5084e5ecc0</errorID>
      <errorWord>泄露</errorWord>
      <group>L1_Word</group>
      <groupName>字词问题</groupName>
      <ability>L2_Typo</ability>
      <abilityName>字词错误</abilityName>
      <candidateList>
        <item>泄漏</item>
      </candidateList>
      <explain>存在发音相同字词的误用。</explain>
      <paraID> 3ED4FCD</paraID>
      <start>22</start>
      <end>24</end>
      <status>modified</status>
      <modifiedWord>泄漏</modifiedWord>
      <trackRevisions>false</trackRevisions>
    </reviewItem>
    <reviewItem>
      <errorID>c4b99650-84fa-4d0d-b7b7-008257399f60</errorID>
      <errorWord>泄露</errorWord>
      <group>L1_Word</group>
      <groupName>字词问题</groupName>
      <ability>L2_Typo</ability>
      <abilityName>字词错误</abilityName>
      <candidateList>
        <item>泄漏</item>
      </candidateList>
      <explain>存在发音相同字词的误用。</explain>
      <paraID>280F70A8</paraID>
      <start>25</start>
      <end>27</end>
      <status>modified</status>
      <modifiedWord>泄漏</modifiedWord>
      <trackRevisions>false</trackRevisions>
    </reviewItem>
    <reviewItem>
      <errorID>597a6b63-0f2d-4218-97f5-a9ab8e9f1bbe</errorID>
      <errorWord>（</errorWord>
      <group>L1_Format</group>
      <groupName>格式问题</groupName>
      <ability>L2_HalfPunc</ability>
      <abilityName>全半角检查</abilityName>
      <candidateList>
        <item>(</item>
      </candidateList>
      <explain>文本全半角错误。</explain>
      <paraID>658BFBFC</paraID>
      <start>0</start>
      <end>1</end>
      <status>unmodified</status>
      <modifiedWord/>
      <trackRevisions>false</trackRevisions>
    </reviewItem>
    <reviewItem>
      <errorID>0676271a-0484-4d0e-8764-f8f1588c39cd</errorID>
      <errorWord>）</errorWord>
      <group>L1_Format</group>
      <groupName>格式问题</groupName>
      <ability>L2_HalfPunc</ability>
      <abilityName>全半角检查</abilityName>
      <candidateList>
        <item>)</item>
      </candidateList>
      <explain>文本全半角错误。</explain>
      <paraID>658BFBFC</paraID>
      <start>2</start>
      <end>3</end>
      <status>unmodified</status>
      <modifiedWord/>
      <trackRevisions>false</trackRevisions>
    </reviewItem>
    <reviewItem>
      <errorID>bf4d715c-6d90-4a5d-9cda-280329513ba9</errorID>
      <errorWord>其它</errorWord>
      <group>L1_Word</group>
      <groupName>字词问题</groupName>
      <ability>L2_Alias</ability>
      <abilityName>也作/曾用词</abilityName>
      <candidateList>
        <item>其他</item>
      </candidateList>
      <explain>词汇[其它]为不规范表述或旧称，其规范书面表述为[其他]。</explain>
      <paraID>489AE4F7</paraID>
      <start>61</start>
      <end>63</end>
      <status>modified</status>
      <modifiedWord>其他</modifiedWord>
      <trackRevisions>false</trackRevisions>
    </reviewItem>
    <reviewItem>
      <errorID>41845e67-6f68-4590-9dd7-c154c25277f9</errorID>
      <errorWord>-</errorWord>
      <group>L1_Format</group>
      <groupName>格式问题</groupName>
      <ability>L2_HalfPunc</ability>
      <abilityName>全半角检查</abilityName>
      <candidateList>
        <item>－</item>
      </candidateList>
      <explain>文本全半角错误。</explain>
      <paraID>489AE4F7</paraID>
      <start>80</start>
      <end>81</end>
      <status>unmodified</status>
      <modifiedWord/>
      <trackRevisions>false</trackRevisions>
    </reviewItem>
    <reviewItem>
      <errorID>52bc4347-0e14-4f06-8679-167686b9f8d0</errorID>
      <errorWord>泄露</errorWord>
      <group>L1_Word</group>
      <groupName>字词问题</groupName>
      <ability>L2_Typo</ability>
      <abilityName>字词错误</abilityName>
      <candidateList>
        <item>泄漏</item>
      </candidateList>
      <explain/>
      <paraID> C88BDAB</paraID>
      <start>135</start>
      <end>137</end>
      <status>modified</status>
      <modifiedWord>泄漏</modifiedWord>
      <trackRevisions>false</trackRevisions>
    </reviewItem>
    <reviewItem>
      <errorID>fc7bc156-ea20-4f4f-86df-509931f5741e</errorID>
      <errorWord>泄露</errorWord>
      <group>L1_Word</group>
      <groupName>字词问题</groupName>
      <ability>L2_Typo</ability>
      <abilityName>字词错误</abilityName>
      <candidateList>
        <item>泄漏</item>
      </candidateList>
      <explain/>
      <paraID> C88BDAB</paraID>
      <start>155</start>
      <end>157</end>
      <status>modified</status>
      <modifiedWord>泄漏</modifiedWord>
      <trackRevisions>false</trackRevisions>
    </reviewItem>
    <reviewItem>
      <errorID>2bf88a89-9332-45d9-a7f1-021ba3529670</errorID>
      <errorWord>(</errorWord>
      <group>L1_Format</group>
      <groupName>格式问题</groupName>
      <ability>L2_HalfPunc</ability>
      <abilityName>全半角检查</abilityName>
      <candidateList>
        <item>（</item>
      </candidateList>
      <explain>文本全半角错误。</explain>
      <paraID>11A6EBE8</paraID>
      <start>49</start>
      <end>50</end>
      <status>unmodified</status>
      <modifiedWord/>
      <trackRevisions>false</trackRevisions>
    </reviewItem>
    <reviewItem>
      <errorID>08bf4826-0ada-4676-b5ca-832ec9b08e1f</errorID>
      <errorWord>~</errorWord>
      <group>L1_Format</group>
      <groupName>格式问题</groupName>
      <ability>L2_HalfPunc</ability>
      <abilityName>全半角检查</abilityName>
      <candidateList>
        <item>～</item>
      </candidateList>
      <explain>文本全半角错误。</explain>
      <paraID>11A6EBE8</paraID>
      <start>59</start>
      <end>60</end>
      <status>unmodified</status>
      <modifiedWord/>
      <trackRevisions>false</trackRevisions>
    </reviewItem>
    <reviewItem>
      <errorID>7f63cd03-df60-4710-82c4-cc63d4f0aaca</errorID>
      <errorWord>)</errorWord>
      <group>L1_Format</group>
      <groupName>格式问题</groupName>
      <ability>L2_HalfPunc</ability>
      <abilityName>全半角检查</abilityName>
      <candidateList>
        <item>）</item>
      </candidateList>
      <explain>文本全半角错误。</explain>
      <paraID>11A6EBE8</paraID>
      <start>68</start>
      <end>69</end>
      <status>unmodified</status>
      <modifiedWord/>
      <trackRevisions>false</trackRevisions>
    </reviewItem>
    <reviewItem>
      <errorID>6812b3bb-1f00-47db-b4c3-b40ccbe8b603</errorID>
      <errorWord>~</errorWord>
      <group>L1_Format</group>
      <groupName>格式问题</groupName>
      <ability>L2_HalfPunc</ability>
      <abilityName>全半角检查</abilityName>
      <candidateList>
        <item>～</item>
      </candidateList>
      <explain>文本全半角错误。</explain>
      <paraID>2494F7F1</paraID>
      <start>9</start>
      <end>10</end>
      <status>unmodified</status>
      <modifiedWord/>
      <trackRevisions>false</trackRevisions>
    </reviewItem>
    <reviewItem>
      <errorID>4c62c12b-59c0-45db-b7ad-09f1cf5e6f3e</errorID>
      <errorWord>泄露</errorWord>
      <group>L1_Word</group>
      <groupName>字词问题</groupName>
      <ability>L2_Typo</ability>
      <abilityName>字词错误</abilityName>
      <candidateList>
        <item>泄漏</item>
      </candidateList>
      <explain/>
      <paraID>2494F7F1</paraID>
      <start>39</start>
      <end>41</end>
      <status>modified</status>
      <modifiedWord>泄漏</modifiedWord>
      <trackRevisions>false</trackRevisions>
    </reviewItem>
    <reviewItem>
      <errorID>a8b3737c-0889-408e-bce4-2f8a4458695e</errorID>
      <errorWord>泄露</errorWord>
      <group>L1_Word</group>
      <groupName>字词问题</groupName>
      <ability>L2_Typo</ability>
      <abilityName>字词错误</abilityName>
      <candidateList>
        <item>泄漏</item>
      </candidateList>
      <explain>存在发音相同字词的误用。</explain>
      <paraID>2494F7F1</paraID>
      <start>155</start>
      <end>157</end>
      <status>modified</status>
      <modifiedWord>泄漏</modifiedWord>
      <trackRevisions>false</trackRevisions>
    </reviewItem>
    <reviewItem>
      <errorID>a9c30634-e5e9-43c2-8849-6b5761c06233</errorID>
      <errorWord>(</errorWord>
      <group>L1_Format</group>
      <groupName>格式问题</groupName>
      <ability>L2_HalfPunc</ability>
      <abilityName>全半角检查</abilityName>
      <candidateList>
        <item>（</item>
      </candidateList>
      <explain>文本全半角错误。</explain>
      <paraID>6311A8E8</paraID>
      <start>4</start>
      <end>5</end>
      <status>unmodified</status>
      <modifiedWord/>
      <trackRevisions>false</trackRevisions>
    </reviewItem>
    <reviewItem>
      <errorID>978de578-f36e-4d2c-a514-c9bbca56ada5</errorID>
      <errorWord>)</errorWord>
      <group>L1_Format</group>
      <groupName>格式问题</groupName>
      <ability>L2_HalfPunc</ability>
      <abilityName>全半角检查</abilityName>
      <candidateList>
        <item>）</item>
      </candidateList>
      <explain>文本全半角错误。</explain>
      <paraID>6311A8E8</paraID>
      <start>8</start>
      <end>9</end>
      <status>unmodified</status>
      <modifiedWord/>
      <trackRevisions>false</trackRevisions>
    </reviewItem>
    <reviewItem>
      <errorID>5344495e-f642-477d-931e-542db7419f75</errorID>
      <errorWord>＞</errorWord>
      <group>L1_Format</group>
      <groupName>格式问题</groupName>
      <ability>L2_HalfPunc</ability>
      <abilityName>全半角检查</abilityName>
      <candidateList>
        <item>&gt;</item>
      </candidateList>
      <explain>文本全半角错误。</explain>
      <paraID>3D0D4AD7</paraID>
      <start>0</start>
      <end>1</end>
      <status>unmodified</status>
      <modifiedWord/>
      <trackRevisions>false</trackRevisions>
    </reviewItem>
    <reviewItem>
      <errorID>560d8aa0-b8e7-409c-8157-3892532703c6</errorID>
      <errorWord>&gt;</errorWord>
      <group>L1_Punc</group>
      <groupName>标点问题</groupName>
      <ability>L2_Punc</ability>
      <abilityName>标点符号检查</abilityName>
      <candidateList/>
      <explain/>
      <paraID>68E72D1B</paraID>
      <start>0</start>
      <end>1</end>
      <status>unmodified</status>
      <modifiedWord/>
      <trackRevisions>false</trackRevisions>
    </reviewItem>
    <reviewItem>
      <errorID>d4fed213-225c-4647-87de-cf90723a4911</errorID>
      <errorWord>(</errorWord>
      <group>L1_Format</group>
      <groupName>格式问题</groupName>
      <ability>L2_HalfPunc</ability>
      <abilityName>全半角检查</abilityName>
      <candidateList>
        <item>（</item>
      </candidateList>
      <explain>文本全半角错误。</explain>
      <paraID>5702A5DC</paraID>
      <start>51</start>
      <end>52</end>
      <status>unmodified</status>
      <modifiedWord/>
      <trackRevisions>false</trackRevisions>
    </reviewItem>
    <reviewItem>
      <errorID>86180ce8-578e-47d0-a56b-b8e686a29c97</errorID>
      <errorWord>~</errorWord>
      <group>L1_Format</group>
      <groupName>格式问题</groupName>
      <ability>L2_HalfPunc</ability>
      <abilityName>全半角检查</abilityName>
      <candidateList>
        <item>～</item>
      </candidateList>
      <explain>文本全半角错误。</explain>
      <paraID>5702A5DC</paraID>
      <start>61</start>
      <end>62</end>
      <status>unmodified</status>
      <modifiedWord/>
      <trackRevisions>false</trackRevisions>
    </reviewItem>
    <reviewItem>
      <errorID>e8ec55a2-2be3-40d6-8124-7f053e548d78</errorID>
      <errorWord>)</errorWord>
      <group>L1_Format</group>
      <groupName>格式问题</groupName>
      <ability>L2_HalfPunc</ability>
      <abilityName>全半角检查</abilityName>
      <candidateList>
        <item>）</item>
      </candidateList>
      <explain>文本全半角错误。</explain>
      <paraID>5702A5DC</paraID>
      <start>70</start>
      <end>71</end>
      <status>unmodified</status>
      <modifiedWord/>
      <trackRevisions>false</trackRevisions>
    </reviewItem>
    <reviewItem>
      <errorID>deb31a19-a0aa-48b8-922b-41871dbe989e</errorID>
      <errorWord>~</errorWord>
      <group>L1_Format</group>
      <groupName>格式问题</groupName>
      <ability>L2_HalfPunc</ability>
      <abilityName>全半角检查</abilityName>
      <candidateList>
        <item>～</item>
      </candidateList>
      <explain>文本全半角错误。</explain>
      <paraID>140D2547</paraID>
      <start>9</start>
      <end>10</end>
      <status>unmodified</status>
      <modifiedWord/>
      <trackRevisions>false</trackRevisions>
    </reviewItem>
    <reviewItem>
      <errorID>08d32aff-ffac-4910-8498-428a39b0247b</errorID>
      <errorWord>泄露</errorWord>
      <group>L1_Word</group>
      <groupName>字词问题</groupName>
      <ability>L2_Typo</ability>
      <abilityName>字词错误</abilityName>
      <candidateList>
        <item>泄漏</item>
      </candidateList>
      <explain/>
      <paraID>140D2547</paraID>
      <start>41</start>
      <end>43</end>
      <status>modified</status>
      <modifiedWord>泄漏</modifiedWord>
      <trackRevisions>false</trackRevisions>
    </reviewItem>
    <reviewItem>
      <errorID>a2c44942-5d54-4354-b259-9ffac978c3c2</errorID>
      <errorWord>泄露</errorWord>
      <group>L1_Word</group>
      <groupName>字词问题</groupName>
      <ability>L2_Typo</ability>
      <abilityName>字词错误</abilityName>
      <candidateList>
        <item>泄漏</item>
      </candidateList>
      <explain/>
      <paraID>140D2547</paraID>
      <start>162</start>
      <end>164</end>
      <status>modified</status>
      <modifiedWord>泄漏</modifiedWord>
      <trackRevisions>false</trackRevisions>
    </reviewItem>
    <reviewItem>
      <errorID>ea35808f-8bc2-48d6-9d66-a03dfb121f98</errorID>
      <errorWord>泄露</errorWord>
      <group>L1_Word</group>
      <groupName>字词问题</groupName>
      <ability>L2_Typo</ability>
      <abilityName>字词错误</abilityName>
      <candidateList>
        <item>泄漏</item>
      </candidateList>
      <explain>存在发音相同字词的误用。</explain>
      <paraID>140D2547</paraID>
      <start>280</start>
      <end>282</end>
      <status>modified</status>
      <modifiedWord>泄漏</modifiedWord>
      <trackRevisions>false</trackRevisions>
    </reviewItem>
    <reviewItem>
      <errorID>6994d531-474e-445f-b6ad-d20acbc4045d</errorID>
      <errorWord>泄露</errorWord>
      <group>L1_Word</group>
      <groupName>字词问题</groupName>
      <ability>L2_Typo</ability>
      <abilityName>字词错误</abilityName>
      <candidateList>
        <item>泄漏</item>
      </candidateList>
      <explain>存在发音相同字词的误用。</explain>
      <paraID>140D2547</paraID>
      <start>287</start>
      <end>289</end>
      <status>modified</status>
      <modifiedWord>泄漏</modifiedWord>
      <trackRevisions>false</trackRevisions>
    </reviewItem>
    <reviewItem>
      <errorID>7a7e6904-e653-4da4-869f-3c0252fd1d1f</errorID>
      <errorWord>(</errorWord>
      <group>L1_Format</group>
      <groupName>格式问题</groupName>
      <ability>L2_HalfPunc</ability>
      <abilityName>全半角检查</abilityName>
      <candidateList>
        <item>（</item>
      </candidateList>
      <explain>文本全半角错误。</explain>
      <paraID>62B958A5</paraID>
      <start>4</start>
      <end>5</end>
      <status>unmodified</status>
      <modifiedWord/>
      <trackRevisions>false</trackRevisions>
    </reviewItem>
    <reviewItem>
      <errorID>495e1351-4537-4932-b046-4d11c72de928</errorID>
      <errorWord>)</errorWord>
      <group>L1_Format</group>
      <groupName>格式问题</groupName>
      <ability>L2_HalfPunc</ability>
      <abilityName>全半角检查</abilityName>
      <candidateList>
        <item>）</item>
      </candidateList>
      <explain>文本全半角错误。</explain>
      <paraID>62B958A5</paraID>
      <start>8</start>
      <end>9</end>
      <status>unmodified</status>
      <modifiedWord/>
      <trackRevisions>false</trackRevisions>
    </reviewItem>
    <reviewItem>
      <errorID>9a12d4c2-47e4-4e37-90ec-211b0725e228</errorID>
      <errorWord>＞</errorWord>
      <group>L1_Format</group>
      <groupName>格式问题</groupName>
      <ability>L2_HalfPunc</ability>
      <abilityName>全半角检查</abilityName>
      <candidateList>
        <item>&gt;</item>
      </candidateList>
      <explain>文本全半角错误。</explain>
      <paraID>7189DF3C</paraID>
      <start>0</start>
      <end>1</end>
      <status>unmodified</status>
      <modifiedWord/>
      <trackRevisions>false</trackRevisions>
    </reviewItem>
    <reviewItem>
      <errorID>61ad3968-c7e8-402a-88ae-f7221a58f37b</errorID>
      <errorWord>&gt;</errorWord>
      <group>L1_Punc</group>
      <groupName>标点问题</groupName>
      <ability>L2_Punc</ability>
      <abilityName>标点符号检查</abilityName>
      <candidateList/>
      <explain/>
      <paraID>1EC49CD9</paraID>
      <start>0</start>
      <end>1</end>
      <status>unmodified</status>
      <modifiedWord/>
      <trackRevisions>false</trackRevisions>
    </reviewItem>
    <reviewItem>
      <errorID>d4d6b786-23f6-4df2-b55b-0b1990b14a00</errorID>
      <errorWord>泄露</errorWord>
      <group>L1_Word</group>
      <groupName>字词问题</groupName>
      <ability>L2_Typo</ability>
      <abilityName>字词错误</abilityName>
      <candidateList>
        <item>泄漏</item>
      </candidateList>
      <explain>存在发音相同字词的误用。</explain>
      <paraID>418E6ACE</paraID>
      <start>75</start>
      <end>77</end>
      <status>modified</status>
      <modifiedWord>泄漏</modifiedWord>
      <trackRevisions>false</trackRevisions>
    </reviewItem>
    <reviewItem>
      <errorID>cca7ca7c-ec48-4ebf-a073-62d41d4095ee</errorID>
      <errorWord>泄露</errorWord>
      <group>L1_Word</group>
      <groupName>字词问题</groupName>
      <ability>L2_Typo</ability>
      <abilityName>字词错误</abilityName>
      <candidateList>
        <item>泄漏</item>
      </candidateList>
      <explain>存在发音相同字词的误用。</explain>
      <paraID>418E6ACE</paraID>
      <start>87</start>
      <end>89</end>
      <status>modified</status>
      <modifiedWord>泄漏</modifiedWord>
      <trackRevisions>false</trackRevisions>
    </reviewItem>
    <reviewItem>
      <errorID>d6e08f2a-3614-4a11-8a55-70d81b1dd287</errorID>
      <errorWord>，。</errorWord>
      <group>L1_Punc</group>
      <groupName>标点问题</groupName>
      <ability>L2_Punc</ability>
      <abilityName>标点符号检查</abilityName>
      <candidateList>
        <item>，</item>
      </candidateList>
      <explain/>
      <paraID>418E6ACE</paraID>
      <start>184</start>
      <end>186</end>
      <status>unmodified</status>
      <modifiedWord/>
      <trackRevisions>false</trackRevisions>
    </reviewItem>
    <reviewItem>
      <errorID>3791ef47-2769-46f7-9e5c-c60e6d27725a</errorID>
      <errorWord>分</errorWord>
      <group>L1_Word</group>
      <groupName>字词问题</groupName>
      <ability>L2_Typo</ability>
      <abilityName>字词错误</abilityName>
      <candidateList>
        <item>分为</item>
      </candidateList>
      <explain/>
      <paraID>39E8CACA</paraID>
      <start>49</start>
      <end>50</end>
      <status>unmodified</status>
      <modifiedWord/>
      <trackRevisions>false</trackRevisions>
    </reviewItem>
    <reviewItem>
      <errorID>c600efbf-def4-4b3f-a320-894ffb70415b</errorID>
      <errorWord>蒸气</errorWord>
      <group>L1_Word</group>
      <groupName>字词问题</groupName>
      <ability>L2_Typo</ability>
      <abilityName>字词错误</abilityName>
      <candidateList>
        <item>蒸汽</item>
      </candidateList>
      <explain/>
      <paraID> E741978</paraID>
      <start>2</start>
      <end>4</end>
      <status>unmodified</status>
      <modifiedWord/>
      <trackRevisions>false</trackRevisions>
    </reviewItem>
    <reviewItem>
      <errorID>82a1facf-371f-4be4-94c9-09447c50dd25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1B8C3B6D</paraID>
      <start>0</start>
      <end>2</end>
      <status>unmodified</status>
      <modifiedWord/>
      <trackRevisions>false</trackRevisions>
    </reviewItem>
    <reviewItem>
      <errorID>fc4892d5-84a0-43ef-9e55-cb5bd5656de9</errorID>
      <errorWord>|</errorWord>
      <group>L1_Format</group>
      <groupName>格式问题</groupName>
      <ability>L2_HalfPunc</ability>
      <abilityName>全半角检查</abilityName>
      <candidateList>
        <item>｜</item>
      </candidateList>
      <explain>文本全半角错误。</explain>
      <paraID>4891F446</paraID>
      <start>4</start>
      <end>5</end>
      <status>unmodified</status>
      <modifiedWord/>
      <trackRevisions>false</trackRevisions>
    </reviewItem>
    <reviewItem>
      <errorID>c4ba8ceb-3247-4e61-828e-810e867ebb9f</errorID>
      <errorWord>(</errorWord>
      <group>L1_Format</group>
      <groupName>格式问题</groupName>
      <ability>L2_HalfPunc</ability>
      <abilityName>全半角检查</abilityName>
      <candidateList>
        <item>（</item>
      </candidateList>
      <explain>文本全半角错误。</explain>
      <paraID>4891F446</paraID>
      <start>7</start>
      <end>8</end>
      <status>unmodified</status>
      <modifiedWord/>
      <trackRevisions>false</trackRevisions>
    </reviewItem>
    <reviewItem>
      <errorID>314bf26f-a422-4f1a-9902-f3cf2c2a3d44</errorID>
      <errorWord>)</errorWord>
      <group>L1_Format</group>
      <groupName>格式问题</groupName>
      <ability>L2_HalfPunc</ability>
      <abilityName>全半角检查</abilityName>
      <candidateList>
        <item>）</item>
      </candidateList>
      <explain>文本全半角错误。</explain>
      <paraID>4891F446</paraID>
      <start>11</start>
      <end>12</end>
      <status>unmodified</status>
      <modifiedWord/>
      <trackRevisions>false</trackRevisions>
    </reviewItem>
    <reviewItem>
      <errorID>af1973cf-78f6-4dbe-a1b6-ff2406314789</errorID>
      <errorWord>鰮</errorWord>
      <group>L1_Word</group>
      <groupName>字词问题</groupName>
      <ability>L2_Fanti</ability>
      <abilityName>繁转简</abilityName>
      <candidateList>
        <item>鳁</item>
      </candidateList>
      <explain/>
      <paraID>33BA40CC</paraID>
      <start>0</start>
      <end>1</end>
      <status>unmodified</status>
      <modifiedWord/>
      <trackRevisions>false</trackRevisions>
    </reviewItem>
    <reviewItem>
      <errorID>8396cdad-5c88-41c0-a340-d43fab8af079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7F2097A6</paraID>
      <start>0</start>
      <end>2</end>
      <status>unmodified</status>
      <modifiedWord/>
      <trackRevisions>false</trackRevisions>
    </reviewItem>
    <reviewItem>
      <errorID>39489c6d-59aa-425f-9819-09a7dfc19caf</errorID>
      <errorWord>蒸气</errorWord>
      <group>L1_Word</group>
      <groupName>字词问题</groupName>
      <ability>L2_Typo</ability>
      <abilityName>字词错误</abilityName>
      <candidateList>
        <item>蒸汽</item>
      </candidateList>
      <explain/>
      <paraID>7707C5BF</paraID>
      <start>2</start>
      <end>4</end>
      <status>unmodified</status>
      <modifiedWord/>
      <trackRevisions>false</trackRevisions>
    </reviewItem>
    <reviewItem>
      <errorID>af473e87-c9b9-48c0-9337-e7564c7309bd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37EB06E0</paraID>
      <start>0</start>
      <end>2</end>
      <status>unmodified</status>
      <modifiedWord/>
      <trackRevisions>false</trackRevisions>
    </reviewItem>
    <reviewItem>
      <errorID>489557e8-0049-45d7-9f44-d9a383c00af1</errorID>
      <errorWord>|</errorWord>
      <group>L1_Format</group>
      <groupName>格式问题</groupName>
      <ability>L2_HalfPunc</ability>
      <abilityName>全半角检查</abilityName>
      <candidateList>
        <item>｜</item>
      </candidateList>
      <explain>文本全半角错误。</explain>
      <paraID>7A376016</paraID>
      <start>4</start>
      <end>5</end>
      <status>unmodified</status>
      <modifiedWord/>
      <trackRevisions>false</trackRevisions>
    </reviewItem>
    <reviewItem>
      <errorID>f9534674-1960-4525-9057-61ea89256ae0</errorID>
      <errorWord>(</errorWord>
      <group>L1_Format</group>
      <groupName>格式问题</groupName>
      <ability>L2_HalfPunc</ability>
      <abilityName>全半角检查</abilityName>
      <candidateList>
        <item>（</item>
      </candidateList>
      <explain>文本全半角错误。</explain>
      <paraID>7A376016</paraID>
      <start>7</start>
      <end>8</end>
      <status>unmodified</status>
      <modifiedWord/>
      <trackRevisions>false</trackRevisions>
    </reviewItem>
    <reviewItem>
      <errorID>9eee9bb1-848a-4786-8901-1cf869e9e9c8</errorID>
      <errorWord>)</errorWord>
      <group>L1_Format</group>
      <groupName>格式问题</groupName>
      <ability>L2_HalfPunc</ability>
      <abilityName>全半角检查</abilityName>
      <candidateList>
        <item>）</item>
      </candidateList>
      <explain>文本全半角错误。</explain>
      <paraID>7A376016</paraID>
      <start>11</start>
      <end>12</end>
      <status>unmodified</status>
      <modifiedWord/>
      <trackRevisions>false</trackRevisions>
    </reviewItem>
    <reviewItem>
      <errorID>36b9f76a-3213-4c3c-b379-5cdc33a45dcd</errorID>
      <errorWord>鰮</errorWord>
      <group>L1_Word</group>
      <groupName>字词问题</groupName>
      <ability>L2_Fanti</ability>
      <abilityName>繁转简</abilityName>
      <candidateList>
        <item>鳁</item>
      </candidateList>
      <explain/>
      <paraID>6DE515C4</paraID>
      <start>0</start>
      <end>1</end>
      <status>unmodified</status>
      <modifiedWord/>
      <trackRevisions>false</trackRevisions>
    </reviewItem>
    <reviewItem>
      <errorID>de1e90aa-2b11-4c65-90fa-f7a7a275bbd6</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71DB1654</paraID>
      <start>77</start>
      <end>78</end>
      <status>modified</status>
      <modifiedWord>地</modifiedWord>
      <trackRevisions>false</trackRevisions>
    </reviewItem>
    <reviewItem>
      <errorID>da17f909-07c2-4a9e-8b52-d13e977fc6be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4BFD7196</paraID>
      <start>0</start>
      <end>2</end>
      <status>unmodified</status>
      <modifiedWord/>
      <trackRevisions>false</trackRevisions>
    </reviewItem>
    <reviewItem>
      <errorID>f7eb2e22-fea5-4819-bb24-3f49ba27d31e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5F62A98D</paraID>
      <start>0</start>
      <end>2</end>
      <status>unmodified</status>
      <modifiedWord/>
      <trackRevisions>false</trackRevisions>
    </reviewItem>
    <reviewItem>
      <errorID>11dd1333-660f-4ce2-ab8d-4766ed76d2f8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2EDC4B6D</paraID>
      <start>0</start>
      <end>2</end>
      <status>unmodified</status>
      <modifiedWord/>
      <trackRevisions>false</trackRevisions>
    </reviewItem>
    <reviewItem>
      <errorID>2ff140dd-438c-40ce-bdb1-a25080c76275</errorID>
      <errorWord>泄漏监测</errorWord>
      <group>L1_Knowledge</group>
      <groupName>知识性问题</groupName>
      <ability>L2_Term</ability>
      <abilityName>专业术语</abilityName>
      <candidateList>
        <item>泄漏检测</item>
      </candidateList>
      <explain/>
      <paraID>24825B7C</paraID>
      <start>88</start>
      <end>92</end>
      <status>unmodified</status>
      <modifiedWord/>
      <trackRevisions>false</trackRevisions>
    </reviewItem>
    <reviewItem>
      <errorID>86775edb-f3ce-454a-8bb2-964e477de01c</errorID>
      <errorWord>到上</errorWord>
      <group>L1_Word</group>
      <groupName>字词问题</groupName>
      <ability>L2_Typo</ability>
      <abilityName>字词错误</abilityName>
      <candidateList>
        <item>至上</item>
      </candidateList>
      <explain>〈形〉（地位、权力等）最高：顾客～｜国家利益～。</explain>
      <paraID>58EE014C</paraID>
      <start>10</start>
      <end>12</end>
      <status>unmodified</status>
      <modifiedWord/>
      <trackRevisions>false</trackRevisions>
    </reviewItem>
    <reviewItem>
      <errorID>f108d629-cfd4-44f3-adaf-e869b5bf1721</errorID>
      <errorWord>连锁效应</errorWord>
      <group>L1_Knowledge</group>
      <groupName>知识性问题</groupName>
      <ability>L2_Idiom</ability>
      <abilityName>成语和诗歌</abilityName>
      <candidateList>
        <item>连锁反应</item>
      </candidateList>
      <explain>1.链式反应
2.链式反应
3.比喻若干个相关的事物，只要一个发生变化，其他都跟着发生变化：商品市场扩大了，就会引起工业生产的～。</explain>
      <paraID>5CCF5CCA</paraID>
      <start>23</start>
      <end>27</end>
      <status>unmodified</status>
      <modifiedWord/>
      <trackRevisions>false</trackRevisions>
    </reviewItem>
    <reviewItem>
      <errorID>d6e2a39b-bd3f-4676-94a1-a93b11b1c9c7</errorID>
      <errorWord>泄漏探测</errorWord>
      <group>L1_Knowledge</group>
      <groupName>知识性问题</groupName>
      <ability>L2_Term</ability>
      <abilityName>专业术语</abilityName>
      <candidateList>
        <item>泄漏检测</item>
      </candidateList>
      <explain/>
      <paraID>776470AE</paraID>
      <start>76</start>
      <end>80</end>
      <status>unmodified</status>
      <modifiedWord/>
      <trackRevisions>false</trackRevisions>
    </reviewItem>
    <reviewItem>
      <errorID>afab0699-830a-4020-b3a6-b8a179d155f3</errorID>
      <errorWord>设</errorWord>
      <group>L1_Word</group>
      <groupName>字词问题</groupName>
      <ability>L2_Typo</ability>
      <abilityName>字词错误</abilityName>
      <candidateList>
        <item>设置</item>
      </candidateList>
      <explain>〈动〉❶设立：这座剧院是为儿童～的。❷安放；安装：～障碍。</explain>
      <paraID>706848DC</paraID>
      <start>18</start>
      <end>19</end>
      <status>unmodified</status>
      <modifiedWord/>
      <trackRevisions>false</trackRevisions>
    </reviewItem>
    <reviewItem>
      <errorID>10924e00-3ecc-4ba8-84c8-d9b84c858287</errorID>
      <errorWord>泄漏监测</errorWord>
      <group>L1_Knowledge</group>
      <groupName>知识性问题</groupName>
      <ability>L2_Term</ability>
      <abilityName>专业术语</abilityName>
      <candidateList>
        <item>泄漏检测</item>
      </candidateList>
      <explain/>
      <paraID>48D8E1A3</paraID>
      <start>78</start>
      <end>82</end>
      <status>unmodified</status>
      <modifiedWord/>
      <trackRevisions>false</trackRevisions>
    </reviewItem>
    <reviewItem>
      <errorID>ab35ae45-505e-4d70-9db1-deaee605cfaa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5F058786</paraID>
      <start>0</start>
      <end>2</end>
      <status>unmodified</status>
      <modifiedWord/>
      <trackRevisions>false</trackRevisions>
    </reviewItem>
    <reviewItem>
      <errorID>c8b7a47a-c8d0-47f9-b669-6dd9446e6759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1958E40F</paraID>
      <start>0</start>
      <end>2</end>
      <status>unmodified</status>
      <modifiedWord/>
      <trackRevisions>false</trackRevisions>
    </reviewItem>
    <reviewItem>
      <errorID>5818d7f8-2192-4132-bd17-33eb64468087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3EF36202</paraID>
      <start>0</start>
      <end>2</end>
      <status>unmodified</status>
      <modifiedWord/>
      <trackRevisions>false</trackRevisions>
    </reviewItem>
    <reviewItem>
      <errorID>d5715aa5-d705-4942-a9db-fad4b10f9fac</errorID>
      <errorWord>提高</errorWord>
      <group>L1_Grammar</group>
      <groupName>语法问题</groupName>
      <ability>L2_Grammar</ability>
      <abilityName>语法错误</abilityName>
      <candidateList>
        <item>增强</item>
      </candidateList>
      <explain>“提高～意识”搭配不当，建议修改为“增强～意识”。</explain>
      <paraID>3EF36202</paraID>
      <start>13</start>
      <end>15</end>
      <status>unmodified</status>
      <modifiedWord/>
      <trackRevisions>false</trackRevisions>
    </reviewItem>
    <reviewItem>
      <errorID>fbc521a7-2a8a-4441-a0b3-4677774a02d8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104D3DEC</paraID>
      <start>0</start>
      <end>2</end>
      <status>unmodified</status>
      <modifiedWord/>
      <trackRevisions>false</trackRevisions>
    </reviewItem>
    <reviewItem>
      <errorID>cb359907-5bfb-471f-b10e-f2b5f337462e</errorID>
      <errorWord>-</errorWord>
      <group>L1_Format</group>
      <groupName>格式问题</groupName>
      <ability>L2_HalfPunc</ability>
      <abilityName>全半角检查</abilityName>
      <candidateList>
        <item>－</item>
      </candidateList>
      <explain>文本全半角错误。</explain>
      <paraID>5C53F243</paraID>
      <start>41</start>
      <end>42</end>
      <status>unmodified</status>
      <modifiedWord/>
      <trackRevisions>false</trackRevisions>
    </reviewItem>
    <reviewItem>
      <errorID>b825bc1b-e776-4708-9b34-72af30730559</errorID>
      <errorWord>-</errorWord>
      <group>L1_Format</group>
      <groupName>格式问题</groupName>
      <ability>L2_HalfPunc</ability>
      <abilityName>全半角检查</abilityName>
      <candidateList>
        <item>－</item>
      </candidateList>
      <explain>文本全半角错误。</explain>
      <paraID>5C53F243</paraID>
      <start>46</start>
      <end>47</end>
      <status>unmodified</status>
      <modifiedWord/>
      <trackRevisions>false</trackRevisions>
    </reviewItem>
    <reviewItem>
      <errorID>215e1b2c-3d96-4a02-ac30-bfedb0b6984e</errorID>
      <errorWord>-</errorWord>
      <group>L1_Format</group>
      <groupName>格式问题</groupName>
      <ability>L2_HalfPunc</ability>
      <abilityName>全半角检查</abilityName>
      <candidateList>
        <item>－</item>
      </candidateList>
      <explain>文本全半角错误。</explain>
      <paraID>5C53F243</paraID>
      <start>53</start>
      <end>54</end>
      <status>unmodified</status>
      <modifiedWord/>
      <trackRevisions>false</trackRevisions>
    </reviewItem>
    <reviewItem>
      <errorID>fd2b52ab-7d05-4ecc-aee4-7cc16797c3fb</errorID>
      <errorWord>码头上</errorWord>
      <group>L1_Word</group>
      <groupName>字词问题</groupName>
      <ability>L2_Typo</ability>
      <abilityName>字词错误</abilityName>
      <candidateList>
        <item>码头</item>
      </candidateList>
      <explain/>
      <paraID>5C53F243</paraID>
      <start>192</start>
      <end>195</end>
      <status>unmodified</status>
      <modifiedWord/>
      <trackRevisions>false</trackRevisions>
    </reviewItem>
    <reviewItem>
      <errorID>fed65473-c5f4-4ec5-8153-70718ff98f16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ECB7FC1</paraID>
      <start>0</start>
      <end>2</end>
      <status>unmodified</status>
      <modifiedWord/>
      <trackRevisions>false</trackRevisions>
    </reviewItem>
    <reviewItem>
      <errorID>ed09a1fd-e0f7-4b67-97bb-71f1d6287b31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545607EC</paraID>
      <start>0</start>
      <end>2</end>
      <status>unmodified</status>
      <modifiedWord/>
      <trackRevisions>false</trackRevisions>
    </reviewItem>
    <reviewItem>
      <errorID>687b9304-1d41-4489-a59e-49f971a53425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49850BBA</paraID>
      <start>0</start>
      <end>2</end>
      <status>unmodified</status>
      <modifiedWord/>
      <trackRevisions>false</trackRevisions>
    </reviewItem>
    <reviewItem>
      <errorID>8f40b0ab-7615-4521-8290-6d22f4b47d1d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6E2FA733</paraID>
      <start>0</start>
      <end>2</end>
      <status>unmodified</status>
      <modifiedWord/>
      <trackRevisions>false</trackRevisions>
    </reviewItem>
    <reviewItem>
      <errorID>988fd996-7fc9-4a23-9c07-6d2061041a4c</errorID>
      <errorWord>了望</errorWord>
      <group>L1_Word</group>
      <groupName>字词问题</groupName>
      <ability>L2_Typo</ability>
      <abilityName>字词错误</abilityName>
      <candidateList>
        <item>瞭望</item>
      </candidateList>
      <explain>〈动〉❶登高远望：极目～，海天茫茫。❷特指从高处或远处监视敌情：～哨｜海防战士～着广阔的海面。</explain>
      <paraID> 73A8510</paraID>
      <start>56</start>
      <end>58</end>
      <status>unmodified</status>
      <modifiedWord/>
      <trackRevisions>false</trackRevisions>
    </reviewItem>
    <reviewItem>
      <errorID>4e1893a8-0098-4cb5-bcb6-82345bafc872</errorID>
      <errorWord>泄漏监测</errorWord>
      <group>L1_Knowledge</group>
      <groupName>知识性问题</groupName>
      <ability>L2_Term</ability>
      <abilityName>专业术语</abilityName>
      <candidateList>
        <item>泄漏检测</item>
      </candidateList>
      <explain/>
      <paraID>5C55F682</paraID>
      <start>51</start>
      <end>55</end>
      <status>unmodified</status>
      <modifiedWord/>
      <trackRevisions>false</trackRevisions>
    </reviewItem>
    <reviewItem>
      <errorID>e001d9a5-bebf-4a08-ae7f-c1fddaa712c2</errorID>
      <errorWord>输运</errorWord>
      <group>L1_Word</group>
      <groupName>字词问题</groupName>
      <ability>L2_Typo</ability>
      <abilityName>字词错误</abilityName>
      <candidateList>
        <item>运输</item>
      </candidateList>
      <explain/>
      <paraID>5C55F682</paraID>
      <start>99</start>
      <end>101</end>
      <status>modified</status>
      <modifiedWord>运输</modifiedWord>
      <trackRevisions>false</trackRevisions>
    </reviewItem>
    <reviewItem>
      <errorID>7917b084-14e4-43d0-b809-b566fb9cfa71</errorID>
      <errorWord>上述的</errorWord>
      <group>L1_Word</group>
      <groupName>字词问题</groupName>
      <ability>L2_Typo</ability>
      <abilityName>字词错误</abilityName>
      <candidateList>
        <item>上述</item>
      </candidateList>
      <explain>〈形〉属性词。上面所说的：～各条，望切实执行。</explain>
      <paraID> 9D9D2E5</paraID>
      <start>4</start>
      <end>7</end>
      <status>unmodified</status>
      <modifiedWord/>
      <trackRevisions>false</trackRevisions>
    </reviewItem>
    <reviewItem>
      <errorID>c1df9a1b-4931-4a47-b2a0-d7311d761ef2</errorID>
      <errorWord>撇油</errorWord>
      <group>L1_Word</group>
      <groupName>字词问题</groupName>
      <ability>L2_Typo</ability>
      <abilityName>字词错误</abilityName>
      <candidateList>
        <item>刮油</item>
      </candidateList>
      <explain/>
      <paraID>41D0BB27</paraID>
      <start>111</start>
      <end>113</end>
      <status>unmodified</status>
      <modifiedWord/>
      <trackRevisions>false</trackRevisions>
    </reviewItem>
    <reviewItem>
      <errorID>70240591-3339-48ec-be3d-4562b1b53513</errorID>
      <errorWord>采用的</errorWord>
      <group>L1_Word</group>
      <groupName>字词问题</groupName>
      <ability>L2_Typo</ability>
      <abilityName>字词错误</abilityName>
      <candidateList>
        <item>采用</item>
      </candidateList>
      <explain>〈动〉认为合适而使用：～新工艺｜～举手表决方式｜那篇稿子已被编辑部～。</explain>
      <paraID> 34C5C8A</paraID>
      <start>36</start>
      <end>39</end>
      <status>unmodified</status>
      <modifiedWord/>
      <trackRevisions>false</trackRevisions>
    </reviewItem>
    <reviewItem>
      <errorID>9a4ac86a-e0fd-4ec4-9f5e-724e8042da9c</errorID>
      <errorWord>、或</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439CA0A6</paraID>
      <start>12</start>
      <end>14</end>
      <status>unmodified</status>
      <modifiedWord/>
      <trackRevisions>false</trackRevisions>
    </reviewItem>
    <reviewItem>
      <errorID>70ff52a3-47e2-4803-8185-439e87b78486</errorID>
      <errorWord>溶解型</errorWord>
      <group>L1_Word</group>
      <groupName>字词问题</groupName>
      <ability>L2_Typo</ability>
      <abilityName>字词错误</abilityName>
      <candidateList>
        <item>溶解性</item>
      </candidateList>
      <explain/>
      <paraID>3A48DC6C</paraID>
      <start>16</start>
      <end>19</end>
      <status>unmodified</status>
      <modifiedWord/>
      <trackRevisions>false</trackRevisions>
    </reviewItem>
    <reviewItem>
      <errorID>37ed35d2-2a8d-48ce-90fb-88afd166a080</errorID>
      <errorWord>溶解型</errorWord>
      <group>L1_Word</group>
      <groupName>字词问题</groupName>
      <ability>L2_Typo</ability>
      <abilityName>字词错误</abilityName>
      <candidateList>
        <item>溶解性</item>
      </candidateList>
      <explain/>
      <paraID>3A48DC6C</paraID>
      <start>41</start>
      <end>44</end>
      <status>unmodified</status>
      <modifiedWord/>
      <trackRevisions>false</trackRevisions>
    </reviewItem>
    <reviewItem>
      <errorID>f6633ea8-54bb-4f58-bbb4-f9bb4f190eef</errorID>
      <errorWord>己</errorWord>
      <group>L1_Word</group>
      <groupName>字词问题</groupName>
      <ability>L2_Typo</ability>
      <abilityName>字词错误</abilityName>
      <candidateList>
        <item>已</item>
      </candidateList>
      <explain>存在字形相近字词的误用。</explain>
      <paraID>3A48DC6C</paraID>
      <start>203</start>
      <end>204</end>
      <status>unmodified</status>
      <modifiedWord/>
      <trackRevisions>false</trackRevisions>
    </reviewItem>
    <reviewItem>
      <errorID>55f980c2-bfeb-418d-a331-3e9f6a6fa6e9</errorID>
      <errorWord>)</errorWord>
      <group>L1_Format</group>
      <groupName>格式问题</groupName>
      <ability>L2_HalfPunc</ability>
      <abilityName>全半角检查</abilityName>
      <candidateList>
        <item>）</item>
      </candidateList>
      <explain>文本全半角错误。</explain>
      <paraID>3A48DC6C</paraID>
      <start>245</start>
      <end>246</end>
      <status>unmodified</status>
      <modifiedWord/>
      <trackRevisions>false</trackRevisions>
    </reviewItem>
    <reviewItem>
      <errorID>e75403fb-2b9d-4078-8255-6ce55bd02aa3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53E6996E</paraID>
      <start>0</start>
      <end>2</end>
      <status>unmodified</status>
      <modifiedWord/>
      <trackRevisions>false</trackRevisions>
    </reviewItem>
    <reviewItem>
      <errorID>2e645a60-37c0-48cf-b27d-bc96005e81e1</errorID>
      <errorWord>进行处理进行处理</errorWord>
      <group>L1_Word</group>
      <groupName>字词问题</groupName>
      <ability>L2_Typo</ability>
      <abilityName>字词错误</abilityName>
      <candidateList>
        <item>进行处理</item>
      </candidateList>
      <explain/>
      <paraID>7C5155F8</paraID>
      <start>93</start>
      <end>101</end>
      <status>unmodified</status>
      <modifiedWord/>
      <trackRevisions>false</trackRevisions>
    </reviewItem>
    <reviewItem>
      <errorID>df3f1288-02da-45d3-aae2-d140a2fe7fe2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5742BCAD</paraID>
      <start>0</start>
      <end>2</end>
      <status>unmodified</status>
      <modifiedWord/>
      <trackRevisions>false</trackRevisions>
    </reviewItem>
    <reviewItem>
      <errorID>3f82d4a5-7894-4940-8bcc-62289df0111f</errorID>
      <errorWord>进行处理进行处理</errorWord>
      <group>L1_Word</group>
      <groupName>字词问题</groupName>
      <ability>L2_Typo</ability>
      <abilityName>字词错误</abilityName>
      <candidateList>
        <item>进行处理</item>
      </candidateList>
      <explain/>
      <paraID>7B85DB84</paraID>
      <start>227</start>
      <end>235</end>
      <status>unmodified</status>
      <modifiedWord/>
      <trackRevisions>false</trackRevisions>
    </reviewItem>
    <reviewItem>
      <errorID>21b82bb4-314f-424c-8ed1-b9e6b5c0a245</errorID>
      <errorWord>)</errorWord>
      <group>L1_Format</group>
      <groupName>格式问题</groupName>
      <ability>L2_HalfPunc</ability>
      <abilityName>全半角检查</abilityName>
      <candidateList>
        <item>）</item>
      </candidateList>
      <explain>文本全半角错误。</explain>
      <paraID>7D789448</paraID>
      <start>22</start>
      <end>23</end>
      <status>unmodified</status>
      <modifiedWord/>
      <trackRevisions>false</trackRevisions>
    </reviewItem>
    <reviewItem>
      <errorID>6f2021e8-91b2-47f0-a11a-98201fda735d</errorID>
      <errorWord>其它</errorWord>
      <group>L1_Word</group>
      <groupName>字词问题</groupName>
      <ability>L2_Alias</ability>
      <abilityName>也作/曾用词</abilityName>
      <candidateList>
        <item>其他</item>
      </candidateList>
      <explain>词汇[其它]为不规范表述或旧称，其规范书面表述为[其他]。</explain>
      <paraID>57A541DC</paraID>
      <start>0</start>
      <end>2</end>
      <status>modified</status>
      <modifiedWord>其他</modifiedWord>
      <trackRevisions>false</trackRevisions>
    </reviewItem>
    <reviewItem>
      <errorID>49ec193b-e1cc-48f2-90fe-9ec7549cc575</errorID>
      <errorWord>)</errorWord>
      <group>L1_Format</group>
      <groupName>格式问题</groupName>
      <ability>L2_HalfPunc</ability>
      <abilityName>全半角检查</abilityName>
      <candidateList>
        <item>）</item>
      </candidateList>
      <explain>文本全半角错误。</explain>
      <paraID> 938CBBD</paraID>
      <start>19</start>
      <end>20</end>
      <status>unmodified</status>
      <modifiedWord/>
      <trackRevisions>false</trackRevisions>
    </reviewItem>
    <reviewItem>
      <errorID>d4addca8-c95d-44e8-ac95-8cc5230c4575</errorID>
      <errorWord>)</errorWord>
      <group>L1_Format</group>
      <groupName>格式问题</groupName>
      <ability>L2_HalfPunc</ability>
      <abilityName>全半角检查</abilityName>
      <candidateList>
        <item>）</item>
      </candidateList>
      <explain>文本全半角错误。</explain>
      <paraID>17AB0ECA</paraID>
      <start>19</start>
      <end>20</end>
      <status>unmodified</status>
      <modifiedWord/>
      <trackRevisions>false</trackRevisions>
    </reviewItem>
    <reviewItem>
      <errorID>827bf928-c468-47a1-aaa3-27437b214434</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462BA45A</paraID>
      <start>3</start>
      <end>4</end>
      <status>modified</status>
      <modifiedWord>地</modifiedWord>
      <trackRevisions>false</trackRevisions>
    </reviewItem>
    <reviewItem>
      <errorID>bb2d36cc-eb10-4e51-b358-148605d8f542</errorID>
      <errorWord>~</errorWord>
      <group>L1_Format</group>
      <groupName>格式问题</groupName>
      <ability>L2_HalfPunc</ability>
      <abilityName>全半角检查</abilityName>
      <candidateList>
        <item>～</item>
      </candidateList>
      <explain>文本全半角错误。</explain>
      <paraID>155145E7</paraID>
      <start>63</start>
      <end>64</end>
      <status>unmodified</status>
      <modifiedWord/>
      <trackRevisions>false</trackRevisions>
    </reviewItem>
    <reviewItem>
      <errorID>d9f2cf16-7c04-437b-83c0-b99e8e804677</errorID>
      <errorWord>公认</errorWord>
      <group>L1_Word</group>
      <groupName>字词问题</groupName>
      <ability>L2_Typo</ability>
      <abilityName>字词错误</abilityName>
      <candidateList>
        <item>工人</item>
      </candidateList>
      <explain/>
      <paraID>6E959AAF</paraID>
      <start>41</start>
      <end>43</end>
      <status>unmodified</status>
      <modifiedWord/>
      <trackRevisions>false</trackRevisions>
    </reviewItem>
    <reviewItem>
      <errorID>41946f23-ad7d-4c7d-8dac-4940b070fca9</errorID>
      <errorWord>浮油回收船</errorWord>
      <group>L1_Knowledge</group>
      <groupName>知识性问题</groupName>
      <ability>L2_Term</ability>
      <abilityName>专业术语</abilityName>
      <candidateList>
        <item>溢油回收船</item>
      </candidateList>
      <explain/>
      <paraID>1858BE19</paraID>
      <start>1</start>
      <end>6</end>
      <status>unmodified</status>
      <modifiedWord/>
      <trackRevisions>false</trackRevisions>
    </reviewItem>
    <reviewItem>
      <errorID>a53ab0b0-7716-4c8d-b3b2-695e722fa200</errorID>
      <errorWord>油污带</errorWord>
      <group>L1_Word</group>
      <groupName>字词问题</groupName>
      <ability>L2_Typo</ability>
      <abilityName>字词错误</abilityName>
      <candidateList>
        <item>油污</item>
      </candidateList>
      <explain/>
      <paraID>1858BE19</paraID>
      <start>73</start>
      <end>76</end>
      <status>unmodified</status>
      <modifiedWord/>
      <trackRevisions>false</trackRevisions>
    </reviewItem>
    <reviewItem>
      <errorID>f81fdf75-6699-47ff-b018-f02859756296</errorID>
      <errorWord>气体监测仪</errorWord>
      <group>L1_Word</group>
      <groupName>字词问题</groupName>
      <ability>L2_Typo</ability>
      <abilityName>字词错误</abilityName>
      <candidateList>
        <item>气体检测仪</item>
      </candidateList>
      <explain/>
      <paraID>7A3F32F2</paraID>
      <start>19</start>
      <end>24</end>
      <status>unmodified</status>
      <modifiedWord/>
      <trackRevisions>false</trackRevisions>
    </reviewItem>
    <reviewItem>
      <errorID>6fb5dd2e-b9a4-4785-a86e-5e96438cc616</errorID>
      <errorWord>条</errorWord>
      <group>L1_Knowledge</group>
      <groupName>知识性问题</groupName>
      <ability>L2_Knowledge</ability>
      <abilityName>其他知识</abilityName>
      <candidateList>
        <item>艘</item>
      </candidateList>
      <explain>请检查“条”是否为量词使用错误，建议修改为“艘”。</explain>
      <paraID>6FD8DAB2</paraID>
      <start>22</start>
      <end>23</end>
      <status>unmodified</status>
      <modifiedWord/>
      <trackRevisions>false</trackRevisions>
    </reviewItem>
    <reviewItem>
      <errorID>87b5b76f-76ae-4ab8-9702-270e7cf836c6</errorID>
      <errorWord>油栏</errorWord>
      <group>L1_Word</group>
      <groupName>字词问题</groupName>
      <ability>L2_Typo</ability>
      <abilityName>字词错误</abilityName>
      <candidateList>
        <item>护栏</item>
      </candidateList>
      <explain>〈名〉❶设置在路边或人行道与车道之间的铁栅栏。❷起保护作用的栏杆：草地周围有～。</explain>
      <paraID>77FACBFC</paraID>
      <start>3</start>
      <end>5</end>
      <status>unmodified</status>
      <modifiedWord/>
      <trackRevisions>false</trackRevisions>
    </reviewItem>
    <reviewItem>
      <errorID>2f042a8c-90ce-4da8-9247-37c0577ca14d</errorID>
      <errorWord>栏</errorWord>
      <group>L1_Word</group>
      <groupName>字词问题</groupName>
      <ability>L2_Typo</ability>
      <abilityName>字词错误</abilityName>
      <candidateList>
        <item>链</item>
      </candidateList>
      <explain>存在发音相近字词的误用。</explain>
      <paraID>1F015215</paraID>
      <start>3</start>
      <end>4</end>
      <status>unmodified</status>
      <modifiedWord/>
      <trackRevisions>false</trackRevisions>
    </reviewItem>
    <reviewItem>
      <errorID>7b0a766a-0df7-4e46-9a66-a3d3f283a33e</errorID>
      <errorWord>5~10%</errorWord>
      <group>L1_Knowledge</group>
      <groupName>知识性问题</groupName>
      <ability>L2_Knowledge</ability>
      <abilityName>其他知识</abilityName>
      <candidateList>
        <item>5%～10%</item>
      </candidateList>
      <explain>1. “5~10%”中的单位“%”仅出现在后一个数字上，容易引起歧义；根据《现代汉语标点符号数字用法规范手册》，数字表示范围两边需要使用统一的格式。2. 根据标点国标 4.13 中的规则，数字、时间或地域连接符应使用（视觉上更长的）“—”或“～”。</explain>
      <paraID>23771B58</paraID>
      <start>128</start>
      <end>133</end>
      <status>unmodified</status>
      <modifiedWord/>
      <trackRevisions>false</trackRevisions>
    </reviewItem>
    <reviewItem>
      <errorID>4b6a2c1f-2ea9-4107-8353-f7650ca70ad8</errorID>
      <errorWord>油栏</errorWord>
      <group>L1_Word</group>
      <groupName>字词问题</groupName>
      <ability>L2_Typo</ability>
      <abilityName>字词错误</abilityName>
      <candidateList>
        <item>护栏</item>
      </candidateList>
      <explain>〈名〉❶设置在路边或人行道与车道之间的铁栅栏。❷起保护作用的栏杆：草地周围有～。</explain>
      <paraID>1754C400</paraID>
      <start>3</start>
      <end>5</end>
      <status>unmodified</status>
      <modifiedWord/>
      <trackRevisions>false</trackRevisions>
    </reviewItem>
    <reviewItem>
      <errorID>cdd36aab-87fc-4322-a1b2-0c3f1ac0e608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76D337C8</paraID>
      <start>9</start>
      <end>10</end>
      <status>unmodified</status>
      <modifiedWord/>
      <trackRevisions>false</trackRevisions>
    </reviewItem>
    <reviewItem>
      <errorID>af91a261-cfb4-406b-8708-69da3548cf40</errorID>
      <errorWord>方</errorWord>
      <group>L1_Word</group>
      <groupName>字词问题</groupName>
      <ability>L2_Typo</ability>
      <abilityName>字词错误</abilityName>
      <candidateList>
        <item>方米</item>
      </candidateList>
      <explain/>
      <paraID>7E5146F6</paraID>
      <start>2</start>
      <end>3</end>
      <status>unmodified</status>
      <modifiedWord/>
      <trackRevisions>false</trackRevisions>
    </reviewItem>
    <reviewItem>
      <errorID>8837a6a5-208b-4821-9bdd-b4296168f1e6</errorID>
      <errorWord>铜制</errorWord>
      <group>L1_Word</group>
      <groupName>字词问题</groupName>
      <ability>L2_Typo</ability>
      <abilityName>字词错误</abilityName>
      <candidateList>
        <item>铜质</item>
      </candidateList>
      <explain>存在发音相同字词的误用。</explain>
      <paraID>6E143093</paraID>
      <start>0</start>
      <end>2</end>
      <status>unmodified</status>
      <modifiedWord/>
      <trackRevisions>false</trackRevisions>
    </reviewItem>
    <reviewItem>
      <errorID>ed113c9d-fa55-418b-be44-6520640d5926</errorID>
      <errorWord>如</errorWord>
      <group>L1_Word</group>
      <groupName>字词问题</groupName>
      <ability>L2_Typo</ability>
      <abilityName>字词错误</abilityName>
      <candidateList>
        <item>如下</item>
      </candidateList>
      <explain>〈动〉如同下面所叙述或列举的：列举～｜现将应注意的事情说明～。</explain>
      <paraID>5A55B6C9</paraID>
      <start>37</start>
      <end>38</end>
      <status>unmodified</status>
      <modifiedWord/>
      <trackRevisions>false</trackRevisions>
    </reviewItem>
    <reviewItem>
      <errorID>7fccaf86-c01a-41ec-88fa-55fd76129381</errorID>
      <errorWord>水联消防车</errorWord>
      <group>L1_Knowledge</group>
      <groupName>知识性问题</groupName>
      <ability>L2_Term</ability>
      <abilityName>专业术语</abilityName>
      <candidateList>
        <item>水罐消防车</item>
      </candidateList>
      <explain/>
      <paraID>4F1B27CF</paraID>
      <start>2</start>
      <end>7</end>
      <status>unmodified</status>
      <modifiedWord/>
      <trackRevisions>false</trackRevisions>
    </reviewItem>
    <reviewItem>
      <errorID>3997baa9-d383-48d9-a9a6-ca642750cd26</errorID>
      <errorWord>*</errorWord>
      <group>L1_Punc</group>
      <groupName>标点问题</groupName>
      <ability>L2_Punc</ability>
      <abilityName>标点符号检查</abilityName>
      <candidateList/>
      <explain/>
      <paraID>51D06E6C</paraID>
      <start>0</start>
      <end>1</end>
      <status>unmodified</status>
      <modifiedWord/>
      <trackRevisions>false</trackRevisions>
    </reviewItem>
    <reviewItem>
      <errorID>3f988170-7dfa-4526-ad83-4d1f6cc1833a</errorID>
      <errorWord>*</errorWord>
      <group>L1_Punc</group>
      <groupName>标点问题</groupName>
      <ability>L2_Punc</ability>
      <abilityName>标点符号检查</abilityName>
      <candidateList/>
      <explain/>
      <paraID> 5A14535</paraID>
      <start>0</start>
      <end>1</end>
      <status>unmodified</status>
      <modifiedWord/>
      <trackRevisions>false</trackRevisions>
    </reviewItem>
    <reviewItem>
      <errorID>d7e1768f-f383-4528-9441-366ef33e959a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1948D765</paraID>
      <start>43</start>
      <end>44</end>
      <status>unmodified</status>
      <modifiedWord/>
      <trackRevisions>false</trackRevisions>
    </reviewItem>
    <reviewItem>
      <errorID>d32d3782-d8e7-4955-9dfc-af6af4d1f184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1948D765</paraID>
      <start>192</start>
      <end>193</end>
      <status>unmodified</status>
      <modifiedWord/>
      <trackRevisions>false</trackRevisions>
    </reviewItem>
    <reviewItem>
      <errorID>92561af5-e059-40ee-9b3e-22de9e9287fe</errorID>
      <errorWord>泄露</errorWord>
      <group>L1_Word</group>
      <groupName>字词问题</groupName>
      <ability>L2_Typo</ability>
      <abilityName>字词错误</abilityName>
      <candidateList>
        <item>泄漏</item>
      </candidateList>
      <explain/>
      <paraID>40DFAB9E</paraID>
      <start>10</start>
      <end>12</end>
      <status>modified</status>
      <modifiedWord>泄漏</modifiedWord>
      <trackRevisions>false</trackRevisions>
    </reviewItem>
    <reviewItem>
      <errorID>ceb21a23-b7c0-4c69-b405-e1950d167d45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40DFAB9E</paraID>
      <start>53</start>
      <end>54</end>
      <status>unmodified</status>
      <modifiedWord/>
      <trackRevisions>false</trackRevisions>
    </reviewItem>
    <reviewItem>
      <errorID>3378954e-edc1-4aeb-a1d9-66cb407e4609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40DFAB9E</paraID>
      <start>198</start>
      <end>199</end>
      <status>unmodified</status>
      <modifiedWord/>
      <trackRevisions>false</trackRevisions>
    </reviewItem>
    <reviewItem>
      <errorID>d2d9a799-cd09-4e51-ab83-5e08f54b467d</errorID>
      <errorWord>泄露</errorWord>
      <group>L1_Word</group>
      <groupName>字词问题</groupName>
      <ability>L2_Typo</ability>
      <abilityName>字词错误</abilityName>
      <candidateList>
        <item>泄漏</item>
      </candidateList>
      <explain/>
      <paraID> 46A8DFF</paraID>
      <start>8</start>
      <end>10</end>
      <status>modified</status>
      <modifiedWord>泄漏</modifiedWord>
      <trackRevisions>false</trackRevisions>
    </reviewItem>
    <reviewItem>
      <errorID>f5ecab17-e3fe-4325-8363-0ef9ee64e87b</errorID>
      <errorWord>泄露</errorWord>
      <group>L1_Word</group>
      <groupName>字词问题</groupName>
      <ability>L2_Typo</ability>
      <abilityName>字词错误</abilityName>
      <candidateList>
        <item>泄漏</item>
      </candidateList>
      <explain>存在发音相同字词的误用。</explain>
      <paraID> 46A8DFF</paraID>
      <start>124</start>
      <end>126</end>
      <status>modified</status>
      <modifiedWord>泄漏</modifiedWord>
      <trackRevisions>false</trackRevisions>
    </reviewItem>
    <reviewItem>
      <errorID>6101299e-d10c-4c63-bfa0-b552aec9b59b</errorID>
      <errorWord>泄露</errorWord>
      <group>L1_Word</group>
      <groupName>字词问题</groupName>
      <ability>L2_Typo</ability>
      <abilityName>字词错误</abilityName>
      <candidateList>
        <item>泄漏</item>
      </candidateList>
      <explain>存在发音相同字词的误用。</explain>
      <paraID>21E65C1F</paraID>
      <start>10</start>
      <end>12</end>
      <status>modified</status>
      <modifiedWord>泄漏</modifiedWord>
      <trackRevisions>false</trackRevisions>
    </reviewItem>
    <reviewItem>
      <errorID>4abfa55a-0293-42b4-a730-07dfe4d0974f</errorID>
      <errorWord>泄露</errorWord>
      <group>L1_Word</group>
      <groupName>字词问题</groupName>
      <ability>L2_Typo</ability>
      <abilityName>字词错误</abilityName>
      <candidateList>
        <item>泄漏</item>
      </candidateList>
      <explain/>
      <paraID>21E65C1F</paraID>
      <start>131</start>
      <end>133</end>
      <status>modified</status>
      <modifiedWord>泄漏</modifiedWord>
      <trackRevisions>false</trackRevisions>
    </reviewItem>
    <reviewItem>
      <errorID>467d02a8-5a15-4ad7-bec1-21b4d5723caf</errorID>
      <errorWord>泄露</errorWord>
      <group>L1_Word</group>
      <groupName>字词问题</groupName>
      <ability>L2_Typo</ability>
      <abilityName>字词错误</abilityName>
      <candidateList>
        <item>泄漏</item>
      </candidateList>
      <explain>存在发音相同字词的误用。</explain>
      <paraID>21E65C1F</paraID>
      <start>249</start>
      <end>251</end>
      <status>modified</status>
      <modifiedWord>泄漏</modifiedWord>
      <trackRevisions>false</trackRevisions>
    </reviewItem>
    <reviewItem>
      <errorID>87dcac70-4820-4cbb-a1e8-c81179cbd0f2</errorID>
      <errorWord>泄露</errorWord>
      <group>L1_Word</group>
      <groupName>字词问题</groupName>
      <ability>L2_Typo</ability>
      <abilityName>字词错误</abilityName>
      <candidateList>
        <item>泄漏</item>
      </candidateList>
      <explain>存在发音相同字词的误用。</explain>
      <paraID>21E65C1F</paraID>
      <start>256</start>
      <end>258</end>
      <status>modified</status>
      <modifiedWord>泄漏</modifiedWord>
      <trackRevisions>false</trackRevisions>
    </reviewItem>
    <reviewItem>
      <errorID>beefbdc9-3188-4dce-83ec-5a2a28e65514</errorID>
      <errorWord>蓬布</errorWord>
      <group>L1_Word</group>
      <groupName>字词问题</groupName>
      <ability>L2_Typo</ability>
      <abilityName>字词错误</abilityName>
      <candidateList>
        <item>篷布</item>
      </candidateList>
      <explain/>
      <paraID>74BDCEDB</paraID>
      <start>19</start>
      <end>21</end>
      <status>unmodified</status>
      <modifiedWord/>
      <trackRevisions>false</trackRevisions>
    </reviewItem>
    <reviewItem>
      <errorID>e95f6560-19f1-46b5-b767-48c121f335c2</errorID>
      <errorWord>期</errorWord>
      <group>L1_Word</group>
      <groupName>字词问题</groupName>
      <ability>L2_Typo</ability>
      <abilityName>字词错误</abilityName>
      <candidateList>
        <item>期间</item>
      </candidateList>
      <explain>〈名〉某个时期里面：农忙～｜春节～｜抗战～。</explain>
      <paraID> D7DDD4F</paraID>
      <start>5</start>
      <end>6</end>
      <status>unmodified</status>
      <modifiedWord/>
      <trackRevisions>false</trackRevisions>
    </reviewItem>
    <reviewItem>
      <errorID>a0b26c4e-a290-4147-9bd9-73a6868a0a85</errorID>
      <errorWord>防止设备</errorWord>
      <group>L1_Knowledge</group>
      <groupName>知识性问题</groupName>
      <ability>L2_Term</ability>
      <abilityName>专业术语</abilityName>
      <candidateList>
        <item>防爆设备</item>
      </candidateList>
      <explain/>
      <paraID>6C32EA1E</paraID>
      <start>18</start>
      <end>22</end>
      <status>unmodified</status>
      <modifiedWord/>
      <trackRevisions>false</trackRevisions>
    </reviewItem>
    <reviewItem>
      <errorID>0865bd75-245e-4e50-b428-08449489ed93</errorID>
      <errorWord>废气污染物</errorWord>
      <group>L1_Knowledge</group>
      <groupName>知识性问题</groupName>
      <ability>L2_Term</ability>
      <abilityName>专业术语</abilityName>
      <candidateList>
        <item>空气污染物</item>
      </candidateList>
      <explain/>
      <paraID>372906A3</paraID>
      <start>5</start>
      <end>10</end>
      <status>unmodified</status>
      <modifiedWord/>
      <trackRevisions>false</trackRevisions>
    </reviewItem>
    <reviewItem>
      <errorID>fc757574-1eca-41f5-a2d1-3dc9dc1c4687</errorID>
      <errorWord>[2025]15号</errorWord>
      <group>L1_Knowledge</group>
      <groupName>知识性问题</groupName>
      <ability>L2_Knowledge</ability>
      <abilityName>其他知识</abilityName>
      <candidateList>
        <item>〔2025〕15号</item>
      </candidateList>
      <explain>发文字号格式错误。</explain>
      <paraID>2E64D429</paraID>
      <start>45</start>
      <end>54</end>
      <status>unmodified</status>
      <modifiedWord/>
      <trackRevisions>false</trackRevisions>
    </reviewItem>
    <reviewItem>
      <errorID>58130635-8caf-45bb-abc4-1c60062355c6</errorID>
      <errorWord>[2025]33号</errorWord>
      <group>L1_Knowledge</group>
      <groupName>知识性问题</groupName>
      <ability>L2_Knowledge</ability>
      <abilityName>其他知识</abilityName>
      <candidateList>
        <item>〔2025〕33号</item>
      </candidateList>
      <explain>发文字号格式错误。</explain>
      <paraID>792800E5</paraID>
      <start>47</start>
      <end>56</end>
      <status>unmodified</status>
      <modifiedWord/>
      <trackRevisions>false</trackRevisions>
    </reviewItem>
    <reviewItem>
      <errorID>c3d1bf7c-d9fc-49cf-a873-43e0ffb92a38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CE2211B</paraID>
      <start>0</start>
      <end>2</end>
      <status>unmodified</status>
      <modifiedWord/>
      <trackRevisions>false</trackRevisions>
    </reviewItem>
    <reviewItem>
      <errorID>d37ff63d-10ce-4354-8328-4a8671f40b4c</errorID>
      <errorWord>前</errorWord>
      <group>L1_Word</group>
      <groupName>字词问题</groupName>
      <ability>L2_Typo</ability>
      <abilityName>字词错误</abilityName>
      <candidateList>
        <item>前在</item>
      </candidateList>
      <explain/>
      <paraID> 3EA8C81</paraID>
      <start>30</start>
      <end>31</end>
      <status>unmodified</status>
      <modifiedWord/>
      <trackRevisions>false</trackRevisions>
    </reviewItem>
    <reviewItem>
      <errorID>3718640c-cc7d-4f3e-9f0c-8d278be9ed46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1A34B0C1</paraID>
      <start>0</start>
      <end>2</end>
      <status>unmodified</status>
      <modifiedWord/>
      <trackRevisions>false</trackRevisions>
    </reviewItem>
    <reviewItem>
      <errorID>ea78b517-849f-45ae-8133-7461b8284881</errorID>
      <errorWord>前</errorWord>
      <group>L1_Word</group>
      <groupName>字词问题</groupName>
      <ability>L2_Typo</ability>
      <abilityName>字词错误</abilityName>
      <candidateList>
        <item>前在</item>
      </candidateList>
      <explain/>
      <paraID>6BF21BD4</paraID>
      <start>32</start>
      <end>33</end>
      <status>unmodified</status>
      <modifiedWord/>
      <trackRevisions>false</trackRevisions>
    </reviewItem>
    <reviewItem>
      <errorID>c0b419a3-1da0-4822-b7df-be426ffb0e13</errorID>
      <errorWord>，</errorWord>
      <group>L1_Word</group>
      <groupName>字词问题</groupName>
      <ability>L2_Typo</ability>
      <abilityName>字词错误</abilityName>
      <candidateList>
        <item>，双</item>
      </candidateList>
      <explain/>
      <paraID>6BF21BD4</paraID>
      <start>86</start>
      <end>87</end>
      <status>unmodified</status>
      <modifiedWord/>
      <trackRevisions>false</trackRevisions>
    </reviewItem>
    <reviewItem>
      <errorID>d6e09a2d-a336-45b4-b063-f63b81ee15c3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7630F6FD</paraID>
      <start>0</start>
      <end>2</end>
      <status>unmodified</status>
      <modifiedWord/>
      <trackRevisions>false</trackRevisions>
    </reviewItem>
    <reviewItem>
      <errorID>706f812f-77ae-4232-90fa-cd299635516e</errorID>
      <errorWord>（</errorWord>
      <group>L1_Punc</group>
      <groupName>标点问题</groupName>
      <ability>L2_Punc</ability>
      <abilityName>标点符号检查</abilityName>
      <candidateList/>
      <explain>同一形式括号套用。</explain>
      <paraID>112750E6</paraID>
      <start>111</start>
      <end>112</end>
      <status>unmodified</status>
      <modifiedWord/>
      <trackRevisions>false</trackRevisions>
    </reviewItem>
    <reviewItem>
      <errorID>9c11a3d0-63d4-4cb1-8574-53e0d60e41c3</errorID>
      <errorWord>）</errorWord>
      <group>L1_Punc</group>
      <groupName>标点问题</groupName>
      <ability>L2_Punc</ability>
      <abilityName>标点符号检查</abilityName>
      <candidateList/>
      <explain>同一形式括号套用。</explain>
      <paraID>112750E6</paraID>
      <start>124</start>
      <end>125</end>
      <status>unmodified</status>
      <modifiedWord/>
      <trackRevisions>false</trackRevisions>
    </reviewItem>
    <reviewItem>
      <errorID>10a12a29-290c-4c17-9871-c5cea7274454</errorID>
      <errorWord>（</errorWord>
      <group>L1_Punc</group>
      <groupName>标点问题</groupName>
      <ability>L2_Punc</ability>
      <abilityName>标点符号检查</abilityName>
      <candidateList/>
      <explain>同一形式括号套用。</explain>
      <paraID>112750E6</paraID>
      <start>138</start>
      <end>139</end>
      <status>unmodified</status>
      <modifiedWord/>
      <trackRevisions>false</trackRevisions>
    </reviewItem>
    <reviewItem>
      <errorID>eee1ef8b-8afc-418c-92d3-83e14d90c48a</errorID>
      <errorWord>）</errorWord>
      <group>L1_Punc</group>
      <groupName>标点问题</groupName>
      <ability>L2_Punc</ability>
      <abilityName>标点符号检查</abilityName>
      <candidateList/>
      <explain>同一形式括号套用。</explain>
      <paraID>112750E6</paraID>
      <start>150</start>
      <end>151</end>
      <status>unmodified</status>
      <modifiedWord/>
      <trackRevisions>false</trackRevisions>
    </reviewItem>
    <reviewItem>
      <errorID>9bb9da04-fb6c-49af-a8a3-376aaa879c5f</errorID>
      <errorWord>减震</errorWord>
      <group>L1_Word</group>
      <groupName>字词问题</groupName>
      <ability>L2_Typo</ability>
      <abilityName>字词错误</abilityName>
      <candidateList>
        <item>减振</item>
      </candidateList>
      <explain>存在发音相同字词的误用。</explain>
      <paraID>5E6E0053</paraID>
      <start>39</start>
      <end>41</end>
      <status>unmodified</status>
      <modifiedWord/>
      <trackRevisions>false</trackRevisions>
    </reviewItem>
    <reviewItem>
      <errorID>7eb24c2a-3d87-4974-848c-873ec5979b07</errorID>
      <errorWord>固体废物为</errorWord>
      <group>L1_Word</group>
      <groupName>字词问题</groupName>
      <ability>L2_Typo</ability>
      <abilityName>字词错误</abilityName>
      <candidateList>
        <item>固体废物</item>
      </candidateList>
      <explain/>
      <paraID>24E4E032</paraID>
      <start>40</start>
      <end>45</end>
      <status>unmodified</status>
      <modifiedWord/>
      <trackRevisions>false</trackRevisions>
    </reviewItem>
    <reviewItem>
      <errorID>956060a5-393e-4a02-85ec-becd701cd898</errorID>
      <errorWord>要</errorWord>
      <group>L1_Word</group>
      <groupName>字词问题</groupName>
      <ability>L2_Typo</ability>
      <abilityName>字词错误</abilityName>
      <candidateList>
        <item>要的</item>
      </candidateList>
      <explain/>
      <paraID>55465E18</paraID>
      <start>66</start>
      <end>67</end>
      <status>unmodified</status>
      <modifiedWord/>
      <trackRevisions>false</trackRevisions>
    </reviewItem>
    <reviewItem>
      <errorID>a95ff073-1e22-4609-b32c-1ac9241d22fd</errorID>
      <errorWord>能</errorWord>
      <group>L1_Word</group>
      <groupName>字词问题</groupName>
      <ability>L2_Typo</ability>
      <abilityName>字词错误</abilityName>
      <candidateList>
        <item>能够</item>
      </candidateList>
      <explain/>
      <paraID>61FFE37C</paraID>
      <start>62</start>
      <end>63</end>
      <status>unmodified</status>
      <modifiedWord/>
      <trackRevisions>false</trackRevisions>
    </reviewItem>
    <reviewItem>
      <errorID>ce73b967-043a-49c4-afa4-cfcbb481d955</errorID>
      <errorWord>减小</errorWord>
      <group>L1_Grammar</group>
      <groupName>语法问题</groupName>
      <ability>L2_Grammar</ability>
      <abilityName>语法错误</abilityName>
      <candidateList>
        <item>减少</item>
      </candidateList>
      <explain>“减小～排放”搭配不当，建议修改为“减少～排放”。</explain>
      <paraID>1CDE63DA</paraID>
      <start>0</start>
      <end>2</end>
      <status>unmodified</status>
      <modifiedWord/>
      <trackRevisions>false</trackRevisions>
    </reviewItem>
    <reviewItem>
      <errorID>caace0d9-c6e3-4693-822d-64d82c4ab68c</errorID>
      <errorWord>响</errorWord>
      <group>L1_Word</group>
      <groupName>字词问题</groupName>
      <ability>L2_Typo</ability>
      <abilityName>字词错误</abilityName>
      <candidateList>
        <item>响效</item>
      </candidateList>
      <explain/>
      <paraID>11D03B9A</paraID>
      <start>27</start>
      <end>28</end>
      <status>unmodified</status>
      <modifiedWord/>
      <trackRevisions>false</trackRevisions>
    </reviewItem>
    <reviewItem>
      <errorID>a3e6d334-968a-4633-b888-7b0d0fa9269b</errorID>
      <errorWord>响</errorWord>
      <group>L1_Word</group>
      <groupName>字词问题</groupName>
      <ability>L2_Typo</ability>
      <abilityName>字词错误</abilityName>
      <candidateList>
        <item>响效</item>
      </candidateList>
      <explain/>
      <paraID>11D03B9A</paraID>
      <start>33</start>
      <end>34</end>
      <status>unmodified</status>
      <modifiedWord/>
      <trackRevisions>false</trackRevisions>
    </reviewItem>
    <reviewItem>
      <errorID>929acdef-261a-4c45-9451-0c7a724a1a1a</errorID>
      <errorWord>的税</errorWord>
      <group>L1_Word</group>
      <groupName>字词问题</groupName>
      <ability>L2_Typo</ability>
      <abilityName>字词错误</abilityName>
      <candidateList>
        <item>的</item>
      </candidateList>
      <explain>“的”常用于连接修饰语与名词性中心语，表示属性、所属或描述。</explain>
      <paraID>11D03B9A</paraID>
      <start>87</start>
      <end>89</end>
      <status>unmodified</status>
      <modifiedWord/>
      <trackRevisions>false</trackRevisions>
    </reviewItem>
    <reviewItem>
      <errorID>19b94ca8-6df0-405c-9f76-95c5c8093d96</errorID>
      <errorWord>考虑其它</errorWord>
      <group>L1_Word</group>
      <groupName>字词问题</groupName>
      <ability>L2_Alias</ability>
      <abilityName>也作/曾用词</abilityName>
      <candidateList>
        <item>考虑其他</item>
      </candidateList>
      <explain>词汇[考虑其它]为不规范表述或旧称，其规范书面表述为[考虑其他]。</explain>
      <paraID>5AFB0536</paraID>
      <start>33</start>
      <end>37</end>
      <status>modified</status>
      <modifiedWord>考虑其他</modifiedWord>
      <trackRevisions>false</trackRevisions>
    </reviewItem>
    <reviewItem>
      <errorID>0765f6c6-bd24-43c0-b86d-55eab861b3f8</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5AFB0536</paraID>
      <start>98</start>
      <end>99</end>
      <status>modified</status>
      <modifiedWord>地</modifiedWord>
      <trackRevisions>false</trackRevisions>
    </reviewItem>
    <reviewItem>
      <errorID>85e3618a-3ed5-4f32-813c-5fb0d6e0a8ba</errorID>
      <errorWord>项目的</errorWord>
      <group>L1_Word</group>
      <groupName>字词问题</groupName>
      <ability>L2_Typo</ability>
      <abilityName>字词错误</abilityName>
      <candidateList>
        <item>项目</item>
      </candidateList>
      <explain>〈名〉事物分成的门类：服务～｜体育～｜建设～。</explain>
      <paraID>406923D2</paraID>
      <start>2</start>
      <end>5</end>
      <status>unmodified</status>
      <modifiedWord/>
      <trackRevisions>false</trackRevisions>
    </reviewItem>
    <reviewItem>
      <errorID>58fa4fd6-2886-4fbc-b2ea-aadc2f0bbf22</errorID>
      <errorWord>受</errorWord>
      <group>L1_Word</group>
      <groupName>字词问题</groupName>
      <ability>L2_Typo</ability>
      <abilityName>字词错误</abilityName>
      <candidateList>
        <item>受到</item>
      </candidateList>
      <explain/>
      <paraID>406923D2</paraID>
      <start>84</start>
      <end>85</end>
      <status>unmodified</status>
      <modifiedWord/>
      <trackRevisions>false</trackRevisions>
    </reviewItem>
    <reviewItem>
      <errorID>83c5a6cb-7f9d-431c-94ee-09c3c5646649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5328869B</paraID>
      <start>0</start>
      <end>2</end>
      <status>unmodified</status>
      <modifiedWord/>
      <trackRevisions>false</trackRevisions>
    </reviewItem>
    <reviewItem>
      <errorID>62a5d129-12e7-4f6e-9a7a-1efb58caa927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18F31DDA</paraID>
      <start>0</start>
      <end>2</end>
      <status>unmodified</status>
      <modifiedWord/>
      <trackRevisions>false</trackRevisions>
    </reviewItem>
    <reviewItem>
      <errorID>de06cb59-4ff5-446d-97e8-a73454e8996d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4BF2BC63</paraID>
      <start>0</start>
      <end>2</end>
      <status>unmodified</status>
      <modifiedWord/>
      <trackRevisions>false</trackRevisions>
    </reviewItem>
    <reviewItem>
      <errorID>4b17fb61-519d-4a48-840f-ac108084b1d5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52B623</paraID>
      <start>0</start>
      <end>2</end>
      <status>unmodified</status>
      <modifiedWord/>
      <trackRevisions>false</trackRevisions>
    </reviewItem>
    <reviewItem>
      <errorID>32741825-ebc6-440d-8be3-0733c7ff2d19</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1A1C392A</paraID>
      <start>0</start>
      <end>2</end>
      <status>unmodified</status>
      <modifiedWord/>
      <trackRevisions>false</trackRevisions>
    </reviewItem>
    <reviewItem>
      <errorID>a0a5b62f-e9e1-4269-99e7-00e78f93e08f</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3C4CD0EC</paraID>
      <start>0</start>
      <end>2</end>
      <status>unmodified</status>
      <modifiedWord/>
      <trackRevisions>false</trackRevisions>
    </reviewItem>
    <reviewItem>
      <errorID>885ef122-2991-45cd-8008-ed334cc41fb7</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2C9EEFE5</paraID>
      <start>0</start>
      <end>2</end>
      <status>unmodified</status>
      <modifiedWord/>
      <trackRevisions>false</trackRevisions>
    </reviewItem>
    <reviewItem>
      <errorID>450b73e6-2603-479d-8f00-56349569c2e2</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1BE2D2C9</paraID>
      <start>0</start>
      <end>2</end>
      <status>unmodified</status>
      <modifiedWord/>
      <trackRevisions>false</trackRevisions>
    </reviewItem>
    <reviewItem>
      <errorID>c6689547-11ce-418f-8c59-c78f1febf9ed</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23F583E6</paraID>
      <start>0</start>
      <end>2</end>
      <status>unmodified</status>
      <modifiedWord/>
      <trackRevisions>false</trackRevisions>
    </reviewItem>
    <reviewItem>
      <errorID>03acfa64-55a5-4535-ac61-bcd137f69053</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5EE669EB</paraID>
      <start>0</start>
      <end>3</end>
      <status>unmodified</status>
      <modifiedWord/>
      <trackRevisions>false</trackRevisions>
    </reviewItem>
    <reviewItem>
      <errorID>d401764b-c412-4374-a3ab-acc3622a44e0</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36FC9B93</paraID>
      <start>0</start>
      <end>3</end>
      <status>unmodified</status>
      <modifiedWord/>
      <trackRevisions>false</trackRevisions>
    </reviewItem>
    <reviewItem>
      <errorID>1ce90773-cbe3-4ce3-a91f-9a88fbd62d61</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18E810AD</paraID>
      <start>0</start>
      <end>3</end>
      <status>unmodified</status>
      <modifiedWord/>
      <trackRevisions>false</trackRevisions>
    </reviewItem>
    <reviewItem>
      <errorID>1236cb21-2119-450e-9fba-9f58a2a5d47f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33C9F44C</paraID>
      <start>0</start>
      <end>2</end>
      <status>unmodified</status>
      <modifiedWord/>
      <trackRevisions>false</trackRevisions>
    </reviewItem>
    <reviewItem>
      <errorID>bbde30d5-c04f-4b47-ad9e-5ce10096b38e</errorID>
      <errorWord>中华人民共和国环境保护法</errorWord>
      <group>L1_Knowledge</group>
      <groupName>知识性问题</groupName>
      <ability>L2_Knowledge</ability>
      <abilityName>其他知识</abilityName>
      <candidateList>
        <item>《中华人民共和国环境保护法》</item>
      </candidateList>
      <explain>完整法律法规名称需要加书名号，请注意检查。</explain>
      <paraID>33C9F44C</paraID>
      <start>7</start>
      <end>21</end>
      <status>modified</status>
      <modifiedWord>《中华人民共和国环境保护法》</modifiedWord>
      <trackRevisions>false</trackRevisions>
    </reviewItem>
    <reviewItem>
      <errorID>df6412a0-79f4-4bce-a9c9-87a16228e912</errorID>
      <errorWord>法律、法规</errorWord>
      <group>L1_Word</group>
      <groupName>字词问题</groupName>
      <ability>L2_Typo</ability>
      <abilityName>字词错误</abilityName>
      <candidateList>
        <item>法律法规</item>
      </candidateList>
      <explain/>
      <paraID>33C9F44C</paraID>
      <start>43</start>
      <end>48</end>
      <status>unmodified</status>
      <modifiedWord/>
      <trackRevisions>false</trackRevisions>
    </reviewItem>
    <reviewItem>
      <errorID>c305ab44-017b-4f07-a7b7-72577e8f5fd8</errorID>
      <errorWord>海洋与</errorWord>
      <group>L1_Word</group>
      <groupName>字词问题</groupName>
      <ability>L2_Typo</ability>
      <abilityName>字词错误</abilityName>
      <candidateList>
        <item>海洋</item>
      </candidateList>
      <explain/>
      <paraID>33C9F44C</paraID>
      <start>51</start>
      <end>54</end>
      <status>unmodified</status>
      <modifiedWord/>
      <trackRevisions>false</trackRevisions>
    </reviewItem>
    <reviewItem>
      <errorID>f40facdd-7816-4bf3-b44c-2dd9f1104e5c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2868D73A</paraID>
      <start>0</start>
      <end>2</end>
      <status>unmodified</status>
      <modifiedWord/>
      <trackRevisions>false</trackRevisions>
    </reviewItem>
    <reviewItem>
      <errorID>76b481a7-c4e0-4c1c-a8f1-de0e4f4d5fb8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6B4C2DA2</paraID>
      <start>0</start>
      <end>2</end>
      <status>unmodified</status>
      <modifiedWord/>
      <trackRevisions>false</trackRevisions>
    </reviewItem>
    <reviewItem>
      <errorID>5fdae60a-b879-43dd-9be3-a67c8fb97491</errorID>
      <errorWord>提</errorWord>
      <group>L1_Word</group>
      <groupName>字词问题</groupName>
      <ability>L2_Typo</ability>
      <abilityName>字词错误</abilityName>
      <candidateList>
        <item>提出</item>
      </candidateList>
      <explain/>
      <paraID>6B4C2DA2</paraID>
      <start>7</start>
      <end>8</end>
      <status>unmodified</status>
      <modifiedWord/>
      <trackRevisions>false</trackRevisions>
    </reviewItem>
    <reviewItem>
      <errorID>dd1a927f-abcf-4656-8446-3422f00e2ba0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3D7D515A</paraID>
      <start>0</start>
      <end>2</end>
      <status>unmodified</status>
      <modifiedWord/>
      <trackRevisions>false</trackRevisions>
    </reviewItem>
    <reviewItem>
      <errorID>8a12bfc1-8c0a-4cd5-8a4b-7742c1a6e1b4</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1F08D57A</paraID>
      <start>0</start>
      <end>2</end>
      <status>unmodified</status>
      <modifiedWord/>
      <trackRevisions>false</trackRevisions>
    </reviewItem>
    <reviewItem>
      <errorID>61e4310d-9964-4269-9d4c-233ba4c69645</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D6E52E0</paraID>
      <start>0</start>
      <end>2</end>
      <status>unmodified</status>
      <modifiedWord/>
      <trackRevisions>false</trackRevisions>
    </reviewItem>
    <reviewItem>
      <errorID>d2d8f3c8-1d87-4409-a95e-ab4bb72d9cc9</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30535AD7</paraID>
      <start>0</start>
      <end>2</end>
      <status>unmodified</status>
      <modifiedWord/>
      <trackRevisions>false</trackRevisions>
    </reviewItem>
    <reviewItem>
      <errorID>eee19c96-2339-47d3-b938-85c6fb3fa205</errorID>
      <errorWord>和环境影响评价</errorWord>
      <group>L1_Knowledge</group>
      <groupName>知识性问题</groupName>
      <ability>L2_Term</ability>
      <abilityName>专业术语</abilityName>
      <candidateList>
        <item>声环境影响评价</item>
      </candidateList>
      <explain/>
      <paraID>54899DD7</paraID>
      <start>9</start>
      <end>16</end>
      <status>modified</status>
      <modifiedWord>声环境影响评价</modifiedWord>
      <trackRevisions>false</trackRevisions>
    </reviewItem>
    <reviewItem>
      <errorID>c55091b0-dcca-4d03-aeb9-6ed2ede67d53</errorID>
      <errorWord>(</errorWord>
      <group>L1_Format</group>
      <groupName>格式问题</groupName>
      <ability>L2_HalfPunc</ability>
      <abilityName>全半角检查</abilityName>
      <candidateList>
        <item>（</item>
      </candidateList>
      <explain>文本全半角错误。</explain>
      <paraID>77054E84</paraID>
      <start>4</start>
      <end>5</end>
      <status>unmodified</status>
      <modifiedWord/>
      <trackRevisions>false</trackRevisions>
    </reviewItem>
    <reviewItem>
      <errorID>710a1d70-8a0a-4cf2-ac57-d26a54fbafbc</errorID>
      <errorWord>)</errorWord>
      <group>L1_Format</group>
      <groupName>格式问题</groupName>
      <ability>L2_HalfPunc</ability>
      <abilityName>全半角检查</abilityName>
      <candidateList>
        <item>）</item>
      </candidateList>
      <explain>文本全半角错误。</explain>
      <paraID>77054E84</paraID>
      <start>10</start>
      <end>11</end>
      <status>unmodified</status>
      <modifiedWord/>
      <trackRevisions>false</trackRevisions>
    </reviewItem>
    <reviewItem>
      <errorID>8160fae8-05f3-4a20-926c-a8eadc759534</errorID>
      <errorWord>(</errorWord>
      <group>L1_Format</group>
      <groupName>格式问题</groupName>
      <ability>L2_HalfPunc</ability>
      <abilityName>全半角检查</abilityName>
      <candidateList>
        <item>（</item>
      </candidateList>
      <explain>文本全半角错误。</explain>
      <paraID>6FAC2D85</paraID>
      <start>3</start>
      <end>4</end>
      <status>unmodified</status>
      <modifiedWord/>
      <trackRevisions>false</trackRevisions>
    </reviewItem>
    <reviewItem>
      <errorID>1872e957-4136-442a-9954-1a274f6bd278</errorID>
      <errorWord>)</errorWord>
      <group>L1_Format</group>
      <groupName>格式问题</groupName>
      <ability>L2_HalfPunc</ability>
      <abilityName>全半角检查</abilityName>
      <candidateList>
        <item>）</item>
      </candidateList>
      <explain>文本全半角错误。</explain>
      <paraID>6FAC2D85</paraID>
      <start>7</start>
      <end>8</end>
      <status>unmodified</status>
      <modifiedWord/>
      <trackRevisions>false</trackRevisions>
    </reviewItem>
    <reviewItem>
      <errorID>e4c21867-a448-44ea-a107-3ed8fa08ad85</errorID>
      <errorWord>(</errorWord>
      <group>L1_Punc</group>
      <groupName>标点问题</groupName>
      <ability>L2_Punc</ability>
      <abilityName>标点符号检查</abilityName>
      <candidateList/>
      <explain/>
      <paraID>227419D8</paraID>
      <start>4</start>
      <end>5</end>
      <status>unmodified</status>
      <modifiedWord/>
      <trackRevisions>false</trackRevisions>
    </reviewItem>
    <reviewItem>
      <errorID>db49e181-6094-446f-8610-e0a4dd039a18</errorID>
      <errorWord>(</errorWord>
      <group>L1_Format</group>
      <groupName>格式问题</groupName>
      <ability>L2_HalfPunc</ability>
      <abilityName>全半角检查</abilityName>
      <candidateList>
        <item>（</item>
      </candidateList>
      <explain>文本全半角错误。</explain>
      <paraID>6ECC75C3</paraID>
      <start>3</start>
      <end>4</end>
      <status>unmodified</status>
      <modifiedWord/>
      <trackRevisions>false</trackRevisions>
    </reviewItem>
    <reviewItem>
      <errorID>d42b597b-4cf2-43d5-8f04-67739c878305</errorID>
      <errorWord>)</errorWord>
      <group>L1_Format</group>
      <groupName>格式问题</groupName>
      <ability>L2_HalfPunc</ability>
      <abilityName>全半角检查</abilityName>
      <candidateList>
        <item>）</item>
      </candidateList>
      <explain>文本全半角错误。</explain>
      <paraID>6ECC75C3</paraID>
      <start>7</start>
      <end>8</end>
      <status>unmodified</status>
      <modifiedWord/>
      <trackRevisions>false</trackRevisions>
    </reviewItem>
    <reviewItem>
      <errorID>68d64e69-e0f7-443d-905d-9d8c5edfdf49</errorID>
      <errorWord>(</errorWord>
      <group>L1_Format</group>
      <groupName>格式问题</groupName>
      <ability>L2_HalfPunc</ability>
      <abilityName>全半角检查</abilityName>
      <candidateList>
        <item>（</item>
      </candidateList>
      <explain>文本全半角错误。</explain>
      <paraID> E912A42</paraID>
      <start>4</start>
      <end>5</end>
      <status>unmodified</status>
      <modifiedWord/>
      <trackRevisions>false</trackRevisions>
    </reviewItem>
    <reviewItem>
      <errorID>2229ce14-dbfe-470f-8696-92abce2b15a4</errorID>
      <errorWord>)</errorWord>
      <group>L1_Format</group>
      <groupName>格式问题</groupName>
      <ability>L2_HalfPunc</ability>
      <abilityName>全半角检查</abilityName>
      <candidateList>
        <item>）</item>
      </candidateList>
      <explain>文本全半角错误。</explain>
      <paraID> E912A42</paraID>
      <start>9</start>
      <end>10</end>
      <status>unmodified</status>
      <modifiedWord/>
      <trackRevisions>false</trackRevisions>
    </reviewItem>
    <reviewItem>
      <errorID>1e9e6683-0e59-4e80-b418-d83914af51cf</errorID>
      <errorWord>(</errorWord>
      <group>L1_Format</group>
      <groupName>格式问题</groupName>
      <ability>L2_HalfPunc</ability>
      <abilityName>全半角检查</abilityName>
      <candidateList>
        <item>（</item>
      </candidateList>
      <explain>文本全半角错误。</explain>
      <paraID> A3591FA</paraID>
      <start>3</start>
      <end>4</end>
      <status>unmodified</status>
      <modifiedWord/>
      <trackRevisions>false</trackRevisions>
    </reviewItem>
    <reviewItem>
      <errorID>013028c9-db6e-4d16-9474-1620a80cc27d</errorID>
      <errorWord>)</errorWord>
      <group>L1_Format</group>
      <groupName>格式问题</groupName>
      <ability>L2_HalfPunc</ability>
      <abilityName>全半角检查</abilityName>
      <candidateList>
        <item>）</item>
      </candidateList>
      <explain>文本全半角错误。</explain>
      <paraID> A3591FA</paraID>
      <start>7</start>
      <end>8</end>
      <status>unmodified</status>
      <modifiedWord/>
      <trackRevisions>false</trackRevisions>
    </reviewItem>
    <reviewItem>
      <errorID>f4cf5067-f05c-4bd5-8a6f-a574772c441e</errorID>
      <errorWord>(</errorWord>
      <group>L1_Format</group>
      <groupName>格式问题</groupName>
      <ability>L2_HalfPunc</ability>
      <abilityName>全半角检查</abilityName>
      <candidateList>
        <item>（</item>
      </candidateList>
      <explain>文本全半角错误。</explain>
      <paraID>2FE05082</paraID>
      <start>4</start>
      <end>5</end>
      <status>unmodified</status>
      <modifiedWord/>
      <trackRevisions>false</trackRevisions>
    </reviewItem>
    <reviewItem>
      <errorID>3dd06b88-f028-4861-8e4b-747e69d4e541</errorID>
      <errorWord>)</errorWord>
      <group>L1_Format</group>
      <groupName>格式问题</groupName>
      <ability>L2_HalfPunc</ability>
      <abilityName>全半角检查</abilityName>
      <candidateList>
        <item>）</item>
      </candidateList>
      <explain>文本全半角错误。</explain>
      <paraID>2FE05082</paraID>
      <start>9</start>
      <end>10</end>
      <status>unmodified</status>
      <modifiedWord/>
      <trackRevisions>false</trackRevisions>
    </reviewItem>
    <reviewItem>
      <errorID>d83b0488-9e66-4719-886d-86d791eb8392</errorID>
      <errorWord>(</errorWord>
      <group>L1_Format</group>
      <groupName>格式问题</groupName>
      <ability>L2_HalfPunc</ability>
      <abilityName>全半角检查</abilityName>
      <candidateList>
        <item>（</item>
      </candidateList>
      <explain>文本全半角错误。</explain>
      <paraID>5D382865</paraID>
      <start>3</start>
      <end>4</end>
      <status>unmodified</status>
      <modifiedWord/>
      <trackRevisions>false</trackRevisions>
    </reviewItem>
    <reviewItem>
      <errorID>d9cee27f-e3ec-47a0-9218-6b67af884b31</errorID>
      <errorWord>)</errorWord>
      <group>L1_Format</group>
      <groupName>格式问题</groupName>
      <ability>L2_HalfPunc</ability>
      <abilityName>全半角检查</abilityName>
      <candidateList>
        <item>）</item>
      </candidateList>
      <explain>文本全半角错误。</explain>
      <paraID>5D382865</paraID>
      <start>7</start>
      <end>8</end>
      <status>unmodified</status>
      <modifiedWord/>
      <trackRevisions>false</trackRevisions>
    </reviewItem>
    <reviewItem>
      <errorID>b127ba32-073f-4c29-9c4c-f39d701180bc</errorID>
      <errorWord>《</errorWord>
      <group>L1_Punc</group>
      <groupName>标点问题</groupName>
      <ability>L2_Punc</ability>
      <abilityName>标点符号检查</abilityName>
      <candidateList/>
      <explain>同一形式括号套用。</explain>
      <paraID>7244AA2A</paraID>
      <start>22</start>
      <end>23</end>
      <status>unmodified</status>
      <modifiedWord/>
      <trackRevisions>false</trackRevisions>
    </reviewItem>
    <reviewItem>
      <errorID>32f9a127-b2f4-4c70-89ba-6ce7ed979d46</errorID>
      <errorWord>(</errorWord>
      <group>L1_Format</group>
      <groupName>格式问题</groupName>
      <ability>L2_HalfPunc</ability>
      <abilityName>全半角检查</abilityName>
      <candidateList>
        <item>（</item>
      </candidateList>
      <explain>文本全半角错误。</explain>
      <paraID>7244AA2A</paraID>
      <start>38</start>
      <end>39</end>
      <status>unmodified</status>
      <modifiedWord/>
      <trackRevisions>false</trackRevisions>
    </reviewItem>
    <reviewItem>
      <errorID>446cbf94-7ea4-4707-91da-687316edf713</errorID>
      <errorWord>)</errorWord>
      <group>L1_Format</group>
      <groupName>格式问题</groupName>
      <ability>L2_HalfPunc</ability>
      <abilityName>全半角检查</abilityName>
      <candidateList>
        <item>）</item>
      </candidateList>
      <explain>文本全半角错误。</explain>
      <paraID>7244AA2A</paraID>
      <start>47</start>
      <end>48</end>
      <status>unmodified</status>
      <modifiedWord/>
      <trackRevisions>false</trackRevisions>
    </reviewItem>
    <reviewItem>
      <errorID>cda94510-c05a-400a-ac1d-f18911f4b2a1</errorID>
      <errorWord>》</errorWord>
      <group>L1_Punc</group>
      <groupName>标点问题</groupName>
      <ability>L2_Punc</ability>
      <abilityName>标点符号检查</abilityName>
      <candidateList/>
      <explain>同一形式括号套用。</explain>
      <paraID>7244AA2A</paraID>
      <start>48</start>
      <end>49</end>
      <status>unmodified</status>
      <modifiedWord/>
      <trackRevisions>false</trackRevisions>
    </reviewItem>
    <reviewItem>
      <errorID>52a659f5-fa84-44b0-9666-d9b05374ddac</errorID>
      <errorWord>〔2022〕 350号</errorWord>
      <group>L1_Knowledge</group>
      <groupName>知识性问题</groupName>
      <ability>L2_Knowledge</ability>
      <abilityName>其他知识</abilityName>
      <candidateList>
        <item>〔2022〕350号</item>
      </candidateList>
      <explain>发文字号格式错误。</explain>
      <paraID>7244AA2A</paraID>
      <start>59</start>
      <end>70</end>
      <status>unmodified</status>
      <modifiedWord/>
      <trackRevisions>false</trackRevisions>
    </reviewItem>
    <reviewItem>
      <errorID>8d80bc05-32b4-4567-b57e-28df91305aa6</errorID>
      <errorWord>(</errorWord>
      <group>L1_Format</group>
      <groupName>格式问题</groupName>
      <ability>L2_HalfPunc</ability>
      <abilityName>全半角检查</abilityName>
      <candidateList>
        <item>（</item>
      </candidateList>
      <explain>文本全半角错误。</explain>
      <paraID>7244AA2A</paraID>
      <start>92</start>
      <end>93</end>
      <status>unmodified</status>
      <modifiedWord/>
      <trackRevisions>false</trackRevisions>
    </reviewItem>
    <reviewItem>
      <errorID>c0e34a89-3523-43bc-98d7-547a0a63dede</errorID>
      <errorWord>)</errorWord>
      <group>L1_Format</group>
      <groupName>格式问题</groupName>
      <ability>L2_HalfPunc</ability>
      <abilityName>全半角检查</abilityName>
      <candidateList>
        <item>）</item>
      </candidateList>
      <explain>文本全半角错误。</explain>
      <paraID>7244AA2A</paraID>
      <start>96</start>
      <end>97</end>
      <status>unmodified</status>
      <modifiedWord/>
      <trackRevisions>false</trackRevisions>
    </reviewItem>
    <reviewItem>
      <errorID>3397cf2b-9a3f-44a6-b764-1f9872321934</errorID>
      <errorWord>(</errorWord>
      <group>L1_Format</group>
      <groupName>格式问题</groupName>
      <ability>L2_HalfPunc</ability>
      <abilityName>全半角检查</abilityName>
      <candidateList>
        <item>（</item>
      </candidateList>
      <explain>文本全半角错误。</explain>
      <paraID>7244AA2A</paraID>
      <start>101</start>
      <end>102</end>
      <status>unmodified</status>
      <modifiedWord/>
      <trackRevisions>false</trackRevisions>
    </reviewItem>
    <reviewItem>
      <errorID>6f3e68e2-214c-4f9e-a278-162ef3acbcee</errorID>
      <errorWord>)</errorWord>
      <group>L1_Format</group>
      <groupName>格式问题</groupName>
      <ability>L2_HalfPunc</ability>
      <abilityName>全半角检查</abilityName>
      <candidateList>
        <item>）</item>
      </candidateList>
      <explain>文本全半角错误。</explain>
      <paraID>7244AA2A</paraID>
      <start>107</start>
      <end>108</end>
      <status>unmodified</status>
      <modifiedWord/>
      <trackRevisions>false</trackRevisions>
    </reviewItem>
    <reviewItem>
      <errorID>3d72e0ab-dc35-4a3e-af56-ef242b5d1f12</errorID>
      <errorWord>)</errorWord>
      <group>L1_Format</group>
      <groupName>格式问题</groupName>
      <ability>L2_HalfPunc</ability>
      <abilityName>全半角检查</abilityName>
      <candidateList>
        <item>）</item>
      </candidateList>
      <explain>文本全半角错误。</explain>
      <paraID>7244AA2A</paraID>
      <start>118</start>
      <end>119</end>
      <status>unmodified</status>
      <modifiedWord/>
      <trackRevisions>false</trackRevisions>
    </reviewItem>
    <reviewItem>
      <errorID>d4af5917-1f03-4af4-bdf0-947d2f79d95a</errorID>
      <errorWord>(</errorWord>
      <group>L1_Format</group>
      <groupName>格式问题</groupName>
      <ability>L2_HalfPunc</ability>
      <abilityName>全半角检查</abilityName>
      <candidateList>
        <item>（</item>
      </candidateList>
      <explain>文本全半角错误。</explain>
      <paraID>7244AA2A</paraID>
      <start>126</start>
      <end>127</end>
      <status>unmodified</status>
      <modifiedWord/>
      <trackRevisions>false</trackRevisions>
    </reviewItem>
    <reviewItem>
      <errorID>496101d5-b838-409c-bae2-4c94464af6fe</errorID>
      <errorWord>)</errorWord>
      <group>L1_Format</group>
      <groupName>格式问题</groupName>
      <ability>L2_HalfPunc</ability>
      <abilityName>全半角检查</abilityName>
      <candidateList>
        <item>）</item>
      </candidateList>
      <explain>文本全半角错误。</explain>
      <paraID>7244AA2A</paraID>
      <start>131</start>
      <end>132</end>
      <status>unmodified</status>
      <modifiedWord/>
      <trackRevisions>false</trackRevisions>
    </reviewItem>
    <reviewItem>
      <errorID>9b0782e5-6e50-4957-bceb-6f147a299ee4</errorID>
      <errorWord>项</errorWord>
      <group>L1_Knowledge</group>
      <groupName>知识性问题</groupName>
      <ability>L2_Knowledge</ability>
      <abilityName>其他知识</abilityName>
      <candidateList>
        <item>类</item>
      </candidateList>
      <explain>请检查“项”是否为量词使用错误，建议修改为“类”。</explain>
      <paraID>7244AA2A</paraID>
      <start>134</start>
      <end>135</end>
      <status>unmodified</status>
      <modifiedWord/>
      <trackRevisions>false</trackRevisions>
    </reviewItem>
    <reviewItem>
      <errorID>2ca675c4-0ddd-4a49-9fe5-e32a17a75c7b</errorID>
      <errorWord>[2016]</errorWord>
      <group>L1_Punc</group>
      <groupName>标点问题</groupName>
      <ability>L2_Punc</ability>
      <abilityName>标点符号检查</abilityName>
      <candidateList>
        <item>〔2016〕</item>
      </candidateList>
      <explain/>
      <paraID>48F13984</paraID>
      <start>35</start>
      <end>41</end>
      <status>unmodified</status>
      <modifiedWord/>
      <trackRevisions>false</trackRevisions>
    </reviewItem>
    <reviewItem>
      <errorID>1005dfe5-bdc7-4ab6-9f14-5101ec6f2290</errorID>
      <errorWord>-</errorWord>
      <group>L1_Format</group>
      <groupName>格式问题</groupName>
      <ability>L2_HalfPunc</ability>
      <abilityName>全半角检查</abilityName>
      <candidateList>
        <item>－</item>
      </candidateList>
      <explain>文本全半角错误。</explain>
      <paraID>735FFFFA</paraID>
      <start>57</start>
      <end>58</end>
      <status>unmodified</status>
      <modifiedWord/>
      <trackRevisions>false</trackRevisions>
    </reviewItem>
    <reviewItem>
      <errorID>d0723b7e-24d3-44b0-a3bd-83be3146c23e</errorID>
      <errorWord>目的是为了</errorWord>
      <group>L1_Knowledge</group>
      <groupName>知识性问题</groupName>
      <ability>L2_Knowledge</ability>
      <abilityName>其他知识</abilityName>
      <candidateList>
        <item>目的是</item>
      </candidateList>
      <explain/>
      <paraID> 6C948A0</paraID>
      <start>7</start>
      <end>12</end>
      <status>unmodified</status>
      <modifiedWord/>
      <trackRevisions>false</trackRevisions>
    </reviewItem>
    <reviewItem>
      <errorID>07a3283b-f442-4f98-ac45-15243868bd0d</errorID>
      <errorWord>国家海洋局</errorWord>
      <group>L1_Word</group>
      <groupName>字词问题</groupName>
      <ability>L2_Typo</ability>
      <abilityName>字词错误</abilityName>
      <candidateList>
        <item>自然资源部</item>
      </candidateList>
      <explain/>
      <paraID>25C24143</paraID>
      <start>61</start>
      <end>66</end>
      <status>unmodified</status>
      <modifiedWord/>
      <trackRevisions>false</trackRevisions>
    </reviewItem>
    <reviewItem>
      <errorID>46011cc5-659e-43c1-9cd3-6068ee2d1eb4</errorID>
      <errorWord>作适当调整</errorWord>
      <group>L1_Word</group>
      <groupName>字词问题</groupName>
      <ability>L2_Typo</ability>
      <abilityName>字词错误</abilityName>
      <candidateList>
        <item>做适当调整</item>
      </candidateList>
      <explain/>
      <paraID>14D7175B</paraID>
      <start>26</start>
      <end>31</end>
      <status>unmodified</status>
      <modifiedWord/>
      <trackRevisions>false</trackRevisions>
    </reviewItem>
    <reviewItem>
      <errorID>776bd3e4-b8d9-4656-93e5-cbd4f699241f</errorID>
      <errorWord>接受</errorWord>
      <group>L1_Word</group>
      <groupName>字词问题</groupName>
      <ability>L2_Typo</ability>
      <abilityName>字词错误</abilityName>
      <candidateList>
        <item>接收</item>
      </candidateList>
      <explain>〈动〉❶收受：～来稿｜～无线电信号。❷根据法令把机构、财产等拿过来：～逆产。❸接纳：～新会员。</explain>
      <paraID>2505073E</paraID>
      <start>58</start>
      <end>60</end>
      <status>unmodified</status>
      <modifiedWord/>
      <trackRevisions>false</trackRevisions>
    </reviewItem>
    <reviewItem>
      <errorID>1214abe2-9c97-4016-8934-a9b9c520f417</errorID>
      <errorWord>式</errorWord>
      <group>L1_Word</group>
      <groupName>字词问题</groupName>
      <ability>L2_Typo</ability>
      <abilityName>字词错误</abilityName>
      <candidateList>
        <item>式在</item>
      </candidateList>
      <explain/>
      <paraID>71A4ED7C</paraID>
      <start>44</start>
      <end>45</end>
      <status>unmodified</status>
      <modifiedWord/>
      <trackRevisions>false</trackRevisions>
    </reviewItem>
    <reviewItem>
      <errorID>5429e286-2b92-459f-a97a-59553b1f0fee</errorID>
      <errorWord>《</errorWord>
      <group>L1_Punc</group>
      <groupName>标点问题</groupName>
      <ability>L2_Punc</ability>
      <abilityName>标点符号检查</abilityName>
      <candidateList/>
      <explain>同一形式括号套用。</explain>
      <paraID>26ECFEAF</paraID>
      <start>7</start>
      <end>8</end>
      <status>unmodified</status>
      <modifiedWord/>
      <trackRevisions>false</trackRevisions>
    </reviewItem>
    <reviewItem>
      <errorID>6b9f9129-e2c8-4506-9236-335a004f265f</errorID>
      <errorWord>》</errorWord>
      <group>L1_Punc</group>
      <groupName>标点问题</groupName>
      <ability>L2_Punc</ability>
      <abilityName>标点符号检查</abilityName>
      <candidateList/>
      <explain>同一形式括号套用。</explain>
      <paraID>26ECFEAF</paraID>
      <start>24</start>
      <end>25</end>
      <status>unmodified</status>
      <modifiedWord/>
      <trackRevisions>false</trackRevisions>
    </reviewItem>
    <reviewItem>
      <errorID>de5a1f6c-185a-4fd4-988b-4d8d6d248112</errorID>
      <errorWord>(</errorWord>
      <group>L1_Format</group>
      <groupName>格式问题</groupName>
      <ability>L2_HalfPunc</ability>
      <abilityName>全半角检查</abilityName>
      <candidateList>
        <item>（</item>
      </candidateList>
      <explain>文本全半角错误。</explain>
      <paraID>33B9D9B9</paraID>
      <start>16</start>
      <end>17</end>
      <status>unmodified</status>
      <modifiedWord/>
      <trackRevisions>false</trackRevisions>
    </reviewItem>
    <reviewItem>
      <errorID>c4d1cbcf-ad79-484a-91a0-d3025d64af1e</errorID>
      <errorWord>)</errorWord>
      <group>L1_Format</group>
      <groupName>格式问题</groupName>
      <ability>L2_HalfPunc</ability>
      <abilityName>全半角检查</abilityName>
      <candidateList>
        <item>）</item>
      </candidateList>
      <explain>文本全半角错误。</explain>
      <paraID>33B9D9B9</paraID>
      <start>29</start>
      <end>30</end>
      <status>unmodified</status>
      <modifiedWord/>
      <trackRevisions>false</trackRevisions>
    </reviewItem>
    <reviewItem>
      <errorID>3f2ac91a-771d-4350-bbe2-8f443e288f2f</errorID>
      <errorWord>同步进行种</errorWord>
      <group>L1_Word</group>
      <groupName>字词问题</groupName>
      <ability>L2_Typo</ability>
      <abilityName>字词错误</abilityName>
      <candidateList>
        <item>同步进行</item>
      </candidateList>
      <explain/>
      <paraID>73B0A5DD</paraID>
      <start>195</start>
      <end>199</end>
      <status>modified</status>
      <modifiedWord>同步进行</modifiedWord>
      <trackRevisions>false</trackRevisions>
    </reviewItem>
    <reviewItem>
      <errorID>7364889a-a4c8-4387-b470-60d50adce77a</errorID>
      <errorWord>场</errorWord>
      <group>L1_Word</group>
      <groupName>字词问题</groupName>
      <ability>L2_Typo</ability>
      <abilityName>字词错误</abilityName>
      <candidateList>
        <item>厂</item>
      </candidateList>
      <explain/>
      <paraID>7EEB1ED0</paraID>
      <start>37</start>
      <end>38</end>
      <status>unmodified</status>
      <modifiedWord/>
      <trackRevisions>false</trackRevisions>
    </reviewItem>
    <reviewItem>
      <errorID>f5b1d1c9-e556-4c91-9715-c0c32a904410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5969705A</paraID>
      <start>0</start>
      <end>2</end>
      <status>unmodified</status>
      <modifiedWord/>
      <trackRevisions>false</trackRevisions>
    </reviewItem>
    <reviewItem>
      <errorID>a9b9b141-37cb-44f0-b3b6-c0e45618b4b9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BF2EC17</paraID>
      <start>0</start>
      <end>2</end>
      <status>unmodified</status>
      <modifiedWord/>
      <trackRevisions>false</trackRevisions>
    </reviewItem>
    <reviewItem>
      <errorID>561f2508-659e-4bd1-8753-1e35a25d4de2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4B4E6325</paraID>
      <start>0</start>
      <end>2</end>
      <status>unmodified</status>
      <modifiedWord/>
      <trackRevisions>false</trackRevisions>
    </reviewItem>
    <reviewItem>
      <errorID>d07f4798-0860-4211-a408-22edbe19f57a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525B6BCB</paraID>
      <start>0</start>
      <end>2</end>
      <status>unmodified</status>
      <modifiedWord/>
      <trackRevisions>false</trackRevisions>
    </reviewItem>
    <reviewItem>
      <errorID>c7f32f42-0a32-4bcb-965b-815e96fb9fca</errorID>
      <errorWord>,</errorWord>
      <group>L1_Format</group>
      <groupName>格式问题</groupName>
      <ability>L2_HalfPunc</ability>
      <abilityName>全半角检查</abilityName>
      <candidateList>
        <item>，</item>
      </candidateList>
      <explain>文本全半角错误。</explain>
      <paraID>593F2C15</paraID>
      <start>66</start>
      <end>67</end>
      <status>unmodified</status>
      <modifiedWord/>
      <trackRevisions>false</trackRevisions>
    </reviewItem>
    <reviewItem>
      <errorID>00e2840a-9570-4cd2-ad50-23f678a5ec48</errorID>
      <errorWord>,</errorWord>
      <group>L1_Format</group>
      <groupName>格式问题</groupName>
      <ability>L2_HalfPunc</ability>
      <abilityName>全半角检查</abilityName>
      <candidateList>
        <item>，</item>
      </candidateList>
      <explain>文本全半角错误。</explain>
      <paraID>593F2C15</paraID>
      <start>96</start>
      <end>97</end>
      <status>unmodified</status>
      <modifiedWord/>
      <trackRevisions>false</trackRevisions>
    </reviewItem>
    <reviewItem>
      <errorID>227acc14-acba-476e-a791-bb19d2548463</errorID>
      <errorWord>,</errorWord>
      <group>L1_Format</group>
      <groupName>格式问题</groupName>
      <ability>L2_HalfPunc</ability>
      <abilityName>全半角检查</abilityName>
      <candidateList>
        <item>，</item>
      </candidateList>
      <explain>文本全半角错误。</explain>
      <paraID>593F2C15</paraID>
      <start>127</start>
      <end>128</end>
      <status>unmodified</status>
      <modifiedWord/>
      <trackRevisions>false</trackRevisions>
    </reviewItem>
    <reviewItem>
      <errorID>b68d95f2-9bb8-4e26-9c7e-713bb29f2715</errorID>
      <errorWord>）</errorWord>
      <group>L1_Word</group>
      <groupName>字词问题</groupName>
      <ability>L2_Typo</ability>
      <abilityName>字词错误</abilityName>
      <candidateList>
        <item>）第</item>
      </candidateList>
      <explain/>
      <paraID>21B4BD89</paraID>
      <start>49</start>
      <end>50</end>
      <status>unmodified</status>
      <modifiedWord/>
      <trackRevisions>false</trackRevisions>
    </reviewItem>
    <reviewItem>
      <errorID>e40fc927-a5ea-44e5-8b8c-88de2acbf987</errorID>
      <errorWord>境</errorWord>
      <group>L1_Word</group>
      <groupName>字词问题</groupName>
      <ability>L2_Typo</ability>
      <abilityName>字词错误</abilityName>
      <candidateList>
        <item>境影</item>
      </candidateList>
      <explain/>
      <paraID>39D3C34E</paraID>
      <start>221</start>
      <end>222</end>
      <status>unmodified</status>
      <modifiedWord/>
      <trackRevisions>false</trackRevisions>
    </reviewItem>
    <reviewItem>
      <errorID>e2776bb8-76e8-4ae2-9e59-156160f504c8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3B3FE763</paraID>
      <start>0</start>
      <end>2</end>
      <status>unmodified</status>
      <modifiedWord/>
      <trackRevisions>false</trackRevisions>
    </reviewItem>
    <reviewItem>
      <errorID>d65d44f7-3dd2-4f07-844c-08e417fe85f4</errorID>
      <errorWord>[2025]15号</errorWord>
      <group>L1_Knowledge</group>
      <groupName>知识性问题</groupName>
      <ability>L2_Knowledge</ability>
      <abilityName>其他知识</abilityName>
      <candidateList>
        <item>〔2025〕15号</item>
      </candidateList>
      <explain>发文字号格式错误。</explain>
      <paraID>6B3C22A6</paraID>
      <start>45</start>
      <end>54</end>
      <status>unmodified</status>
      <modifiedWord/>
      <trackRevisions>false</trackRevisions>
    </reviewItem>
    <reviewItem>
      <errorID>8dbfb7f3-77e1-47c5-b152-4bb56ef14114</errorID>
      <errorWord>[2025]33号</errorWord>
      <group>L1_Knowledge</group>
      <groupName>知识性问题</groupName>
      <ability>L2_Knowledge</ability>
      <abilityName>其他知识</abilityName>
      <candidateList>
        <item>〔2025〕33号</item>
      </candidateList>
      <explain>发文字号格式错误。</explain>
      <paraID>1F2EFC17</paraID>
      <start>47</start>
      <end>56</end>
      <status>unmodified</status>
      <modifiedWord/>
      <trackRevisions>false</trackRevisions>
    </reviewItem>
    <reviewItem>
      <errorID>3ca8c0b9-b093-47b3-8bf8-4eff9e0766cf</errorID>
      <errorWord>噪</errorWord>
      <group>L1_Word</group>
      <groupName>字词问题</groupName>
      <ability>L2_Typo</ability>
      <abilityName>字词错误</abilityName>
      <candidateList>
        <item>噪声</item>
      </candidateList>
      <explain/>
      <paraID>   17ED4</paraID>
      <start>6</start>
      <end>7</end>
      <status>unmodified</status>
      <modifiedWord/>
      <trackRevisions>false</trackRevisions>
    </reviewItem>
    <reviewItem>
      <errorID>b28214f3-e220-461e-be82-a294425bb606</errorID>
      <errorWord>职工</errorWord>
      <group>L1_Word</group>
      <groupName>字词问题</groupName>
      <ability>L2_Typo</ability>
      <abilityName>字词错误</abilityName>
      <candidateList>
        <item>施工</item>
      </candidateList>
      <explain>〈动〉按照设计的规格和要求建筑房屋、桥梁、道路、水利工程等。</explain>
      <paraID>6AA60512</paraID>
      <start>162</start>
      <end>164</end>
      <status>unmodified</status>
      <modifiedWord/>
      <trackRevisions>false</trackRevisions>
    </reviewItem>
    <reviewItem>
      <errorID>15112931-b246-4ed2-8408-ee601d2984d1</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46528BB8</paraID>
      <start>35</start>
      <end>36</end>
      <status>modified</status>
      <modifiedWord>地</modifiedWord>
      <trackRevisions>false</trackRevisions>
    </reviewItem>
    <reviewItem>
      <errorID>a83cb735-616b-44d4-a883-76c7959147f8</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4A7730C8</paraID>
      <start>43</start>
      <end>44</end>
      <status>modified</status>
      <modifiedWord>地</modifiedWord>
      <trackRevisions>false</trackRevisions>
    </reviewItem>
    <reviewItem>
      <errorID>63acb0b9-eaaf-4411-9fd5-d5ddc1743ebe</errorID>
      <errorWord>&lt;</errorWord>
      <group>L1_Format</group>
      <groupName>格式问题</groupName>
      <ability>L2_HalfPunc</ability>
      <abilityName>全半角检查</abilityName>
      <candidateList>
        <item>〈</item>
      </candidateList>
      <explain>文本全半角错误。</explain>
      <paraID>4FF74B5D</paraID>
      <start>20</start>
      <end>21</end>
      <status>unmodified</status>
      <modifiedWord/>
      <trackRevisions>false</trackRevisions>
    </reviewItem>
    <reviewItem>
      <errorID>dfbf0972-bf37-4757-bc36-963ae0f98b1c</errorID>
      <errorWord>&gt;的通知》</errorWord>
      <group>L1_Punc</group>
      <groupName>标点问题</groupName>
      <ability>L2_Punc</ability>
      <abilityName>标点符号检查</abilityName>
      <candidateList>
        <item>〉的通知》</item>
      </candidateList>
      <explain/>
      <paraID>4FF74B5D</paraID>
      <start>43</start>
      <end>48</end>
      <status>unmodified</status>
      <modifiedWord/>
      <trackRevisions>false</trackRevisions>
    </reviewItem>
    <reviewItem>
      <errorID>49b02f51-4b38-4c62-ba3a-54e9b3a37c78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74AEBBC</paraID>
      <start>89</start>
      <end>90</end>
      <status>unmodified</status>
      <modifiedWord/>
      <trackRevisions>false</trackRevisions>
    </reviewItem>
    <reviewItem>
      <errorID>af8dcebc-02ec-4c10-9520-29107ab18afa</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74AEBBC</paraID>
      <start>96</start>
      <end>99</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2A17E74-99BF-4AE4-A24C-C34409B78EA3}">
  <ds:schemaRefs/>
</ds:datastoreItem>
</file>

<file path=customXml/itemProps3.xml><?xml version="1.0" encoding="utf-8"?>
<ds:datastoreItem xmlns:ds="http://schemas.openxmlformats.org/officeDocument/2006/customXml" ds:itemID="{9d86b26c-00b7-4952-94b3-6f09c3f12279}">
  <ds:schemaRefs/>
</ds:datastoreItem>
</file>

<file path=docProps/app.xml><?xml version="1.0" encoding="utf-8"?>
<Properties xmlns="http://schemas.openxmlformats.org/officeDocument/2006/extended-properties" xmlns:vt="http://schemas.openxmlformats.org/officeDocument/2006/docPropsVTypes">
  <Template>Normal.dotm</Template>
  <Company>Organization</Company>
  <Pages>289</Pages>
  <Words>2218</Words>
  <Characters>2405</Characters>
  <Lines>1429</Lines>
  <Paragraphs>402</Paragraphs>
  <TotalTime>156</TotalTime>
  <ScaleCrop>false</ScaleCrop>
  <LinksUpToDate>false</LinksUpToDate>
  <CharactersWithSpaces>2419</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2026-01-08T01:10:00Z</dcterms:created>
  <dc:creator>Administrator</dc:creator>
  <cp:lastModifiedBy>岁月如歌</cp:lastModifiedBy>
  <cp:lastPrinted>2026-01-08T02:16:00Z</cp:lastPrinted>
  <dcterms:modified xsi:type="dcterms:W3CDTF">2026-01-23T03:27:31Z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A69F9FA9E0934B23862D6F2CFBF0B502_13</vt:lpwstr>
  </property>
  <property fmtid="{D5CDD505-2E9C-101B-9397-08002B2CF9AE}" pid="4" name="KSOTemplateDocerSaveRecord">
    <vt:lpwstr>eyJoZGlkIjoiNWYwYjdkYjZlZGM2NWFlNjkyM2U1MWM0ZTNmZWEwZTIiLCJ1c2VySWQiOiIxMDM3NjMxMjY0In0=</vt:lpwstr>
  </property>
</Properties>
</file>